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color w:val="auto"/>
          <w:sz w:val="44"/>
          <w:szCs w:val="44"/>
          <w:highlight w:val="none"/>
          <w:lang w:val="en-US" w:eastAsia="zh-CN"/>
        </w:rPr>
      </w:pPr>
      <w:bookmarkStart w:id="0" w:name="_Toc287620665"/>
      <w:r>
        <w:rPr>
          <w:rFonts w:hint="eastAsia" w:ascii="宋体" w:hAnsi="宋体"/>
          <w:b/>
          <w:color w:val="auto"/>
          <w:sz w:val="44"/>
          <w:szCs w:val="44"/>
          <w:highlight w:val="none"/>
          <w:lang w:val="en-US" w:eastAsia="zh-CN"/>
        </w:rPr>
        <w:t xml:space="preserve"> </w:t>
      </w:r>
    </w:p>
    <w:p>
      <w:pPr>
        <w:spacing w:line="360" w:lineRule="auto"/>
        <w:jc w:val="center"/>
        <w:rPr>
          <w:rFonts w:hint="eastAsia" w:ascii="宋体" w:hAnsi="宋体" w:eastAsia="宋体"/>
          <w:b/>
          <w:bCs/>
          <w:color w:val="auto"/>
          <w:kern w:val="0"/>
          <w:sz w:val="32"/>
          <w:szCs w:val="32"/>
          <w:highlight w:val="none"/>
          <w:u w:val="none"/>
          <w:lang w:eastAsia="zh-CN"/>
        </w:rPr>
      </w:pPr>
      <w:r>
        <w:rPr>
          <w:rFonts w:hint="eastAsia" w:ascii="宋体" w:hAnsi="宋体"/>
          <w:b/>
          <w:bCs/>
          <w:color w:val="auto"/>
          <w:kern w:val="0"/>
          <w:sz w:val="32"/>
          <w:szCs w:val="32"/>
          <w:highlight w:val="none"/>
          <w:u w:val="none"/>
          <w:lang w:eastAsia="zh-CN"/>
        </w:rPr>
        <w:t xml:space="preserve">西计厂房3-6号楼屋面防水整改工程 </w:t>
      </w:r>
      <w:r>
        <w:rPr>
          <w:rFonts w:hint="eastAsia" w:ascii="宋体" w:hAnsi="宋体"/>
          <w:b/>
          <w:bCs/>
          <w:color w:val="auto"/>
          <w:kern w:val="0"/>
          <w:sz w:val="32"/>
          <w:szCs w:val="32"/>
          <w:highlight w:val="none"/>
          <w:u w:val="none"/>
          <w:lang w:val="en-US" w:eastAsia="zh-CN"/>
        </w:rPr>
        <w:t xml:space="preserve"> </w:t>
      </w: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lang w:val="en-US" w:eastAsia="zh-CN"/>
        </w:rPr>
        <w:t>竞争性比选</w:t>
      </w:r>
      <w:r>
        <w:rPr>
          <w:rFonts w:ascii="宋体" w:hAnsi="宋体"/>
          <w:color w:val="auto"/>
          <w:kern w:val="0"/>
          <w:sz w:val="72"/>
          <w:szCs w:val="72"/>
          <w:highlight w:val="none"/>
        </w:rPr>
        <w:t>文件</w:t>
      </w:r>
    </w:p>
    <w:p>
      <w:pPr>
        <w:autoSpaceDE w:val="0"/>
        <w:autoSpaceDN w:val="0"/>
        <w:adjustRightInd w:val="0"/>
        <w:snapToGrid w:val="0"/>
        <w:spacing w:line="360" w:lineRule="auto"/>
        <w:jc w:val="left"/>
        <w:rPr>
          <w:rFonts w:ascii="宋体" w:hAnsi="宋体"/>
          <w:color w:val="auto"/>
          <w:kern w:val="0"/>
          <w:sz w:val="10"/>
          <w:szCs w:val="1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center"/>
        <w:rPr>
          <w:rFonts w:hint="default" w:ascii="宋体" w:hAnsi="宋体" w:eastAsia="宋体"/>
          <w:color w:val="auto"/>
          <w:kern w:val="0"/>
          <w:sz w:val="24"/>
          <w:szCs w:val="24"/>
          <w:highlight w:val="none"/>
          <w:lang w:val="en-US" w:eastAsia="zh-CN"/>
        </w:rPr>
      </w:pPr>
      <w:r>
        <w:rPr>
          <w:rFonts w:hint="default" w:ascii="宋体" w:hAnsi="宋体" w:eastAsia="宋体"/>
          <w:color w:val="auto"/>
          <w:kern w:val="0"/>
          <w:sz w:val="24"/>
          <w:szCs w:val="24"/>
          <w:highlight w:val="none"/>
          <w:lang w:val="en-US" w:eastAsia="zh-CN"/>
        </w:rPr>
        <w:drawing>
          <wp:inline distT="0" distB="0" distL="114300" distR="114300">
            <wp:extent cx="2981325" cy="2571750"/>
            <wp:effectExtent l="0" t="0" r="9525" b="0"/>
            <wp:docPr id="1" name="图片 1" descr="1688365589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8365589285"/>
                    <pic:cNvPicPr>
                      <a:picLocks noChangeAspect="1"/>
                    </pic:cNvPicPr>
                  </pic:nvPicPr>
                  <pic:blipFill>
                    <a:blip r:embed="rId11"/>
                    <a:stretch>
                      <a:fillRect/>
                    </a:stretch>
                  </pic:blipFill>
                  <pic:spPr>
                    <a:xfrm>
                      <a:off x="0" y="0"/>
                      <a:ext cx="2981325" cy="2571750"/>
                    </a:xfrm>
                    <a:prstGeom prst="rect">
                      <a:avLst/>
                    </a:prstGeom>
                  </pic:spPr>
                </pic:pic>
              </a:graphicData>
            </a:graphic>
          </wp:inline>
        </w:drawing>
      </w: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rPr>
          <w:rFonts w:ascii="宋体" w:hAnsi="宋体"/>
          <w:color w:val="auto"/>
          <w:kern w:val="0"/>
          <w:sz w:val="20"/>
          <w:szCs w:val="20"/>
          <w:highlight w:val="none"/>
        </w:rPr>
      </w:pPr>
    </w:p>
    <w:p>
      <w:pPr>
        <w:pStyle w:val="2"/>
        <w:rPr>
          <w:rFonts w:ascii="宋体" w:hAnsi="宋体"/>
          <w:color w:val="auto"/>
          <w:kern w:val="0"/>
          <w:sz w:val="20"/>
          <w:szCs w:val="20"/>
          <w:highlight w:val="none"/>
        </w:rPr>
      </w:pPr>
    </w:p>
    <w:p>
      <w:pPr>
        <w:tabs>
          <w:tab w:val="left" w:pos="6219"/>
        </w:tabs>
        <w:autoSpaceDE w:val="0"/>
        <w:autoSpaceDN w:val="0"/>
        <w:adjustRightInd w:val="0"/>
        <w:snapToGrid w:val="0"/>
        <w:spacing w:line="360" w:lineRule="auto"/>
        <w:jc w:val="center"/>
        <w:rPr>
          <w:rFonts w:ascii="宋体" w:hAnsi="宋体"/>
          <w:b/>
          <w:color w:val="auto"/>
          <w:w w:val="99"/>
          <w:kern w:val="0"/>
          <w:sz w:val="28"/>
          <w:szCs w:val="28"/>
          <w:highlight w:val="none"/>
          <w:u w:val="none"/>
        </w:rPr>
      </w:pPr>
      <w:r>
        <w:rPr>
          <w:rFonts w:hint="eastAsia" w:ascii="宋体" w:hAnsi="宋体"/>
          <w:b/>
          <w:color w:val="auto"/>
          <w:w w:val="99"/>
          <w:kern w:val="0"/>
          <w:sz w:val="28"/>
          <w:szCs w:val="28"/>
          <w:highlight w:val="none"/>
          <w:lang w:val="en-US" w:eastAsia="zh-CN"/>
        </w:rPr>
        <w:t>比选</w:t>
      </w:r>
      <w:r>
        <w:rPr>
          <w:rFonts w:ascii="宋体" w:hAnsi="宋体"/>
          <w:b/>
          <w:color w:val="auto"/>
          <w:w w:val="99"/>
          <w:kern w:val="0"/>
          <w:sz w:val="28"/>
          <w:szCs w:val="28"/>
          <w:highlight w:val="none"/>
        </w:rPr>
        <w:t>人</w:t>
      </w:r>
      <w:r>
        <w:rPr>
          <w:rFonts w:ascii="宋体" w:hAnsi="宋体"/>
          <w:b/>
          <w:color w:val="auto"/>
          <w:w w:val="99"/>
          <w:kern w:val="0"/>
          <w:sz w:val="28"/>
          <w:szCs w:val="28"/>
          <w:highlight w:val="none"/>
          <w:u w:val="none"/>
        </w:rPr>
        <w:t>：</w:t>
      </w:r>
      <w:r>
        <w:rPr>
          <w:rFonts w:hint="eastAsia" w:ascii="宋体" w:hAnsi="宋体"/>
          <w:b/>
          <w:color w:val="auto"/>
          <w:w w:val="99"/>
          <w:kern w:val="0"/>
          <w:sz w:val="28"/>
          <w:szCs w:val="28"/>
          <w:highlight w:val="none"/>
          <w:u w:val="none"/>
          <w:lang w:eastAsia="zh-CN"/>
        </w:rPr>
        <w:t>重庆经开区投资集团有限公司</w:t>
      </w:r>
      <w:r>
        <w:rPr>
          <w:rFonts w:ascii="宋体" w:hAnsi="宋体"/>
          <w:color w:val="auto"/>
          <w:kern w:val="0"/>
          <w:sz w:val="28"/>
          <w:szCs w:val="28"/>
          <w:highlight w:val="none"/>
          <w:u w:val="none"/>
        </w:rPr>
        <w:t xml:space="preserve"> </w:t>
      </w:r>
      <w:r>
        <w:rPr>
          <w:rFonts w:ascii="宋体" w:hAnsi="宋体"/>
          <w:b/>
          <w:color w:val="auto"/>
          <w:w w:val="99"/>
          <w:kern w:val="0"/>
          <w:sz w:val="28"/>
          <w:szCs w:val="28"/>
          <w:highlight w:val="none"/>
          <w:u w:val="none"/>
        </w:rPr>
        <w:t>（盖单位法人章）</w:t>
      </w:r>
    </w:p>
    <w:p>
      <w:pPr>
        <w:tabs>
          <w:tab w:val="left" w:pos="6252"/>
        </w:tabs>
        <w:autoSpaceDE w:val="0"/>
        <w:autoSpaceDN w:val="0"/>
        <w:adjustRightInd w:val="0"/>
        <w:snapToGrid w:val="0"/>
        <w:spacing w:line="360" w:lineRule="auto"/>
        <w:jc w:val="center"/>
        <w:rPr>
          <w:rFonts w:ascii="宋体" w:hAnsi="宋体"/>
          <w:b/>
          <w:color w:val="auto"/>
          <w:w w:val="99"/>
          <w:kern w:val="0"/>
          <w:sz w:val="28"/>
          <w:szCs w:val="28"/>
          <w:highlight w:val="none"/>
        </w:rPr>
      </w:pPr>
      <w:r>
        <w:rPr>
          <w:rFonts w:hint="eastAsia" w:ascii="宋体" w:hAnsi="宋体"/>
          <w:b/>
          <w:color w:val="auto"/>
          <w:spacing w:val="8"/>
          <w:kern w:val="0"/>
          <w:sz w:val="28"/>
          <w:szCs w:val="28"/>
          <w:highlight w:val="none"/>
          <w:u w:val="none"/>
          <w:lang w:eastAsia="zh-CN"/>
        </w:rPr>
        <w:t>比选代理机构</w:t>
      </w:r>
      <w:r>
        <w:rPr>
          <w:rFonts w:ascii="宋体" w:hAnsi="宋体"/>
          <w:b/>
          <w:color w:val="auto"/>
          <w:spacing w:val="8"/>
          <w:kern w:val="0"/>
          <w:sz w:val="28"/>
          <w:szCs w:val="28"/>
          <w:highlight w:val="none"/>
          <w:u w:val="none"/>
        </w:rPr>
        <w:t>：</w:t>
      </w:r>
      <w:r>
        <w:rPr>
          <w:rFonts w:hint="eastAsia" w:ascii="宋体" w:hAnsi="宋体"/>
          <w:b/>
          <w:bCs/>
          <w:color w:val="auto"/>
          <w:kern w:val="0"/>
          <w:sz w:val="28"/>
          <w:szCs w:val="28"/>
          <w:highlight w:val="none"/>
          <w:u w:val="none"/>
          <w:lang w:val="en-US" w:eastAsia="zh-CN"/>
        </w:rPr>
        <w:t>重庆铂霖瀚丰工程管理咨询有限公司</w:t>
      </w:r>
      <w:r>
        <w:rPr>
          <w:rFonts w:ascii="宋体" w:hAnsi="宋体"/>
          <w:b/>
          <w:color w:val="auto"/>
          <w:w w:val="99"/>
          <w:kern w:val="0"/>
          <w:sz w:val="28"/>
          <w:szCs w:val="28"/>
          <w:highlight w:val="none"/>
          <w:u w:val="none"/>
        </w:rPr>
        <w:t>（盖</w:t>
      </w:r>
      <w:r>
        <w:rPr>
          <w:rFonts w:ascii="宋体" w:hAnsi="宋体"/>
          <w:b/>
          <w:color w:val="auto"/>
          <w:w w:val="99"/>
          <w:kern w:val="0"/>
          <w:sz w:val="28"/>
          <w:szCs w:val="28"/>
          <w:highlight w:val="none"/>
        </w:rPr>
        <w:t>单位法人章）</w:t>
      </w:r>
    </w:p>
    <w:p>
      <w:pPr>
        <w:tabs>
          <w:tab w:val="left" w:pos="6252"/>
        </w:tabs>
        <w:autoSpaceDE w:val="0"/>
        <w:autoSpaceDN w:val="0"/>
        <w:adjustRightInd w:val="0"/>
        <w:snapToGrid w:val="0"/>
        <w:spacing w:line="360" w:lineRule="auto"/>
        <w:jc w:val="center"/>
        <w:rPr>
          <w:rFonts w:hint="eastAsia" w:ascii="宋体" w:hAnsi="宋体"/>
          <w:b/>
          <w:color w:val="auto"/>
          <w:spacing w:val="8"/>
          <w:kern w:val="0"/>
          <w:sz w:val="28"/>
          <w:szCs w:val="28"/>
          <w:highlight w:val="none"/>
          <w:u w:val="none"/>
          <w:lang w:val="en-US" w:eastAsia="zh-CN"/>
        </w:rPr>
      </w:pPr>
      <w:bookmarkStart w:id="1" w:name="_Toc509218549"/>
      <w:bookmarkStart w:id="2" w:name="_Toc536796736"/>
      <w:bookmarkStart w:id="3" w:name="_Toc536797277"/>
      <w:bookmarkStart w:id="4" w:name="_Toc13210649"/>
      <w:bookmarkStart w:id="5" w:name="_Toc536621766"/>
    </w:p>
    <w:p>
      <w:pPr>
        <w:tabs>
          <w:tab w:val="left" w:pos="6252"/>
        </w:tabs>
        <w:autoSpaceDE w:val="0"/>
        <w:autoSpaceDN w:val="0"/>
        <w:adjustRightInd w:val="0"/>
        <w:snapToGrid w:val="0"/>
        <w:spacing w:line="360" w:lineRule="auto"/>
        <w:jc w:val="center"/>
        <w:rPr>
          <w:rFonts w:ascii="宋体" w:hAnsi="宋体"/>
          <w:bCs/>
          <w:color w:val="auto"/>
          <w:spacing w:val="8"/>
          <w:kern w:val="0"/>
          <w:sz w:val="28"/>
          <w:szCs w:val="28"/>
          <w:highlight w:val="none"/>
          <w:u w:val="none"/>
        </w:rPr>
      </w:pPr>
      <w:r>
        <w:rPr>
          <w:rFonts w:hint="eastAsia" w:ascii="宋体" w:hAnsi="宋体"/>
          <w:b/>
          <w:color w:val="auto"/>
          <w:spacing w:val="8"/>
          <w:kern w:val="0"/>
          <w:sz w:val="28"/>
          <w:szCs w:val="28"/>
          <w:highlight w:val="none"/>
          <w:u w:val="none"/>
          <w:lang w:val="en-US" w:eastAsia="zh-CN"/>
        </w:rPr>
        <w:t>2023</w:t>
      </w:r>
      <w:r>
        <w:rPr>
          <w:rFonts w:ascii="宋体" w:hAnsi="宋体"/>
          <w:b/>
          <w:color w:val="auto"/>
          <w:spacing w:val="8"/>
          <w:kern w:val="0"/>
          <w:sz w:val="28"/>
          <w:szCs w:val="28"/>
          <w:highlight w:val="none"/>
          <w:u w:val="none"/>
        </w:rPr>
        <w:t>年</w:t>
      </w:r>
      <w:r>
        <w:rPr>
          <w:rFonts w:hint="eastAsia" w:ascii="宋体" w:hAnsi="宋体"/>
          <w:b/>
          <w:color w:val="auto"/>
          <w:spacing w:val="8"/>
          <w:kern w:val="0"/>
          <w:sz w:val="28"/>
          <w:szCs w:val="28"/>
          <w:highlight w:val="none"/>
          <w:u w:val="none"/>
          <w:lang w:val="en-US" w:eastAsia="zh-CN"/>
        </w:rPr>
        <w:t>7</w:t>
      </w:r>
      <w:r>
        <w:rPr>
          <w:rFonts w:ascii="宋体" w:hAnsi="宋体"/>
          <w:b/>
          <w:color w:val="auto"/>
          <w:spacing w:val="8"/>
          <w:kern w:val="0"/>
          <w:sz w:val="28"/>
          <w:szCs w:val="28"/>
          <w:highlight w:val="none"/>
          <w:u w:val="none"/>
        </w:rPr>
        <w:t>月</w:t>
      </w:r>
      <w:bookmarkEnd w:id="1"/>
      <w:bookmarkEnd w:id="2"/>
      <w:bookmarkEnd w:id="3"/>
      <w:bookmarkEnd w:id="4"/>
      <w:bookmarkEnd w:id="5"/>
    </w:p>
    <w:p>
      <w:pPr>
        <w:pStyle w:val="3"/>
        <w:spacing w:line="360" w:lineRule="auto"/>
        <w:jc w:val="center"/>
        <w:rPr>
          <w:rFonts w:ascii="宋体" w:hAnsi="宋体"/>
          <w:color w:val="auto"/>
          <w:w w:val="99"/>
          <w:kern w:val="0"/>
          <w:sz w:val="24"/>
          <w:highlight w:val="none"/>
          <w:u w:val="none"/>
        </w:rPr>
        <w:sectPr>
          <w:headerReference r:id="rId4" w:type="default"/>
          <w:footerReference r:id="rId5" w:type="default"/>
          <w:pgSz w:w="11907" w:h="16840"/>
          <w:pgMar w:top="1304" w:right="1134" w:bottom="1304" w:left="1304" w:header="851" w:footer="992" w:gutter="0"/>
          <w:pgNumType w:fmt="numberInDash" w:start="1"/>
          <w:cols w:space="720" w:num="1"/>
          <w:docGrid w:linePitch="312" w:charSpace="0"/>
        </w:sectPr>
      </w:pPr>
    </w:p>
    <w:p>
      <w:pPr>
        <w:pStyle w:val="119"/>
        <w:jc w:val="center"/>
        <w:rPr>
          <w:rFonts w:ascii="宋体" w:hAnsi="宋体"/>
          <w:color w:val="auto"/>
          <w:sz w:val="44"/>
          <w:szCs w:val="44"/>
          <w:highlight w:val="none"/>
        </w:rPr>
      </w:pPr>
      <w:bookmarkStart w:id="6" w:name="_Toc5767"/>
      <w:bookmarkStart w:id="7" w:name="_Toc28843"/>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6"/>
      <w:bookmarkEnd w:id="7"/>
    </w:p>
    <w:p>
      <w:pPr>
        <w:pStyle w:val="31"/>
        <w:tabs>
          <w:tab w:val="right" w:leader="dot" w:pos="9469"/>
        </w:tabs>
        <w:rPr>
          <w:color w:val="auto"/>
          <w:highlight w:val="none"/>
        </w:rPr>
      </w:pPr>
      <w:r>
        <w:rPr>
          <w:rFonts w:ascii="宋体" w:hAnsi="宋体"/>
          <w:color w:val="auto"/>
          <w:highlight w:val="none"/>
        </w:rPr>
        <w:fldChar w:fldCharType="begin"/>
      </w:r>
      <w:r>
        <w:rPr>
          <w:rFonts w:ascii="宋体" w:hAnsi="宋体"/>
          <w:color w:val="auto"/>
          <w:highlight w:val="none"/>
        </w:rPr>
        <w:instrText xml:space="preserve"> TOC \o "1-3" \h \z \u </w:instrText>
      </w:r>
      <w:r>
        <w:rPr>
          <w:rFonts w:ascii="宋体" w:hAnsi="宋体"/>
          <w:color w:val="auto"/>
          <w:highlight w:val="none"/>
        </w:rPr>
        <w:fldChar w:fldCharType="separate"/>
      </w:r>
      <w:r>
        <w:rPr>
          <w:rFonts w:ascii="宋体" w:hAnsi="宋体"/>
          <w:color w:val="auto"/>
          <w:highlight w:val="none"/>
        </w:rPr>
        <w:fldChar w:fldCharType="begin"/>
      </w:r>
      <w:r>
        <w:rPr>
          <w:rFonts w:ascii="宋体" w:hAnsi="宋体"/>
          <w:color w:val="auto"/>
          <w:highlight w:val="none"/>
        </w:rPr>
        <w:instrText xml:space="preserve"> HYPERLINK \l _Toc22036 </w:instrText>
      </w:r>
      <w:r>
        <w:rPr>
          <w:rFonts w:ascii="宋体" w:hAnsi="宋体"/>
          <w:color w:val="auto"/>
          <w:highlight w:val="none"/>
        </w:rPr>
        <w:fldChar w:fldCharType="separate"/>
      </w:r>
      <w:r>
        <w:rPr>
          <w:rFonts w:hint="eastAsia" w:ascii="宋体" w:hAnsi="宋体"/>
          <w:color w:val="auto"/>
          <w:szCs w:val="52"/>
          <w:highlight w:val="none"/>
        </w:rPr>
        <w:t>第 一 卷</w:t>
      </w:r>
      <w:r>
        <w:rPr>
          <w:color w:val="auto"/>
          <w:highlight w:val="none"/>
        </w:rPr>
        <w:tab/>
      </w:r>
      <w:r>
        <w:rPr>
          <w:color w:val="auto"/>
          <w:highlight w:val="none"/>
        </w:rPr>
        <w:fldChar w:fldCharType="begin"/>
      </w:r>
      <w:r>
        <w:rPr>
          <w:color w:val="auto"/>
          <w:highlight w:val="none"/>
        </w:rPr>
        <w:instrText xml:space="preserve"> PAGEREF _Toc22036 \h </w:instrText>
      </w:r>
      <w:r>
        <w:rPr>
          <w:color w:val="auto"/>
          <w:highlight w:val="none"/>
        </w:rPr>
        <w:fldChar w:fldCharType="separate"/>
      </w:r>
      <w:r>
        <w:rPr>
          <w:color w:val="auto"/>
          <w:highlight w:val="none"/>
        </w:rPr>
        <w:t>4</w:t>
      </w:r>
      <w:r>
        <w:rPr>
          <w:color w:val="auto"/>
          <w:highlight w:val="none"/>
        </w:rPr>
        <w:fldChar w:fldCharType="end"/>
      </w:r>
      <w:r>
        <w:rPr>
          <w:rFonts w:ascii="宋体" w:hAnsi="宋体"/>
          <w:color w:val="auto"/>
          <w:highlight w:val="none"/>
        </w:rPr>
        <w:fldChar w:fldCharType="end"/>
      </w:r>
    </w:p>
    <w:p>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_Toc23738 </w:instrText>
      </w:r>
      <w:r>
        <w:rPr>
          <w:rFonts w:ascii="宋体" w:hAnsi="宋体"/>
          <w:bCs/>
          <w:color w:val="auto"/>
          <w:szCs w:val="20"/>
          <w:highlight w:val="none"/>
          <w:lang w:val="zh-CN"/>
        </w:rPr>
        <w:fldChar w:fldCharType="separate"/>
      </w:r>
      <w:r>
        <w:rPr>
          <w:rFonts w:ascii="宋体" w:hAnsi="宋体"/>
          <w:snapToGrid w:val="0"/>
          <w:color w:val="auto"/>
          <w:kern w:val="0"/>
          <w:highlight w:val="none"/>
        </w:rPr>
        <w:t xml:space="preserve">第一章  </w:t>
      </w:r>
      <w:r>
        <w:rPr>
          <w:rFonts w:hint="eastAsia" w:ascii="宋体" w:hAnsi="宋体"/>
          <w:snapToGrid w:val="0"/>
          <w:color w:val="auto"/>
          <w:kern w:val="0"/>
          <w:highlight w:val="none"/>
          <w:lang w:eastAsia="zh-CN"/>
        </w:rPr>
        <w:t>比选公告</w:t>
      </w:r>
      <w:r>
        <w:rPr>
          <w:color w:val="auto"/>
          <w:highlight w:val="none"/>
        </w:rPr>
        <w:tab/>
      </w:r>
      <w:r>
        <w:rPr>
          <w:color w:val="auto"/>
          <w:highlight w:val="none"/>
        </w:rPr>
        <w:fldChar w:fldCharType="begin"/>
      </w:r>
      <w:r>
        <w:rPr>
          <w:color w:val="auto"/>
          <w:highlight w:val="none"/>
        </w:rPr>
        <w:instrText xml:space="preserve"> PAGEREF _Toc23738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color w:val="auto"/>
          <w:szCs w:val="20"/>
          <w:highlight w:val="none"/>
          <w:lang w:val="zh-CN"/>
        </w:rPr>
        <w:fldChar w:fldCharType="end"/>
      </w:r>
    </w:p>
    <w:p>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_Toc17988 </w:instrText>
      </w:r>
      <w:r>
        <w:rPr>
          <w:rFonts w:ascii="宋体" w:hAnsi="宋体"/>
          <w:bCs/>
          <w:color w:val="auto"/>
          <w:szCs w:val="20"/>
          <w:highlight w:val="none"/>
          <w:lang w:val="zh-CN"/>
        </w:rPr>
        <w:fldChar w:fldCharType="separate"/>
      </w:r>
      <w:r>
        <w:rPr>
          <w:rFonts w:ascii="宋体" w:hAnsi="宋体"/>
          <w:snapToGrid w:val="0"/>
          <w:color w:val="auto"/>
          <w:szCs w:val="28"/>
          <w:highlight w:val="none"/>
        </w:rPr>
        <w:t xml:space="preserve">1. </w:t>
      </w:r>
      <w:r>
        <w:rPr>
          <w:rFonts w:hint="eastAsia" w:ascii="宋体" w:hAnsi="宋体"/>
          <w:snapToGrid w:val="0"/>
          <w:color w:val="auto"/>
          <w:szCs w:val="28"/>
          <w:highlight w:val="none"/>
        </w:rPr>
        <w:t xml:space="preserve"> </w:t>
      </w:r>
      <w:r>
        <w:rPr>
          <w:rFonts w:ascii="宋体" w:hAnsi="宋体"/>
          <w:snapToGrid w:val="0"/>
          <w:color w:val="auto"/>
          <w:szCs w:val="28"/>
          <w:highlight w:val="none"/>
        </w:rPr>
        <w:t>招标条件</w:t>
      </w:r>
      <w:r>
        <w:rPr>
          <w:color w:val="auto"/>
          <w:highlight w:val="none"/>
        </w:rPr>
        <w:tab/>
      </w:r>
      <w:r>
        <w:rPr>
          <w:color w:val="auto"/>
          <w:highlight w:val="none"/>
        </w:rPr>
        <w:fldChar w:fldCharType="begin"/>
      </w:r>
      <w:r>
        <w:rPr>
          <w:color w:val="auto"/>
          <w:highlight w:val="none"/>
        </w:rPr>
        <w:instrText xml:space="preserve"> PAGEREF _Toc17988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color w:val="auto"/>
          <w:szCs w:val="20"/>
          <w:highlight w:val="none"/>
          <w:lang w:val="zh-CN"/>
        </w:rPr>
        <w:fldChar w:fldCharType="end"/>
      </w:r>
    </w:p>
    <w:p>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_Toc21028 </w:instrText>
      </w:r>
      <w:r>
        <w:rPr>
          <w:rFonts w:ascii="宋体" w:hAnsi="宋体"/>
          <w:bCs/>
          <w:color w:val="auto"/>
          <w:szCs w:val="20"/>
          <w:highlight w:val="none"/>
          <w:lang w:val="zh-CN"/>
        </w:rPr>
        <w:fldChar w:fldCharType="separate"/>
      </w:r>
      <w:r>
        <w:rPr>
          <w:rFonts w:ascii="宋体" w:hAnsi="宋体"/>
          <w:snapToGrid w:val="0"/>
          <w:color w:val="auto"/>
          <w:szCs w:val="28"/>
          <w:highlight w:val="none"/>
        </w:rPr>
        <w:t>2.</w:t>
      </w:r>
      <w:r>
        <w:rPr>
          <w:rFonts w:hint="eastAsia" w:ascii="宋体" w:hAnsi="宋体"/>
          <w:snapToGrid w:val="0"/>
          <w:color w:val="auto"/>
          <w:szCs w:val="28"/>
          <w:highlight w:val="none"/>
        </w:rPr>
        <w:t xml:space="preserve"> </w:t>
      </w:r>
      <w:r>
        <w:rPr>
          <w:rFonts w:ascii="宋体" w:hAnsi="宋体"/>
          <w:snapToGrid w:val="0"/>
          <w:color w:val="auto"/>
          <w:szCs w:val="28"/>
          <w:highlight w:val="none"/>
        </w:rPr>
        <w:t xml:space="preserve"> 项目概况与招标范围</w:t>
      </w:r>
      <w:r>
        <w:rPr>
          <w:color w:val="auto"/>
          <w:highlight w:val="none"/>
        </w:rPr>
        <w:tab/>
      </w:r>
      <w:r>
        <w:rPr>
          <w:color w:val="auto"/>
          <w:highlight w:val="none"/>
        </w:rPr>
        <w:fldChar w:fldCharType="begin"/>
      </w:r>
      <w:r>
        <w:rPr>
          <w:color w:val="auto"/>
          <w:highlight w:val="none"/>
        </w:rPr>
        <w:instrText xml:space="preserve"> PAGEREF _Toc21028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color w:val="auto"/>
          <w:szCs w:val="20"/>
          <w:highlight w:val="none"/>
          <w:lang w:val="zh-CN"/>
        </w:rPr>
        <w:fldChar w:fldCharType="end"/>
      </w:r>
    </w:p>
    <w:p>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_Toc21053 </w:instrText>
      </w:r>
      <w:r>
        <w:rPr>
          <w:rFonts w:ascii="宋体" w:hAnsi="宋体"/>
          <w:bCs/>
          <w:color w:val="auto"/>
          <w:szCs w:val="20"/>
          <w:highlight w:val="none"/>
          <w:lang w:val="zh-CN"/>
        </w:rPr>
        <w:fldChar w:fldCharType="separate"/>
      </w:r>
      <w:r>
        <w:rPr>
          <w:rFonts w:ascii="宋体" w:hAnsi="宋体"/>
          <w:snapToGrid w:val="0"/>
          <w:color w:val="auto"/>
          <w:szCs w:val="28"/>
          <w:highlight w:val="none"/>
        </w:rPr>
        <w:t xml:space="preserve">3. </w:t>
      </w:r>
      <w:r>
        <w:rPr>
          <w:rFonts w:hint="eastAsia" w:ascii="宋体" w:hAnsi="宋体"/>
          <w:snapToGrid w:val="0"/>
          <w:color w:val="auto"/>
          <w:szCs w:val="28"/>
          <w:highlight w:val="none"/>
        </w:rPr>
        <w:t xml:space="preserve"> </w:t>
      </w:r>
      <w:r>
        <w:rPr>
          <w:rFonts w:hint="eastAsia" w:ascii="宋体" w:hAnsi="宋体"/>
          <w:snapToGrid w:val="0"/>
          <w:color w:val="auto"/>
          <w:szCs w:val="28"/>
          <w:highlight w:val="none"/>
          <w:lang w:eastAsia="zh-CN"/>
        </w:rPr>
        <w:t>竞选人</w:t>
      </w:r>
      <w:r>
        <w:rPr>
          <w:rFonts w:ascii="宋体" w:hAnsi="宋体"/>
          <w:snapToGrid w:val="0"/>
          <w:color w:val="auto"/>
          <w:szCs w:val="28"/>
          <w:highlight w:val="none"/>
        </w:rPr>
        <w:t>资格要求</w:t>
      </w:r>
      <w:r>
        <w:rPr>
          <w:color w:val="auto"/>
          <w:highlight w:val="none"/>
        </w:rPr>
        <w:tab/>
      </w:r>
      <w:r>
        <w:rPr>
          <w:color w:val="auto"/>
          <w:highlight w:val="none"/>
        </w:rPr>
        <w:fldChar w:fldCharType="begin"/>
      </w:r>
      <w:r>
        <w:rPr>
          <w:color w:val="auto"/>
          <w:highlight w:val="none"/>
        </w:rPr>
        <w:instrText xml:space="preserve"> PAGEREF _Toc21053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color w:val="auto"/>
          <w:szCs w:val="20"/>
          <w:highlight w:val="none"/>
          <w:lang w:val="zh-CN"/>
        </w:rPr>
        <w:fldChar w:fldCharType="end"/>
      </w:r>
    </w:p>
    <w:p>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_Toc12091 </w:instrText>
      </w:r>
      <w:r>
        <w:rPr>
          <w:rFonts w:ascii="宋体" w:hAnsi="宋体"/>
          <w:bCs/>
          <w:color w:val="auto"/>
          <w:szCs w:val="20"/>
          <w:highlight w:val="none"/>
          <w:lang w:val="zh-CN"/>
        </w:rPr>
        <w:fldChar w:fldCharType="separate"/>
      </w:r>
      <w:r>
        <w:rPr>
          <w:rFonts w:ascii="宋体" w:hAnsi="宋体"/>
          <w:snapToGrid w:val="0"/>
          <w:color w:val="auto"/>
          <w:szCs w:val="28"/>
          <w:highlight w:val="none"/>
        </w:rPr>
        <w:t xml:space="preserve">4. </w:t>
      </w:r>
      <w:r>
        <w:rPr>
          <w:rFonts w:hint="eastAsia" w:ascii="宋体" w:hAnsi="宋体"/>
          <w:snapToGrid w:val="0"/>
          <w:color w:val="auto"/>
          <w:szCs w:val="28"/>
          <w:highlight w:val="none"/>
        </w:rPr>
        <w:t xml:space="preserve"> </w:t>
      </w:r>
      <w:r>
        <w:rPr>
          <w:rFonts w:ascii="宋体" w:hAnsi="宋体"/>
          <w:snapToGrid w:val="0"/>
          <w:color w:val="auto"/>
          <w:szCs w:val="28"/>
          <w:highlight w:val="none"/>
        </w:rPr>
        <w:t>招标文件的获取</w:t>
      </w:r>
      <w:r>
        <w:rPr>
          <w:color w:val="auto"/>
          <w:highlight w:val="none"/>
        </w:rPr>
        <w:tab/>
      </w:r>
      <w:r>
        <w:rPr>
          <w:color w:val="auto"/>
          <w:highlight w:val="none"/>
        </w:rPr>
        <w:fldChar w:fldCharType="begin"/>
      </w:r>
      <w:r>
        <w:rPr>
          <w:color w:val="auto"/>
          <w:highlight w:val="none"/>
        </w:rPr>
        <w:instrText xml:space="preserve"> PAGEREF _Toc12091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color w:val="auto"/>
          <w:szCs w:val="20"/>
          <w:highlight w:val="none"/>
          <w:lang w:val="zh-CN"/>
        </w:rPr>
        <w:fldChar w:fldCharType="end"/>
      </w:r>
    </w:p>
    <w:p>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_Toc26385 </w:instrText>
      </w:r>
      <w:r>
        <w:rPr>
          <w:rFonts w:ascii="宋体" w:hAnsi="宋体"/>
          <w:bCs/>
          <w:color w:val="auto"/>
          <w:szCs w:val="20"/>
          <w:highlight w:val="none"/>
          <w:lang w:val="zh-CN"/>
        </w:rPr>
        <w:fldChar w:fldCharType="separate"/>
      </w:r>
      <w:r>
        <w:rPr>
          <w:rFonts w:ascii="宋体" w:hAnsi="宋体"/>
          <w:snapToGrid w:val="0"/>
          <w:color w:val="auto"/>
          <w:szCs w:val="28"/>
          <w:highlight w:val="none"/>
        </w:rPr>
        <w:t xml:space="preserve">5. </w:t>
      </w:r>
      <w:r>
        <w:rPr>
          <w:rFonts w:hint="eastAsia" w:ascii="宋体" w:hAnsi="宋体"/>
          <w:snapToGrid w:val="0"/>
          <w:color w:val="auto"/>
          <w:szCs w:val="28"/>
          <w:highlight w:val="none"/>
        </w:rPr>
        <w:t xml:space="preserve"> </w:t>
      </w:r>
      <w:r>
        <w:rPr>
          <w:rFonts w:hint="eastAsia" w:ascii="宋体" w:hAnsi="宋体"/>
          <w:snapToGrid w:val="0"/>
          <w:color w:val="auto"/>
          <w:szCs w:val="28"/>
          <w:highlight w:val="none"/>
          <w:lang w:eastAsia="zh-CN"/>
        </w:rPr>
        <w:t>竞选文件</w:t>
      </w:r>
      <w:r>
        <w:rPr>
          <w:rFonts w:ascii="宋体" w:hAnsi="宋体"/>
          <w:snapToGrid w:val="0"/>
          <w:color w:val="auto"/>
          <w:szCs w:val="28"/>
          <w:highlight w:val="none"/>
        </w:rPr>
        <w:t>的递交</w:t>
      </w:r>
      <w:r>
        <w:rPr>
          <w:color w:val="auto"/>
          <w:highlight w:val="none"/>
        </w:rPr>
        <w:tab/>
      </w:r>
      <w:r>
        <w:rPr>
          <w:color w:val="auto"/>
          <w:highlight w:val="none"/>
        </w:rPr>
        <w:fldChar w:fldCharType="begin"/>
      </w:r>
      <w:r>
        <w:rPr>
          <w:color w:val="auto"/>
          <w:highlight w:val="none"/>
        </w:rPr>
        <w:instrText xml:space="preserve"> PAGEREF _Toc26385 \h </w:instrText>
      </w:r>
      <w:r>
        <w:rPr>
          <w:color w:val="auto"/>
          <w:highlight w:val="none"/>
        </w:rPr>
        <w:fldChar w:fldCharType="separate"/>
      </w:r>
      <w:r>
        <w:rPr>
          <w:color w:val="auto"/>
          <w:highlight w:val="none"/>
        </w:rPr>
        <w:t>6</w:t>
      </w:r>
      <w:r>
        <w:rPr>
          <w:color w:val="auto"/>
          <w:highlight w:val="none"/>
        </w:rPr>
        <w:fldChar w:fldCharType="end"/>
      </w:r>
      <w:r>
        <w:rPr>
          <w:rFonts w:ascii="宋体" w:hAnsi="宋体"/>
          <w:bCs/>
          <w:color w:val="auto"/>
          <w:szCs w:val="20"/>
          <w:highlight w:val="none"/>
          <w:lang w:val="zh-CN"/>
        </w:rPr>
        <w:fldChar w:fldCharType="end"/>
      </w:r>
    </w:p>
    <w:p>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_Toc24328 </w:instrText>
      </w:r>
      <w:r>
        <w:rPr>
          <w:rFonts w:ascii="宋体" w:hAnsi="宋体"/>
          <w:bCs/>
          <w:color w:val="auto"/>
          <w:szCs w:val="20"/>
          <w:highlight w:val="none"/>
          <w:lang w:val="zh-CN"/>
        </w:rPr>
        <w:fldChar w:fldCharType="separate"/>
      </w:r>
      <w:r>
        <w:rPr>
          <w:rFonts w:ascii="宋体" w:hAnsi="宋体"/>
          <w:snapToGrid w:val="0"/>
          <w:color w:val="auto"/>
          <w:szCs w:val="28"/>
          <w:highlight w:val="none"/>
        </w:rPr>
        <w:t xml:space="preserve">6. </w:t>
      </w:r>
      <w:r>
        <w:rPr>
          <w:rFonts w:hint="eastAsia" w:ascii="宋体" w:hAnsi="宋体"/>
          <w:snapToGrid w:val="0"/>
          <w:color w:val="auto"/>
          <w:szCs w:val="28"/>
          <w:highlight w:val="none"/>
        </w:rPr>
        <w:t xml:space="preserve"> </w:t>
      </w:r>
      <w:r>
        <w:rPr>
          <w:rFonts w:ascii="宋体" w:hAnsi="宋体"/>
          <w:snapToGrid w:val="0"/>
          <w:color w:val="auto"/>
          <w:szCs w:val="28"/>
          <w:highlight w:val="none"/>
        </w:rPr>
        <w:t>发布公告的媒介</w:t>
      </w:r>
      <w:r>
        <w:rPr>
          <w:color w:val="auto"/>
          <w:highlight w:val="none"/>
        </w:rPr>
        <w:tab/>
      </w:r>
      <w:r>
        <w:rPr>
          <w:color w:val="auto"/>
          <w:highlight w:val="none"/>
        </w:rPr>
        <w:fldChar w:fldCharType="begin"/>
      </w:r>
      <w:r>
        <w:rPr>
          <w:color w:val="auto"/>
          <w:highlight w:val="none"/>
        </w:rPr>
        <w:instrText xml:space="preserve"> PAGEREF _Toc24328 \h </w:instrText>
      </w:r>
      <w:r>
        <w:rPr>
          <w:color w:val="auto"/>
          <w:highlight w:val="none"/>
        </w:rPr>
        <w:fldChar w:fldCharType="separate"/>
      </w:r>
      <w:r>
        <w:rPr>
          <w:color w:val="auto"/>
          <w:highlight w:val="none"/>
        </w:rPr>
        <w:t>6</w:t>
      </w:r>
      <w:r>
        <w:rPr>
          <w:color w:val="auto"/>
          <w:highlight w:val="none"/>
        </w:rPr>
        <w:fldChar w:fldCharType="end"/>
      </w:r>
      <w:r>
        <w:rPr>
          <w:rFonts w:ascii="宋体" w:hAnsi="宋体"/>
          <w:bCs/>
          <w:color w:val="auto"/>
          <w:szCs w:val="20"/>
          <w:highlight w:val="none"/>
          <w:lang w:val="zh-CN"/>
        </w:rPr>
        <w:fldChar w:fldCharType="end"/>
      </w:r>
    </w:p>
    <w:p>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_Toc13543 </w:instrText>
      </w:r>
      <w:r>
        <w:rPr>
          <w:rFonts w:ascii="宋体" w:hAnsi="宋体"/>
          <w:bCs/>
          <w:color w:val="auto"/>
          <w:szCs w:val="20"/>
          <w:highlight w:val="none"/>
          <w:lang w:val="zh-CN"/>
        </w:rPr>
        <w:fldChar w:fldCharType="separate"/>
      </w:r>
      <w:r>
        <w:rPr>
          <w:rFonts w:hint="eastAsia" w:ascii="宋体" w:hAnsi="宋体"/>
          <w:snapToGrid w:val="0"/>
          <w:color w:val="auto"/>
          <w:szCs w:val="28"/>
          <w:highlight w:val="none"/>
        </w:rPr>
        <w:t>7</w:t>
      </w:r>
      <w:r>
        <w:rPr>
          <w:rFonts w:ascii="宋体" w:hAnsi="宋体"/>
          <w:snapToGrid w:val="0"/>
          <w:color w:val="auto"/>
          <w:szCs w:val="28"/>
          <w:highlight w:val="none"/>
        </w:rPr>
        <w:t xml:space="preserve">. </w:t>
      </w:r>
      <w:r>
        <w:rPr>
          <w:rFonts w:hint="eastAsia" w:ascii="宋体" w:hAnsi="宋体"/>
          <w:snapToGrid w:val="0"/>
          <w:color w:val="auto"/>
          <w:szCs w:val="28"/>
          <w:highlight w:val="none"/>
        </w:rPr>
        <w:t xml:space="preserve"> </w:t>
      </w:r>
      <w:r>
        <w:rPr>
          <w:rFonts w:ascii="宋体" w:hAnsi="宋体"/>
          <w:snapToGrid w:val="0"/>
          <w:color w:val="auto"/>
          <w:szCs w:val="28"/>
          <w:highlight w:val="none"/>
        </w:rPr>
        <w:t>联系方式</w:t>
      </w:r>
      <w:r>
        <w:rPr>
          <w:color w:val="auto"/>
          <w:highlight w:val="none"/>
        </w:rPr>
        <w:tab/>
      </w:r>
      <w:r>
        <w:rPr>
          <w:color w:val="auto"/>
          <w:highlight w:val="none"/>
        </w:rPr>
        <w:fldChar w:fldCharType="begin"/>
      </w:r>
      <w:r>
        <w:rPr>
          <w:color w:val="auto"/>
          <w:highlight w:val="none"/>
        </w:rPr>
        <w:instrText xml:space="preserve"> PAGEREF _Toc13543 \h </w:instrText>
      </w:r>
      <w:r>
        <w:rPr>
          <w:color w:val="auto"/>
          <w:highlight w:val="none"/>
        </w:rPr>
        <w:fldChar w:fldCharType="separate"/>
      </w:r>
      <w:r>
        <w:rPr>
          <w:color w:val="auto"/>
          <w:highlight w:val="none"/>
        </w:rPr>
        <w:t>6</w:t>
      </w:r>
      <w:r>
        <w:rPr>
          <w:color w:val="auto"/>
          <w:highlight w:val="none"/>
        </w:rPr>
        <w:fldChar w:fldCharType="end"/>
      </w:r>
      <w:r>
        <w:rPr>
          <w:rFonts w:ascii="宋体" w:hAnsi="宋体"/>
          <w:bCs/>
          <w:color w:val="auto"/>
          <w:szCs w:val="20"/>
          <w:highlight w:val="none"/>
          <w:lang w:val="zh-CN"/>
        </w:rPr>
        <w:fldChar w:fldCharType="end"/>
      </w:r>
    </w:p>
    <w:p>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_Toc25966 </w:instrText>
      </w:r>
      <w:r>
        <w:rPr>
          <w:rFonts w:ascii="宋体" w:hAnsi="宋体"/>
          <w:bCs/>
          <w:color w:val="auto"/>
          <w:szCs w:val="20"/>
          <w:highlight w:val="none"/>
          <w:lang w:val="zh-CN"/>
        </w:rPr>
        <w:fldChar w:fldCharType="separate"/>
      </w:r>
      <w:r>
        <w:rPr>
          <w:rFonts w:ascii="宋体" w:hAnsi="宋体"/>
          <w:snapToGrid w:val="0"/>
          <w:color w:val="auto"/>
          <w:kern w:val="0"/>
          <w:highlight w:val="none"/>
        </w:rPr>
        <w:t xml:space="preserve">第二章  </w:t>
      </w:r>
      <w:r>
        <w:rPr>
          <w:rFonts w:hint="eastAsia" w:ascii="宋体" w:hAnsi="宋体"/>
          <w:snapToGrid w:val="0"/>
          <w:color w:val="auto"/>
          <w:kern w:val="0"/>
          <w:highlight w:val="none"/>
          <w:lang w:eastAsia="zh-CN"/>
        </w:rPr>
        <w:t>竞选人</w:t>
      </w:r>
      <w:r>
        <w:rPr>
          <w:rFonts w:ascii="宋体" w:hAnsi="宋体"/>
          <w:snapToGrid w:val="0"/>
          <w:color w:val="auto"/>
          <w:kern w:val="0"/>
          <w:highlight w:val="none"/>
        </w:rPr>
        <w:t>须知</w:t>
      </w:r>
      <w:r>
        <w:rPr>
          <w:color w:val="auto"/>
          <w:highlight w:val="none"/>
        </w:rPr>
        <w:tab/>
      </w:r>
      <w:r>
        <w:rPr>
          <w:color w:val="auto"/>
          <w:highlight w:val="none"/>
        </w:rPr>
        <w:fldChar w:fldCharType="begin"/>
      </w:r>
      <w:r>
        <w:rPr>
          <w:color w:val="auto"/>
          <w:highlight w:val="none"/>
        </w:rPr>
        <w:instrText xml:space="preserve"> PAGEREF _Toc25966 \h </w:instrText>
      </w:r>
      <w:r>
        <w:rPr>
          <w:color w:val="auto"/>
          <w:highlight w:val="none"/>
        </w:rPr>
        <w:fldChar w:fldCharType="separate"/>
      </w:r>
      <w:r>
        <w:rPr>
          <w:color w:val="auto"/>
          <w:highlight w:val="none"/>
        </w:rPr>
        <w:t>7</w:t>
      </w:r>
      <w:r>
        <w:rPr>
          <w:color w:val="auto"/>
          <w:highlight w:val="none"/>
        </w:rPr>
        <w:fldChar w:fldCharType="end"/>
      </w:r>
      <w:r>
        <w:rPr>
          <w:rFonts w:ascii="宋体" w:hAnsi="宋体"/>
          <w:bCs/>
          <w:color w:val="auto"/>
          <w:szCs w:val="20"/>
          <w:highlight w:val="none"/>
          <w:lang w:val="zh-CN"/>
        </w:rPr>
        <w:fldChar w:fldCharType="end"/>
      </w:r>
    </w:p>
    <w:p>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_Toc15135 </w:instrText>
      </w:r>
      <w:r>
        <w:rPr>
          <w:rFonts w:ascii="宋体" w:hAnsi="宋体"/>
          <w:bCs/>
          <w:color w:val="auto"/>
          <w:szCs w:val="20"/>
          <w:highlight w:val="none"/>
          <w:lang w:val="zh-CN"/>
        </w:rPr>
        <w:fldChar w:fldCharType="separate"/>
      </w:r>
      <w:r>
        <w:rPr>
          <w:rFonts w:hint="eastAsia" w:ascii="宋体" w:hAnsi="宋体"/>
          <w:color w:val="auto"/>
          <w:highlight w:val="none"/>
          <w:lang w:eastAsia="zh-CN"/>
        </w:rPr>
        <w:t>竞选人</w:t>
      </w:r>
      <w:r>
        <w:rPr>
          <w:rFonts w:hint="eastAsia" w:ascii="宋体" w:hAnsi="宋体"/>
          <w:color w:val="auto"/>
          <w:highlight w:val="none"/>
        </w:rPr>
        <w:t>须知前附表</w:t>
      </w:r>
      <w:r>
        <w:rPr>
          <w:color w:val="auto"/>
          <w:highlight w:val="none"/>
        </w:rPr>
        <w:tab/>
      </w:r>
      <w:r>
        <w:rPr>
          <w:color w:val="auto"/>
          <w:highlight w:val="none"/>
        </w:rPr>
        <w:fldChar w:fldCharType="begin"/>
      </w:r>
      <w:r>
        <w:rPr>
          <w:color w:val="auto"/>
          <w:highlight w:val="none"/>
        </w:rPr>
        <w:instrText xml:space="preserve"> PAGEREF _Toc15135 \h </w:instrText>
      </w:r>
      <w:r>
        <w:rPr>
          <w:color w:val="auto"/>
          <w:highlight w:val="none"/>
        </w:rPr>
        <w:fldChar w:fldCharType="separate"/>
      </w:r>
      <w:r>
        <w:rPr>
          <w:color w:val="auto"/>
          <w:highlight w:val="none"/>
        </w:rPr>
        <w:t>7</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_Toc19245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1.总则</w:t>
      </w:r>
      <w:r>
        <w:rPr>
          <w:color w:val="auto"/>
          <w:highlight w:val="none"/>
        </w:rPr>
        <w:tab/>
      </w:r>
      <w:r>
        <w:rPr>
          <w:color w:val="auto"/>
          <w:highlight w:val="none"/>
        </w:rPr>
        <w:fldChar w:fldCharType="begin"/>
      </w:r>
      <w:r>
        <w:rPr>
          <w:color w:val="auto"/>
          <w:highlight w:val="none"/>
        </w:rPr>
        <w:instrText xml:space="preserve"> PAGEREF _Toc19245 \h </w:instrText>
      </w:r>
      <w:r>
        <w:rPr>
          <w:color w:val="auto"/>
          <w:highlight w:val="none"/>
        </w:rPr>
        <w:fldChar w:fldCharType="separate"/>
      </w:r>
      <w:r>
        <w:rPr>
          <w:color w:val="auto"/>
          <w:highlight w:val="none"/>
        </w:rPr>
        <w:t>22</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_Toc21199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1.1 项目概况</w:t>
      </w:r>
      <w:r>
        <w:rPr>
          <w:color w:val="auto"/>
          <w:highlight w:val="none"/>
        </w:rPr>
        <w:tab/>
      </w:r>
      <w:r>
        <w:rPr>
          <w:color w:val="auto"/>
          <w:highlight w:val="none"/>
        </w:rPr>
        <w:fldChar w:fldCharType="begin"/>
      </w:r>
      <w:r>
        <w:rPr>
          <w:color w:val="auto"/>
          <w:highlight w:val="none"/>
        </w:rPr>
        <w:instrText xml:space="preserve"> PAGEREF _Toc21199 \h </w:instrText>
      </w:r>
      <w:r>
        <w:rPr>
          <w:color w:val="auto"/>
          <w:highlight w:val="none"/>
        </w:rPr>
        <w:fldChar w:fldCharType="separate"/>
      </w:r>
      <w:r>
        <w:rPr>
          <w:color w:val="auto"/>
          <w:highlight w:val="none"/>
        </w:rPr>
        <w:t>22</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_Toc4852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1.2 资金来源和落实情况</w:t>
      </w:r>
      <w:r>
        <w:rPr>
          <w:color w:val="auto"/>
          <w:highlight w:val="none"/>
        </w:rPr>
        <w:tab/>
      </w:r>
      <w:r>
        <w:rPr>
          <w:color w:val="auto"/>
          <w:highlight w:val="none"/>
        </w:rPr>
        <w:fldChar w:fldCharType="begin"/>
      </w:r>
      <w:r>
        <w:rPr>
          <w:color w:val="auto"/>
          <w:highlight w:val="none"/>
        </w:rPr>
        <w:instrText xml:space="preserve"> PAGEREF _Toc4852 \h </w:instrText>
      </w:r>
      <w:r>
        <w:rPr>
          <w:color w:val="auto"/>
          <w:highlight w:val="none"/>
        </w:rPr>
        <w:fldChar w:fldCharType="separate"/>
      </w:r>
      <w:r>
        <w:rPr>
          <w:color w:val="auto"/>
          <w:highlight w:val="none"/>
        </w:rPr>
        <w:t>22</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_Toc4633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1.3 比选范围、计划工期和质量要求</w:t>
      </w:r>
      <w:r>
        <w:rPr>
          <w:color w:val="auto"/>
          <w:highlight w:val="none"/>
        </w:rPr>
        <w:tab/>
      </w:r>
      <w:r>
        <w:rPr>
          <w:color w:val="auto"/>
          <w:highlight w:val="none"/>
        </w:rPr>
        <w:fldChar w:fldCharType="begin"/>
      </w:r>
      <w:r>
        <w:rPr>
          <w:color w:val="auto"/>
          <w:highlight w:val="none"/>
        </w:rPr>
        <w:instrText xml:space="preserve"> PAGEREF _Toc4633 \h </w:instrText>
      </w:r>
      <w:r>
        <w:rPr>
          <w:color w:val="auto"/>
          <w:highlight w:val="none"/>
        </w:rPr>
        <w:fldChar w:fldCharType="separate"/>
      </w:r>
      <w:r>
        <w:rPr>
          <w:color w:val="auto"/>
          <w:highlight w:val="none"/>
        </w:rPr>
        <w:t>22</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_Toc18399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 xml:space="preserve">1.4 </w:t>
      </w:r>
      <w:r>
        <w:rPr>
          <w:rFonts w:hint="eastAsia" w:ascii="宋体" w:hAnsi="宋体" w:eastAsia="宋体" w:cs="宋体"/>
          <w:color w:val="auto"/>
          <w:szCs w:val="21"/>
          <w:highlight w:val="none"/>
          <w:lang w:eastAsia="zh-CN"/>
        </w:rPr>
        <w:t>投标人资格要求</w:t>
      </w:r>
      <w:r>
        <w:rPr>
          <w:color w:val="auto"/>
          <w:highlight w:val="none"/>
        </w:rPr>
        <w:tab/>
      </w:r>
      <w:r>
        <w:rPr>
          <w:color w:val="auto"/>
          <w:highlight w:val="none"/>
        </w:rPr>
        <w:fldChar w:fldCharType="begin"/>
      </w:r>
      <w:r>
        <w:rPr>
          <w:color w:val="auto"/>
          <w:highlight w:val="none"/>
        </w:rPr>
        <w:instrText xml:space="preserve"> PAGEREF _Toc18399 \h </w:instrText>
      </w:r>
      <w:r>
        <w:rPr>
          <w:color w:val="auto"/>
          <w:highlight w:val="none"/>
        </w:rPr>
        <w:fldChar w:fldCharType="separate"/>
      </w:r>
      <w:r>
        <w:rPr>
          <w:color w:val="auto"/>
          <w:highlight w:val="none"/>
        </w:rPr>
        <w:t>22</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_Toc30494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1.5 费用承担</w:t>
      </w:r>
      <w:r>
        <w:rPr>
          <w:color w:val="auto"/>
          <w:highlight w:val="none"/>
        </w:rPr>
        <w:tab/>
      </w:r>
      <w:r>
        <w:rPr>
          <w:color w:val="auto"/>
          <w:highlight w:val="none"/>
        </w:rPr>
        <w:fldChar w:fldCharType="begin"/>
      </w:r>
      <w:r>
        <w:rPr>
          <w:color w:val="auto"/>
          <w:highlight w:val="none"/>
        </w:rPr>
        <w:instrText xml:space="preserve"> PAGEREF _Toc30494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_Toc31005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1.6 保密</w:t>
      </w:r>
      <w:r>
        <w:rPr>
          <w:color w:val="auto"/>
          <w:highlight w:val="none"/>
        </w:rPr>
        <w:tab/>
      </w:r>
      <w:r>
        <w:rPr>
          <w:color w:val="auto"/>
          <w:highlight w:val="none"/>
        </w:rPr>
        <w:fldChar w:fldCharType="begin"/>
      </w:r>
      <w:r>
        <w:rPr>
          <w:color w:val="auto"/>
          <w:highlight w:val="none"/>
        </w:rPr>
        <w:instrText xml:space="preserve"> PAGEREF _Toc31005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_Toc32669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1.7 语言文字</w:t>
      </w:r>
      <w:r>
        <w:rPr>
          <w:color w:val="auto"/>
          <w:highlight w:val="none"/>
        </w:rPr>
        <w:tab/>
      </w:r>
      <w:r>
        <w:rPr>
          <w:color w:val="auto"/>
          <w:highlight w:val="none"/>
        </w:rPr>
        <w:fldChar w:fldCharType="begin"/>
      </w:r>
      <w:r>
        <w:rPr>
          <w:color w:val="auto"/>
          <w:highlight w:val="none"/>
        </w:rPr>
        <w:instrText xml:space="preserve"> PAGEREF _Toc32669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_Toc21395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1.8 计量单位</w:t>
      </w:r>
      <w:r>
        <w:rPr>
          <w:color w:val="auto"/>
          <w:highlight w:val="none"/>
        </w:rPr>
        <w:tab/>
      </w:r>
      <w:r>
        <w:rPr>
          <w:color w:val="auto"/>
          <w:highlight w:val="none"/>
        </w:rPr>
        <w:fldChar w:fldCharType="begin"/>
      </w:r>
      <w:r>
        <w:rPr>
          <w:color w:val="auto"/>
          <w:highlight w:val="none"/>
        </w:rPr>
        <w:instrText xml:space="preserve"> PAGEREF _Toc21395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_Toc14978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1.9 踏勘现场</w:t>
      </w:r>
      <w:r>
        <w:rPr>
          <w:color w:val="auto"/>
          <w:highlight w:val="none"/>
        </w:rPr>
        <w:tab/>
      </w:r>
      <w:r>
        <w:rPr>
          <w:color w:val="auto"/>
          <w:highlight w:val="none"/>
        </w:rPr>
        <w:fldChar w:fldCharType="begin"/>
      </w:r>
      <w:r>
        <w:rPr>
          <w:color w:val="auto"/>
          <w:highlight w:val="none"/>
        </w:rPr>
        <w:instrText xml:space="preserve"> PAGEREF _Toc14978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_Toc20910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1.10 比选预备会</w:t>
      </w:r>
      <w:r>
        <w:rPr>
          <w:color w:val="auto"/>
          <w:highlight w:val="none"/>
        </w:rPr>
        <w:tab/>
      </w:r>
      <w:r>
        <w:rPr>
          <w:color w:val="auto"/>
          <w:highlight w:val="none"/>
        </w:rPr>
        <w:fldChar w:fldCharType="begin"/>
      </w:r>
      <w:r>
        <w:rPr>
          <w:color w:val="auto"/>
          <w:highlight w:val="none"/>
        </w:rPr>
        <w:instrText xml:space="preserve"> PAGEREF _Toc20910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_Toc2799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1.11 分包</w:t>
      </w:r>
      <w:r>
        <w:rPr>
          <w:color w:val="auto"/>
          <w:highlight w:val="none"/>
        </w:rPr>
        <w:tab/>
      </w:r>
      <w:r>
        <w:rPr>
          <w:color w:val="auto"/>
          <w:highlight w:val="none"/>
        </w:rPr>
        <w:fldChar w:fldCharType="begin"/>
      </w:r>
      <w:r>
        <w:rPr>
          <w:color w:val="auto"/>
          <w:highlight w:val="none"/>
        </w:rPr>
        <w:instrText xml:space="preserve"> PAGEREF _Toc2799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_Toc31437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2.比选文件</w:t>
      </w:r>
      <w:r>
        <w:rPr>
          <w:color w:val="auto"/>
          <w:highlight w:val="none"/>
        </w:rPr>
        <w:tab/>
      </w:r>
      <w:r>
        <w:rPr>
          <w:color w:val="auto"/>
          <w:highlight w:val="none"/>
        </w:rPr>
        <w:fldChar w:fldCharType="begin"/>
      </w:r>
      <w:r>
        <w:rPr>
          <w:color w:val="auto"/>
          <w:highlight w:val="none"/>
        </w:rPr>
        <w:instrText xml:space="preserve"> PAGEREF _Toc31437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_Toc20611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2.1比选文件的组成</w:t>
      </w:r>
      <w:r>
        <w:rPr>
          <w:color w:val="auto"/>
          <w:highlight w:val="none"/>
        </w:rPr>
        <w:tab/>
      </w:r>
      <w:r>
        <w:rPr>
          <w:color w:val="auto"/>
          <w:highlight w:val="none"/>
        </w:rPr>
        <w:fldChar w:fldCharType="begin"/>
      </w:r>
      <w:r>
        <w:rPr>
          <w:color w:val="auto"/>
          <w:highlight w:val="none"/>
        </w:rPr>
        <w:instrText xml:space="preserve"> PAGEREF _Toc20611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_Toc14050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2.2比选文件的澄清</w:t>
      </w:r>
      <w:r>
        <w:rPr>
          <w:color w:val="auto"/>
          <w:highlight w:val="none"/>
        </w:rPr>
        <w:tab/>
      </w:r>
      <w:r>
        <w:rPr>
          <w:color w:val="auto"/>
          <w:highlight w:val="none"/>
        </w:rPr>
        <w:fldChar w:fldCharType="begin"/>
      </w:r>
      <w:r>
        <w:rPr>
          <w:color w:val="auto"/>
          <w:highlight w:val="none"/>
        </w:rPr>
        <w:instrText xml:space="preserve"> PAGEREF _Toc14050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_Toc1775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2.3比选文件的修改</w:t>
      </w:r>
      <w:r>
        <w:rPr>
          <w:color w:val="auto"/>
          <w:highlight w:val="none"/>
        </w:rPr>
        <w:tab/>
      </w:r>
      <w:r>
        <w:rPr>
          <w:color w:val="auto"/>
          <w:highlight w:val="none"/>
        </w:rPr>
        <w:fldChar w:fldCharType="begin"/>
      </w:r>
      <w:r>
        <w:rPr>
          <w:color w:val="auto"/>
          <w:highlight w:val="none"/>
        </w:rPr>
        <w:instrText xml:space="preserve"> PAGEREF _Toc1775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_Toc8256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w:t>
      </w:r>
      <w:r>
        <w:rPr>
          <w:color w:val="auto"/>
          <w:highlight w:val="none"/>
        </w:rPr>
        <w:tab/>
      </w:r>
      <w:r>
        <w:rPr>
          <w:color w:val="auto"/>
          <w:highlight w:val="none"/>
        </w:rPr>
        <w:fldChar w:fldCharType="begin"/>
      </w:r>
      <w:r>
        <w:rPr>
          <w:color w:val="auto"/>
          <w:highlight w:val="none"/>
        </w:rPr>
        <w:instrText xml:space="preserve"> PAGEREF _Toc8256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_Toc16149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文件的组成</w:t>
      </w:r>
      <w:r>
        <w:rPr>
          <w:color w:val="auto"/>
          <w:highlight w:val="none"/>
        </w:rPr>
        <w:tab/>
      </w:r>
      <w:r>
        <w:rPr>
          <w:color w:val="auto"/>
          <w:highlight w:val="none"/>
        </w:rPr>
        <w:fldChar w:fldCharType="begin"/>
      </w:r>
      <w:r>
        <w:rPr>
          <w:color w:val="auto"/>
          <w:highlight w:val="none"/>
        </w:rPr>
        <w:instrText xml:space="preserve"> PAGEREF _Toc16149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_Toc19630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en-US" w:eastAsia="zh-CN"/>
        </w:rPr>
        <w:t xml:space="preserve"> 比选</w:t>
      </w:r>
      <w:r>
        <w:rPr>
          <w:rFonts w:hint="eastAsia" w:ascii="宋体" w:hAnsi="宋体" w:eastAsia="宋体" w:cs="宋体"/>
          <w:color w:val="auto"/>
          <w:szCs w:val="21"/>
          <w:highlight w:val="none"/>
        </w:rPr>
        <w:t>报价</w:t>
      </w:r>
      <w:r>
        <w:rPr>
          <w:color w:val="auto"/>
          <w:highlight w:val="none"/>
        </w:rPr>
        <w:tab/>
      </w:r>
      <w:r>
        <w:rPr>
          <w:color w:val="auto"/>
          <w:highlight w:val="none"/>
        </w:rPr>
        <w:fldChar w:fldCharType="begin"/>
      </w:r>
      <w:r>
        <w:rPr>
          <w:color w:val="auto"/>
          <w:highlight w:val="none"/>
        </w:rPr>
        <w:instrText xml:space="preserve"> PAGEREF _Toc19630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_Toc9800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lang w:val="en-US" w:eastAsia="zh-CN"/>
        </w:rPr>
        <w:t>3.3  投标有效期</w:t>
      </w:r>
      <w:r>
        <w:rPr>
          <w:color w:val="auto"/>
          <w:highlight w:val="none"/>
        </w:rPr>
        <w:tab/>
      </w:r>
      <w:r>
        <w:rPr>
          <w:color w:val="auto"/>
          <w:highlight w:val="none"/>
        </w:rPr>
        <w:fldChar w:fldCharType="begin"/>
      </w:r>
      <w:r>
        <w:rPr>
          <w:color w:val="auto"/>
          <w:highlight w:val="none"/>
        </w:rPr>
        <w:instrText xml:space="preserve"> PAGEREF _Toc9800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_Toc4150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3.4 比选保证金</w:t>
      </w:r>
      <w:r>
        <w:rPr>
          <w:color w:val="auto"/>
          <w:highlight w:val="none"/>
        </w:rPr>
        <w:tab/>
      </w:r>
      <w:r>
        <w:rPr>
          <w:color w:val="auto"/>
          <w:highlight w:val="none"/>
        </w:rPr>
        <w:fldChar w:fldCharType="begin"/>
      </w:r>
      <w:r>
        <w:rPr>
          <w:color w:val="auto"/>
          <w:highlight w:val="none"/>
        </w:rPr>
        <w:instrText xml:space="preserve"> PAGEREF _Toc4150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_Toc13417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3.5 资格审查资料</w:t>
      </w:r>
      <w:r>
        <w:rPr>
          <w:color w:val="auto"/>
          <w:highlight w:val="none"/>
        </w:rPr>
        <w:tab/>
      </w:r>
      <w:r>
        <w:rPr>
          <w:color w:val="auto"/>
          <w:highlight w:val="none"/>
        </w:rPr>
        <w:fldChar w:fldCharType="begin"/>
      </w:r>
      <w:r>
        <w:rPr>
          <w:color w:val="auto"/>
          <w:highlight w:val="none"/>
        </w:rPr>
        <w:instrText xml:space="preserve"> PAGEREF _Toc13417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_Toc3913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 xml:space="preserve">4. </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文件的递交等</w:t>
      </w:r>
      <w:r>
        <w:rPr>
          <w:color w:val="auto"/>
          <w:highlight w:val="none"/>
        </w:rPr>
        <w:tab/>
      </w:r>
      <w:r>
        <w:rPr>
          <w:color w:val="auto"/>
          <w:highlight w:val="none"/>
        </w:rPr>
        <w:fldChar w:fldCharType="begin"/>
      </w:r>
      <w:r>
        <w:rPr>
          <w:color w:val="auto"/>
          <w:highlight w:val="none"/>
        </w:rPr>
        <w:instrText xml:space="preserve"> PAGEREF _Toc3913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_Toc8171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 xml:space="preserve">4.1 </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文件的密封和标记</w:t>
      </w:r>
      <w:r>
        <w:rPr>
          <w:color w:val="auto"/>
          <w:highlight w:val="none"/>
        </w:rPr>
        <w:tab/>
      </w:r>
      <w:r>
        <w:rPr>
          <w:color w:val="auto"/>
          <w:highlight w:val="none"/>
        </w:rPr>
        <w:fldChar w:fldCharType="begin"/>
      </w:r>
      <w:r>
        <w:rPr>
          <w:color w:val="auto"/>
          <w:highlight w:val="none"/>
        </w:rPr>
        <w:instrText xml:space="preserve"> PAGEREF _Toc8171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_Toc25394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 xml:space="preserve">4.2 </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文件的递交</w:t>
      </w:r>
      <w:r>
        <w:rPr>
          <w:color w:val="auto"/>
          <w:highlight w:val="none"/>
        </w:rPr>
        <w:tab/>
      </w:r>
      <w:r>
        <w:rPr>
          <w:color w:val="auto"/>
          <w:highlight w:val="none"/>
        </w:rPr>
        <w:fldChar w:fldCharType="begin"/>
      </w:r>
      <w:r>
        <w:rPr>
          <w:color w:val="auto"/>
          <w:highlight w:val="none"/>
        </w:rPr>
        <w:instrText xml:space="preserve"> PAGEREF _Toc25394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_Toc28425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 xml:space="preserve">4.3 </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文件的修改与撤回</w:t>
      </w:r>
      <w:r>
        <w:rPr>
          <w:color w:val="auto"/>
          <w:highlight w:val="none"/>
        </w:rPr>
        <w:tab/>
      </w:r>
      <w:r>
        <w:rPr>
          <w:color w:val="auto"/>
          <w:highlight w:val="none"/>
        </w:rPr>
        <w:fldChar w:fldCharType="begin"/>
      </w:r>
      <w:r>
        <w:rPr>
          <w:color w:val="auto"/>
          <w:highlight w:val="none"/>
        </w:rPr>
        <w:instrText xml:space="preserve"> PAGEREF _Toc28425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_Toc27372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5. 比选</w:t>
      </w:r>
      <w:r>
        <w:rPr>
          <w:color w:val="auto"/>
          <w:highlight w:val="none"/>
        </w:rPr>
        <w:tab/>
      </w:r>
      <w:r>
        <w:rPr>
          <w:color w:val="auto"/>
          <w:highlight w:val="none"/>
        </w:rPr>
        <w:fldChar w:fldCharType="begin"/>
      </w:r>
      <w:r>
        <w:rPr>
          <w:color w:val="auto"/>
          <w:highlight w:val="none"/>
        </w:rPr>
        <w:instrText xml:space="preserve"> PAGEREF _Toc27372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_Toc30652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5.1 比选时间和地点</w:t>
      </w:r>
      <w:r>
        <w:rPr>
          <w:color w:val="auto"/>
          <w:highlight w:val="none"/>
        </w:rPr>
        <w:tab/>
      </w:r>
      <w:r>
        <w:rPr>
          <w:color w:val="auto"/>
          <w:highlight w:val="none"/>
        </w:rPr>
        <w:fldChar w:fldCharType="begin"/>
      </w:r>
      <w:r>
        <w:rPr>
          <w:color w:val="auto"/>
          <w:highlight w:val="none"/>
        </w:rPr>
        <w:instrText xml:space="preserve"> PAGEREF _Toc30652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_Toc29652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5.2 比选程序</w:t>
      </w:r>
      <w:r>
        <w:rPr>
          <w:color w:val="auto"/>
          <w:highlight w:val="none"/>
        </w:rPr>
        <w:tab/>
      </w:r>
      <w:r>
        <w:rPr>
          <w:color w:val="auto"/>
          <w:highlight w:val="none"/>
        </w:rPr>
        <w:fldChar w:fldCharType="begin"/>
      </w:r>
      <w:r>
        <w:rPr>
          <w:color w:val="auto"/>
          <w:highlight w:val="none"/>
        </w:rPr>
        <w:instrText xml:space="preserve"> PAGEREF _Toc29652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_Toc27684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6. 评审</w:t>
      </w:r>
      <w:r>
        <w:rPr>
          <w:color w:val="auto"/>
          <w:highlight w:val="none"/>
        </w:rPr>
        <w:tab/>
      </w:r>
      <w:r>
        <w:rPr>
          <w:color w:val="auto"/>
          <w:highlight w:val="none"/>
        </w:rPr>
        <w:fldChar w:fldCharType="begin"/>
      </w:r>
      <w:r>
        <w:rPr>
          <w:color w:val="auto"/>
          <w:highlight w:val="none"/>
        </w:rPr>
        <w:instrText xml:space="preserve"> PAGEREF _Toc27684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_Toc215 </w:instrText>
      </w:r>
      <w:r>
        <w:rPr>
          <w:rFonts w:ascii="宋体" w:hAnsi="宋体"/>
          <w:bCs/>
          <w:color w:val="auto"/>
          <w:szCs w:val="20"/>
          <w:highlight w:val="none"/>
          <w:lang w:val="zh-CN"/>
        </w:rPr>
        <w:fldChar w:fldCharType="separate"/>
      </w:r>
      <w:r>
        <w:rPr>
          <w:rFonts w:hint="eastAsia" w:ascii="宋体" w:hAnsi="宋体" w:eastAsia="宋体" w:cs="宋体"/>
          <w:bCs/>
          <w:snapToGrid w:val="0"/>
          <w:color w:val="auto"/>
          <w:kern w:val="2"/>
          <w:szCs w:val="21"/>
          <w:highlight w:val="none"/>
          <w:lang w:val="en-US" w:eastAsia="zh-CN" w:bidi="ar-SA"/>
        </w:rPr>
        <w:t>6.1  评标委员会</w:t>
      </w:r>
      <w:r>
        <w:rPr>
          <w:color w:val="auto"/>
          <w:highlight w:val="none"/>
        </w:rPr>
        <w:tab/>
      </w:r>
      <w:r>
        <w:rPr>
          <w:color w:val="auto"/>
          <w:highlight w:val="none"/>
        </w:rPr>
        <w:fldChar w:fldCharType="begin"/>
      </w:r>
      <w:r>
        <w:rPr>
          <w:color w:val="auto"/>
          <w:highlight w:val="none"/>
        </w:rPr>
        <w:instrText xml:space="preserve"> PAGEREF _Toc215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_Toc16266 </w:instrText>
      </w:r>
      <w:r>
        <w:rPr>
          <w:rFonts w:ascii="宋体" w:hAnsi="宋体"/>
          <w:bCs/>
          <w:color w:val="auto"/>
          <w:szCs w:val="20"/>
          <w:highlight w:val="none"/>
          <w:lang w:val="zh-CN"/>
        </w:rPr>
        <w:fldChar w:fldCharType="separate"/>
      </w:r>
      <w:r>
        <w:rPr>
          <w:rFonts w:hint="eastAsia" w:ascii="宋体" w:hAnsi="宋体" w:eastAsia="宋体" w:cs="宋体"/>
          <w:snapToGrid w:val="0"/>
          <w:color w:val="auto"/>
          <w:kern w:val="0"/>
          <w:szCs w:val="21"/>
          <w:highlight w:val="none"/>
        </w:rPr>
        <w:t>（1）投标人或投标人的主要负责人的近亲属；</w:t>
      </w:r>
      <w:r>
        <w:rPr>
          <w:color w:val="auto"/>
          <w:highlight w:val="none"/>
        </w:rPr>
        <w:tab/>
      </w:r>
      <w:r>
        <w:rPr>
          <w:color w:val="auto"/>
          <w:highlight w:val="none"/>
        </w:rPr>
        <w:fldChar w:fldCharType="begin"/>
      </w:r>
      <w:r>
        <w:rPr>
          <w:color w:val="auto"/>
          <w:highlight w:val="none"/>
        </w:rPr>
        <w:instrText xml:space="preserve"> PAGEREF _Toc16266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_Toc27646 </w:instrText>
      </w:r>
      <w:r>
        <w:rPr>
          <w:rFonts w:ascii="宋体" w:hAnsi="宋体"/>
          <w:bCs/>
          <w:color w:val="auto"/>
          <w:szCs w:val="20"/>
          <w:highlight w:val="none"/>
          <w:lang w:val="zh-CN"/>
        </w:rPr>
        <w:fldChar w:fldCharType="separate"/>
      </w:r>
      <w:r>
        <w:rPr>
          <w:rFonts w:hint="eastAsia" w:ascii="宋体" w:hAnsi="宋体" w:eastAsia="宋体" w:cs="宋体"/>
          <w:snapToGrid w:val="0"/>
          <w:color w:val="auto"/>
          <w:kern w:val="0"/>
          <w:szCs w:val="21"/>
          <w:highlight w:val="none"/>
        </w:rPr>
        <w:t>（2）项目主管部门或者项目行政监督部门的人员；</w:t>
      </w:r>
      <w:r>
        <w:rPr>
          <w:color w:val="auto"/>
          <w:highlight w:val="none"/>
        </w:rPr>
        <w:tab/>
      </w:r>
      <w:r>
        <w:rPr>
          <w:color w:val="auto"/>
          <w:highlight w:val="none"/>
        </w:rPr>
        <w:fldChar w:fldCharType="begin"/>
      </w:r>
      <w:r>
        <w:rPr>
          <w:color w:val="auto"/>
          <w:highlight w:val="none"/>
        </w:rPr>
        <w:instrText xml:space="preserve"> PAGEREF _Toc27646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_Toc20518 </w:instrText>
      </w:r>
      <w:r>
        <w:rPr>
          <w:rFonts w:ascii="宋体" w:hAnsi="宋体"/>
          <w:bCs/>
          <w:color w:val="auto"/>
          <w:szCs w:val="20"/>
          <w:highlight w:val="none"/>
          <w:lang w:val="zh-CN"/>
        </w:rPr>
        <w:fldChar w:fldCharType="separate"/>
      </w:r>
      <w:r>
        <w:rPr>
          <w:rFonts w:hint="eastAsia" w:ascii="宋体" w:hAnsi="宋体" w:eastAsia="宋体" w:cs="宋体"/>
          <w:snapToGrid w:val="0"/>
          <w:color w:val="auto"/>
          <w:kern w:val="0"/>
          <w:szCs w:val="21"/>
          <w:highlight w:val="none"/>
        </w:rPr>
        <w:t>（3）与投标人有利害关系，可能影响对投标公正评审的；</w:t>
      </w:r>
      <w:r>
        <w:rPr>
          <w:color w:val="auto"/>
          <w:highlight w:val="none"/>
        </w:rPr>
        <w:tab/>
      </w:r>
      <w:r>
        <w:rPr>
          <w:color w:val="auto"/>
          <w:highlight w:val="none"/>
        </w:rPr>
        <w:fldChar w:fldCharType="begin"/>
      </w:r>
      <w:r>
        <w:rPr>
          <w:color w:val="auto"/>
          <w:highlight w:val="none"/>
        </w:rPr>
        <w:instrText xml:space="preserve"> PAGEREF _Toc20518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_Toc15764 </w:instrText>
      </w:r>
      <w:r>
        <w:rPr>
          <w:rFonts w:ascii="宋体" w:hAnsi="宋体"/>
          <w:bCs/>
          <w:color w:val="auto"/>
          <w:szCs w:val="20"/>
          <w:highlight w:val="none"/>
          <w:lang w:val="zh-CN"/>
        </w:rPr>
        <w:fldChar w:fldCharType="separate"/>
      </w:r>
      <w:r>
        <w:rPr>
          <w:rFonts w:hint="eastAsia" w:ascii="宋体" w:hAnsi="宋体" w:eastAsia="宋体" w:cs="宋体"/>
          <w:snapToGrid w:val="0"/>
          <w:color w:val="auto"/>
          <w:kern w:val="0"/>
          <w:szCs w:val="21"/>
          <w:highlight w:val="none"/>
        </w:rPr>
        <w:t>（4）曾因在招标、评标以及其他与招标投标有关活动中从事违法行为而受过行政处罚或刑事处罚的；</w:t>
      </w:r>
      <w:r>
        <w:rPr>
          <w:color w:val="auto"/>
          <w:highlight w:val="none"/>
        </w:rPr>
        <w:tab/>
      </w:r>
      <w:r>
        <w:rPr>
          <w:color w:val="auto"/>
          <w:highlight w:val="none"/>
        </w:rPr>
        <w:fldChar w:fldCharType="begin"/>
      </w:r>
      <w:r>
        <w:rPr>
          <w:color w:val="auto"/>
          <w:highlight w:val="none"/>
        </w:rPr>
        <w:instrText xml:space="preserve"> PAGEREF _Toc15764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_Toc25669 </w:instrText>
      </w:r>
      <w:r>
        <w:rPr>
          <w:rFonts w:ascii="宋体" w:hAnsi="宋体"/>
          <w:bCs/>
          <w:color w:val="auto"/>
          <w:szCs w:val="20"/>
          <w:highlight w:val="none"/>
          <w:lang w:val="zh-CN"/>
        </w:rPr>
        <w:fldChar w:fldCharType="separate"/>
      </w:r>
      <w:r>
        <w:rPr>
          <w:rFonts w:hint="eastAsia" w:ascii="宋体" w:hAnsi="宋体" w:eastAsia="宋体" w:cs="宋体"/>
          <w:snapToGrid w:val="0"/>
          <w:color w:val="auto"/>
          <w:kern w:val="0"/>
          <w:szCs w:val="21"/>
          <w:highlight w:val="none"/>
        </w:rPr>
        <w:t>（5）法律法规规定的其他情形。</w:t>
      </w:r>
      <w:r>
        <w:rPr>
          <w:color w:val="auto"/>
          <w:highlight w:val="none"/>
        </w:rPr>
        <w:tab/>
      </w:r>
      <w:r>
        <w:rPr>
          <w:color w:val="auto"/>
          <w:highlight w:val="none"/>
        </w:rPr>
        <w:fldChar w:fldCharType="begin"/>
      </w:r>
      <w:r>
        <w:rPr>
          <w:color w:val="auto"/>
          <w:highlight w:val="none"/>
        </w:rPr>
        <w:instrText xml:space="preserve"> PAGEREF _Toc25669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_Toc11573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lang w:val="en-US" w:eastAsia="zh-CN"/>
        </w:rPr>
        <w:t>6.2  评标原则</w:t>
      </w:r>
      <w:r>
        <w:rPr>
          <w:color w:val="auto"/>
          <w:highlight w:val="none"/>
        </w:rPr>
        <w:tab/>
      </w:r>
      <w:r>
        <w:rPr>
          <w:color w:val="auto"/>
          <w:highlight w:val="none"/>
        </w:rPr>
        <w:fldChar w:fldCharType="begin"/>
      </w:r>
      <w:r>
        <w:rPr>
          <w:color w:val="auto"/>
          <w:highlight w:val="none"/>
        </w:rPr>
        <w:instrText xml:space="preserve"> PAGEREF _Toc11573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_Toc15756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lang w:val="en-US" w:eastAsia="zh-CN"/>
        </w:rPr>
        <w:t>6.3  评标</w:t>
      </w:r>
      <w:r>
        <w:rPr>
          <w:color w:val="auto"/>
          <w:highlight w:val="none"/>
        </w:rPr>
        <w:tab/>
      </w:r>
      <w:r>
        <w:rPr>
          <w:color w:val="auto"/>
          <w:highlight w:val="none"/>
        </w:rPr>
        <w:fldChar w:fldCharType="begin"/>
      </w:r>
      <w:r>
        <w:rPr>
          <w:color w:val="auto"/>
          <w:highlight w:val="none"/>
        </w:rPr>
        <w:instrText xml:space="preserve"> PAGEREF _Toc15756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_Toc9343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7. 合同授予</w:t>
      </w:r>
      <w:r>
        <w:rPr>
          <w:color w:val="auto"/>
          <w:highlight w:val="none"/>
        </w:rPr>
        <w:tab/>
      </w:r>
      <w:r>
        <w:rPr>
          <w:color w:val="auto"/>
          <w:highlight w:val="none"/>
        </w:rPr>
        <w:fldChar w:fldCharType="begin"/>
      </w:r>
      <w:r>
        <w:rPr>
          <w:color w:val="auto"/>
          <w:highlight w:val="none"/>
        </w:rPr>
        <w:instrText xml:space="preserve"> PAGEREF _Toc9343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_Toc23403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7.1 定选方式</w:t>
      </w:r>
      <w:r>
        <w:rPr>
          <w:color w:val="auto"/>
          <w:highlight w:val="none"/>
        </w:rPr>
        <w:tab/>
      </w:r>
      <w:r>
        <w:rPr>
          <w:color w:val="auto"/>
          <w:highlight w:val="none"/>
        </w:rPr>
        <w:fldChar w:fldCharType="begin"/>
      </w:r>
      <w:r>
        <w:rPr>
          <w:color w:val="auto"/>
          <w:highlight w:val="none"/>
        </w:rPr>
        <w:instrText xml:space="preserve"> PAGEREF _Toc23403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_Toc6218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7.2 中</w:t>
      </w:r>
      <w:r>
        <w:rPr>
          <w:rFonts w:hint="eastAsia" w:ascii="宋体" w:hAnsi="宋体" w:eastAsia="宋体" w:cs="宋体"/>
          <w:color w:val="auto"/>
          <w:szCs w:val="21"/>
          <w:highlight w:val="none"/>
          <w:lang w:val="en-US" w:eastAsia="zh-CN"/>
        </w:rPr>
        <w:t>标</w:t>
      </w:r>
      <w:r>
        <w:rPr>
          <w:rFonts w:hint="eastAsia" w:ascii="宋体" w:hAnsi="宋体" w:eastAsia="宋体" w:cs="宋体"/>
          <w:color w:val="auto"/>
          <w:szCs w:val="21"/>
          <w:highlight w:val="none"/>
        </w:rPr>
        <w:t>通知</w:t>
      </w:r>
      <w:r>
        <w:rPr>
          <w:color w:val="auto"/>
          <w:highlight w:val="none"/>
        </w:rPr>
        <w:tab/>
      </w:r>
      <w:r>
        <w:rPr>
          <w:color w:val="auto"/>
          <w:highlight w:val="none"/>
        </w:rPr>
        <w:fldChar w:fldCharType="begin"/>
      </w:r>
      <w:r>
        <w:rPr>
          <w:color w:val="auto"/>
          <w:highlight w:val="none"/>
        </w:rPr>
        <w:instrText xml:space="preserve"> PAGEREF _Toc6218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_Toc3575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7.4 签订合同</w:t>
      </w:r>
      <w:r>
        <w:rPr>
          <w:color w:val="auto"/>
          <w:highlight w:val="none"/>
        </w:rPr>
        <w:tab/>
      </w:r>
      <w:r>
        <w:rPr>
          <w:color w:val="auto"/>
          <w:highlight w:val="none"/>
        </w:rPr>
        <w:fldChar w:fldCharType="begin"/>
      </w:r>
      <w:r>
        <w:rPr>
          <w:color w:val="auto"/>
          <w:highlight w:val="none"/>
        </w:rPr>
        <w:instrText xml:space="preserve"> PAGEREF _Toc3575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_Toc29830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8. 重新比选和不再比选</w:t>
      </w:r>
      <w:r>
        <w:rPr>
          <w:color w:val="auto"/>
          <w:highlight w:val="none"/>
        </w:rPr>
        <w:tab/>
      </w:r>
      <w:r>
        <w:rPr>
          <w:color w:val="auto"/>
          <w:highlight w:val="none"/>
        </w:rPr>
        <w:fldChar w:fldCharType="begin"/>
      </w:r>
      <w:r>
        <w:rPr>
          <w:color w:val="auto"/>
          <w:highlight w:val="none"/>
        </w:rPr>
        <w:instrText xml:space="preserve"> PAGEREF _Toc29830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_Toc17604 </w:instrText>
      </w:r>
      <w:r>
        <w:rPr>
          <w:rFonts w:ascii="宋体" w:hAnsi="宋体"/>
          <w:bCs/>
          <w:color w:val="auto"/>
          <w:szCs w:val="20"/>
          <w:highlight w:val="none"/>
          <w:lang w:val="zh-CN"/>
        </w:rPr>
        <w:fldChar w:fldCharType="separate"/>
      </w:r>
      <w:r>
        <w:rPr>
          <w:rFonts w:hint="eastAsia" w:ascii="宋体" w:hAnsi="宋体" w:eastAsia="宋体" w:cs="宋体"/>
          <w:bCs/>
          <w:snapToGrid w:val="0"/>
          <w:color w:val="auto"/>
          <w:kern w:val="2"/>
          <w:szCs w:val="21"/>
          <w:highlight w:val="none"/>
          <w:lang w:val="en-US" w:eastAsia="zh-CN" w:bidi="ar-SA"/>
        </w:rPr>
        <w:t>8.1  重新比选</w:t>
      </w:r>
      <w:r>
        <w:rPr>
          <w:color w:val="auto"/>
          <w:highlight w:val="none"/>
        </w:rPr>
        <w:tab/>
      </w:r>
      <w:r>
        <w:rPr>
          <w:color w:val="auto"/>
          <w:highlight w:val="none"/>
        </w:rPr>
        <w:fldChar w:fldCharType="begin"/>
      </w:r>
      <w:r>
        <w:rPr>
          <w:color w:val="auto"/>
          <w:highlight w:val="none"/>
        </w:rPr>
        <w:instrText xml:space="preserve"> PAGEREF _Toc17604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_Toc30777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8.2 不再比选</w:t>
      </w:r>
      <w:r>
        <w:rPr>
          <w:color w:val="auto"/>
          <w:highlight w:val="none"/>
        </w:rPr>
        <w:tab/>
      </w:r>
      <w:r>
        <w:rPr>
          <w:color w:val="auto"/>
          <w:highlight w:val="none"/>
        </w:rPr>
        <w:fldChar w:fldCharType="begin"/>
      </w:r>
      <w:r>
        <w:rPr>
          <w:color w:val="auto"/>
          <w:highlight w:val="none"/>
        </w:rPr>
        <w:instrText xml:space="preserve"> PAGEREF _Toc30777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_Toc8575 </w:instrText>
      </w:r>
      <w:r>
        <w:rPr>
          <w:rFonts w:ascii="宋体" w:hAnsi="宋体"/>
          <w:bCs/>
          <w:color w:val="auto"/>
          <w:szCs w:val="20"/>
          <w:highlight w:val="none"/>
          <w:lang w:val="zh-CN"/>
        </w:rPr>
        <w:fldChar w:fldCharType="separate"/>
      </w:r>
      <w:r>
        <w:rPr>
          <w:rFonts w:hint="eastAsia" w:ascii="宋体" w:hAnsi="宋体" w:eastAsia="宋体" w:cs="宋体"/>
          <w:color w:val="auto"/>
          <w:szCs w:val="21"/>
          <w:highlight w:val="none"/>
        </w:rPr>
        <w:t>9.  纪律和监督</w:t>
      </w:r>
      <w:r>
        <w:rPr>
          <w:color w:val="auto"/>
          <w:highlight w:val="none"/>
        </w:rPr>
        <w:tab/>
      </w:r>
      <w:r>
        <w:rPr>
          <w:color w:val="auto"/>
          <w:highlight w:val="none"/>
        </w:rPr>
        <w:fldChar w:fldCharType="begin"/>
      </w:r>
      <w:r>
        <w:rPr>
          <w:color w:val="auto"/>
          <w:highlight w:val="none"/>
        </w:rPr>
        <w:instrText xml:space="preserve"> PAGEREF _Toc8575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_Toc2606 </w:instrText>
      </w:r>
      <w:r>
        <w:rPr>
          <w:rFonts w:ascii="宋体" w:hAnsi="宋体"/>
          <w:bCs/>
          <w:color w:val="auto"/>
          <w:szCs w:val="20"/>
          <w:highlight w:val="none"/>
          <w:lang w:val="zh-CN"/>
        </w:rPr>
        <w:fldChar w:fldCharType="separate"/>
      </w:r>
      <w:r>
        <w:rPr>
          <w:rFonts w:hint="eastAsia" w:ascii="宋体" w:hAnsi="宋体" w:eastAsia="宋体" w:cs="宋体"/>
          <w:bCs/>
          <w:snapToGrid w:val="0"/>
          <w:color w:val="auto"/>
          <w:kern w:val="2"/>
          <w:szCs w:val="21"/>
          <w:highlight w:val="none"/>
          <w:lang w:val="en-US" w:eastAsia="zh-CN" w:bidi="ar-SA"/>
        </w:rPr>
        <w:t>9.1  对比选人的纪律要求</w:t>
      </w:r>
      <w:r>
        <w:rPr>
          <w:color w:val="auto"/>
          <w:highlight w:val="none"/>
        </w:rPr>
        <w:tab/>
      </w:r>
      <w:r>
        <w:rPr>
          <w:color w:val="auto"/>
          <w:highlight w:val="none"/>
        </w:rPr>
        <w:fldChar w:fldCharType="begin"/>
      </w:r>
      <w:r>
        <w:rPr>
          <w:color w:val="auto"/>
          <w:highlight w:val="none"/>
        </w:rPr>
        <w:instrText xml:space="preserve"> PAGEREF _Toc2606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_Toc21583 </w:instrText>
      </w:r>
      <w:r>
        <w:rPr>
          <w:rFonts w:ascii="宋体" w:hAnsi="宋体"/>
          <w:bCs/>
          <w:color w:val="auto"/>
          <w:szCs w:val="20"/>
          <w:highlight w:val="none"/>
          <w:lang w:val="zh-CN"/>
        </w:rPr>
        <w:fldChar w:fldCharType="separate"/>
      </w:r>
      <w:r>
        <w:rPr>
          <w:rFonts w:hint="eastAsia" w:ascii="宋体" w:hAnsi="宋体" w:eastAsia="宋体" w:cs="宋体"/>
          <w:bCs/>
          <w:snapToGrid w:val="0"/>
          <w:color w:val="auto"/>
          <w:kern w:val="2"/>
          <w:szCs w:val="21"/>
          <w:highlight w:val="none"/>
          <w:lang w:val="en-US" w:eastAsia="zh-CN" w:bidi="ar-SA"/>
        </w:rPr>
        <w:t>9.2  对投标人的纪律要求</w:t>
      </w:r>
      <w:r>
        <w:rPr>
          <w:color w:val="auto"/>
          <w:highlight w:val="none"/>
        </w:rPr>
        <w:tab/>
      </w:r>
      <w:r>
        <w:rPr>
          <w:color w:val="auto"/>
          <w:highlight w:val="none"/>
        </w:rPr>
        <w:fldChar w:fldCharType="begin"/>
      </w:r>
      <w:r>
        <w:rPr>
          <w:color w:val="auto"/>
          <w:highlight w:val="none"/>
        </w:rPr>
        <w:instrText xml:space="preserve"> PAGEREF _Toc21583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_Toc5201 </w:instrText>
      </w:r>
      <w:r>
        <w:rPr>
          <w:rFonts w:ascii="宋体" w:hAnsi="宋体"/>
          <w:bCs/>
          <w:color w:val="auto"/>
          <w:szCs w:val="20"/>
          <w:highlight w:val="none"/>
          <w:lang w:val="zh-CN"/>
        </w:rPr>
        <w:fldChar w:fldCharType="separate"/>
      </w:r>
      <w:r>
        <w:rPr>
          <w:rFonts w:hint="eastAsia" w:ascii="宋体" w:hAnsi="宋体" w:eastAsia="宋体" w:cs="宋体"/>
          <w:bCs/>
          <w:snapToGrid w:val="0"/>
          <w:color w:val="auto"/>
          <w:kern w:val="2"/>
          <w:szCs w:val="21"/>
          <w:highlight w:val="none"/>
          <w:lang w:val="en-US" w:eastAsia="zh-CN" w:bidi="ar-SA"/>
        </w:rPr>
        <w:t>9.3  对评标委员会成员的纪律要求</w:t>
      </w:r>
      <w:r>
        <w:rPr>
          <w:color w:val="auto"/>
          <w:highlight w:val="none"/>
        </w:rPr>
        <w:tab/>
      </w:r>
      <w:r>
        <w:rPr>
          <w:color w:val="auto"/>
          <w:highlight w:val="none"/>
        </w:rPr>
        <w:fldChar w:fldCharType="begin"/>
      </w:r>
      <w:r>
        <w:rPr>
          <w:color w:val="auto"/>
          <w:highlight w:val="none"/>
        </w:rPr>
        <w:instrText xml:space="preserve"> PAGEREF _Toc5201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_Toc14409 </w:instrText>
      </w:r>
      <w:r>
        <w:rPr>
          <w:rFonts w:ascii="宋体" w:hAnsi="宋体"/>
          <w:bCs/>
          <w:color w:val="auto"/>
          <w:szCs w:val="20"/>
          <w:highlight w:val="none"/>
          <w:lang w:val="zh-CN"/>
        </w:rPr>
        <w:fldChar w:fldCharType="separate"/>
      </w:r>
      <w:r>
        <w:rPr>
          <w:rFonts w:hint="eastAsia" w:ascii="宋体" w:hAnsi="宋体" w:eastAsia="宋体" w:cs="宋体"/>
          <w:bCs/>
          <w:snapToGrid w:val="0"/>
          <w:color w:val="auto"/>
          <w:kern w:val="2"/>
          <w:szCs w:val="21"/>
          <w:highlight w:val="none"/>
          <w:lang w:val="en-US" w:eastAsia="zh-CN" w:bidi="ar-SA"/>
        </w:rPr>
        <w:t>9.4  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_Toc14409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_Toc8918 </w:instrText>
      </w:r>
      <w:r>
        <w:rPr>
          <w:rFonts w:ascii="宋体" w:hAnsi="宋体"/>
          <w:bCs/>
          <w:color w:val="auto"/>
          <w:szCs w:val="20"/>
          <w:highlight w:val="none"/>
          <w:lang w:val="zh-CN"/>
        </w:rPr>
        <w:fldChar w:fldCharType="separate"/>
      </w:r>
      <w:r>
        <w:rPr>
          <w:rFonts w:hint="eastAsia" w:ascii="宋体" w:hAnsi="宋体" w:eastAsia="宋体" w:cs="宋体"/>
          <w:bCs/>
          <w:snapToGrid w:val="0"/>
          <w:color w:val="auto"/>
          <w:kern w:val="2"/>
          <w:szCs w:val="21"/>
          <w:highlight w:val="none"/>
          <w:lang w:val="en-US" w:eastAsia="zh-CN" w:bidi="ar-SA"/>
        </w:rPr>
        <w:t>9.5  投诉</w:t>
      </w:r>
      <w:r>
        <w:rPr>
          <w:color w:val="auto"/>
          <w:highlight w:val="none"/>
        </w:rPr>
        <w:tab/>
      </w:r>
      <w:r>
        <w:rPr>
          <w:color w:val="auto"/>
          <w:highlight w:val="none"/>
        </w:rPr>
        <w:fldChar w:fldCharType="begin"/>
      </w:r>
      <w:r>
        <w:rPr>
          <w:color w:val="auto"/>
          <w:highlight w:val="none"/>
        </w:rPr>
        <w:instrText xml:space="preserve"> PAGEREF _Toc8918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color w:val="auto"/>
          <w:szCs w:val="20"/>
          <w:highlight w:val="none"/>
          <w:lang w:val="zh-CN"/>
        </w:rPr>
        <w:fldChar w:fldCharType="end"/>
      </w:r>
    </w:p>
    <w:p>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_Toc6268 </w:instrText>
      </w:r>
      <w:r>
        <w:rPr>
          <w:rFonts w:ascii="宋体" w:hAnsi="宋体"/>
          <w:bCs/>
          <w:color w:val="auto"/>
          <w:szCs w:val="20"/>
          <w:highlight w:val="none"/>
          <w:lang w:val="zh-CN"/>
        </w:rPr>
        <w:fldChar w:fldCharType="separate"/>
      </w:r>
      <w:r>
        <w:rPr>
          <w:rFonts w:ascii="宋体" w:hAnsi="宋体"/>
          <w:snapToGrid w:val="0"/>
          <w:color w:val="auto"/>
          <w:kern w:val="0"/>
          <w:highlight w:val="none"/>
        </w:rPr>
        <w:t xml:space="preserve">第三章 </w:t>
      </w:r>
      <w:r>
        <w:rPr>
          <w:rFonts w:hint="eastAsia" w:ascii="宋体" w:hAnsi="宋体"/>
          <w:snapToGrid w:val="0"/>
          <w:color w:val="auto"/>
          <w:kern w:val="0"/>
          <w:highlight w:val="none"/>
        </w:rPr>
        <w:t xml:space="preserve"> </w:t>
      </w:r>
      <w:r>
        <w:rPr>
          <w:rFonts w:ascii="宋体" w:hAnsi="宋体"/>
          <w:snapToGrid w:val="0"/>
          <w:color w:val="auto"/>
          <w:kern w:val="0"/>
          <w:highlight w:val="none"/>
        </w:rPr>
        <w:t>评标办法（</w:t>
      </w:r>
      <w:r>
        <w:rPr>
          <w:rFonts w:hint="eastAsia" w:ascii="宋体" w:hAnsi="宋体"/>
          <w:snapToGrid w:val="0"/>
          <w:color w:val="auto"/>
          <w:kern w:val="0"/>
          <w:highlight w:val="none"/>
        </w:rPr>
        <w:t>经评审的最低投标价法</w:t>
      </w:r>
      <w:r>
        <w:rPr>
          <w:rFonts w:ascii="宋体" w:hAnsi="宋体"/>
          <w:snapToGrid w:val="0"/>
          <w:color w:val="auto"/>
          <w:kern w:val="0"/>
          <w:highlight w:val="none"/>
        </w:rPr>
        <w:t>）</w:t>
      </w:r>
      <w:r>
        <w:rPr>
          <w:color w:val="auto"/>
          <w:highlight w:val="none"/>
        </w:rPr>
        <w:tab/>
      </w:r>
      <w:r>
        <w:rPr>
          <w:color w:val="auto"/>
          <w:highlight w:val="none"/>
        </w:rPr>
        <w:fldChar w:fldCharType="begin"/>
      </w:r>
      <w:r>
        <w:rPr>
          <w:color w:val="auto"/>
          <w:highlight w:val="none"/>
        </w:rPr>
        <w:instrText xml:space="preserve"> PAGEREF _Toc6268 \h </w:instrText>
      </w:r>
      <w:r>
        <w:rPr>
          <w:color w:val="auto"/>
          <w:highlight w:val="none"/>
        </w:rPr>
        <w:fldChar w:fldCharType="separate"/>
      </w:r>
      <w:r>
        <w:rPr>
          <w:color w:val="auto"/>
          <w:highlight w:val="none"/>
        </w:rPr>
        <w:t>31</w:t>
      </w:r>
      <w:r>
        <w:rPr>
          <w:color w:val="auto"/>
          <w:highlight w:val="none"/>
        </w:rPr>
        <w:fldChar w:fldCharType="end"/>
      </w:r>
      <w:r>
        <w:rPr>
          <w:rFonts w:ascii="宋体" w:hAnsi="宋体"/>
          <w:bCs/>
          <w:color w:val="auto"/>
          <w:szCs w:val="20"/>
          <w:highlight w:val="none"/>
          <w:lang w:val="zh-CN"/>
        </w:rPr>
        <w:fldChar w:fldCharType="end"/>
      </w:r>
    </w:p>
    <w:p>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_Toc11669 </w:instrText>
      </w:r>
      <w:r>
        <w:rPr>
          <w:rFonts w:ascii="宋体" w:hAnsi="宋体"/>
          <w:bCs/>
          <w:color w:val="auto"/>
          <w:szCs w:val="20"/>
          <w:highlight w:val="none"/>
          <w:lang w:val="zh-CN"/>
        </w:rPr>
        <w:fldChar w:fldCharType="separate"/>
      </w:r>
      <w:r>
        <w:rPr>
          <w:rFonts w:hint="eastAsia" w:ascii="宋体" w:hAnsi="宋体"/>
          <w:color w:val="auto"/>
          <w:szCs w:val="32"/>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_Toc11669 \h </w:instrText>
      </w:r>
      <w:r>
        <w:rPr>
          <w:color w:val="auto"/>
          <w:highlight w:val="none"/>
        </w:rPr>
        <w:fldChar w:fldCharType="separate"/>
      </w:r>
      <w:r>
        <w:rPr>
          <w:color w:val="auto"/>
          <w:highlight w:val="none"/>
        </w:rPr>
        <w:t>31</w:t>
      </w:r>
      <w:r>
        <w:rPr>
          <w:color w:val="auto"/>
          <w:highlight w:val="none"/>
        </w:rPr>
        <w:fldChar w:fldCharType="end"/>
      </w:r>
      <w:r>
        <w:rPr>
          <w:rFonts w:ascii="宋体" w:hAnsi="宋体"/>
          <w:bCs/>
          <w:color w:val="auto"/>
          <w:szCs w:val="20"/>
          <w:highlight w:val="none"/>
          <w:lang w:val="zh-CN"/>
        </w:rPr>
        <w:fldChar w:fldCharType="end"/>
      </w:r>
    </w:p>
    <w:p>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_Toc2652 </w:instrText>
      </w:r>
      <w:r>
        <w:rPr>
          <w:rFonts w:ascii="宋体" w:hAnsi="宋体"/>
          <w:bCs/>
          <w:color w:val="auto"/>
          <w:szCs w:val="20"/>
          <w:highlight w:val="none"/>
          <w:lang w:val="zh-CN"/>
        </w:rPr>
        <w:fldChar w:fldCharType="separate"/>
      </w:r>
      <w:r>
        <w:rPr>
          <w:rFonts w:ascii="宋体" w:hAnsi="宋体"/>
          <w:snapToGrid w:val="0"/>
          <w:color w:val="auto"/>
          <w:highlight w:val="none"/>
        </w:rPr>
        <w:t>1.  评标方法</w:t>
      </w:r>
      <w:r>
        <w:rPr>
          <w:color w:val="auto"/>
          <w:highlight w:val="none"/>
        </w:rPr>
        <w:tab/>
      </w:r>
      <w:r>
        <w:rPr>
          <w:color w:val="auto"/>
          <w:highlight w:val="none"/>
        </w:rPr>
        <w:fldChar w:fldCharType="begin"/>
      </w:r>
      <w:r>
        <w:rPr>
          <w:color w:val="auto"/>
          <w:highlight w:val="none"/>
        </w:rPr>
        <w:instrText xml:space="preserve"> PAGEREF _Toc2652 \h </w:instrText>
      </w:r>
      <w:r>
        <w:rPr>
          <w:color w:val="auto"/>
          <w:highlight w:val="none"/>
        </w:rPr>
        <w:fldChar w:fldCharType="separate"/>
      </w:r>
      <w:r>
        <w:rPr>
          <w:color w:val="auto"/>
          <w:highlight w:val="none"/>
        </w:rPr>
        <w:t>37</w:t>
      </w:r>
      <w:r>
        <w:rPr>
          <w:color w:val="auto"/>
          <w:highlight w:val="none"/>
        </w:rPr>
        <w:fldChar w:fldCharType="end"/>
      </w:r>
      <w:r>
        <w:rPr>
          <w:rFonts w:ascii="宋体" w:hAnsi="宋体"/>
          <w:bCs/>
          <w:color w:val="auto"/>
          <w:szCs w:val="20"/>
          <w:highlight w:val="none"/>
          <w:lang w:val="zh-CN"/>
        </w:rPr>
        <w:fldChar w:fldCharType="end"/>
      </w:r>
    </w:p>
    <w:p>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_Toc25920 </w:instrText>
      </w:r>
      <w:r>
        <w:rPr>
          <w:rFonts w:ascii="宋体" w:hAnsi="宋体"/>
          <w:bCs/>
          <w:color w:val="auto"/>
          <w:szCs w:val="20"/>
          <w:highlight w:val="none"/>
          <w:lang w:val="zh-CN"/>
        </w:rPr>
        <w:fldChar w:fldCharType="separate"/>
      </w:r>
      <w:r>
        <w:rPr>
          <w:rFonts w:ascii="宋体" w:hAnsi="宋体"/>
          <w:snapToGrid w:val="0"/>
          <w:color w:val="auto"/>
          <w:highlight w:val="none"/>
        </w:rPr>
        <w:t>2.  评审标准</w:t>
      </w:r>
      <w:r>
        <w:rPr>
          <w:color w:val="auto"/>
          <w:highlight w:val="none"/>
        </w:rPr>
        <w:tab/>
      </w:r>
      <w:r>
        <w:rPr>
          <w:color w:val="auto"/>
          <w:highlight w:val="none"/>
        </w:rPr>
        <w:fldChar w:fldCharType="begin"/>
      </w:r>
      <w:r>
        <w:rPr>
          <w:color w:val="auto"/>
          <w:highlight w:val="none"/>
        </w:rPr>
        <w:instrText xml:space="preserve"> PAGEREF _Toc25920 \h </w:instrText>
      </w:r>
      <w:r>
        <w:rPr>
          <w:color w:val="auto"/>
          <w:highlight w:val="none"/>
        </w:rPr>
        <w:fldChar w:fldCharType="separate"/>
      </w:r>
      <w:r>
        <w:rPr>
          <w:color w:val="auto"/>
          <w:highlight w:val="none"/>
        </w:rPr>
        <w:t>37</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_Toc28827 </w:instrText>
      </w:r>
      <w:r>
        <w:rPr>
          <w:rFonts w:ascii="宋体" w:hAnsi="宋体"/>
          <w:bCs/>
          <w:color w:val="auto"/>
          <w:szCs w:val="20"/>
          <w:highlight w:val="none"/>
          <w:lang w:val="zh-CN"/>
        </w:rPr>
        <w:fldChar w:fldCharType="separate"/>
      </w:r>
      <w:r>
        <w:rPr>
          <w:rFonts w:ascii="宋体" w:hAnsi="宋体" w:cs="宋体"/>
          <w:color w:val="auto"/>
          <w:szCs w:val="21"/>
          <w:highlight w:val="none"/>
        </w:rPr>
        <w:t>2.1</w:t>
      </w:r>
      <w:r>
        <w:rPr>
          <w:rFonts w:hint="eastAsia" w:ascii="宋体" w:hAnsi="宋体" w:cs="宋体"/>
          <w:color w:val="auto"/>
          <w:szCs w:val="21"/>
          <w:highlight w:val="none"/>
        </w:rPr>
        <w:t>报价</w:t>
      </w:r>
      <w:r>
        <w:rPr>
          <w:rFonts w:ascii="宋体" w:hAnsi="宋体" w:cs="宋体"/>
          <w:color w:val="auto"/>
          <w:szCs w:val="21"/>
          <w:highlight w:val="none"/>
        </w:rPr>
        <w:t>排序</w:t>
      </w:r>
      <w:r>
        <w:rPr>
          <w:rFonts w:hint="eastAsia" w:ascii="宋体" w:hAnsi="宋体" w:cs="宋体"/>
          <w:color w:val="auto"/>
          <w:szCs w:val="21"/>
          <w:highlight w:val="none"/>
        </w:rPr>
        <w:t>标准</w:t>
      </w:r>
      <w:r>
        <w:rPr>
          <w:color w:val="auto"/>
          <w:highlight w:val="none"/>
        </w:rPr>
        <w:tab/>
      </w:r>
      <w:r>
        <w:rPr>
          <w:color w:val="auto"/>
          <w:highlight w:val="none"/>
        </w:rPr>
        <w:fldChar w:fldCharType="begin"/>
      </w:r>
      <w:r>
        <w:rPr>
          <w:color w:val="auto"/>
          <w:highlight w:val="none"/>
        </w:rPr>
        <w:instrText xml:space="preserve"> PAGEREF _Toc28827 \h </w:instrText>
      </w:r>
      <w:r>
        <w:rPr>
          <w:color w:val="auto"/>
          <w:highlight w:val="none"/>
        </w:rPr>
        <w:fldChar w:fldCharType="separate"/>
      </w:r>
      <w:r>
        <w:rPr>
          <w:color w:val="auto"/>
          <w:highlight w:val="none"/>
        </w:rPr>
        <w:t>37</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_Toc4528 </w:instrText>
      </w:r>
      <w:r>
        <w:rPr>
          <w:rFonts w:ascii="宋体" w:hAnsi="宋体"/>
          <w:bCs/>
          <w:color w:val="auto"/>
          <w:szCs w:val="20"/>
          <w:highlight w:val="none"/>
          <w:lang w:val="zh-CN"/>
        </w:rPr>
        <w:fldChar w:fldCharType="separate"/>
      </w:r>
      <w:r>
        <w:rPr>
          <w:rFonts w:ascii="宋体" w:hAnsi="宋体" w:cs="宋体"/>
          <w:color w:val="auto"/>
          <w:szCs w:val="21"/>
          <w:highlight w:val="none"/>
        </w:rPr>
        <w:t>2.</w:t>
      </w:r>
      <w:r>
        <w:rPr>
          <w:rFonts w:hint="eastAsia" w:ascii="宋体" w:hAnsi="宋体" w:cs="宋体"/>
          <w:color w:val="auto"/>
          <w:szCs w:val="21"/>
          <w:highlight w:val="none"/>
        </w:rPr>
        <w:t>2符合性审查标准</w:t>
      </w:r>
      <w:r>
        <w:rPr>
          <w:color w:val="auto"/>
          <w:highlight w:val="none"/>
        </w:rPr>
        <w:tab/>
      </w:r>
      <w:r>
        <w:rPr>
          <w:color w:val="auto"/>
          <w:highlight w:val="none"/>
        </w:rPr>
        <w:fldChar w:fldCharType="begin"/>
      </w:r>
      <w:r>
        <w:rPr>
          <w:color w:val="auto"/>
          <w:highlight w:val="none"/>
        </w:rPr>
        <w:instrText xml:space="preserve"> PAGEREF _Toc4528 \h </w:instrText>
      </w:r>
      <w:r>
        <w:rPr>
          <w:color w:val="auto"/>
          <w:highlight w:val="none"/>
        </w:rPr>
        <w:fldChar w:fldCharType="separate"/>
      </w:r>
      <w:r>
        <w:rPr>
          <w:color w:val="auto"/>
          <w:highlight w:val="none"/>
        </w:rPr>
        <w:t>37</w:t>
      </w:r>
      <w:r>
        <w:rPr>
          <w:color w:val="auto"/>
          <w:highlight w:val="none"/>
        </w:rPr>
        <w:fldChar w:fldCharType="end"/>
      </w:r>
      <w:r>
        <w:rPr>
          <w:rFonts w:ascii="宋体" w:hAnsi="宋体"/>
          <w:bCs/>
          <w:color w:val="auto"/>
          <w:szCs w:val="20"/>
          <w:highlight w:val="none"/>
          <w:lang w:val="zh-CN"/>
        </w:rPr>
        <w:fldChar w:fldCharType="end"/>
      </w:r>
    </w:p>
    <w:p>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_Toc21325 </w:instrText>
      </w:r>
      <w:r>
        <w:rPr>
          <w:rFonts w:ascii="宋体" w:hAnsi="宋体"/>
          <w:bCs/>
          <w:color w:val="auto"/>
          <w:szCs w:val="20"/>
          <w:highlight w:val="none"/>
          <w:lang w:val="zh-CN"/>
        </w:rPr>
        <w:fldChar w:fldCharType="separate"/>
      </w:r>
      <w:r>
        <w:rPr>
          <w:rFonts w:ascii="宋体" w:hAnsi="宋体"/>
          <w:snapToGrid w:val="0"/>
          <w:color w:val="auto"/>
          <w:highlight w:val="none"/>
        </w:rPr>
        <w:t>3.  评标程序</w:t>
      </w:r>
      <w:r>
        <w:rPr>
          <w:color w:val="auto"/>
          <w:highlight w:val="none"/>
        </w:rPr>
        <w:tab/>
      </w:r>
      <w:r>
        <w:rPr>
          <w:color w:val="auto"/>
          <w:highlight w:val="none"/>
        </w:rPr>
        <w:fldChar w:fldCharType="begin"/>
      </w:r>
      <w:r>
        <w:rPr>
          <w:color w:val="auto"/>
          <w:highlight w:val="none"/>
        </w:rPr>
        <w:instrText xml:space="preserve"> PAGEREF _Toc21325 \h </w:instrText>
      </w:r>
      <w:r>
        <w:rPr>
          <w:color w:val="auto"/>
          <w:highlight w:val="none"/>
        </w:rPr>
        <w:fldChar w:fldCharType="separate"/>
      </w:r>
      <w:r>
        <w:rPr>
          <w:color w:val="auto"/>
          <w:highlight w:val="none"/>
        </w:rPr>
        <w:t>37</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_Toc18325 </w:instrText>
      </w:r>
      <w:r>
        <w:rPr>
          <w:rFonts w:ascii="宋体" w:hAnsi="宋体"/>
          <w:bCs/>
          <w:color w:val="auto"/>
          <w:szCs w:val="20"/>
          <w:highlight w:val="none"/>
          <w:lang w:val="zh-CN"/>
        </w:rPr>
        <w:fldChar w:fldCharType="separate"/>
      </w:r>
      <w:r>
        <w:rPr>
          <w:rFonts w:ascii="宋体" w:hAnsi="宋体" w:cs="宋体"/>
          <w:color w:val="auto"/>
          <w:szCs w:val="21"/>
          <w:highlight w:val="none"/>
        </w:rPr>
        <w:t>3.1</w:t>
      </w:r>
      <w:r>
        <w:rPr>
          <w:rFonts w:hint="eastAsia" w:ascii="宋体" w:hAnsi="宋体" w:cs="宋体"/>
          <w:color w:val="auto"/>
          <w:szCs w:val="21"/>
          <w:highlight w:val="none"/>
        </w:rPr>
        <w:t>报价排序</w:t>
      </w:r>
      <w:r>
        <w:rPr>
          <w:color w:val="auto"/>
          <w:highlight w:val="none"/>
        </w:rPr>
        <w:tab/>
      </w:r>
      <w:r>
        <w:rPr>
          <w:color w:val="auto"/>
          <w:highlight w:val="none"/>
        </w:rPr>
        <w:fldChar w:fldCharType="begin"/>
      </w:r>
      <w:r>
        <w:rPr>
          <w:color w:val="auto"/>
          <w:highlight w:val="none"/>
        </w:rPr>
        <w:instrText xml:space="preserve"> PAGEREF _Toc18325 \h </w:instrText>
      </w:r>
      <w:r>
        <w:rPr>
          <w:color w:val="auto"/>
          <w:highlight w:val="none"/>
        </w:rPr>
        <w:fldChar w:fldCharType="separate"/>
      </w:r>
      <w:r>
        <w:rPr>
          <w:color w:val="auto"/>
          <w:highlight w:val="none"/>
        </w:rPr>
        <w:t>37</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_Toc31571 </w:instrText>
      </w:r>
      <w:r>
        <w:rPr>
          <w:rFonts w:ascii="宋体" w:hAnsi="宋体"/>
          <w:bCs/>
          <w:color w:val="auto"/>
          <w:szCs w:val="20"/>
          <w:highlight w:val="none"/>
          <w:lang w:val="zh-CN"/>
        </w:rPr>
        <w:fldChar w:fldCharType="separate"/>
      </w:r>
      <w:r>
        <w:rPr>
          <w:rFonts w:ascii="宋体" w:hAnsi="宋体" w:cs="宋体"/>
          <w:color w:val="auto"/>
          <w:szCs w:val="21"/>
          <w:highlight w:val="none"/>
        </w:rPr>
        <w:t>3.</w:t>
      </w:r>
      <w:r>
        <w:rPr>
          <w:rFonts w:hint="eastAsia" w:ascii="宋体" w:hAnsi="宋体" w:cs="宋体"/>
          <w:color w:val="auto"/>
          <w:szCs w:val="21"/>
          <w:highlight w:val="none"/>
        </w:rPr>
        <w:t>2符合性审查</w:t>
      </w:r>
      <w:r>
        <w:rPr>
          <w:color w:val="auto"/>
          <w:highlight w:val="none"/>
        </w:rPr>
        <w:tab/>
      </w:r>
      <w:r>
        <w:rPr>
          <w:color w:val="auto"/>
          <w:highlight w:val="none"/>
        </w:rPr>
        <w:fldChar w:fldCharType="begin"/>
      </w:r>
      <w:r>
        <w:rPr>
          <w:color w:val="auto"/>
          <w:highlight w:val="none"/>
        </w:rPr>
        <w:instrText xml:space="preserve"> PAGEREF _Toc31571 \h </w:instrText>
      </w:r>
      <w:r>
        <w:rPr>
          <w:color w:val="auto"/>
          <w:highlight w:val="none"/>
        </w:rPr>
        <w:fldChar w:fldCharType="separate"/>
      </w:r>
      <w:r>
        <w:rPr>
          <w:color w:val="auto"/>
          <w:highlight w:val="none"/>
        </w:rPr>
        <w:t>37</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_Toc14984 </w:instrText>
      </w:r>
      <w:r>
        <w:rPr>
          <w:rFonts w:ascii="宋体" w:hAnsi="宋体"/>
          <w:bCs/>
          <w:color w:val="auto"/>
          <w:szCs w:val="20"/>
          <w:highlight w:val="none"/>
          <w:lang w:val="zh-CN"/>
        </w:rPr>
        <w:fldChar w:fldCharType="separate"/>
      </w: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 </w:t>
      </w:r>
      <w:r>
        <w:rPr>
          <w:rFonts w:hint="eastAsia" w:ascii="宋体" w:hAnsi="宋体" w:cs="宋体"/>
          <w:color w:val="auto"/>
          <w:szCs w:val="21"/>
          <w:highlight w:val="none"/>
        </w:rPr>
        <w:t>投标文件的澄清和补正</w:t>
      </w:r>
      <w:r>
        <w:rPr>
          <w:color w:val="auto"/>
          <w:highlight w:val="none"/>
        </w:rPr>
        <w:tab/>
      </w:r>
      <w:r>
        <w:rPr>
          <w:color w:val="auto"/>
          <w:highlight w:val="none"/>
        </w:rPr>
        <w:fldChar w:fldCharType="begin"/>
      </w:r>
      <w:r>
        <w:rPr>
          <w:color w:val="auto"/>
          <w:highlight w:val="none"/>
        </w:rPr>
        <w:instrText xml:space="preserve"> PAGEREF _Toc14984 \h </w:instrText>
      </w:r>
      <w:r>
        <w:rPr>
          <w:color w:val="auto"/>
          <w:highlight w:val="none"/>
        </w:rPr>
        <w:fldChar w:fldCharType="separate"/>
      </w:r>
      <w:r>
        <w:rPr>
          <w:color w:val="auto"/>
          <w:highlight w:val="none"/>
        </w:rPr>
        <w:t>38</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_Toc2312 </w:instrText>
      </w:r>
      <w:r>
        <w:rPr>
          <w:rFonts w:ascii="宋体" w:hAnsi="宋体"/>
          <w:bCs/>
          <w:color w:val="auto"/>
          <w:szCs w:val="20"/>
          <w:highlight w:val="none"/>
          <w:lang w:val="zh-CN"/>
        </w:rPr>
        <w:fldChar w:fldCharType="separate"/>
      </w: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 xml:space="preserve"> </w:t>
      </w:r>
      <w:r>
        <w:rPr>
          <w:rFonts w:hint="eastAsia" w:ascii="宋体" w:hAnsi="宋体" w:cs="宋体"/>
          <w:color w:val="auto"/>
          <w:szCs w:val="21"/>
          <w:highlight w:val="none"/>
        </w:rPr>
        <w:t>评标结果</w:t>
      </w:r>
      <w:r>
        <w:rPr>
          <w:color w:val="auto"/>
          <w:highlight w:val="none"/>
        </w:rPr>
        <w:tab/>
      </w:r>
      <w:r>
        <w:rPr>
          <w:color w:val="auto"/>
          <w:highlight w:val="none"/>
        </w:rPr>
        <w:fldChar w:fldCharType="begin"/>
      </w:r>
      <w:r>
        <w:rPr>
          <w:color w:val="auto"/>
          <w:highlight w:val="none"/>
        </w:rPr>
        <w:instrText xml:space="preserve"> PAGEREF _Toc2312 \h </w:instrText>
      </w:r>
      <w:r>
        <w:rPr>
          <w:color w:val="auto"/>
          <w:highlight w:val="none"/>
        </w:rPr>
        <w:fldChar w:fldCharType="separate"/>
      </w:r>
      <w:r>
        <w:rPr>
          <w:color w:val="auto"/>
          <w:highlight w:val="none"/>
        </w:rPr>
        <w:t>38</w:t>
      </w:r>
      <w:r>
        <w:rPr>
          <w:color w:val="auto"/>
          <w:highlight w:val="none"/>
        </w:rPr>
        <w:fldChar w:fldCharType="end"/>
      </w:r>
      <w:r>
        <w:rPr>
          <w:rFonts w:ascii="宋体" w:hAnsi="宋体"/>
          <w:bCs/>
          <w:color w:val="auto"/>
          <w:szCs w:val="20"/>
          <w:highlight w:val="none"/>
          <w:lang w:val="zh-CN"/>
        </w:rPr>
        <w:fldChar w:fldCharType="end"/>
      </w:r>
    </w:p>
    <w:p>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_Toc26330 </w:instrText>
      </w:r>
      <w:r>
        <w:rPr>
          <w:rFonts w:ascii="宋体" w:hAnsi="宋体"/>
          <w:bCs/>
          <w:color w:val="auto"/>
          <w:szCs w:val="20"/>
          <w:highlight w:val="none"/>
          <w:lang w:val="zh-CN"/>
        </w:rPr>
        <w:fldChar w:fldCharType="separate"/>
      </w:r>
      <w:r>
        <w:rPr>
          <w:rFonts w:hint="eastAsia" w:ascii="宋体" w:hAnsi="宋体"/>
          <w:color w:val="auto"/>
          <w:kern w:val="0"/>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_Toc26330 \h </w:instrText>
      </w:r>
      <w:r>
        <w:rPr>
          <w:color w:val="auto"/>
          <w:highlight w:val="none"/>
        </w:rPr>
        <w:fldChar w:fldCharType="separate"/>
      </w:r>
      <w:r>
        <w:rPr>
          <w:color w:val="auto"/>
          <w:highlight w:val="none"/>
        </w:rPr>
        <w:t>42</w:t>
      </w:r>
      <w:r>
        <w:rPr>
          <w:color w:val="auto"/>
          <w:highlight w:val="none"/>
        </w:rPr>
        <w:fldChar w:fldCharType="end"/>
      </w:r>
      <w:r>
        <w:rPr>
          <w:rFonts w:ascii="宋体" w:hAnsi="宋体"/>
          <w:bCs/>
          <w:color w:val="auto"/>
          <w:szCs w:val="20"/>
          <w:highlight w:val="none"/>
          <w:lang w:val="zh-CN"/>
        </w:rPr>
        <w:fldChar w:fldCharType="end"/>
      </w:r>
    </w:p>
    <w:p>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_Toc30106 </w:instrText>
      </w:r>
      <w:r>
        <w:rPr>
          <w:rFonts w:ascii="宋体" w:hAnsi="宋体"/>
          <w:bCs/>
          <w:color w:val="auto"/>
          <w:szCs w:val="20"/>
          <w:highlight w:val="none"/>
          <w:lang w:val="zh-CN"/>
        </w:rPr>
        <w:fldChar w:fldCharType="separate"/>
      </w:r>
      <w:r>
        <w:rPr>
          <w:rFonts w:hint="eastAsia" w:ascii="宋体" w:hAnsi="宋体"/>
          <w:color w:val="auto"/>
          <w:highlight w:val="none"/>
        </w:rPr>
        <w:t>第五章  工程量清单</w:t>
      </w:r>
      <w:r>
        <w:rPr>
          <w:color w:val="auto"/>
          <w:highlight w:val="none"/>
        </w:rPr>
        <w:tab/>
      </w:r>
      <w:r>
        <w:rPr>
          <w:color w:val="auto"/>
          <w:highlight w:val="none"/>
        </w:rPr>
        <w:fldChar w:fldCharType="begin"/>
      </w:r>
      <w:r>
        <w:rPr>
          <w:color w:val="auto"/>
          <w:highlight w:val="none"/>
        </w:rPr>
        <w:instrText xml:space="preserve"> PAGEREF _Toc30106 \h </w:instrText>
      </w:r>
      <w:r>
        <w:rPr>
          <w:color w:val="auto"/>
          <w:highlight w:val="none"/>
        </w:rPr>
        <w:fldChar w:fldCharType="separate"/>
      </w:r>
      <w:r>
        <w:rPr>
          <w:color w:val="auto"/>
          <w:highlight w:val="none"/>
        </w:rPr>
        <w:t>44</w:t>
      </w:r>
      <w:r>
        <w:rPr>
          <w:color w:val="auto"/>
          <w:highlight w:val="none"/>
        </w:rPr>
        <w:fldChar w:fldCharType="end"/>
      </w:r>
      <w:r>
        <w:rPr>
          <w:rFonts w:ascii="宋体" w:hAnsi="宋体"/>
          <w:bCs/>
          <w:color w:val="auto"/>
          <w:szCs w:val="20"/>
          <w:highlight w:val="none"/>
          <w:lang w:val="zh-CN"/>
        </w:rPr>
        <w:fldChar w:fldCharType="end"/>
      </w:r>
    </w:p>
    <w:p>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_Toc27984 </w:instrText>
      </w:r>
      <w:r>
        <w:rPr>
          <w:rFonts w:ascii="宋体" w:hAnsi="宋体"/>
          <w:bCs/>
          <w:color w:val="auto"/>
          <w:szCs w:val="20"/>
          <w:highlight w:val="none"/>
          <w:lang w:val="zh-CN"/>
        </w:rPr>
        <w:fldChar w:fldCharType="separate"/>
      </w:r>
      <w:r>
        <w:rPr>
          <w:rFonts w:ascii="宋体" w:hAnsi="宋体"/>
          <w:color w:val="auto"/>
          <w:szCs w:val="52"/>
          <w:highlight w:val="none"/>
        </w:rPr>
        <w:t>第 二 卷</w:t>
      </w:r>
      <w:r>
        <w:rPr>
          <w:color w:val="auto"/>
          <w:highlight w:val="none"/>
        </w:rPr>
        <w:tab/>
      </w:r>
      <w:r>
        <w:rPr>
          <w:color w:val="auto"/>
          <w:highlight w:val="none"/>
        </w:rPr>
        <w:fldChar w:fldCharType="begin"/>
      </w:r>
      <w:r>
        <w:rPr>
          <w:color w:val="auto"/>
          <w:highlight w:val="none"/>
        </w:rPr>
        <w:instrText xml:space="preserve"> PAGEREF _Toc27984 \h </w:instrText>
      </w:r>
      <w:r>
        <w:rPr>
          <w:color w:val="auto"/>
          <w:highlight w:val="none"/>
        </w:rPr>
        <w:fldChar w:fldCharType="separate"/>
      </w:r>
      <w:r>
        <w:rPr>
          <w:color w:val="auto"/>
          <w:highlight w:val="none"/>
        </w:rPr>
        <w:t>119</w:t>
      </w:r>
      <w:r>
        <w:rPr>
          <w:color w:val="auto"/>
          <w:highlight w:val="none"/>
        </w:rPr>
        <w:fldChar w:fldCharType="end"/>
      </w:r>
      <w:r>
        <w:rPr>
          <w:rFonts w:ascii="宋体" w:hAnsi="宋体"/>
          <w:bCs/>
          <w:color w:val="auto"/>
          <w:szCs w:val="20"/>
          <w:highlight w:val="none"/>
          <w:lang w:val="zh-CN"/>
        </w:rPr>
        <w:fldChar w:fldCharType="end"/>
      </w:r>
    </w:p>
    <w:p>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_Toc10989 </w:instrText>
      </w:r>
      <w:r>
        <w:rPr>
          <w:rFonts w:ascii="宋体" w:hAnsi="宋体"/>
          <w:bCs/>
          <w:color w:val="auto"/>
          <w:szCs w:val="20"/>
          <w:highlight w:val="none"/>
          <w:lang w:val="zh-CN"/>
        </w:rPr>
        <w:fldChar w:fldCharType="separate"/>
      </w:r>
      <w:r>
        <w:rPr>
          <w:rFonts w:hint="eastAsia" w:ascii="宋体" w:hAnsi="宋体"/>
          <w:color w:val="auto"/>
          <w:highlight w:val="none"/>
        </w:rPr>
        <w:t>第六章  图纸</w:t>
      </w:r>
      <w:r>
        <w:rPr>
          <w:color w:val="auto"/>
          <w:highlight w:val="none"/>
        </w:rPr>
        <w:tab/>
      </w:r>
      <w:r>
        <w:rPr>
          <w:color w:val="auto"/>
          <w:highlight w:val="none"/>
        </w:rPr>
        <w:fldChar w:fldCharType="begin"/>
      </w:r>
      <w:r>
        <w:rPr>
          <w:color w:val="auto"/>
          <w:highlight w:val="none"/>
        </w:rPr>
        <w:instrText xml:space="preserve"> PAGEREF _Toc10989 \h </w:instrText>
      </w:r>
      <w:r>
        <w:rPr>
          <w:color w:val="auto"/>
          <w:highlight w:val="none"/>
        </w:rPr>
        <w:fldChar w:fldCharType="separate"/>
      </w:r>
      <w:r>
        <w:rPr>
          <w:color w:val="auto"/>
          <w:highlight w:val="none"/>
        </w:rPr>
        <w:t>120</w:t>
      </w:r>
      <w:r>
        <w:rPr>
          <w:color w:val="auto"/>
          <w:highlight w:val="none"/>
        </w:rPr>
        <w:fldChar w:fldCharType="end"/>
      </w:r>
      <w:r>
        <w:rPr>
          <w:rFonts w:ascii="宋体" w:hAnsi="宋体"/>
          <w:bCs/>
          <w:color w:val="auto"/>
          <w:szCs w:val="20"/>
          <w:highlight w:val="none"/>
          <w:lang w:val="zh-CN"/>
        </w:rPr>
        <w:fldChar w:fldCharType="end"/>
      </w:r>
    </w:p>
    <w:p>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_Toc13645 </w:instrText>
      </w:r>
      <w:r>
        <w:rPr>
          <w:rFonts w:ascii="宋体" w:hAnsi="宋体"/>
          <w:bCs/>
          <w:color w:val="auto"/>
          <w:szCs w:val="20"/>
          <w:highlight w:val="none"/>
          <w:lang w:val="zh-CN"/>
        </w:rPr>
        <w:fldChar w:fldCharType="separate"/>
      </w:r>
      <w:r>
        <w:rPr>
          <w:rFonts w:hint="eastAsia" w:ascii="宋体" w:hAnsi="宋体"/>
          <w:color w:val="auto"/>
          <w:szCs w:val="52"/>
          <w:highlight w:val="none"/>
        </w:rPr>
        <w:t>第 三 卷</w:t>
      </w:r>
      <w:r>
        <w:rPr>
          <w:color w:val="auto"/>
          <w:highlight w:val="none"/>
        </w:rPr>
        <w:tab/>
      </w:r>
      <w:r>
        <w:rPr>
          <w:color w:val="auto"/>
          <w:highlight w:val="none"/>
        </w:rPr>
        <w:fldChar w:fldCharType="begin"/>
      </w:r>
      <w:r>
        <w:rPr>
          <w:color w:val="auto"/>
          <w:highlight w:val="none"/>
        </w:rPr>
        <w:instrText xml:space="preserve"> PAGEREF _Toc13645 \h </w:instrText>
      </w:r>
      <w:r>
        <w:rPr>
          <w:color w:val="auto"/>
          <w:highlight w:val="none"/>
        </w:rPr>
        <w:fldChar w:fldCharType="separate"/>
      </w:r>
      <w:r>
        <w:rPr>
          <w:color w:val="auto"/>
          <w:highlight w:val="none"/>
        </w:rPr>
        <w:t>121</w:t>
      </w:r>
      <w:r>
        <w:rPr>
          <w:color w:val="auto"/>
          <w:highlight w:val="none"/>
        </w:rPr>
        <w:fldChar w:fldCharType="end"/>
      </w:r>
      <w:r>
        <w:rPr>
          <w:rFonts w:ascii="宋体" w:hAnsi="宋体"/>
          <w:bCs/>
          <w:color w:val="auto"/>
          <w:szCs w:val="20"/>
          <w:highlight w:val="none"/>
          <w:lang w:val="zh-CN"/>
        </w:rPr>
        <w:fldChar w:fldCharType="end"/>
      </w:r>
    </w:p>
    <w:p>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_Toc30776 </w:instrText>
      </w:r>
      <w:r>
        <w:rPr>
          <w:rFonts w:ascii="宋体" w:hAnsi="宋体"/>
          <w:bCs/>
          <w:color w:val="auto"/>
          <w:szCs w:val="20"/>
          <w:highlight w:val="none"/>
          <w:lang w:val="zh-CN"/>
        </w:rPr>
        <w:fldChar w:fldCharType="separate"/>
      </w:r>
      <w:r>
        <w:rPr>
          <w:rFonts w:ascii="宋体" w:hAnsi="宋体"/>
          <w:color w:val="auto"/>
          <w:highlight w:val="none"/>
        </w:rPr>
        <w:t>第七章</w:t>
      </w:r>
      <w:r>
        <w:rPr>
          <w:rFonts w:hint="eastAsia" w:ascii="宋体" w:hAnsi="宋体"/>
          <w:color w:val="auto"/>
          <w:highlight w:val="none"/>
        </w:rPr>
        <w:t xml:space="preserve">  </w:t>
      </w:r>
      <w:r>
        <w:rPr>
          <w:rFonts w:ascii="宋体" w:hAnsi="宋体"/>
          <w:color w:val="auto"/>
          <w:highlight w:val="none"/>
        </w:rPr>
        <w:t>技术标准和要求</w:t>
      </w:r>
      <w:r>
        <w:rPr>
          <w:color w:val="auto"/>
          <w:highlight w:val="none"/>
        </w:rPr>
        <w:tab/>
      </w:r>
      <w:r>
        <w:rPr>
          <w:color w:val="auto"/>
          <w:highlight w:val="none"/>
        </w:rPr>
        <w:fldChar w:fldCharType="begin"/>
      </w:r>
      <w:r>
        <w:rPr>
          <w:color w:val="auto"/>
          <w:highlight w:val="none"/>
        </w:rPr>
        <w:instrText xml:space="preserve"> PAGEREF _Toc30776 \h </w:instrText>
      </w:r>
      <w:r>
        <w:rPr>
          <w:color w:val="auto"/>
          <w:highlight w:val="none"/>
        </w:rPr>
        <w:fldChar w:fldCharType="separate"/>
      </w:r>
      <w:r>
        <w:rPr>
          <w:color w:val="auto"/>
          <w:highlight w:val="none"/>
        </w:rPr>
        <w:t>122</w:t>
      </w:r>
      <w:r>
        <w:rPr>
          <w:color w:val="auto"/>
          <w:highlight w:val="none"/>
        </w:rPr>
        <w:fldChar w:fldCharType="end"/>
      </w:r>
      <w:r>
        <w:rPr>
          <w:rFonts w:ascii="宋体" w:hAnsi="宋体"/>
          <w:bCs/>
          <w:color w:val="auto"/>
          <w:szCs w:val="20"/>
          <w:highlight w:val="none"/>
          <w:lang w:val="zh-CN"/>
        </w:rPr>
        <w:fldChar w:fldCharType="end"/>
      </w:r>
    </w:p>
    <w:p>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_Toc17990 </w:instrText>
      </w:r>
      <w:r>
        <w:rPr>
          <w:rFonts w:ascii="宋体" w:hAnsi="宋体"/>
          <w:bCs/>
          <w:color w:val="auto"/>
          <w:szCs w:val="20"/>
          <w:highlight w:val="none"/>
          <w:lang w:val="zh-CN"/>
        </w:rPr>
        <w:fldChar w:fldCharType="separate"/>
      </w:r>
      <w:r>
        <w:rPr>
          <w:rFonts w:ascii="宋体" w:hAnsi="宋体"/>
          <w:color w:val="auto"/>
          <w:szCs w:val="52"/>
          <w:highlight w:val="none"/>
        </w:rPr>
        <w:t>第 四 卷</w:t>
      </w:r>
      <w:r>
        <w:rPr>
          <w:color w:val="auto"/>
          <w:highlight w:val="none"/>
        </w:rPr>
        <w:tab/>
      </w:r>
      <w:r>
        <w:rPr>
          <w:color w:val="auto"/>
          <w:highlight w:val="none"/>
        </w:rPr>
        <w:fldChar w:fldCharType="begin"/>
      </w:r>
      <w:r>
        <w:rPr>
          <w:color w:val="auto"/>
          <w:highlight w:val="none"/>
        </w:rPr>
        <w:instrText xml:space="preserve"> PAGEREF _Toc17990 \h </w:instrText>
      </w:r>
      <w:r>
        <w:rPr>
          <w:color w:val="auto"/>
          <w:highlight w:val="none"/>
        </w:rPr>
        <w:fldChar w:fldCharType="separate"/>
      </w:r>
      <w:r>
        <w:rPr>
          <w:color w:val="auto"/>
          <w:highlight w:val="none"/>
        </w:rPr>
        <w:t>123</w:t>
      </w:r>
      <w:r>
        <w:rPr>
          <w:color w:val="auto"/>
          <w:highlight w:val="none"/>
        </w:rPr>
        <w:fldChar w:fldCharType="end"/>
      </w:r>
      <w:r>
        <w:rPr>
          <w:rFonts w:ascii="宋体" w:hAnsi="宋体"/>
          <w:bCs/>
          <w:color w:val="auto"/>
          <w:szCs w:val="20"/>
          <w:highlight w:val="none"/>
          <w:lang w:val="zh-CN"/>
        </w:rPr>
        <w:fldChar w:fldCharType="end"/>
      </w:r>
    </w:p>
    <w:p>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_Toc8410 </w:instrText>
      </w:r>
      <w:r>
        <w:rPr>
          <w:rFonts w:ascii="宋体" w:hAnsi="宋体"/>
          <w:bCs/>
          <w:color w:val="auto"/>
          <w:szCs w:val="20"/>
          <w:highlight w:val="none"/>
          <w:lang w:val="zh-CN"/>
        </w:rPr>
        <w:fldChar w:fldCharType="separate"/>
      </w:r>
      <w:r>
        <w:rPr>
          <w:rFonts w:hint="eastAsia" w:ascii="宋体" w:hAnsi="宋体"/>
          <w:color w:val="auto"/>
          <w:highlight w:val="none"/>
        </w:rPr>
        <w:t xml:space="preserve">第八章  </w:t>
      </w:r>
      <w:r>
        <w:rPr>
          <w:rFonts w:hint="eastAsia" w:ascii="宋体" w:hAnsi="宋体"/>
          <w:color w:val="auto"/>
          <w:highlight w:val="none"/>
          <w:lang w:eastAsia="zh-CN"/>
        </w:rPr>
        <w:t>竞选文件</w:t>
      </w:r>
      <w:r>
        <w:rPr>
          <w:rFonts w:hint="eastAsia" w:ascii="宋体" w:hAnsi="宋体"/>
          <w:color w:val="auto"/>
          <w:highlight w:val="none"/>
        </w:rPr>
        <w:t>格式</w:t>
      </w:r>
      <w:r>
        <w:rPr>
          <w:color w:val="auto"/>
          <w:highlight w:val="none"/>
        </w:rPr>
        <w:tab/>
      </w:r>
      <w:r>
        <w:rPr>
          <w:color w:val="auto"/>
          <w:highlight w:val="none"/>
        </w:rPr>
        <w:fldChar w:fldCharType="begin"/>
      </w:r>
      <w:r>
        <w:rPr>
          <w:color w:val="auto"/>
          <w:highlight w:val="none"/>
        </w:rPr>
        <w:instrText xml:space="preserve"> PAGEREF _Toc8410 \h </w:instrText>
      </w:r>
      <w:r>
        <w:rPr>
          <w:color w:val="auto"/>
          <w:highlight w:val="none"/>
        </w:rPr>
        <w:fldChar w:fldCharType="separate"/>
      </w:r>
      <w:r>
        <w:rPr>
          <w:color w:val="auto"/>
          <w:highlight w:val="none"/>
        </w:rPr>
        <w:t>124</w:t>
      </w:r>
      <w:r>
        <w:rPr>
          <w:color w:val="auto"/>
          <w:highlight w:val="none"/>
        </w:rPr>
        <w:fldChar w:fldCharType="end"/>
      </w:r>
      <w:r>
        <w:rPr>
          <w:rFonts w:ascii="宋体" w:hAnsi="宋体"/>
          <w:bCs/>
          <w:color w:val="auto"/>
          <w:szCs w:val="20"/>
          <w:highlight w:val="none"/>
          <w:lang w:val="zh-CN"/>
        </w:rPr>
        <w:fldChar w:fldCharType="end"/>
      </w:r>
    </w:p>
    <w:p>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_Toc26450 </w:instrText>
      </w:r>
      <w:r>
        <w:rPr>
          <w:rFonts w:ascii="宋体" w:hAnsi="宋体"/>
          <w:bCs/>
          <w:color w:val="auto"/>
          <w:szCs w:val="20"/>
          <w:highlight w:val="none"/>
          <w:lang w:val="zh-CN"/>
        </w:rPr>
        <w:fldChar w:fldCharType="separate"/>
      </w:r>
      <w:r>
        <w:rPr>
          <w:rFonts w:hint="eastAsia" w:ascii="宋体" w:hAnsi="宋体"/>
          <w:bCs w:val="0"/>
          <w:color w:val="auto"/>
          <w:szCs w:val="44"/>
          <w:highlight w:val="none"/>
          <w:lang w:val="en-US" w:eastAsia="zh-CN"/>
        </w:rPr>
        <w:t>一</w:t>
      </w:r>
      <w:r>
        <w:rPr>
          <w:rFonts w:hint="eastAsia" w:ascii="宋体" w:hAnsi="宋体"/>
          <w:bCs w:val="0"/>
          <w:color w:val="auto"/>
          <w:szCs w:val="44"/>
          <w:highlight w:val="none"/>
        </w:rPr>
        <w:t>、</w:t>
      </w:r>
      <w:r>
        <w:rPr>
          <w:rFonts w:hint="eastAsia" w:ascii="宋体" w:hAnsi="宋体"/>
          <w:bCs w:val="0"/>
          <w:color w:val="auto"/>
          <w:szCs w:val="44"/>
          <w:highlight w:val="none"/>
          <w:lang w:eastAsia="zh-CN"/>
        </w:rPr>
        <w:t>竞选函</w:t>
      </w:r>
      <w:r>
        <w:rPr>
          <w:rFonts w:hint="eastAsia" w:ascii="宋体" w:hAnsi="宋体"/>
          <w:bCs w:val="0"/>
          <w:color w:val="auto"/>
          <w:szCs w:val="44"/>
          <w:highlight w:val="none"/>
        </w:rPr>
        <w:t>部分</w:t>
      </w:r>
      <w:r>
        <w:rPr>
          <w:color w:val="auto"/>
          <w:highlight w:val="none"/>
        </w:rPr>
        <w:tab/>
      </w:r>
      <w:r>
        <w:rPr>
          <w:color w:val="auto"/>
          <w:highlight w:val="none"/>
        </w:rPr>
        <w:fldChar w:fldCharType="begin"/>
      </w:r>
      <w:r>
        <w:rPr>
          <w:color w:val="auto"/>
          <w:highlight w:val="none"/>
        </w:rPr>
        <w:instrText xml:space="preserve"> PAGEREF _Toc26450 \h </w:instrText>
      </w:r>
      <w:r>
        <w:rPr>
          <w:color w:val="auto"/>
          <w:highlight w:val="none"/>
        </w:rPr>
        <w:fldChar w:fldCharType="separate"/>
      </w:r>
      <w:r>
        <w:rPr>
          <w:color w:val="auto"/>
          <w:highlight w:val="none"/>
        </w:rPr>
        <w:t>126</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_Toc25596 </w:instrText>
      </w:r>
      <w:r>
        <w:rPr>
          <w:rFonts w:ascii="宋体" w:hAnsi="宋体"/>
          <w:bCs/>
          <w:color w:val="auto"/>
          <w:szCs w:val="20"/>
          <w:highlight w:val="none"/>
          <w:lang w:val="zh-CN"/>
        </w:rPr>
        <w:fldChar w:fldCharType="separate"/>
      </w:r>
      <w:r>
        <w:rPr>
          <w:rFonts w:hint="eastAsia"/>
          <w:color w:val="auto"/>
          <w:highlight w:val="none"/>
        </w:rPr>
        <w:t>（一）</w:t>
      </w:r>
      <w:r>
        <w:rPr>
          <w:rFonts w:hint="eastAsia"/>
          <w:color w:val="auto"/>
          <w:highlight w:val="none"/>
          <w:lang w:eastAsia="zh-CN"/>
        </w:rPr>
        <w:t>竞选函</w:t>
      </w:r>
      <w:r>
        <w:rPr>
          <w:color w:val="auto"/>
          <w:highlight w:val="none"/>
        </w:rPr>
        <w:tab/>
      </w:r>
      <w:r>
        <w:rPr>
          <w:color w:val="auto"/>
          <w:highlight w:val="none"/>
        </w:rPr>
        <w:fldChar w:fldCharType="begin"/>
      </w:r>
      <w:r>
        <w:rPr>
          <w:color w:val="auto"/>
          <w:highlight w:val="none"/>
        </w:rPr>
        <w:instrText xml:space="preserve"> PAGEREF _Toc25596 \h </w:instrText>
      </w:r>
      <w:r>
        <w:rPr>
          <w:color w:val="auto"/>
          <w:highlight w:val="none"/>
        </w:rPr>
        <w:fldChar w:fldCharType="separate"/>
      </w:r>
      <w:r>
        <w:rPr>
          <w:color w:val="auto"/>
          <w:highlight w:val="none"/>
        </w:rPr>
        <w:t>129</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_Toc17852 </w:instrText>
      </w:r>
      <w:r>
        <w:rPr>
          <w:rFonts w:ascii="宋体" w:hAnsi="宋体"/>
          <w:bCs/>
          <w:color w:val="auto"/>
          <w:szCs w:val="20"/>
          <w:highlight w:val="none"/>
          <w:lang w:val="zh-CN"/>
        </w:rPr>
        <w:fldChar w:fldCharType="separate"/>
      </w:r>
      <w:r>
        <w:rPr>
          <w:color w:val="auto"/>
          <w:highlight w:val="none"/>
        </w:rPr>
        <w:t>（二）</w:t>
      </w:r>
      <w:r>
        <w:rPr>
          <w:rFonts w:hint="eastAsia"/>
          <w:color w:val="auto"/>
          <w:highlight w:val="none"/>
          <w:lang w:eastAsia="zh-CN"/>
        </w:rPr>
        <w:t>竞选函</w:t>
      </w:r>
      <w:r>
        <w:rPr>
          <w:color w:val="auto"/>
          <w:highlight w:val="none"/>
        </w:rPr>
        <w:t>附录</w:t>
      </w:r>
      <w:r>
        <w:rPr>
          <w:color w:val="auto"/>
          <w:highlight w:val="none"/>
        </w:rPr>
        <w:tab/>
      </w:r>
      <w:r>
        <w:rPr>
          <w:color w:val="auto"/>
          <w:highlight w:val="none"/>
        </w:rPr>
        <w:fldChar w:fldCharType="begin"/>
      </w:r>
      <w:r>
        <w:rPr>
          <w:color w:val="auto"/>
          <w:highlight w:val="none"/>
        </w:rPr>
        <w:instrText xml:space="preserve"> PAGEREF _Toc17852 \h </w:instrText>
      </w:r>
      <w:r>
        <w:rPr>
          <w:color w:val="auto"/>
          <w:highlight w:val="none"/>
        </w:rPr>
        <w:fldChar w:fldCharType="separate"/>
      </w:r>
      <w:r>
        <w:rPr>
          <w:color w:val="auto"/>
          <w:highlight w:val="none"/>
        </w:rPr>
        <w:t>130</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_Toc374 </w:instrText>
      </w:r>
      <w:r>
        <w:rPr>
          <w:rFonts w:ascii="宋体" w:hAnsi="宋体"/>
          <w:bCs/>
          <w:color w:val="auto"/>
          <w:szCs w:val="20"/>
          <w:highlight w:val="none"/>
          <w:lang w:val="zh-CN"/>
        </w:rPr>
        <w:fldChar w:fldCharType="separate"/>
      </w:r>
      <w:r>
        <w:rPr>
          <w:color w:val="auto"/>
          <w:szCs w:val="30"/>
          <w:highlight w:val="none"/>
        </w:rPr>
        <w:t>（三）</w:t>
      </w:r>
      <w:r>
        <w:rPr>
          <w:rFonts w:hint="eastAsia"/>
          <w:color w:val="auto"/>
          <w:szCs w:val="30"/>
          <w:highlight w:val="none"/>
        </w:rPr>
        <w:t>法定代表人身份证明或附有法定代表人身份证明的授权委托书</w:t>
      </w:r>
      <w:r>
        <w:rPr>
          <w:color w:val="auto"/>
          <w:highlight w:val="none"/>
        </w:rPr>
        <w:tab/>
      </w:r>
      <w:r>
        <w:rPr>
          <w:color w:val="auto"/>
          <w:highlight w:val="none"/>
        </w:rPr>
        <w:fldChar w:fldCharType="begin"/>
      </w:r>
      <w:r>
        <w:rPr>
          <w:color w:val="auto"/>
          <w:highlight w:val="none"/>
        </w:rPr>
        <w:instrText xml:space="preserve"> PAGEREF _Toc374 \h </w:instrText>
      </w:r>
      <w:r>
        <w:rPr>
          <w:color w:val="auto"/>
          <w:highlight w:val="none"/>
        </w:rPr>
        <w:fldChar w:fldCharType="separate"/>
      </w:r>
      <w:r>
        <w:rPr>
          <w:color w:val="auto"/>
          <w:highlight w:val="none"/>
        </w:rPr>
        <w:t>131</w:t>
      </w:r>
      <w:r>
        <w:rPr>
          <w:color w:val="auto"/>
          <w:highlight w:val="none"/>
        </w:rPr>
        <w:fldChar w:fldCharType="end"/>
      </w:r>
      <w:r>
        <w:rPr>
          <w:rFonts w:ascii="宋体" w:hAnsi="宋体"/>
          <w:bCs/>
          <w:color w:val="auto"/>
          <w:szCs w:val="20"/>
          <w:highlight w:val="none"/>
          <w:lang w:val="zh-CN"/>
        </w:rPr>
        <w:fldChar w:fldCharType="end"/>
      </w:r>
    </w:p>
    <w:p>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_Toc12999 </w:instrText>
      </w:r>
      <w:r>
        <w:rPr>
          <w:rFonts w:ascii="宋体" w:hAnsi="宋体"/>
          <w:bCs/>
          <w:color w:val="auto"/>
          <w:szCs w:val="20"/>
          <w:highlight w:val="none"/>
          <w:lang w:val="zh-CN"/>
        </w:rPr>
        <w:fldChar w:fldCharType="separate"/>
      </w:r>
      <w:r>
        <w:rPr>
          <w:rFonts w:hint="eastAsia" w:ascii="宋体" w:hAnsi="宋体"/>
          <w:bCs w:val="0"/>
          <w:color w:val="auto"/>
          <w:szCs w:val="44"/>
          <w:highlight w:val="none"/>
          <w:lang w:val="en-US" w:eastAsia="zh-CN"/>
        </w:rPr>
        <w:t>二</w:t>
      </w:r>
      <w:r>
        <w:rPr>
          <w:rFonts w:hint="eastAsia" w:ascii="宋体" w:hAnsi="宋体"/>
          <w:bCs w:val="0"/>
          <w:color w:val="auto"/>
          <w:szCs w:val="44"/>
          <w:highlight w:val="none"/>
        </w:rPr>
        <w:t>、经济部分</w:t>
      </w:r>
      <w:r>
        <w:rPr>
          <w:color w:val="auto"/>
          <w:highlight w:val="none"/>
        </w:rPr>
        <w:tab/>
      </w:r>
      <w:r>
        <w:rPr>
          <w:color w:val="auto"/>
          <w:highlight w:val="none"/>
        </w:rPr>
        <w:fldChar w:fldCharType="begin"/>
      </w:r>
      <w:r>
        <w:rPr>
          <w:color w:val="auto"/>
          <w:highlight w:val="none"/>
        </w:rPr>
        <w:instrText xml:space="preserve"> PAGEREF _Toc12999 \h </w:instrText>
      </w:r>
      <w:r>
        <w:rPr>
          <w:color w:val="auto"/>
          <w:highlight w:val="none"/>
        </w:rPr>
        <w:fldChar w:fldCharType="separate"/>
      </w:r>
      <w:r>
        <w:rPr>
          <w:color w:val="auto"/>
          <w:highlight w:val="none"/>
        </w:rPr>
        <w:t>133</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_Toc6920 </w:instrText>
      </w:r>
      <w:r>
        <w:rPr>
          <w:rFonts w:ascii="宋体" w:hAnsi="宋体"/>
          <w:bCs/>
          <w:color w:val="auto"/>
          <w:szCs w:val="20"/>
          <w:highlight w:val="none"/>
          <w:lang w:val="zh-CN"/>
        </w:rPr>
        <w:fldChar w:fldCharType="separate"/>
      </w:r>
      <w:r>
        <w:rPr>
          <w:rFonts w:hint="eastAsia"/>
          <w:color w:val="auto"/>
          <w:highlight w:val="none"/>
        </w:rPr>
        <w:t>（一）已标价工程量清单</w:t>
      </w:r>
      <w:r>
        <w:rPr>
          <w:color w:val="auto"/>
          <w:highlight w:val="none"/>
        </w:rPr>
        <w:tab/>
      </w:r>
      <w:r>
        <w:rPr>
          <w:color w:val="auto"/>
          <w:highlight w:val="none"/>
        </w:rPr>
        <w:fldChar w:fldCharType="begin"/>
      </w:r>
      <w:r>
        <w:rPr>
          <w:color w:val="auto"/>
          <w:highlight w:val="none"/>
        </w:rPr>
        <w:instrText xml:space="preserve"> PAGEREF _Toc6920 \h </w:instrText>
      </w:r>
      <w:r>
        <w:rPr>
          <w:color w:val="auto"/>
          <w:highlight w:val="none"/>
        </w:rPr>
        <w:fldChar w:fldCharType="separate"/>
      </w:r>
      <w:r>
        <w:rPr>
          <w:color w:val="auto"/>
          <w:highlight w:val="none"/>
        </w:rPr>
        <w:t>136</w:t>
      </w:r>
      <w:r>
        <w:rPr>
          <w:color w:val="auto"/>
          <w:highlight w:val="none"/>
        </w:rPr>
        <w:fldChar w:fldCharType="end"/>
      </w:r>
      <w:r>
        <w:rPr>
          <w:rFonts w:ascii="宋体" w:hAnsi="宋体"/>
          <w:bCs/>
          <w:color w:val="auto"/>
          <w:szCs w:val="20"/>
          <w:highlight w:val="none"/>
          <w:lang w:val="zh-CN"/>
        </w:rPr>
        <w:fldChar w:fldCharType="end"/>
      </w:r>
    </w:p>
    <w:p>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_Toc12442 </w:instrText>
      </w:r>
      <w:r>
        <w:rPr>
          <w:rFonts w:ascii="宋体" w:hAnsi="宋体"/>
          <w:bCs/>
          <w:color w:val="auto"/>
          <w:szCs w:val="20"/>
          <w:highlight w:val="none"/>
          <w:lang w:val="zh-CN"/>
        </w:rPr>
        <w:fldChar w:fldCharType="separate"/>
      </w:r>
      <w:r>
        <w:rPr>
          <w:rFonts w:hint="eastAsia" w:ascii="宋体" w:hAnsi="宋体"/>
          <w:bCs w:val="0"/>
          <w:color w:val="auto"/>
          <w:szCs w:val="44"/>
          <w:highlight w:val="none"/>
          <w:lang w:val="en-US" w:eastAsia="zh-CN"/>
        </w:rPr>
        <w:t>三</w:t>
      </w:r>
      <w:r>
        <w:rPr>
          <w:rFonts w:hint="eastAsia" w:ascii="宋体" w:hAnsi="宋体"/>
          <w:bCs w:val="0"/>
          <w:color w:val="auto"/>
          <w:szCs w:val="44"/>
          <w:highlight w:val="none"/>
        </w:rPr>
        <w:t>、技术部分</w:t>
      </w:r>
      <w:r>
        <w:rPr>
          <w:color w:val="auto"/>
          <w:highlight w:val="none"/>
        </w:rPr>
        <w:tab/>
      </w:r>
      <w:r>
        <w:rPr>
          <w:color w:val="auto"/>
          <w:highlight w:val="none"/>
        </w:rPr>
        <w:fldChar w:fldCharType="begin"/>
      </w:r>
      <w:r>
        <w:rPr>
          <w:color w:val="auto"/>
          <w:highlight w:val="none"/>
        </w:rPr>
        <w:instrText xml:space="preserve"> PAGEREF _Toc12442 \h </w:instrText>
      </w:r>
      <w:r>
        <w:rPr>
          <w:color w:val="auto"/>
          <w:highlight w:val="none"/>
        </w:rPr>
        <w:fldChar w:fldCharType="separate"/>
      </w:r>
      <w:r>
        <w:rPr>
          <w:color w:val="auto"/>
          <w:highlight w:val="none"/>
        </w:rPr>
        <w:t>137</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_Toc31767 </w:instrText>
      </w:r>
      <w:r>
        <w:rPr>
          <w:rFonts w:ascii="宋体" w:hAnsi="宋体"/>
          <w:bCs/>
          <w:color w:val="auto"/>
          <w:szCs w:val="20"/>
          <w:highlight w:val="none"/>
          <w:lang w:val="zh-CN"/>
        </w:rPr>
        <w:fldChar w:fldCharType="separate"/>
      </w:r>
      <w:r>
        <w:rPr>
          <w:rFonts w:hint="eastAsia"/>
          <w:color w:val="auto"/>
          <w:highlight w:val="none"/>
        </w:rPr>
        <w:t>（一）技术方案</w:t>
      </w:r>
      <w:r>
        <w:rPr>
          <w:color w:val="auto"/>
          <w:highlight w:val="none"/>
        </w:rPr>
        <w:tab/>
      </w:r>
      <w:r>
        <w:rPr>
          <w:color w:val="auto"/>
          <w:highlight w:val="none"/>
        </w:rPr>
        <w:fldChar w:fldCharType="begin"/>
      </w:r>
      <w:r>
        <w:rPr>
          <w:color w:val="auto"/>
          <w:highlight w:val="none"/>
        </w:rPr>
        <w:instrText xml:space="preserve"> PAGEREF _Toc31767 \h </w:instrText>
      </w:r>
      <w:r>
        <w:rPr>
          <w:color w:val="auto"/>
          <w:highlight w:val="none"/>
        </w:rPr>
        <w:fldChar w:fldCharType="separate"/>
      </w:r>
      <w:r>
        <w:rPr>
          <w:color w:val="auto"/>
          <w:highlight w:val="none"/>
        </w:rPr>
        <w:t>139</w:t>
      </w:r>
      <w:r>
        <w:rPr>
          <w:color w:val="auto"/>
          <w:highlight w:val="none"/>
        </w:rPr>
        <w:fldChar w:fldCharType="end"/>
      </w:r>
      <w:r>
        <w:rPr>
          <w:rFonts w:ascii="宋体" w:hAnsi="宋体"/>
          <w:bCs/>
          <w:color w:val="auto"/>
          <w:szCs w:val="20"/>
          <w:highlight w:val="none"/>
          <w:lang w:val="zh-CN"/>
        </w:rPr>
        <w:fldChar w:fldCharType="end"/>
      </w:r>
    </w:p>
    <w:p>
      <w:pPr>
        <w:pStyle w:val="37"/>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_Toc20341 </w:instrText>
      </w:r>
      <w:r>
        <w:rPr>
          <w:rFonts w:ascii="宋体" w:hAnsi="宋体"/>
          <w:bCs/>
          <w:color w:val="auto"/>
          <w:szCs w:val="20"/>
          <w:highlight w:val="none"/>
          <w:lang w:val="zh-CN"/>
        </w:rPr>
        <w:fldChar w:fldCharType="separate"/>
      </w:r>
      <w:r>
        <w:rPr>
          <w:rFonts w:hint="eastAsia" w:ascii="宋体" w:hAnsi="宋体"/>
          <w:bCs w:val="0"/>
          <w:color w:val="auto"/>
          <w:szCs w:val="44"/>
          <w:highlight w:val="none"/>
          <w:lang w:val="en-US" w:eastAsia="zh-CN"/>
        </w:rPr>
        <w:t>四</w:t>
      </w:r>
      <w:r>
        <w:rPr>
          <w:rFonts w:hint="eastAsia" w:ascii="宋体" w:hAnsi="宋体"/>
          <w:bCs w:val="0"/>
          <w:color w:val="auto"/>
          <w:szCs w:val="44"/>
          <w:highlight w:val="none"/>
        </w:rPr>
        <w:t>、资格审查部分</w:t>
      </w:r>
      <w:r>
        <w:rPr>
          <w:color w:val="auto"/>
          <w:highlight w:val="none"/>
        </w:rPr>
        <w:tab/>
      </w:r>
      <w:r>
        <w:rPr>
          <w:color w:val="auto"/>
          <w:highlight w:val="none"/>
        </w:rPr>
        <w:fldChar w:fldCharType="begin"/>
      </w:r>
      <w:r>
        <w:rPr>
          <w:color w:val="auto"/>
          <w:highlight w:val="none"/>
        </w:rPr>
        <w:instrText xml:space="preserve"> PAGEREF _Toc20341 \h </w:instrText>
      </w:r>
      <w:r>
        <w:rPr>
          <w:color w:val="auto"/>
          <w:highlight w:val="none"/>
        </w:rPr>
        <w:fldChar w:fldCharType="separate"/>
      </w:r>
      <w:r>
        <w:rPr>
          <w:color w:val="auto"/>
          <w:highlight w:val="none"/>
        </w:rPr>
        <w:t>146</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_Toc25741 </w:instrText>
      </w:r>
      <w:r>
        <w:rPr>
          <w:rFonts w:ascii="宋体" w:hAnsi="宋体"/>
          <w:bCs/>
          <w:color w:val="auto"/>
          <w:szCs w:val="20"/>
          <w:highlight w:val="none"/>
          <w:lang w:val="zh-CN"/>
        </w:rPr>
        <w:fldChar w:fldCharType="separate"/>
      </w:r>
      <w:r>
        <w:rPr>
          <w:color w:val="auto"/>
          <w:szCs w:val="30"/>
          <w:highlight w:val="none"/>
        </w:rPr>
        <w:t>（一）</w:t>
      </w:r>
      <w:r>
        <w:rPr>
          <w:rFonts w:hint="eastAsia"/>
          <w:color w:val="auto"/>
          <w:szCs w:val="30"/>
          <w:highlight w:val="none"/>
        </w:rPr>
        <w:t>法定代表人身份证明或附有法定代表人身份证明的授权委托书</w:t>
      </w:r>
      <w:r>
        <w:rPr>
          <w:color w:val="auto"/>
          <w:highlight w:val="none"/>
        </w:rPr>
        <w:tab/>
      </w:r>
      <w:r>
        <w:rPr>
          <w:color w:val="auto"/>
          <w:highlight w:val="none"/>
        </w:rPr>
        <w:fldChar w:fldCharType="begin"/>
      </w:r>
      <w:r>
        <w:rPr>
          <w:color w:val="auto"/>
          <w:highlight w:val="none"/>
        </w:rPr>
        <w:instrText xml:space="preserve"> PAGEREF _Toc25741 \h </w:instrText>
      </w:r>
      <w:r>
        <w:rPr>
          <w:color w:val="auto"/>
          <w:highlight w:val="none"/>
        </w:rPr>
        <w:fldChar w:fldCharType="separate"/>
      </w:r>
      <w:r>
        <w:rPr>
          <w:color w:val="auto"/>
          <w:highlight w:val="none"/>
        </w:rPr>
        <w:t>149</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_Toc9629 </w:instrText>
      </w:r>
      <w:r>
        <w:rPr>
          <w:rFonts w:ascii="宋体" w:hAnsi="宋体"/>
          <w:bCs/>
          <w:color w:val="auto"/>
          <w:szCs w:val="20"/>
          <w:highlight w:val="none"/>
          <w:lang w:val="zh-CN"/>
        </w:rPr>
        <w:fldChar w:fldCharType="separate"/>
      </w:r>
      <w:r>
        <w:rPr>
          <w:color w:val="auto"/>
          <w:highlight w:val="none"/>
        </w:rPr>
        <w:t>（二）</w:t>
      </w:r>
      <w:r>
        <w:rPr>
          <w:rFonts w:hint="eastAsia" w:ascii="宋体" w:hAnsi="宋体"/>
          <w:bCs w:val="0"/>
          <w:color w:val="auto"/>
          <w:highlight w:val="none"/>
          <w:lang w:eastAsia="zh-CN"/>
        </w:rPr>
        <w:t>竞选人</w:t>
      </w:r>
      <w:r>
        <w:rPr>
          <w:rFonts w:hint="eastAsia" w:ascii="宋体" w:hAnsi="宋体"/>
          <w:bCs w:val="0"/>
          <w:color w:val="auto"/>
          <w:highlight w:val="none"/>
        </w:rPr>
        <w:t>基本情况表</w:t>
      </w:r>
      <w:r>
        <w:rPr>
          <w:color w:val="auto"/>
          <w:highlight w:val="none"/>
        </w:rPr>
        <w:tab/>
      </w:r>
      <w:r>
        <w:rPr>
          <w:color w:val="auto"/>
          <w:highlight w:val="none"/>
        </w:rPr>
        <w:fldChar w:fldCharType="begin"/>
      </w:r>
      <w:r>
        <w:rPr>
          <w:color w:val="auto"/>
          <w:highlight w:val="none"/>
        </w:rPr>
        <w:instrText xml:space="preserve"> PAGEREF _Toc9629 \h </w:instrText>
      </w:r>
      <w:r>
        <w:rPr>
          <w:color w:val="auto"/>
          <w:highlight w:val="none"/>
        </w:rPr>
        <w:fldChar w:fldCharType="separate"/>
      </w:r>
      <w:r>
        <w:rPr>
          <w:color w:val="auto"/>
          <w:highlight w:val="none"/>
        </w:rPr>
        <w:t>151</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_Toc6036 </w:instrText>
      </w:r>
      <w:r>
        <w:rPr>
          <w:rFonts w:ascii="宋体" w:hAnsi="宋体"/>
          <w:bCs/>
          <w:color w:val="auto"/>
          <w:szCs w:val="20"/>
          <w:highlight w:val="none"/>
          <w:lang w:val="zh-CN"/>
        </w:rPr>
        <w:fldChar w:fldCharType="separate"/>
      </w:r>
      <w:r>
        <w:rPr>
          <w:rFonts w:hint="eastAsia" w:ascii="宋体" w:hAnsi="宋体"/>
          <w:bCs w:val="0"/>
          <w:color w:val="auto"/>
          <w:highlight w:val="none"/>
        </w:rPr>
        <w:t>（</w:t>
      </w:r>
      <w:r>
        <w:rPr>
          <w:rFonts w:hint="eastAsia" w:ascii="宋体" w:hAnsi="宋体"/>
          <w:bCs w:val="0"/>
          <w:color w:val="auto"/>
          <w:highlight w:val="none"/>
          <w:lang w:val="en-US" w:eastAsia="zh-CN"/>
        </w:rPr>
        <w:t>三</w:t>
      </w:r>
      <w:r>
        <w:rPr>
          <w:rFonts w:hint="eastAsia" w:ascii="宋体" w:hAnsi="宋体"/>
          <w:bCs w:val="0"/>
          <w:color w:val="auto"/>
          <w:highlight w:val="none"/>
        </w:rPr>
        <w:t>）项目管理机构</w:t>
      </w:r>
      <w:r>
        <w:rPr>
          <w:color w:val="auto"/>
          <w:highlight w:val="none"/>
        </w:rPr>
        <w:tab/>
      </w:r>
      <w:r>
        <w:rPr>
          <w:color w:val="auto"/>
          <w:highlight w:val="none"/>
        </w:rPr>
        <w:fldChar w:fldCharType="begin"/>
      </w:r>
      <w:r>
        <w:rPr>
          <w:color w:val="auto"/>
          <w:highlight w:val="none"/>
        </w:rPr>
        <w:instrText xml:space="preserve"> PAGEREF _Toc6036 \h </w:instrText>
      </w:r>
      <w:r>
        <w:rPr>
          <w:color w:val="auto"/>
          <w:highlight w:val="none"/>
        </w:rPr>
        <w:fldChar w:fldCharType="separate"/>
      </w:r>
      <w:r>
        <w:rPr>
          <w:color w:val="auto"/>
          <w:highlight w:val="none"/>
        </w:rPr>
        <w:t>152</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_Toc16294 </w:instrText>
      </w:r>
      <w:r>
        <w:rPr>
          <w:rFonts w:ascii="宋体" w:hAnsi="宋体"/>
          <w:bCs/>
          <w:color w:val="auto"/>
          <w:szCs w:val="20"/>
          <w:highlight w:val="none"/>
          <w:lang w:val="zh-CN"/>
        </w:rPr>
        <w:fldChar w:fldCharType="separate"/>
      </w:r>
      <w:r>
        <w:rPr>
          <w:rFonts w:hint="eastAsia" w:ascii="宋体" w:hAnsi="宋体"/>
          <w:color w:val="auto"/>
          <w:highlight w:val="none"/>
        </w:rPr>
        <w:t>（</w:t>
      </w:r>
      <w:r>
        <w:rPr>
          <w:rFonts w:hint="eastAsia" w:ascii="宋体" w:hAnsi="宋体"/>
          <w:color w:val="auto"/>
          <w:highlight w:val="none"/>
          <w:lang w:val="en-US" w:eastAsia="zh-CN"/>
        </w:rPr>
        <w:t>四</w:t>
      </w:r>
      <w:r>
        <w:rPr>
          <w:rFonts w:hint="eastAsia" w:ascii="宋体" w:hAnsi="宋体"/>
          <w:color w:val="auto"/>
          <w:highlight w:val="none"/>
        </w:rPr>
        <w:t>）近年财务状况表</w:t>
      </w:r>
      <w:r>
        <w:rPr>
          <w:color w:val="auto"/>
          <w:highlight w:val="none"/>
        </w:rPr>
        <w:tab/>
      </w:r>
      <w:r>
        <w:rPr>
          <w:color w:val="auto"/>
          <w:highlight w:val="none"/>
        </w:rPr>
        <w:fldChar w:fldCharType="begin"/>
      </w:r>
      <w:r>
        <w:rPr>
          <w:color w:val="auto"/>
          <w:highlight w:val="none"/>
        </w:rPr>
        <w:instrText xml:space="preserve"> PAGEREF _Toc16294 \h </w:instrText>
      </w:r>
      <w:r>
        <w:rPr>
          <w:color w:val="auto"/>
          <w:highlight w:val="none"/>
        </w:rPr>
        <w:fldChar w:fldCharType="separate"/>
      </w:r>
      <w:r>
        <w:rPr>
          <w:color w:val="auto"/>
          <w:highlight w:val="none"/>
        </w:rPr>
        <w:t>154</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_Toc13630 </w:instrText>
      </w:r>
      <w:r>
        <w:rPr>
          <w:rFonts w:ascii="宋体" w:hAnsi="宋体"/>
          <w:bCs/>
          <w:color w:val="auto"/>
          <w:szCs w:val="20"/>
          <w:highlight w:val="none"/>
          <w:lang w:val="zh-CN"/>
        </w:rPr>
        <w:fldChar w:fldCharType="separate"/>
      </w:r>
      <w:r>
        <w:rPr>
          <w:rFonts w:ascii="宋体" w:hAnsi="宋体"/>
          <w:color w:val="auto"/>
          <w:highlight w:val="none"/>
        </w:rPr>
        <w:t>（</w:t>
      </w:r>
      <w:r>
        <w:rPr>
          <w:rFonts w:hint="eastAsia" w:ascii="宋体" w:hAnsi="宋体"/>
          <w:color w:val="auto"/>
          <w:highlight w:val="none"/>
          <w:lang w:val="en-US" w:eastAsia="zh-CN"/>
        </w:rPr>
        <w:t>五</w:t>
      </w:r>
      <w:r>
        <w:rPr>
          <w:rFonts w:ascii="宋体" w:hAnsi="宋体"/>
          <w:color w:val="auto"/>
          <w:highlight w:val="none"/>
        </w:rPr>
        <w:t>）类似项目情况表</w:t>
      </w:r>
      <w:r>
        <w:rPr>
          <w:color w:val="auto"/>
          <w:highlight w:val="none"/>
        </w:rPr>
        <w:tab/>
      </w:r>
      <w:r>
        <w:rPr>
          <w:color w:val="auto"/>
          <w:highlight w:val="none"/>
        </w:rPr>
        <w:fldChar w:fldCharType="begin"/>
      </w:r>
      <w:r>
        <w:rPr>
          <w:color w:val="auto"/>
          <w:highlight w:val="none"/>
        </w:rPr>
        <w:instrText xml:space="preserve"> PAGEREF _Toc13630 \h </w:instrText>
      </w:r>
      <w:r>
        <w:rPr>
          <w:color w:val="auto"/>
          <w:highlight w:val="none"/>
        </w:rPr>
        <w:fldChar w:fldCharType="separate"/>
      </w:r>
      <w:r>
        <w:rPr>
          <w:color w:val="auto"/>
          <w:highlight w:val="none"/>
        </w:rPr>
        <w:t>155</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_Toc5117 </w:instrText>
      </w:r>
      <w:r>
        <w:rPr>
          <w:rFonts w:ascii="宋体" w:hAnsi="宋体"/>
          <w:bCs/>
          <w:color w:val="auto"/>
          <w:szCs w:val="20"/>
          <w:highlight w:val="none"/>
          <w:lang w:val="zh-CN"/>
        </w:rPr>
        <w:fldChar w:fldCharType="separate"/>
      </w:r>
      <w:r>
        <w:rPr>
          <w:rFonts w:ascii="宋体" w:hAnsi="宋体"/>
          <w:color w:val="auto"/>
          <w:highlight w:val="none"/>
        </w:rPr>
        <w:t>（</w:t>
      </w:r>
      <w:r>
        <w:rPr>
          <w:rFonts w:hint="eastAsia" w:ascii="宋体" w:hAnsi="宋体"/>
          <w:color w:val="auto"/>
          <w:highlight w:val="none"/>
          <w:lang w:val="en-US" w:eastAsia="zh-CN"/>
        </w:rPr>
        <w:t>六</w:t>
      </w:r>
      <w:r>
        <w:rPr>
          <w:rFonts w:ascii="宋体" w:hAnsi="宋体"/>
          <w:color w:val="auto"/>
          <w:highlight w:val="none"/>
        </w:rPr>
        <w:t>）</w:t>
      </w:r>
      <w:r>
        <w:rPr>
          <w:rFonts w:hint="eastAsia" w:ascii="宋体" w:hAnsi="宋体"/>
          <w:color w:val="auto"/>
          <w:highlight w:val="none"/>
        </w:rPr>
        <w:t>承诺</w:t>
      </w:r>
      <w:r>
        <w:rPr>
          <w:color w:val="auto"/>
          <w:highlight w:val="none"/>
        </w:rPr>
        <w:tab/>
      </w:r>
      <w:r>
        <w:rPr>
          <w:color w:val="auto"/>
          <w:highlight w:val="none"/>
        </w:rPr>
        <w:fldChar w:fldCharType="begin"/>
      </w:r>
      <w:r>
        <w:rPr>
          <w:color w:val="auto"/>
          <w:highlight w:val="none"/>
        </w:rPr>
        <w:instrText xml:space="preserve"> PAGEREF _Toc5117 \h </w:instrText>
      </w:r>
      <w:r>
        <w:rPr>
          <w:color w:val="auto"/>
          <w:highlight w:val="none"/>
        </w:rPr>
        <w:fldChar w:fldCharType="separate"/>
      </w:r>
      <w:r>
        <w:rPr>
          <w:color w:val="auto"/>
          <w:highlight w:val="none"/>
        </w:rPr>
        <w:t>156</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_Toc24154 </w:instrText>
      </w:r>
      <w:r>
        <w:rPr>
          <w:rFonts w:ascii="宋体" w:hAnsi="宋体"/>
          <w:bCs/>
          <w:color w:val="auto"/>
          <w:szCs w:val="20"/>
          <w:highlight w:val="none"/>
          <w:lang w:val="zh-CN"/>
        </w:rPr>
        <w:fldChar w:fldCharType="separate"/>
      </w:r>
      <w:r>
        <w:rPr>
          <w:rFonts w:hint="eastAsia" w:ascii="宋体" w:hAnsi="宋体"/>
          <w:color w:val="auto"/>
          <w:highlight w:val="none"/>
        </w:rPr>
        <w:t>（</w:t>
      </w:r>
      <w:r>
        <w:rPr>
          <w:rFonts w:hint="eastAsia" w:ascii="宋体" w:hAnsi="宋体"/>
          <w:color w:val="auto"/>
          <w:highlight w:val="none"/>
          <w:lang w:val="en-US" w:eastAsia="zh-CN"/>
        </w:rPr>
        <w:t>七</w:t>
      </w:r>
      <w:r>
        <w:rPr>
          <w:rFonts w:hint="eastAsia" w:ascii="宋体" w:hAnsi="宋体"/>
          <w:color w:val="auto"/>
          <w:highlight w:val="none"/>
        </w:rPr>
        <w:t>）其他资料</w:t>
      </w:r>
      <w:r>
        <w:rPr>
          <w:color w:val="auto"/>
          <w:highlight w:val="none"/>
        </w:rPr>
        <w:tab/>
      </w:r>
      <w:r>
        <w:rPr>
          <w:color w:val="auto"/>
          <w:highlight w:val="none"/>
        </w:rPr>
        <w:fldChar w:fldCharType="begin"/>
      </w:r>
      <w:r>
        <w:rPr>
          <w:color w:val="auto"/>
          <w:highlight w:val="none"/>
        </w:rPr>
        <w:instrText xml:space="preserve"> PAGEREF _Toc24154 \h </w:instrText>
      </w:r>
      <w:r>
        <w:rPr>
          <w:color w:val="auto"/>
          <w:highlight w:val="none"/>
        </w:rPr>
        <w:fldChar w:fldCharType="separate"/>
      </w:r>
      <w:r>
        <w:rPr>
          <w:color w:val="auto"/>
          <w:highlight w:val="none"/>
        </w:rPr>
        <w:t>158</w:t>
      </w:r>
      <w:r>
        <w:rPr>
          <w:color w:val="auto"/>
          <w:highlight w:val="none"/>
        </w:rPr>
        <w:fldChar w:fldCharType="end"/>
      </w:r>
      <w:r>
        <w:rPr>
          <w:rFonts w:ascii="宋体" w:hAnsi="宋体"/>
          <w:bCs/>
          <w:color w:val="auto"/>
          <w:szCs w:val="20"/>
          <w:highlight w:val="none"/>
          <w:lang w:val="zh-CN"/>
        </w:rPr>
        <w:fldChar w:fldCharType="end"/>
      </w:r>
    </w:p>
    <w:p>
      <w:pPr>
        <w:rPr>
          <w:rFonts w:ascii="宋体" w:hAnsi="宋体"/>
          <w:color w:val="auto"/>
          <w:highlight w:val="none"/>
        </w:rPr>
      </w:pPr>
      <w:r>
        <w:rPr>
          <w:rFonts w:ascii="宋体" w:hAnsi="宋体"/>
          <w:bCs/>
          <w:color w:val="auto"/>
          <w:szCs w:val="20"/>
          <w:highlight w:val="none"/>
          <w:lang w:val="zh-CN"/>
        </w:rPr>
        <w:fldChar w:fldCharType="end"/>
      </w:r>
    </w:p>
    <w:bookmarkEnd w:id="0"/>
    <w:p>
      <w:pPr>
        <w:spacing w:line="20" w:lineRule="exact"/>
        <w:rPr>
          <w:rFonts w:ascii="宋体" w:hAnsi="宋体"/>
          <w:color w:val="auto"/>
          <w:highlight w:val="none"/>
        </w:rPr>
      </w:pPr>
      <w:bookmarkStart w:id="8" w:name="_Toc430530414"/>
    </w:p>
    <w:p>
      <w:pPr>
        <w:spacing w:line="20" w:lineRule="exact"/>
        <w:jc w:val="left"/>
        <w:rPr>
          <w:rFonts w:ascii="宋体" w:hAnsi="宋体"/>
          <w:color w:val="auto"/>
          <w:highlight w:val="none"/>
        </w:rPr>
        <w:sectPr>
          <w:footerReference r:id="rId6" w:type="default"/>
          <w:pgSz w:w="11907" w:h="16840"/>
          <w:pgMar w:top="1304" w:right="1134" w:bottom="1304" w:left="1304" w:header="851" w:footer="992" w:gutter="0"/>
          <w:pgNumType w:fmt="numberInDash" w:start="1"/>
          <w:cols w:space="720" w:num="1"/>
          <w:docGrid w:linePitch="312" w:charSpace="0"/>
        </w:sectPr>
      </w:pPr>
    </w:p>
    <w:bookmarkEnd w:id="8"/>
    <w:p>
      <w:pPr>
        <w:spacing w:line="360" w:lineRule="auto"/>
        <w:rPr>
          <w:rFonts w:ascii="宋体" w:hAnsi="宋体"/>
          <w:color w:val="auto"/>
          <w:highlight w:val="none"/>
        </w:rPr>
      </w:pPr>
    </w:p>
    <w:p>
      <w:pPr>
        <w:pStyle w:val="3"/>
        <w:spacing w:before="0" w:after="0" w:line="480" w:lineRule="auto"/>
        <w:jc w:val="center"/>
        <w:rPr>
          <w:rFonts w:ascii="宋体" w:hAnsi="宋体"/>
          <w:color w:val="auto"/>
          <w:sz w:val="52"/>
          <w:szCs w:val="52"/>
          <w:highlight w:val="none"/>
        </w:rPr>
      </w:pPr>
      <w:bookmarkStart w:id="9" w:name="_Toc22036"/>
      <w:bookmarkStart w:id="10" w:name="_Toc9936"/>
      <w:bookmarkStart w:id="11" w:name="_Toc509218690"/>
      <w:r>
        <w:rPr>
          <w:rFonts w:hint="eastAsia" w:ascii="宋体" w:hAnsi="宋体"/>
          <w:color w:val="auto"/>
          <w:sz w:val="52"/>
          <w:szCs w:val="52"/>
          <w:highlight w:val="none"/>
        </w:rPr>
        <w:t>第 一 卷</w:t>
      </w:r>
      <w:bookmarkEnd w:id="9"/>
      <w:bookmarkEnd w:id="10"/>
      <w:bookmarkEnd w:id="11"/>
    </w:p>
    <w:p>
      <w:pPr>
        <w:spacing w:line="200" w:lineRule="exact"/>
        <w:rPr>
          <w:rFonts w:ascii="宋体" w:hAnsi="宋体"/>
          <w:color w:val="auto"/>
          <w:highlight w:val="none"/>
        </w:rPr>
      </w:pPr>
      <w:r>
        <w:rPr>
          <w:rFonts w:ascii="宋体" w:hAnsi="宋体"/>
          <w:color w:val="auto"/>
          <w:highlight w:val="none"/>
        </w:rPr>
        <w:br w:type="page"/>
      </w:r>
    </w:p>
    <w:p>
      <w:pPr>
        <w:pStyle w:val="3"/>
        <w:spacing w:line="360" w:lineRule="auto"/>
        <w:jc w:val="center"/>
        <w:rPr>
          <w:rFonts w:ascii="宋体" w:hAnsi="宋体"/>
          <w:snapToGrid w:val="0"/>
          <w:color w:val="auto"/>
          <w:kern w:val="0"/>
          <w:highlight w:val="none"/>
        </w:rPr>
      </w:pPr>
      <w:bookmarkStart w:id="12" w:name="_Toc12819"/>
      <w:bookmarkStart w:id="13" w:name="_Toc509218691"/>
      <w:bookmarkStart w:id="14" w:name="_Toc287607727"/>
      <w:bookmarkStart w:id="15" w:name="_Toc430530415"/>
      <w:bookmarkStart w:id="16" w:name="_Toc224103298"/>
      <w:bookmarkStart w:id="17" w:name="_Toc23738"/>
      <w:bookmarkStart w:id="18" w:name="_Toc277082535"/>
      <w:bookmarkStart w:id="19" w:name="_Toc287620666"/>
      <w:r>
        <w:rPr>
          <w:rFonts w:ascii="宋体" w:hAnsi="宋体"/>
          <w:snapToGrid w:val="0"/>
          <w:color w:val="auto"/>
          <w:kern w:val="0"/>
          <w:highlight w:val="none"/>
        </w:rPr>
        <w:t xml:space="preserve">第一章  </w:t>
      </w:r>
      <w:r>
        <w:rPr>
          <w:rFonts w:hint="eastAsia" w:ascii="宋体" w:hAnsi="宋体"/>
          <w:snapToGrid w:val="0"/>
          <w:color w:val="auto"/>
          <w:kern w:val="0"/>
          <w:highlight w:val="none"/>
          <w:lang w:eastAsia="zh-CN"/>
        </w:rPr>
        <w:t>比选公告</w:t>
      </w:r>
      <w:bookmarkEnd w:id="12"/>
      <w:bookmarkEnd w:id="13"/>
      <w:bookmarkEnd w:id="14"/>
      <w:bookmarkEnd w:id="15"/>
      <w:bookmarkEnd w:id="16"/>
      <w:bookmarkEnd w:id="17"/>
      <w:bookmarkEnd w:id="18"/>
      <w:bookmarkEnd w:id="19"/>
    </w:p>
    <w:p>
      <w:pPr>
        <w:autoSpaceDE w:val="0"/>
        <w:autoSpaceDN w:val="0"/>
        <w:adjustRightInd w:val="0"/>
        <w:snapToGrid w:val="0"/>
        <w:spacing w:line="360" w:lineRule="auto"/>
        <w:jc w:val="center"/>
        <w:rPr>
          <w:rFonts w:hint="eastAsia" w:ascii="宋体" w:hAnsi="宋体" w:eastAsia="宋体"/>
          <w:snapToGrid w:val="0"/>
          <w:color w:val="auto"/>
          <w:kern w:val="0"/>
          <w:sz w:val="28"/>
          <w:szCs w:val="28"/>
          <w:highlight w:val="none"/>
          <w:lang w:eastAsia="zh-CN"/>
        </w:rPr>
      </w:pPr>
      <w:r>
        <w:rPr>
          <w:rFonts w:hint="eastAsia" w:ascii="宋体" w:hAnsi="宋体" w:eastAsia="宋体" w:cs="Times New Roman"/>
          <w:snapToGrid w:val="0"/>
          <w:color w:val="auto"/>
          <w:w w:val="99"/>
          <w:kern w:val="0"/>
          <w:sz w:val="28"/>
          <w:szCs w:val="28"/>
          <w:highlight w:val="none"/>
          <w:lang w:eastAsia="zh-CN"/>
        </w:rPr>
        <w:t>西计厂房3-6号楼屋面防水整改工程比选公告</w:t>
      </w:r>
    </w:p>
    <w:p>
      <w:pPr>
        <w:pStyle w:val="4"/>
        <w:spacing w:before="100" w:after="100" w:line="460" w:lineRule="exact"/>
        <w:rPr>
          <w:rFonts w:ascii="宋体" w:hAnsi="宋体"/>
          <w:snapToGrid w:val="0"/>
          <w:color w:val="auto"/>
          <w:sz w:val="28"/>
          <w:szCs w:val="28"/>
          <w:highlight w:val="none"/>
        </w:rPr>
      </w:pPr>
      <w:bookmarkStart w:id="20" w:name="_Toc200359427"/>
      <w:bookmarkStart w:id="21" w:name="_Toc287607728"/>
      <w:bookmarkStart w:id="22" w:name="_Toc277082536"/>
      <w:bookmarkStart w:id="23" w:name="_Toc27491"/>
      <w:bookmarkStart w:id="24" w:name="_Toc224103299"/>
      <w:bookmarkStart w:id="25" w:name="_Toc430530416"/>
      <w:bookmarkStart w:id="26" w:name="_Toc287620667"/>
      <w:bookmarkStart w:id="27" w:name="_Toc200359238"/>
      <w:bookmarkStart w:id="28" w:name="_Toc17988"/>
      <w:bookmarkStart w:id="29" w:name="_Toc509218692"/>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招标条件</w:t>
      </w:r>
      <w:bookmarkEnd w:id="20"/>
      <w:bookmarkEnd w:id="21"/>
      <w:bookmarkEnd w:id="22"/>
      <w:bookmarkEnd w:id="23"/>
      <w:bookmarkEnd w:id="24"/>
      <w:bookmarkEnd w:id="25"/>
      <w:bookmarkEnd w:id="26"/>
      <w:bookmarkEnd w:id="27"/>
      <w:bookmarkEnd w:id="28"/>
      <w:bookmarkEnd w:id="29"/>
    </w:p>
    <w:p>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本招标项目</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 xml:space="preserve">西计厂房3-6号楼屋面防水整改工程 </w:t>
      </w:r>
      <w:r>
        <w:rPr>
          <w:rFonts w:ascii="宋体" w:hAnsi="宋体"/>
          <w:snapToGrid w:val="0"/>
          <w:color w:val="auto"/>
          <w:kern w:val="0"/>
          <w:szCs w:val="21"/>
          <w:highlight w:val="none"/>
        </w:rPr>
        <w:t>已由</w:t>
      </w:r>
      <w:r>
        <w:rPr>
          <w:rFonts w:hint="eastAsia" w:ascii="宋体" w:hAnsi="宋体"/>
          <w:snapToGrid w:val="0"/>
          <w:color w:val="auto"/>
          <w:kern w:val="0"/>
          <w:szCs w:val="21"/>
          <w:highlight w:val="none"/>
          <w:u w:val="single"/>
          <w:lang w:eastAsia="zh-CN"/>
        </w:rPr>
        <w:t>获得</w:t>
      </w:r>
      <w:r>
        <w:rPr>
          <w:rFonts w:ascii="宋体" w:hAnsi="宋体"/>
          <w:snapToGrid w:val="0"/>
          <w:color w:val="auto"/>
          <w:kern w:val="0"/>
          <w:szCs w:val="21"/>
          <w:highlight w:val="none"/>
        </w:rPr>
        <w:t>批准建设，项目业主为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重庆经开区投资集团有限公司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，建设资金来自</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业主自筹</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100%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重庆经开区投资集团有限公司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single"/>
        </w:rPr>
        <w:t>该项目的施工</w:t>
      </w:r>
      <w:r>
        <w:rPr>
          <w:rFonts w:ascii="宋体" w:hAnsi="宋体"/>
          <w:snapToGrid w:val="0"/>
          <w:color w:val="auto"/>
          <w:kern w:val="0"/>
          <w:position w:val="-2"/>
          <w:szCs w:val="21"/>
          <w:highlight w:val="none"/>
        </w:rPr>
        <w:t>进行公开</w:t>
      </w:r>
      <w:r>
        <w:rPr>
          <w:rFonts w:hint="eastAsia" w:ascii="宋体" w:hAnsi="宋体"/>
          <w:snapToGrid w:val="0"/>
          <w:color w:val="auto"/>
          <w:kern w:val="0"/>
          <w:position w:val="-2"/>
          <w:szCs w:val="21"/>
          <w:highlight w:val="none"/>
          <w:lang w:val="en-US" w:eastAsia="zh-CN"/>
        </w:rPr>
        <w:t>比选</w:t>
      </w:r>
      <w:r>
        <w:rPr>
          <w:rFonts w:ascii="宋体" w:hAnsi="宋体"/>
          <w:snapToGrid w:val="0"/>
          <w:color w:val="auto"/>
          <w:kern w:val="0"/>
          <w:position w:val="-2"/>
          <w:szCs w:val="21"/>
          <w:highlight w:val="none"/>
        </w:rPr>
        <w:t>。</w:t>
      </w:r>
    </w:p>
    <w:p>
      <w:pPr>
        <w:pStyle w:val="4"/>
        <w:spacing w:before="100" w:after="100" w:line="460" w:lineRule="exact"/>
        <w:rPr>
          <w:rFonts w:ascii="宋体" w:hAnsi="宋体"/>
          <w:snapToGrid w:val="0"/>
          <w:color w:val="auto"/>
          <w:sz w:val="28"/>
          <w:szCs w:val="28"/>
          <w:highlight w:val="none"/>
        </w:rPr>
      </w:pPr>
      <w:bookmarkStart w:id="30" w:name="_Toc287620668"/>
      <w:bookmarkStart w:id="31" w:name="_Toc200359239"/>
      <w:bookmarkStart w:id="32" w:name="_Toc277082537"/>
      <w:bookmarkStart w:id="33" w:name="_Toc430530417"/>
      <w:bookmarkStart w:id="34" w:name="_Toc224103300"/>
      <w:bookmarkStart w:id="35" w:name="_Toc509218693"/>
      <w:bookmarkStart w:id="36" w:name="_Toc287607729"/>
      <w:bookmarkStart w:id="37" w:name="_Toc200359428"/>
      <w:bookmarkStart w:id="38" w:name="_Toc16344"/>
      <w:bookmarkStart w:id="39" w:name="_Toc21028"/>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项目概况与招标范围</w:t>
      </w:r>
      <w:bookmarkEnd w:id="30"/>
      <w:bookmarkEnd w:id="31"/>
      <w:bookmarkEnd w:id="32"/>
      <w:bookmarkEnd w:id="33"/>
      <w:bookmarkEnd w:id="34"/>
      <w:bookmarkEnd w:id="35"/>
      <w:bookmarkEnd w:id="36"/>
      <w:bookmarkEnd w:id="37"/>
      <w:bookmarkEnd w:id="38"/>
      <w:bookmarkEnd w:id="39"/>
    </w:p>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highlight w:val="none"/>
          <w:u w:val="single"/>
          <w:lang w:eastAsia="zh-CN"/>
        </w:rPr>
      </w:pPr>
      <w:r>
        <w:rPr>
          <w:rFonts w:hint="eastAsia" w:ascii="宋体" w:hAnsi="宋体"/>
          <w:snapToGrid w:val="0"/>
          <w:color w:val="auto"/>
          <w:kern w:val="0"/>
          <w:szCs w:val="21"/>
          <w:highlight w:val="none"/>
        </w:rPr>
        <w:t>2.1 建设地点：</w:t>
      </w:r>
      <w:r>
        <w:rPr>
          <w:rFonts w:hint="eastAsia" w:ascii="宋体" w:hAnsi="宋体"/>
          <w:snapToGrid w:val="0"/>
          <w:color w:val="auto"/>
          <w:kern w:val="0"/>
          <w:szCs w:val="21"/>
          <w:highlight w:val="none"/>
          <w:u w:val="none"/>
          <w:lang w:eastAsia="zh-CN"/>
        </w:rPr>
        <w:t>重庆经开区。</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2.2 项目概况与建设规模：西计厂房3-6号楼漏水需补漏面积约1950㎡，6号房拆除及更换变形钢板天沟264㎡。包括但不限于拆除工程、补漏工程等内容，具体以招标人发出的施工图、工程量清单、答疑、补遗等为准，具体详见施工图纸及清单。</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2.3 本次招标项目合同估算金额：373072.45元</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 xml:space="preserve">2.4 </w:t>
      </w:r>
      <w:r>
        <w:rPr>
          <w:rFonts w:hint="eastAsia" w:ascii="宋体" w:hAnsi="宋体"/>
          <w:snapToGrid w:val="0"/>
          <w:color w:val="auto"/>
          <w:kern w:val="0"/>
          <w:szCs w:val="21"/>
          <w:highlight w:val="none"/>
          <w:lang w:val="en-US" w:eastAsia="zh-CN"/>
        </w:rPr>
        <w:t>比选</w:t>
      </w:r>
      <w:r>
        <w:rPr>
          <w:rFonts w:hint="eastAsia" w:ascii="宋体" w:hAnsi="宋体"/>
          <w:snapToGrid w:val="0"/>
          <w:color w:val="auto"/>
          <w:kern w:val="0"/>
          <w:szCs w:val="21"/>
          <w:highlight w:val="none"/>
        </w:rPr>
        <w:t>范围：</w:t>
      </w:r>
      <w:r>
        <w:rPr>
          <w:rFonts w:hint="eastAsia" w:ascii="宋体" w:hAnsi="宋体"/>
          <w:snapToGrid w:val="0"/>
          <w:color w:val="auto"/>
          <w:kern w:val="0"/>
          <w:szCs w:val="21"/>
          <w:highlight w:val="none"/>
          <w:u w:val="single"/>
        </w:rPr>
        <w:t>以本工程</w:t>
      </w:r>
      <w:r>
        <w:rPr>
          <w:rFonts w:hint="eastAsia" w:ascii="宋体" w:hAnsi="宋体"/>
          <w:snapToGrid w:val="0"/>
          <w:color w:val="auto"/>
          <w:kern w:val="0"/>
          <w:szCs w:val="21"/>
          <w:highlight w:val="none"/>
          <w:u w:val="single"/>
          <w:lang w:val="en-US" w:eastAsia="zh-CN"/>
        </w:rPr>
        <w:t>比选人</w:t>
      </w:r>
      <w:r>
        <w:rPr>
          <w:rFonts w:hint="eastAsia" w:ascii="宋体" w:hAnsi="宋体"/>
          <w:snapToGrid w:val="0"/>
          <w:color w:val="auto"/>
          <w:kern w:val="0"/>
          <w:szCs w:val="21"/>
          <w:highlight w:val="none"/>
          <w:u w:val="single"/>
        </w:rPr>
        <w:t>发布的施工图、工程量清单为准，若施工图与工程量清单有不一致的地方，以工程量清单为准。</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2.5 工期要求：</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60 </w:t>
      </w:r>
      <w:r>
        <w:rPr>
          <w:rFonts w:hint="eastAsia" w:ascii="宋体" w:hAnsi="宋体"/>
          <w:snapToGrid w:val="0"/>
          <w:color w:val="auto"/>
          <w:kern w:val="0"/>
          <w:szCs w:val="21"/>
          <w:highlight w:val="none"/>
          <w:u w:val="single"/>
        </w:rPr>
        <w:t>日历天</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质保期</w:t>
      </w:r>
      <w:r>
        <w:rPr>
          <w:rFonts w:hint="eastAsia" w:ascii="宋体" w:hAnsi="宋体"/>
          <w:snapToGrid w:val="0"/>
          <w:color w:val="auto"/>
          <w:kern w:val="0"/>
          <w:szCs w:val="21"/>
          <w:highlight w:val="none"/>
        </w:rPr>
        <w:t>要求：</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5年</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2.6 标段划分（如有）：</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w:t>
      </w:r>
      <w:r>
        <w:rPr>
          <w:rFonts w:hint="eastAsia" w:ascii="宋体" w:hAnsi="宋体"/>
          <w:snapToGrid w:val="0"/>
          <w:color w:val="auto"/>
          <w:kern w:val="0"/>
          <w:szCs w:val="21"/>
          <w:highlight w:val="none"/>
          <w:u w:val="single"/>
        </w:rPr>
        <w:t xml:space="preserve">    </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2.7 其他：</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w:t>
      </w:r>
      <w:r>
        <w:rPr>
          <w:rFonts w:hint="eastAsia" w:ascii="宋体" w:hAnsi="宋体"/>
          <w:snapToGrid w:val="0"/>
          <w:color w:val="auto"/>
          <w:kern w:val="0"/>
          <w:szCs w:val="21"/>
          <w:highlight w:val="none"/>
          <w:u w:val="single"/>
        </w:rPr>
        <w:t xml:space="preserve">    </w:t>
      </w:r>
    </w:p>
    <w:p>
      <w:pPr>
        <w:pStyle w:val="4"/>
        <w:spacing w:before="100" w:after="100" w:line="460" w:lineRule="exact"/>
        <w:rPr>
          <w:rFonts w:ascii="宋体" w:hAnsi="宋体"/>
          <w:snapToGrid w:val="0"/>
          <w:color w:val="auto"/>
          <w:sz w:val="28"/>
          <w:szCs w:val="28"/>
          <w:highlight w:val="none"/>
        </w:rPr>
      </w:pPr>
      <w:bookmarkStart w:id="40" w:name="_Toc224103301"/>
      <w:bookmarkStart w:id="41" w:name="_Toc19513"/>
      <w:bookmarkStart w:id="42" w:name="_Toc509218694"/>
      <w:bookmarkStart w:id="43" w:name="_Toc200359240"/>
      <w:bookmarkStart w:id="44" w:name="_Toc200359429"/>
      <w:bookmarkStart w:id="45" w:name="_Toc277082538"/>
      <w:bookmarkStart w:id="46" w:name="_Toc430530418"/>
      <w:bookmarkStart w:id="47" w:name="_Toc287607730"/>
      <w:bookmarkStart w:id="48" w:name="_Toc287620669"/>
      <w:bookmarkStart w:id="49" w:name="_Toc21053"/>
      <w:r>
        <w:rPr>
          <w:rFonts w:ascii="宋体" w:hAnsi="宋体"/>
          <w:snapToGrid w:val="0"/>
          <w:color w:val="auto"/>
          <w:sz w:val="28"/>
          <w:szCs w:val="28"/>
          <w:highlight w:val="none"/>
        </w:rPr>
        <w:t xml:space="preserve">3. </w:t>
      </w:r>
      <w:r>
        <w:rPr>
          <w:rFonts w:hint="eastAsia" w:ascii="宋体" w:hAnsi="宋体"/>
          <w:snapToGrid w:val="0"/>
          <w:color w:val="auto"/>
          <w:sz w:val="28"/>
          <w:szCs w:val="28"/>
          <w:highlight w:val="none"/>
        </w:rPr>
        <w:t xml:space="preserve"> </w:t>
      </w:r>
      <w:r>
        <w:rPr>
          <w:rFonts w:hint="eastAsia" w:ascii="宋体" w:hAnsi="宋体"/>
          <w:snapToGrid w:val="0"/>
          <w:color w:val="auto"/>
          <w:sz w:val="28"/>
          <w:szCs w:val="28"/>
          <w:highlight w:val="none"/>
          <w:lang w:eastAsia="zh-CN"/>
        </w:rPr>
        <w:t>竞选人</w:t>
      </w:r>
      <w:r>
        <w:rPr>
          <w:rFonts w:ascii="宋体" w:hAnsi="宋体"/>
          <w:snapToGrid w:val="0"/>
          <w:color w:val="auto"/>
          <w:sz w:val="28"/>
          <w:szCs w:val="28"/>
          <w:highlight w:val="none"/>
        </w:rPr>
        <w:t>资格要求</w:t>
      </w:r>
      <w:bookmarkEnd w:id="40"/>
      <w:bookmarkEnd w:id="41"/>
      <w:bookmarkEnd w:id="42"/>
      <w:bookmarkEnd w:id="43"/>
      <w:bookmarkEnd w:id="44"/>
      <w:bookmarkEnd w:id="45"/>
      <w:bookmarkEnd w:id="46"/>
      <w:bookmarkEnd w:id="47"/>
      <w:bookmarkEnd w:id="48"/>
      <w:bookmarkEnd w:id="49"/>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3.1  本次招标要求</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须具备</w:t>
      </w:r>
      <w:r>
        <w:rPr>
          <w:rFonts w:hint="eastAsia" w:ascii="宋体" w:hAnsi="宋体"/>
          <w:snapToGrid w:val="0"/>
          <w:color w:val="auto"/>
          <w:kern w:val="0"/>
          <w:szCs w:val="21"/>
          <w:highlight w:val="none"/>
        </w:rPr>
        <w:t>以下条件：</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3.1.1 本次招标要求</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具备的资质条件：</w:t>
      </w:r>
      <w:r>
        <w:rPr>
          <w:rFonts w:hint="eastAsia" w:ascii="宋体" w:hAnsi="宋体"/>
          <w:snapToGrid w:val="0"/>
          <w:color w:val="auto"/>
          <w:kern w:val="0"/>
          <w:szCs w:val="21"/>
          <w:highlight w:val="none"/>
          <w:u w:val="single"/>
        </w:rPr>
        <w:t xml:space="preserve"> 建筑施工总承包叁级及以上</w:t>
      </w:r>
      <w:r>
        <w:rPr>
          <w:rFonts w:hint="eastAsia" w:ascii="宋体" w:hAnsi="宋体"/>
          <w:snapToGrid w:val="0"/>
          <w:color w:val="auto"/>
          <w:kern w:val="0"/>
          <w:szCs w:val="21"/>
          <w:highlight w:val="none"/>
          <w:u w:val="single"/>
          <w:lang w:eastAsia="zh-CN"/>
        </w:rPr>
        <w:t>或</w:t>
      </w:r>
      <w:r>
        <w:rPr>
          <w:rFonts w:hint="eastAsia" w:ascii="宋体" w:hAnsi="宋体"/>
          <w:snapToGrid w:val="0"/>
          <w:color w:val="auto"/>
          <w:kern w:val="0"/>
          <w:szCs w:val="21"/>
          <w:highlight w:val="none"/>
          <w:u w:val="single"/>
        </w:rPr>
        <w:t>屋面防水整改工程专业承包二级及以上资质</w:t>
      </w:r>
      <w:r>
        <w:rPr>
          <w:rFonts w:hint="eastAsia" w:ascii="宋体" w:hAnsi="宋体"/>
          <w:snapToGrid w:val="0"/>
          <w:color w:val="auto"/>
          <w:kern w:val="0"/>
          <w:szCs w:val="21"/>
          <w:highlight w:val="none"/>
        </w:rPr>
        <w:t>；</w:t>
      </w:r>
    </w:p>
    <w:p>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szCs w:val="21"/>
          <w:highlight w:val="none"/>
        </w:rPr>
      </w:pPr>
      <w:r>
        <w:rPr>
          <w:rFonts w:hint="eastAsia" w:ascii="宋体" w:hAnsi="宋体"/>
          <w:snapToGrid w:val="0"/>
          <w:color w:val="auto"/>
          <w:kern w:val="0"/>
          <w:szCs w:val="21"/>
          <w:highlight w:val="none"/>
        </w:rPr>
        <w:t>3.1.</w:t>
      </w:r>
      <w:r>
        <w:rPr>
          <w:rFonts w:hint="eastAsia" w:ascii="宋体" w:hAnsi="宋体"/>
          <w:snapToGrid w:val="0"/>
          <w:color w:val="auto"/>
          <w:kern w:val="0"/>
          <w:szCs w:val="21"/>
          <w:highlight w:val="none"/>
          <w:lang w:val="en-US" w:eastAsia="zh-CN"/>
        </w:rPr>
        <w:t>2</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还应在人员、设备、资金等方面具有相应的施工能力，详见招标文件第二章</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须知前附表第1.4.1项内容。</w:t>
      </w:r>
    </w:p>
    <w:p>
      <w:pPr>
        <w:tabs>
          <w:tab w:val="left" w:pos="3045"/>
          <w:tab w:val="left" w:pos="8310"/>
        </w:tabs>
        <w:autoSpaceDE w:val="0"/>
        <w:autoSpaceDN w:val="0"/>
        <w:adjustRightInd w:val="0"/>
        <w:snapToGrid w:val="0"/>
        <w:spacing w:line="46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  本次招标</w:t>
      </w:r>
      <w:r>
        <w:rPr>
          <w:rFonts w:hint="eastAsia" w:ascii="宋体" w:hAnsi="宋体"/>
          <w:snapToGrid w:val="0"/>
          <w:color w:val="auto"/>
          <w:kern w:val="0"/>
          <w:szCs w:val="21"/>
          <w:highlight w:val="none"/>
        </w:rPr>
        <w:t xml:space="preserve">□接受 </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不接受</w:t>
      </w:r>
      <w:r>
        <w:rPr>
          <w:rFonts w:ascii="宋体" w:hAnsi="宋体"/>
          <w:snapToGrid w:val="0"/>
          <w:color w:val="auto"/>
          <w:kern w:val="0"/>
          <w:szCs w:val="21"/>
          <w:highlight w:val="none"/>
        </w:rPr>
        <w:t>联合体投标。联合体投标的，应满足下列要求：</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pPr>
        <w:pStyle w:val="4"/>
        <w:spacing w:before="100" w:after="100" w:line="460" w:lineRule="exact"/>
        <w:rPr>
          <w:rFonts w:ascii="宋体" w:hAnsi="宋体"/>
          <w:snapToGrid w:val="0"/>
          <w:color w:val="auto"/>
          <w:sz w:val="28"/>
          <w:szCs w:val="28"/>
          <w:highlight w:val="none"/>
        </w:rPr>
      </w:pPr>
      <w:bookmarkStart w:id="50" w:name="_Toc200359241"/>
      <w:bookmarkStart w:id="51" w:name="_Toc509218695"/>
      <w:bookmarkStart w:id="52" w:name="_Toc224103302"/>
      <w:bookmarkStart w:id="53" w:name="_Toc10508"/>
      <w:bookmarkStart w:id="54" w:name="_Toc287620670"/>
      <w:bookmarkStart w:id="55" w:name="_Toc277082539"/>
      <w:bookmarkStart w:id="56" w:name="_Toc287607731"/>
      <w:bookmarkStart w:id="57" w:name="_Toc430530419"/>
      <w:bookmarkStart w:id="58" w:name="_Toc200359430"/>
      <w:bookmarkStart w:id="59" w:name="_Toc12091"/>
      <w:r>
        <w:rPr>
          <w:rFonts w:ascii="宋体" w:hAnsi="宋体"/>
          <w:snapToGrid w:val="0"/>
          <w:color w:val="auto"/>
          <w:sz w:val="28"/>
          <w:szCs w:val="28"/>
          <w:highlight w:val="none"/>
        </w:rPr>
        <w:t xml:space="preserve">4.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招标文件的获取</w:t>
      </w:r>
      <w:bookmarkEnd w:id="50"/>
      <w:bookmarkEnd w:id="51"/>
      <w:bookmarkEnd w:id="52"/>
      <w:bookmarkEnd w:id="53"/>
      <w:bookmarkEnd w:id="54"/>
      <w:bookmarkEnd w:id="55"/>
      <w:bookmarkEnd w:id="56"/>
      <w:bookmarkEnd w:id="57"/>
      <w:bookmarkEnd w:id="58"/>
      <w:bookmarkEnd w:id="59"/>
    </w:p>
    <w:p>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4.1  </w:t>
      </w:r>
      <w:r>
        <w:rPr>
          <w:rFonts w:ascii="宋体" w:hAnsi="宋体"/>
          <w:snapToGrid w:val="0"/>
          <w:color w:val="auto"/>
          <w:kern w:val="0"/>
          <w:szCs w:val="21"/>
          <w:highlight w:val="none"/>
        </w:rPr>
        <w:t>凡有意参加投标者，请于</w:t>
      </w:r>
      <w:r>
        <w:rPr>
          <w:rFonts w:hint="eastAsia" w:ascii="宋体" w:hAnsi="宋体"/>
          <w:snapToGrid w:val="0"/>
          <w:color w:val="auto"/>
          <w:kern w:val="0"/>
          <w:szCs w:val="21"/>
          <w:highlight w:val="none"/>
          <w:u w:val="single"/>
          <w:lang w:val="en-US" w:eastAsia="zh-CN"/>
        </w:rPr>
        <w:t>2023</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7</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19</w:t>
      </w:r>
      <w:r>
        <w:rPr>
          <w:rFonts w:ascii="宋体" w:hAnsi="宋体"/>
          <w:snapToGrid w:val="0"/>
          <w:color w:val="auto"/>
          <w:kern w:val="0"/>
          <w:szCs w:val="21"/>
          <w:highlight w:val="none"/>
        </w:rPr>
        <w:t>日（北京时间，下同）起在</w:t>
      </w:r>
      <w:r>
        <w:rPr>
          <w:rFonts w:hint="eastAsia" w:ascii="宋体" w:hAnsi="宋体"/>
          <w:snapToGrid w:val="0"/>
          <w:color w:val="auto"/>
          <w:kern w:val="0"/>
          <w:szCs w:val="21"/>
          <w:highlight w:val="none"/>
        </w:rPr>
        <w:t>重庆经开区投资集团有限公司(http://www.cetzig.com/）</w:t>
      </w:r>
      <w:r>
        <w:rPr>
          <w:rFonts w:hint="eastAsia" w:ascii="宋体" w:hAnsi="宋体"/>
          <w:i/>
          <w:snapToGrid w:val="0"/>
          <w:color w:val="auto"/>
          <w:kern w:val="0"/>
          <w:szCs w:val="21"/>
          <w:highlight w:val="none"/>
          <w:lang w:eastAsia="zh-CN"/>
        </w:rPr>
        <w:t>、</w:t>
      </w:r>
      <w:r>
        <w:rPr>
          <w:rFonts w:hint="eastAsia" w:ascii="宋体" w:hAnsi="宋体" w:eastAsia="宋体" w:cs="Times New Roman"/>
          <w:snapToGrid w:val="0"/>
          <w:color w:val="auto"/>
          <w:kern w:val="0"/>
          <w:szCs w:val="21"/>
          <w:highlight w:val="none"/>
          <w:lang w:eastAsia="zh-CN"/>
        </w:rPr>
        <w:t>重庆市行采家（https://www.gec123.com）</w:t>
      </w:r>
      <w:r>
        <w:rPr>
          <w:rFonts w:ascii="宋体" w:hAnsi="宋体"/>
          <w:snapToGrid w:val="0"/>
          <w:color w:val="auto"/>
          <w:kern w:val="0"/>
          <w:szCs w:val="21"/>
          <w:highlight w:val="none"/>
        </w:rPr>
        <w:t>下载招标文件</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工程量清单、图纸、澄清、修改、补充通知、最高限价通知等全部内容。不管下载与否都视为潜在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全部知晓有关招投标过程和全部内容。</w:t>
      </w:r>
    </w:p>
    <w:p>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auto"/>
          <w:kern w:val="0"/>
          <w:szCs w:val="21"/>
          <w:highlight w:val="none"/>
          <w:u w:val="none"/>
        </w:rPr>
      </w:pPr>
      <w:r>
        <w:rPr>
          <w:rFonts w:hint="eastAsia" w:ascii="宋体" w:hAnsi="宋体"/>
          <w:snapToGrid w:val="0"/>
          <w:color w:val="auto"/>
          <w:kern w:val="0"/>
          <w:szCs w:val="21"/>
          <w:highlight w:val="none"/>
        </w:rPr>
        <w:t xml:space="preserve">4.2  </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提问时间从本公告发布至（北京时间）前</w:t>
      </w:r>
      <w:r>
        <w:rPr>
          <w:rFonts w:hint="eastAsia" w:ascii="宋体" w:hAnsi="宋体" w:cs="宋体"/>
          <w:color w:val="auto"/>
          <w:kern w:val="0"/>
          <w:szCs w:val="21"/>
          <w:highlight w:val="none"/>
          <w:u w:val="single"/>
          <w:lang w:val="en-US" w:eastAsia="zh-CN"/>
        </w:rPr>
        <w:t>2023</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7</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21</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17</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00</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分</w:t>
      </w:r>
      <w:r>
        <w:rPr>
          <w:rFonts w:hint="eastAsia" w:ascii="宋体" w:hAnsi="宋体"/>
          <w:snapToGrid w:val="0"/>
          <w:color w:val="auto"/>
          <w:kern w:val="0"/>
          <w:szCs w:val="21"/>
          <w:highlight w:val="none"/>
          <w:u w:val="none"/>
          <w:lang w:val="en-US" w:eastAsia="zh-CN"/>
        </w:rPr>
        <w:t>前，向代理机构或比选</w:t>
      </w:r>
      <w:bookmarkStart w:id="1494" w:name="_GoBack"/>
      <w:bookmarkEnd w:id="1494"/>
      <w:r>
        <w:rPr>
          <w:rFonts w:hint="eastAsia" w:ascii="宋体" w:hAnsi="宋体"/>
          <w:snapToGrid w:val="0"/>
          <w:color w:val="auto"/>
          <w:kern w:val="0"/>
          <w:szCs w:val="21"/>
          <w:highlight w:val="none"/>
          <w:u w:val="none"/>
          <w:lang w:val="en-US" w:eastAsia="zh-CN"/>
        </w:rPr>
        <w:t>人</w:t>
      </w:r>
      <w:r>
        <w:rPr>
          <w:rFonts w:hint="eastAsia" w:ascii="宋体" w:hAnsi="宋体"/>
          <w:snapToGrid w:val="0"/>
          <w:color w:val="auto"/>
          <w:kern w:val="0"/>
          <w:szCs w:val="21"/>
          <w:highlight w:val="none"/>
          <w:u w:val="none"/>
        </w:rPr>
        <w:t>提出疑问</w:t>
      </w:r>
      <w:r>
        <w:rPr>
          <w:rFonts w:hint="eastAsia" w:ascii="宋体" w:hAnsi="宋体"/>
          <w:snapToGrid w:val="0"/>
          <w:color w:val="auto"/>
          <w:kern w:val="0"/>
          <w:szCs w:val="21"/>
          <w:highlight w:val="none"/>
          <w:u w:val="none"/>
          <w:lang w:eastAsia="zh-CN"/>
        </w:rPr>
        <w:t>（</w:t>
      </w:r>
      <w:r>
        <w:rPr>
          <w:rFonts w:hint="eastAsia" w:ascii="宋体" w:hAnsi="宋体"/>
          <w:snapToGrid w:val="0"/>
          <w:color w:val="auto"/>
          <w:kern w:val="0"/>
          <w:szCs w:val="21"/>
          <w:highlight w:val="none"/>
          <w:u w:val="none"/>
          <w:lang w:val="en-US" w:eastAsia="zh-CN"/>
        </w:rPr>
        <w:t>纸质形式</w:t>
      </w:r>
      <w:r>
        <w:rPr>
          <w:rFonts w:hint="eastAsia" w:ascii="宋体" w:hAnsi="宋体"/>
          <w:snapToGrid w:val="0"/>
          <w:color w:val="auto"/>
          <w:kern w:val="0"/>
          <w:szCs w:val="21"/>
          <w:highlight w:val="none"/>
          <w:u w:val="none"/>
          <w:lang w:eastAsia="zh-CN"/>
        </w:rPr>
        <w:t>）</w:t>
      </w:r>
      <w:r>
        <w:rPr>
          <w:rFonts w:hint="eastAsia" w:ascii="宋体" w:hAnsi="宋体"/>
          <w:snapToGrid w:val="0"/>
          <w:color w:val="auto"/>
          <w:kern w:val="0"/>
          <w:szCs w:val="21"/>
          <w:highlight w:val="none"/>
          <w:u w:val="none"/>
        </w:rPr>
        <w:t>。</w:t>
      </w:r>
    </w:p>
    <w:p>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4.3  </w:t>
      </w:r>
      <w:r>
        <w:rPr>
          <w:rFonts w:hint="eastAsia" w:ascii="宋体" w:hAnsi="宋体"/>
          <w:snapToGrid w:val="0"/>
          <w:color w:val="auto"/>
          <w:kern w:val="0"/>
          <w:szCs w:val="21"/>
          <w:highlight w:val="none"/>
          <w:lang w:eastAsia="zh-CN"/>
        </w:rPr>
        <w:t>比选人</w:t>
      </w:r>
      <w:r>
        <w:rPr>
          <w:rFonts w:hint="eastAsia" w:ascii="宋体" w:hAnsi="宋体"/>
          <w:snapToGrid w:val="0"/>
          <w:color w:val="auto"/>
          <w:kern w:val="0"/>
          <w:szCs w:val="21"/>
          <w:highlight w:val="none"/>
        </w:rPr>
        <w:t>应于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2023</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7</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24</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18</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00</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分</w:t>
      </w:r>
      <w:r>
        <w:rPr>
          <w:rFonts w:hint="eastAsia" w:ascii="宋体" w:hAnsi="宋体"/>
          <w:snapToGrid w:val="0"/>
          <w:color w:val="auto"/>
          <w:kern w:val="0"/>
          <w:szCs w:val="21"/>
          <w:highlight w:val="none"/>
        </w:rPr>
        <w:t>（北京时间）前在重庆经开区投资集团有限公司(http://www.cetzig.com/）</w:t>
      </w:r>
      <w:r>
        <w:rPr>
          <w:rFonts w:hint="eastAsia" w:ascii="宋体" w:hAnsi="宋体"/>
          <w:snapToGrid w:val="0"/>
          <w:color w:val="auto"/>
          <w:kern w:val="0"/>
          <w:szCs w:val="21"/>
          <w:highlight w:val="none"/>
          <w:lang w:eastAsia="zh-CN"/>
        </w:rPr>
        <w:t>、</w:t>
      </w:r>
      <w:r>
        <w:rPr>
          <w:rFonts w:hint="eastAsia" w:ascii="宋体" w:hAnsi="宋体" w:eastAsia="宋体" w:cs="Times New Roman"/>
          <w:snapToGrid w:val="0"/>
          <w:color w:val="auto"/>
          <w:kern w:val="0"/>
          <w:szCs w:val="21"/>
          <w:highlight w:val="none"/>
          <w:lang w:eastAsia="zh-CN"/>
        </w:rPr>
        <w:t>重庆市行采家（https://www.gec123.com）</w:t>
      </w:r>
      <w:r>
        <w:rPr>
          <w:rFonts w:hint="eastAsia" w:ascii="宋体" w:hAnsi="宋体"/>
          <w:snapToGrid w:val="0"/>
          <w:color w:val="auto"/>
          <w:kern w:val="0"/>
          <w:szCs w:val="21"/>
          <w:highlight w:val="none"/>
        </w:rPr>
        <w:t>发布澄清</w:t>
      </w:r>
      <w:r>
        <w:rPr>
          <w:rFonts w:hint="eastAsia" w:ascii="宋体" w:hAnsi="宋体"/>
          <w:snapToGrid w:val="0"/>
          <w:color w:val="auto"/>
          <w:kern w:val="0"/>
          <w:szCs w:val="21"/>
          <w:highlight w:val="none"/>
          <w:lang w:val="en-US" w:eastAsia="zh-CN"/>
        </w:rPr>
        <w:t>或修改</w:t>
      </w:r>
      <w:r>
        <w:rPr>
          <w:rFonts w:hint="eastAsia" w:ascii="宋体" w:hAnsi="宋体"/>
          <w:snapToGrid w:val="0"/>
          <w:color w:val="auto"/>
          <w:kern w:val="0"/>
          <w:szCs w:val="21"/>
          <w:highlight w:val="none"/>
        </w:rPr>
        <w:t>。</w:t>
      </w:r>
    </w:p>
    <w:p>
      <w:pPr>
        <w:pStyle w:val="4"/>
        <w:spacing w:before="100" w:after="100" w:line="460" w:lineRule="exact"/>
        <w:rPr>
          <w:rFonts w:ascii="宋体" w:hAnsi="宋体"/>
          <w:snapToGrid w:val="0"/>
          <w:color w:val="auto"/>
          <w:sz w:val="28"/>
          <w:szCs w:val="28"/>
          <w:highlight w:val="none"/>
        </w:rPr>
      </w:pPr>
      <w:bookmarkStart w:id="60" w:name="_Toc200359431"/>
      <w:bookmarkStart w:id="61" w:name="_Toc224103303"/>
      <w:bookmarkStart w:id="62" w:name="_Toc287607732"/>
      <w:bookmarkStart w:id="63" w:name="_Toc509218696"/>
      <w:bookmarkStart w:id="64" w:name="_Toc28449"/>
      <w:bookmarkStart w:id="65" w:name="_Toc287620671"/>
      <w:bookmarkStart w:id="66" w:name="_Toc277082540"/>
      <w:bookmarkStart w:id="67" w:name="_Toc200359242"/>
      <w:bookmarkStart w:id="68" w:name="_Toc430530420"/>
      <w:bookmarkStart w:id="69" w:name="_Toc26385"/>
      <w:r>
        <w:rPr>
          <w:rFonts w:ascii="宋体" w:hAnsi="宋体"/>
          <w:snapToGrid w:val="0"/>
          <w:color w:val="auto"/>
          <w:sz w:val="28"/>
          <w:szCs w:val="28"/>
          <w:highlight w:val="none"/>
        </w:rPr>
        <w:t xml:space="preserve">5. </w:t>
      </w:r>
      <w:r>
        <w:rPr>
          <w:rFonts w:hint="eastAsia" w:ascii="宋体" w:hAnsi="宋体"/>
          <w:snapToGrid w:val="0"/>
          <w:color w:val="auto"/>
          <w:sz w:val="28"/>
          <w:szCs w:val="28"/>
          <w:highlight w:val="none"/>
        </w:rPr>
        <w:t xml:space="preserve"> </w:t>
      </w:r>
      <w:r>
        <w:rPr>
          <w:rFonts w:hint="eastAsia" w:ascii="宋体" w:hAnsi="宋体"/>
          <w:snapToGrid w:val="0"/>
          <w:color w:val="auto"/>
          <w:sz w:val="28"/>
          <w:szCs w:val="28"/>
          <w:highlight w:val="none"/>
          <w:lang w:eastAsia="zh-CN"/>
        </w:rPr>
        <w:t>竞选文件</w:t>
      </w:r>
      <w:r>
        <w:rPr>
          <w:rFonts w:ascii="宋体" w:hAnsi="宋体"/>
          <w:snapToGrid w:val="0"/>
          <w:color w:val="auto"/>
          <w:sz w:val="28"/>
          <w:szCs w:val="28"/>
          <w:highlight w:val="none"/>
        </w:rPr>
        <w:t>的递交</w:t>
      </w:r>
      <w:bookmarkEnd w:id="60"/>
      <w:bookmarkEnd w:id="61"/>
      <w:bookmarkEnd w:id="62"/>
      <w:bookmarkEnd w:id="63"/>
      <w:bookmarkEnd w:id="64"/>
      <w:bookmarkEnd w:id="65"/>
      <w:bookmarkEnd w:id="66"/>
      <w:bookmarkEnd w:id="67"/>
      <w:bookmarkEnd w:id="68"/>
      <w:bookmarkEnd w:id="69"/>
    </w:p>
    <w:p>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5.1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递交的截止时间（投标截止时间，下同）为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2023</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7</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27</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00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分，地点为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重庆经开区投资集团有限公司</w:t>
      </w:r>
      <w:r>
        <w:rPr>
          <w:rFonts w:hint="eastAsia" w:ascii="宋体" w:hAnsi="宋体"/>
          <w:snapToGrid w:val="0"/>
          <w:color w:val="auto"/>
          <w:kern w:val="0"/>
          <w:szCs w:val="21"/>
          <w:highlight w:val="none"/>
          <w:u w:val="single"/>
          <w:lang w:val="en-US" w:eastAsia="zh-CN"/>
        </w:rPr>
        <w:t>会议室</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pPr>
        <w:autoSpaceDE w:val="0"/>
        <w:autoSpaceDN w:val="0"/>
        <w:adjustRightInd w:val="0"/>
        <w:snapToGrid w:val="0"/>
        <w:spacing w:line="450" w:lineRule="exact"/>
        <w:ind w:firstLine="420" w:firstLineChars="200"/>
        <w:rPr>
          <w:rFonts w:hint="eastAsia"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5.2  逾期送达的或者未送达指定地点的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不予受理。</w:t>
      </w:r>
      <w:r>
        <w:rPr>
          <w:rFonts w:hint="eastAsia" w:ascii="宋体" w:hAnsi="宋体"/>
          <w:snapToGrid w:val="0"/>
          <w:color w:val="auto"/>
          <w:kern w:val="0"/>
          <w:szCs w:val="21"/>
          <w:highlight w:val="none"/>
          <w:lang w:val="en-US" w:eastAsia="zh-CN"/>
        </w:rPr>
        <w:t xml:space="preserve"> </w:t>
      </w:r>
    </w:p>
    <w:p>
      <w:pPr>
        <w:pStyle w:val="4"/>
        <w:spacing w:before="100" w:after="100" w:line="460" w:lineRule="exact"/>
        <w:rPr>
          <w:rFonts w:ascii="宋体" w:hAnsi="宋体"/>
          <w:snapToGrid w:val="0"/>
          <w:color w:val="auto"/>
          <w:sz w:val="28"/>
          <w:szCs w:val="28"/>
          <w:highlight w:val="none"/>
        </w:rPr>
      </w:pPr>
      <w:bookmarkStart w:id="70" w:name="_Toc277082541"/>
      <w:bookmarkStart w:id="71" w:name="_Toc509218697"/>
      <w:bookmarkStart w:id="72" w:name="_Toc287620672"/>
      <w:bookmarkStart w:id="73" w:name="_Toc430530421"/>
      <w:bookmarkStart w:id="74" w:name="_Toc224103304"/>
      <w:bookmarkStart w:id="75" w:name="_Toc200359432"/>
      <w:bookmarkStart w:id="76" w:name="_Toc200359243"/>
      <w:bookmarkStart w:id="77" w:name="_Toc8166"/>
      <w:bookmarkStart w:id="78" w:name="_Toc287607733"/>
      <w:bookmarkStart w:id="79" w:name="_Toc24328"/>
      <w:r>
        <w:rPr>
          <w:rFonts w:ascii="宋体" w:hAnsi="宋体"/>
          <w:snapToGrid w:val="0"/>
          <w:color w:val="auto"/>
          <w:sz w:val="28"/>
          <w:szCs w:val="28"/>
          <w:highlight w:val="none"/>
        </w:rPr>
        <w:t xml:space="preserve">6.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发布公告的媒介</w:t>
      </w:r>
      <w:bookmarkEnd w:id="70"/>
      <w:bookmarkEnd w:id="71"/>
      <w:bookmarkEnd w:id="72"/>
      <w:bookmarkEnd w:id="73"/>
      <w:bookmarkEnd w:id="74"/>
      <w:bookmarkEnd w:id="75"/>
      <w:bookmarkEnd w:id="76"/>
      <w:bookmarkEnd w:id="77"/>
      <w:bookmarkEnd w:id="78"/>
      <w:bookmarkEnd w:id="79"/>
    </w:p>
    <w:p>
      <w:pPr>
        <w:tabs>
          <w:tab w:val="left" w:pos="495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本次</w:t>
      </w:r>
      <w:r>
        <w:rPr>
          <w:rFonts w:hint="eastAsia" w:ascii="宋体" w:hAnsi="宋体"/>
          <w:snapToGrid w:val="0"/>
          <w:color w:val="auto"/>
          <w:kern w:val="0"/>
          <w:szCs w:val="21"/>
          <w:highlight w:val="none"/>
          <w:lang w:eastAsia="zh-CN"/>
        </w:rPr>
        <w:t>比选公告</w:t>
      </w:r>
      <w:r>
        <w:rPr>
          <w:rFonts w:ascii="宋体" w:hAnsi="宋体"/>
          <w:snapToGrid w:val="0"/>
          <w:color w:val="auto"/>
          <w:kern w:val="0"/>
          <w:szCs w:val="21"/>
          <w:highlight w:val="none"/>
        </w:rPr>
        <w:t>同时在</w:t>
      </w:r>
      <w:r>
        <w:rPr>
          <w:rFonts w:hint="eastAsia" w:ascii="宋体" w:hAnsi="宋体"/>
          <w:snapToGrid w:val="0"/>
          <w:color w:val="auto"/>
          <w:kern w:val="0"/>
          <w:szCs w:val="21"/>
          <w:highlight w:val="none"/>
          <w:u w:val="single"/>
        </w:rPr>
        <w:t xml:space="preserve"> 重庆经开区投资集团有限公司(http://www.cetzig.com/）</w:t>
      </w:r>
      <w:r>
        <w:rPr>
          <w:rFonts w:hint="eastAsia" w:ascii="宋体" w:hAnsi="宋体"/>
          <w:snapToGrid w:val="0"/>
          <w:color w:val="auto"/>
          <w:kern w:val="0"/>
          <w:szCs w:val="21"/>
          <w:highlight w:val="none"/>
          <w:u w:val="single"/>
          <w:lang w:eastAsia="zh-CN"/>
        </w:rPr>
        <w:t>、</w:t>
      </w:r>
      <w:r>
        <w:rPr>
          <w:rFonts w:hint="eastAsia" w:ascii="宋体" w:hAnsi="宋体" w:eastAsia="宋体" w:cs="Times New Roman"/>
          <w:snapToGrid w:val="0"/>
          <w:color w:val="auto"/>
          <w:kern w:val="0"/>
          <w:szCs w:val="21"/>
          <w:highlight w:val="none"/>
          <w:lang w:eastAsia="zh-CN"/>
        </w:rPr>
        <w:t>重庆市行采家（https://www.gec123.com）</w:t>
      </w:r>
      <w:r>
        <w:rPr>
          <w:rFonts w:ascii="宋体" w:hAnsi="宋体"/>
          <w:snapToGrid w:val="0"/>
          <w:color w:val="auto"/>
          <w:kern w:val="0"/>
          <w:szCs w:val="21"/>
          <w:highlight w:val="none"/>
        </w:rPr>
        <w:t>上发布。</w:t>
      </w:r>
    </w:p>
    <w:p>
      <w:pPr>
        <w:pStyle w:val="4"/>
        <w:spacing w:before="100" w:after="100" w:line="460" w:lineRule="exact"/>
        <w:rPr>
          <w:rFonts w:ascii="宋体" w:hAnsi="宋体"/>
          <w:snapToGrid w:val="0"/>
          <w:color w:val="auto"/>
          <w:sz w:val="28"/>
          <w:szCs w:val="28"/>
          <w:highlight w:val="none"/>
        </w:rPr>
      </w:pPr>
      <w:bookmarkStart w:id="80" w:name="_Toc31352"/>
      <w:bookmarkStart w:id="81" w:name="_Toc14240"/>
      <w:bookmarkStart w:id="82" w:name="_Toc224103305"/>
      <w:bookmarkStart w:id="83" w:name="_Toc287607734"/>
      <w:bookmarkStart w:id="84" w:name="_Toc430530422"/>
      <w:bookmarkStart w:id="85" w:name="_Toc287620673"/>
      <w:bookmarkStart w:id="86" w:name="_Toc509218698"/>
      <w:bookmarkStart w:id="87" w:name="_Toc277082542"/>
      <w:bookmarkStart w:id="88" w:name="_Toc13543"/>
      <w:r>
        <w:rPr>
          <w:rFonts w:hint="eastAsia" w:ascii="宋体" w:hAnsi="宋体"/>
          <w:snapToGrid w:val="0"/>
          <w:color w:val="auto"/>
          <w:sz w:val="28"/>
          <w:szCs w:val="28"/>
          <w:highlight w:val="none"/>
        </w:rPr>
        <w:t>7</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bookmarkEnd w:id="80"/>
      <w:bookmarkEnd w:id="81"/>
      <w:bookmarkStart w:id="89" w:name="_Toc589"/>
      <w:r>
        <w:rPr>
          <w:rFonts w:ascii="宋体" w:hAnsi="宋体"/>
          <w:snapToGrid w:val="0"/>
          <w:color w:val="auto"/>
          <w:sz w:val="28"/>
          <w:szCs w:val="28"/>
          <w:highlight w:val="none"/>
        </w:rPr>
        <w:t>联系方式</w:t>
      </w:r>
      <w:bookmarkEnd w:id="82"/>
      <w:bookmarkEnd w:id="83"/>
      <w:bookmarkEnd w:id="84"/>
      <w:bookmarkEnd w:id="85"/>
      <w:bookmarkEnd w:id="86"/>
      <w:bookmarkEnd w:id="87"/>
      <w:bookmarkEnd w:id="88"/>
      <w:bookmarkEnd w:id="89"/>
    </w:p>
    <w:p>
      <w:pPr>
        <w:tabs>
          <w:tab w:val="left" w:pos="5140"/>
          <w:tab w:val="left" w:pos="8520"/>
        </w:tabs>
        <w:autoSpaceDE w:val="0"/>
        <w:autoSpaceDN w:val="0"/>
        <w:adjustRightInd w:val="0"/>
        <w:snapToGrid w:val="0"/>
        <w:spacing w:line="450" w:lineRule="exact"/>
        <w:jc w:val="left"/>
        <w:rPr>
          <w:rFonts w:ascii="宋体" w:hAnsi="宋体"/>
          <w:snapToGrid w:val="0"/>
          <w:color w:val="auto"/>
          <w:kern w:val="0"/>
          <w:szCs w:val="21"/>
          <w:highlight w:val="none"/>
        </w:rPr>
      </w:pPr>
      <w:bookmarkStart w:id="90" w:name="_Toc224103315"/>
      <w:bookmarkStart w:id="91" w:name="_Toc287607744"/>
      <w:bookmarkStart w:id="92" w:name="_Toc430530432"/>
      <w:bookmarkStart w:id="93" w:name="_Toc32148"/>
      <w:bookmarkStart w:id="94" w:name="_Toc287620683"/>
      <w:r>
        <w:rPr>
          <w:rFonts w:hint="eastAsia" w:ascii="宋体" w:hAnsi="宋体"/>
          <w:snapToGrid w:val="0"/>
          <w:color w:val="auto"/>
          <w:kern w:val="0"/>
          <w:szCs w:val="21"/>
          <w:highlight w:val="none"/>
          <w:lang w:val="en-US" w:eastAsia="zh-CN"/>
        </w:rPr>
        <w:t xml:space="preserve">比 选 </w:t>
      </w:r>
      <w:r>
        <w:rPr>
          <w:rFonts w:ascii="宋体" w:hAnsi="宋体"/>
          <w:snapToGrid w:val="0"/>
          <w:color w:val="auto"/>
          <w:kern w:val="0"/>
          <w:szCs w:val="21"/>
          <w:highlight w:val="none"/>
        </w:rPr>
        <w:t>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重庆</w:t>
      </w:r>
      <w:r>
        <w:rPr>
          <w:rFonts w:hint="eastAsia" w:ascii="宋体" w:hAnsi="宋体"/>
          <w:snapToGrid w:val="0"/>
          <w:color w:val="auto"/>
          <w:kern w:val="0"/>
          <w:szCs w:val="21"/>
          <w:highlight w:val="none"/>
          <w:u w:val="single"/>
          <w:lang w:eastAsia="zh-CN"/>
        </w:rPr>
        <w:t>经开区投资集团有限公司</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比选</w:t>
      </w:r>
      <w:r>
        <w:rPr>
          <w:rFonts w:ascii="宋体" w:hAnsi="宋体"/>
          <w:snapToGrid w:val="0"/>
          <w:color w:val="auto"/>
          <w:kern w:val="0"/>
          <w:szCs w:val="21"/>
          <w:highlight w:val="none"/>
        </w:rPr>
        <w:t>代理机构：</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重庆铂霖瀚丰工程管理咨询有限公司</w:t>
      </w: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u w:val="single"/>
        </w:rPr>
        <w:t xml:space="preserve"> </w:t>
      </w:r>
    </w:p>
    <w:p>
      <w:pPr>
        <w:tabs>
          <w:tab w:val="left" w:pos="5140"/>
          <w:tab w:val="left" w:pos="8420"/>
        </w:tabs>
        <w:autoSpaceDE w:val="0"/>
        <w:autoSpaceDN w:val="0"/>
        <w:adjustRightInd w:val="0"/>
        <w:snapToGrid w:val="0"/>
        <w:spacing w:line="450" w:lineRule="exact"/>
        <w:jc w:val="left"/>
        <w:rPr>
          <w:rFonts w:ascii="宋体" w:hAnsi="宋体"/>
          <w:snapToGrid w:val="0"/>
          <w:color w:val="auto"/>
          <w:kern w:val="0"/>
          <w:szCs w:val="21"/>
          <w:highlight w:val="none"/>
        </w:rPr>
      </w:pPr>
      <w:r>
        <w:rPr>
          <w:rFonts w:ascii="宋体" w:hAnsi="宋体"/>
          <w:snapToGrid w:val="0"/>
          <w:color w:val="auto"/>
          <w:kern w:val="0"/>
          <w:szCs w:val="21"/>
          <w:highlight w:val="none"/>
        </w:rPr>
        <w:t>地址：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重庆市南岸区茶园江桥路一号附1号</w:t>
      </w:r>
      <w:r>
        <w:rPr>
          <w:rFonts w:ascii="宋体" w:hAnsi="宋体"/>
          <w:snapToGrid w:val="0"/>
          <w:color w:val="auto"/>
          <w:kern w:val="0"/>
          <w:szCs w:val="21"/>
          <w:highlight w:val="none"/>
        </w:rPr>
        <w:t xml:space="preserve"> 地址：</w:t>
      </w:r>
      <w:r>
        <w:rPr>
          <w:rFonts w:hint="eastAsia" w:ascii="宋体" w:hAnsi="宋体"/>
          <w:snapToGrid w:val="0"/>
          <w:color w:val="auto"/>
          <w:kern w:val="0"/>
          <w:szCs w:val="21"/>
          <w:highlight w:val="none"/>
        </w:rPr>
        <w:t>重庆市南岸区长生桥镇通江大道93号</w:t>
      </w:r>
    </w:p>
    <w:p>
      <w:pPr>
        <w:tabs>
          <w:tab w:val="left" w:pos="5140"/>
          <w:tab w:val="left" w:pos="8420"/>
        </w:tabs>
        <w:autoSpaceDE w:val="0"/>
        <w:autoSpaceDN w:val="0"/>
        <w:adjustRightInd w:val="0"/>
        <w:snapToGrid w:val="0"/>
        <w:spacing w:line="450" w:lineRule="exact"/>
        <w:jc w:val="left"/>
        <w:rPr>
          <w:rFonts w:hint="eastAsia" w:ascii="宋体" w:hAnsi="宋体" w:eastAsia="宋体"/>
          <w:snapToGrid w:val="0"/>
          <w:color w:val="auto"/>
          <w:kern w:val="0"/>
          <w:szCs w:val="21"/>
          <w:highlight w:val="none"/>
          <w:lang w:eastAsia="zh-CN"/>
        </w:rPr>
      </w:pPr>
      <w:r>
        <w:rPr>
          <w:rFonts w:ascii="宋体" w:hAnsi="宋体"/>
          <w:snapToGrid w:val="0"/>
          <w:color w:val="auto"/>
          <w:kern w:val="0"/>
          <w:szCs w:val="21"/>
          <w:highlight w:val="none"/>
        </w:rPr>
        <w:t>联 系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唐</w:t>
      </w:r>
      <w:r>
        <w:rPr>
          <w:rFonts w:hint="eastAsia" w:ascii="宋体" w:hAnsi="宋体"/>
          <w:snapToGrid w:val="0"/>
          <w:color w:val="auto"/>
          <w:kern w:val="0"/>
          <w:szCs w:val="21"/>
          <w:highlight w:val="none"/>
          <w:u w:val="single"/>
        </w:rPr>
        <w:t>老师</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联 系 人：</w:t>
      </w:r>
      <w:r>
        <w:rPr>
          <w:rFonts w:hint="eastAsia" w:ascii="宋体" w:hAnsi="宋体"/>
          <w:snapToGrid w:val="0"/>
          <w:color w:val="auto"/>
          <w:kern w:val="0"/>
          <w:szCs w:val="21"/>
          <w:highlight w:val="none"/>
          <w:u w:val="single"/>
          <w:lang w:eastAsia="zh-CN"/>
        </w:rPr>
        <w:t>李老师</w:t>
      </w:r>
    </w:p>
    <w:p>
      <w:pPr>
        <w:tabs>
          <w:tab w:val="left" w:pos="5140"/>
          <w:tab w:val="left" w:pos="8420"/>
        </w:tabs>
        <w:autoSpaceDE w:val="0"/>
        <w:autoSpaceDN w:val="0"/>
        <w:adjustRightInd w:val="0"/>
        <w:snapToGrid w:val="0"/>
        <w:spacing w:line="450" w:lineRule="exact"/>
        <w:jc w:val="left"/>
        <w:rPr>
          <w:rFonts w:hint="default"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电    话：</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023-62823880</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电    话：</w:t>
      </w:r>
      <w:r>
        <w:rPr>
          <w:rFonts w:hint="eastAsia" w:ascii="宋体" w:hAnsi="宋体"/>
          <w:snapToGrid w:val="0"/>
          <w:color w:val="auto"/>
          <w:kern w:val="0"/>
          <w:szCs w:val="21"/>
          <w:highlight w:val="none"/>
          <w:lang w:val="en-US" w:eastAsia="zh-CN"/>
        </w:rPr>
        <w:t>15223573576</w:t>
      </w:r>
    </w:p>
    <w:p>
      <w:pPr>
        <w:autoSpaceDE w:val="0"/>
        <w:autoSpaceDN w:val="0"/>
        <w:adjustRightInd w:val="0"/>
        <w:snapToGrid w:val="0"/>
        <w:spacing w:line="440" w:lineRule="exact"/>
        <w:ind w:firstLine="3906" w:firstLineChars="1860"/>
        <w:jc w:val="right"/>
        <w:rPr>
          <w:rFonts w:ascii="宋体" w:hAnsi="宋体"/>
          <w:snapToGrid w:val="0"/>
          <w:color w:val="auto"/>
          <w:kern w:val="0"/>
          <w:szCs w:val="21"/>
          <w:highlight w:val="none"/>
          <w:u w:val="single"/>
        </w:rPr>
      </w:pPr>
    </w:p>
    <w:p>
      <w:pPr>
        <w:autoSpaceDE w:val="0"/>
        <w:autoSpaceDN w:val="0"/>
        <w:adjustRightInd w:val="0"/>
        <w:snapToGrid w:val="0"/>
        <w:spacing w:line="440" w:lineRule="exact"/>
        <w:ind w:firstLine="3906" w:firstLineChars="1860"/>
        <w:jc w:val="right"/>
        <w:rPr>
          <w:rFonts w:ascii="宋体" w:hAnsi="宋体"/>
          <w:snapToGrid w:val="0"/>
          <w:color w:val="auto"/>
          <w:kern w:val="0"/>
          <w:szCs w:val="21"/>
          <w:highlight w:val="none"/>
          <w:u w:val="single"/>
        </w:rPr>
      </w:pPr>
    </w:p>
    <w:p>
      <w:pPr>
        <w:autoSpaceDE w:val="0"/>
        <w:autoSpaceDN w:val="0"/>
        <w:adjustRightInd w:val="0"/>
        <w:snapToGrid w:val="0"/>
        <w:spacing w:line="440" w:lineRule="exact"/>
        <w:ind w:firstLine="3906" w:firstLineChars="1860"/>
        <w:jc w:val="right"/>
        <w:rPr>
          <w:rFonts w:ascii="宋体" w:hAnsi="宋体"/>
          <w:snapToGrid w:val="0"/>
          <w:color w:val="auto"/>
          <w:kern w:val="0"/>
          <w:sz w:val="20"/>
          <w:szCs w:val="20"/>
          <w:highlight w:val="none"/>
        </w:rPr>
      </w:pP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2023</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 xml:space="preserve"> 7</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19</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pPr>
        <w:pStyle w:val="3"/>
        <w:spacing w:before="0" w:after="0" w:line="200" w:lineRule="exact"/>
        <w:jc w:val="center"/>
        <w:rPr>
          <w:rFonts w:ascii="宋体" w:hAnsi="宋体"/>
          <w:snapToGrid w:val="0"/>
          <w:color w:val="auto"/>
          <w:kern w:val="0"/>
          <w:szCs w:val="21"/>
          <w:highlight w:val="none"/>
        </w:rPr>
      </w:pPr>
      <w:r>
        <w:rPr>
          <w:rFonts w:ascii="宋体" w:hAnsi="宋体"/>
          <w:snapToGrid w:val="0"/>
          <w:color w:val="auto"/>
          <w:kern w:val="0"/>
          <w:szCs w:val="21"/>
          <w:highlight w:val="none"/>
        </w:rPr>
        <w:br w:type="page"/>
      </w:r>
    </w:p>
    <w:p>
      <w:pPr>
        <w:pStyle w:val="3"/>
        <w:spacing w:line="360" w:lineRule="auto"/>
        <w:jc w:val="center"/>
        <w:rPr>
          <w:rFonts w:ascii="宋体" w:hAnsi="宋体"/>
          <w:bCs w:val="0"/>
          <w:snapToGrid w:val="0"/>
          <w:color w:val="auto"/>
          <w:kern w:val="0"/>
          <w:highlight w:val="none"/>
        </w:rPr>
      </w:pPr>
      <w:bookmarkStart w:id="95" w:name="_Toc25966"/>
      <w:r>
        <w:rPr>
          <w:rFonts w:ascii="宋体" w:hAnsi="宋体"/>
          <w:snapToGrid w:val="0"/>
          <w:color w:val="auto"/>
          <w:kern w:val="0"/>
          <w:highlight w:val="none"/>
        </w:rPr>
        <w:t xml:space="preserve">第二章  </w:t>
      </w:r>
      <w:r>
        <w:rPr>
          <w:rFonts w:hint="eastAsia" w:ascii="宋体" w:hAnsi="宋体"/>
          <w:snapToGrid w:val="0"/>
          <w:color w:val="auto"/>
          <w:kern w:val="0"/>
          <w:highlight w:val="none"/>
          <w:lang w:eastAsia="zh-CN"/>
        </w:rPr>
        <w:t>竞选人</w:t>
      </w:r>
      <w:r>
        <w:rPr>
          <w:rFonts w:ascii="宋体" w:hAnsi="宋体"/>
          <w:snapToGrid w:val="0"/>
          <w:color w:val="auto"/>
          <w:kern w:val="0"/>
          <w:highlight w:val="none"/>
        </w:rPr>
        <w:t>须知</w:t>
      </w:r>
      <w:bookmarkEnd w:id="90"/>
      <w:bookmarkEnd w:id="91"/>
      <w:bookmarkEnd w:id="92"/>
      <w:bookmarkEnd w:id="93"/>
      <w:bookmarkEnd w:id="94"/>
      <w:bookmarkEnd w:id="95"/>
      <w:bookmarkStart w:id="96" w:name="_Toc224103316"/>
      <w:bookmarkStart w:id="97" w:name="_Toc277082551"/>
      <w:bookmarkStart w:id="98" w:name="_Toc430530433"/>
      <w:bookmarkStart w:id="99" w:name="_Toc287620684"/>
      <w:bookmarkStart w:id="100" w:name="_Toc287607745"/>
    </w:p>
    <w:p>
      <w:pPr>
        <w:pStyle w:val="4"/>
        <w:spacing w:before="100" w:after="100" w:line="360" w:lineRule="auto"/>
        <w:rPr>
          <w:rFonts w:ascii="宋体" w:hAnsi="宋体"/>
          <w:color w:val="auto"/>
          <w:highlight w:val="none"/>
        </w:rPr>
      </w:pPr>
      <w:bookmarkStart w:id="101" w:name="_Toc509218708"/>
      <w:bookmarkStart w:id="102" w:name="_Toc8005"/>
      <w:bookmarkStart w:id="103" w:name="_Toc15135"/>
      <w:r>
        <w:rPr>
          <w:rFonts w:hint="eastAsia" w:ascii="宋体" w:hAnsi="宋体"/>
          <w:color w:val="auto"/>
          <w:highlight w:val="none"/>
          <w:lang w:eastAsia="zh-CN"/>
        </w:rPr>
        <w:t>竞选人</w:t>
      </w:r>
      <w:r>
        <w:rPr>
          <w:rFonts w:hint="eastAsia" w:ascii="宋体" w:hAnsi="宋体"/>
          <w:color w:val="auto"/>
          <w:highlight w:val="none"/>
        </w:rPr>
        <w:t>须知前附表</w:t>
      </w:r>
      <w:bookmarkEnd w:id="96"/>
      <w:bookmarkEnd w:id="97"/>
      <w:bookmarkEnd w:id="98"/>
      <w:bookmarkEnd w:id="99"/>
      <w:bookmarkEnd w:id="100"/>
      <w:bookmarkEnd w:id="101"/>
      <w:bookmarkEnd w:id="102"/>
      <w:bookmarkEnd w:id="103"/>
    </w:p>
    <w:p>
      <w:pPr>
        <w:spacing w:line="360" w:lineRule="auto"/>
        <w:ind w:firstLine="420" w:firstLineChars="200"/>
        <w:rPr>
          <w:rFonts w:ascii="宋体" w:hAnsi="宋体"/>
          <w:color w:val="auto"/>
          <w:szCs w:val="21"/>
          <w:highlight w:val="none"/>
        </w:rPr>
      </w:pPr>
      <w:r>
        <w:rPr>
          <w:rFonts w:ascii="宋体" w:hAnsi="宋体"/>
          <w:color w:val="auto"/>
          <w:szCs w:val="21"/>
          <w:highlight w:val="none"/>
        </w:rPr>
        <w:t>正文内容不允许修改。若</w:t>
      </w:r>
      <w:r>
        <w:rPr>
          <w:rFonts w:hint="eastAsia" w:ascii="宋体" w:hAnsi="宋体"/>
          <w:color w:val="auto"/>
          <w:szCs w:val="21"/>
          <w:highlight w:val="none"/>
          <w:lang w:eastAsia="zh-CN"/>
        </w:rPr>
        <w:t>竞选人</w:t>
      </w:r>
      <w:r>
        <w:rPr>
          <w:rFonts w:ascii="宋体" w:hAnsi="宋体"/>
          <w:color w:val="auto"/>
          <w:szCs w:val="21"/>
          <w:highlight w:val="none"/>
        </w:rPr>
        <w:t>须知前附表与正文不一致的地方，以</w:t>
      </w:r>
      <w:r>
        <w:rPr>
          <w:rFonts w:hint="eastAsia" w:ascii="宋体" w:hAnsi="宋体"/>
          <w:color w:val="auto"/>
          <w:szCs w:val="21"/>
          <w:highlight w:val="none"/>
          <w:lang w:eastAsia="zh-CN"/>
        </w:rPr>
        <w:t>竞选人</w:t>
      </w:r>
      <w:r>
        <w:rPr>
          <w:rFonts w:ascii="宋体" w:hAnsi="宋体"/>
          <w:color w:val="auto"/>
          <w:szCs w:val="21"/>
          <w:highlight w:val="none"/>
        </w:rPr>
        <w:t>须知前附表为准。</w:t>
      </w:r>
    </w:p>
    <w:tbl>
      <w:tblPr>
        <w:tblStyle w:val="45"/>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 款 号</w:t>
            </w:r>
          </w:p>
        </w:tc>
        <w:tc>
          <w:tcPr>
            <w:tcW w:w="1644" w:type="dxa"/>
            <w:vAlign w:val="center"/>
          </w:tcPr>
          <w:p>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条款名称</w:t>
            </w:r>
          </w:p>
        </w:tc>
        <w:tc>
          <w:tcPr>
            <w:tcW w:w="6490" w:type="dxa"/>
            <w:vAlign w:val="center"/>
          </w:tcPr>
          <w:p>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1.1.2</w:t>
            </w:r>
          </w:p>
        </w:tc>
        <w:tc>
          <w:tcPr>
            <w:tcW w:w="1644" w:type="dxa"/>
            <w:vAlign w:val="center"/>
          </w:tcPr>
          <w:p>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比选人</w:t>
            </w:r>
          </w:p>
        </w:tc>
        <w:tc>
          <w:tcPr>
            <w:tcW w:w="6490" w:type="dxa"/>
            <w:vAlign w:val="center"/>
          </w:tcPr>
          <w:p>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重庆经开区投资集团有限公司</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地址：重庆市南岸区江桥路一号附1号</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联系人：唐老师 </w:t>
            </w:r>
          </w:p>
          <w:p>
            <w:pPr>
              <w:spacing w:line="400" w:lineRule="exact"/>
              <w:rPr>
                <w:rFonts w:ascii="宋体" w:hAnsi="宋体"/>
                <w:color w:val="auto"/>
                <w:kern w:val="0"/>
                <w:szCs w:val="21"/>
                <w:highlight w:val="none"/>
              </w:rPr>
            </w:pPr>
            <w:r>
              <w:rPr>
                <w:rFonts w:hint="eastAsia" w:ascii="宋体" w:hAnsi="宋体" w:eastAsia="宋体" w:cs="宋体"/>
                <w:color w:val="auto"/>
                <w:szCs w:val="21"/>
                <w:highlight w:val="none"/>
              </w:rPr>
              <w:t xml:space="preserve">电话 ：18716407614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1.1.3</w:t>
            </w:r>
          </w:p>
        </w:tc>
        <w:tc>
          <w:tcPr>
            <w:tcW w:w="1644" w:type="dxa"/>
            <w:vAlign w:val="center"/>
          </w:tcPr>
          <w:p>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比选代理机构</w:t>
            </w:r>
          </w:p>
        </w:tc>
        <w:tc>
          <w:tcPr>
            <w:tcW w:w="6490" w:type="dxa"/>
            <w:vAlign w:val="center"/>
          </w:tcPr>
          <w:p>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名称</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重庆铂霖瀚丰工程管理咨询有限公司</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地址：重庆市南岸区长生桥镇通江大道93号</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snapToGrid w:val="0"/>
                <w:color w:val="auto"/>
                <w:kern w:val="0"/>
                <w:szCs w:val="21"/>
                <w:highlight w:val="none"/>
                <w:u w:val="none"/>
                <w:lang w:eastAsia="zh-CN"/>
              </w:rPr>
              <w:t>李</w:t>
            </w:r>
            <w:r>
              <w:rPr>
                <w:rFonts w:hint="eastAsia" w:ascii="宋体" w:hAnsi="宋体" w:eastAsia="宋体" w:cs="宋体"/>
                <w:color w:val="auto"/>
                <w:szCs w:val="21"/>
                <w:highlight w:val="none"/>
              </w:rPr>
              <w:t>老师</w:t>
            </w:r>
          </w:p>
          <w:p>
            <w:pPr>
              <w:spacing w:line="400" w:lineRule="exact"/>
              <w:rPr>
                <w:rFonts w:hint="default" w:ascii="宋体" w:hAnsi="宋体" w:eastAsia="宋体"/>
                <w:color w:val="auto"/>
                <w:kern w:val="0"/>
                <w:szCs w:val="21"/>
                <w:highlight w:val="none"/>
                <w:lang w:val="en-US" w:eastAsia="zh-CN"/>
              </w:rPr>
            </w:pPr>
            <w:r>
              <w:rPr>
                <w:rFonts w:hint="eastAsia" w:ascii="宋体" w:hAnsi="宋体" w:eastAsia="宋体" w:cs="宋体"/>
                <w:color w:val="auto"/>
                <w:szCs w:val="21"/>
                <w:highlight w:val="none"/>
              </w:rPr>
              <w:t>电话：</w:t>
            </w:r>
            <w:r>
              <w:rPr>
                <w:rFonts w:hint="eastAsia" w:ascii="宋体" w:hAnsi="宋体" w:cs="宋体"/>
                <w:color w:val="auto"/>
                <w:szCs w:val="21"/>
                <w:highlight w:val="none"/>
                <w:lang w:val="en-US" w:eastAsia="zh-CN"/>
              </w:rPr>
              <w:t>15223573576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1.1.4</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项目名称</w:t>
            </w:r>
          </w:p>
        </w:tc>
        <w:tc>
          <w:tcPr>
            <w:tcW w:w="6490" w:type="dxa"/>
            <w:vAlign w:val="center"/>
          </w:tcPr>
          <w:p>
            <w:pPr>
              <w:snapToGrid w:val="0"/>
              <w:spacing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 xml:space="preserve">西计厂房3-6号楼屋面防水整改工程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1.1.5</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建设地点</w:t>
            </w:r>
          </w:p>
        </w:tc>
        <w:tc>
          <w:tcPr>
            <w:tcW w:w="6490" w:type="dxa"/>
            <w:vAlign w:val="center"/>
          </w:tcPr>
          <w:p>
            <w:pPr>
              <w:snapToGrid w:val="0"/>
              <w:spacing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重庆</w:t>
            </w:r>
            <w:r>
              <w:rPr>
                <w:rFonts w:hint="eastAsia" w:ascii="宋体" w:hAnsi="宋体"/>
                <w:color w:val="auto"/>
                <w:szCs w:val="21"/>
                <w:highlight w:val="none"/>
                <w:lang w:eastAsia="zh-CN"/>
              </w:rPr>
              <w:t>经开区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1.1.6</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建设规模</w:t>
            </w:r>
          </w:p>
        </w:tc>
        <w:tc>
          <w:tcPr>
            <w:tcW w:w="6490" w:type="dxa"/>
            <w:vAlign w:val="center"/>
          </w:tcPr>
          <w:p>
            <w:pPr>
              <w:snapToGrid w:val="0"/>
              <w:spacing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西计厂房3-6号楼漏水需补漏面积约1950㎡，6号房拆除及更换变形钢板天沟264㎡。</w:t>
            </w:r>
          </w:p>
          <w:p>
            <w:pPr>
              <w:snapToGrid w:val="0"/>
              <w:spacing w:line="400" w:lineRule="exact"/>
              <w:jc w:val="left"/>
              <w:rPr>
                <w:rFonts w:ascii="宋体" w:hAnsi="宋体"/>
                <w:i/>
                <w:snapToGrid w:val="0"/>
                <w:color w:val="auto"/>
                <w:kern w:val="0"/>
                <w:szCs w:val="21"/>
                <w:highlight w:val="none"/>
              </w:rPr>
            </w:pPr>
            <w:r>
              <w:rPr>
                <w:rFonts w:hint="eastAsia" w:ascii="宋体" w:hAnsi="宋体" w:eastAsia="宋体" w:cs="Times New Roman"/>
                <w:color w:val="auto"/>
                <w:szCs w:val="21"/>
                <w:highlight w:val="none"/>
              </w:rPr>
              <w:t>包括但不限于拆除工程、补漏工程等内容，具体以招标人发出的施工图、工程量清单、答疑、补遗等为准，具体详见施工图纸及清单。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1.2.1</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资金来源</w:t>
            </w:r>
          </w:p>
        </w:tc>
        <w:tc>
          <w:tcPr>
            <w:tcW w:w="6490" w:type="dxa"/>
            <w:vAlign w:val="center"/>
          </w:tcPr>
          <w:p>
            <w:pPr>
              <w:snapToGrid w:val="0"/>
              <w:spacing w:line="400" w:lineRule="exact"/>
              <w:ind w:firstLine="420" w:firstLineChars="200"/>
              <w:rPr>
                <w:rFonts w:ascii="宋体" w:hAnsi="宋体"/>
                <w:color w:val="auto"/>
                <w:szCs w:val="21"/>
                <w:highlight w:val="none"/>
              </w:rPr>
            </w:pP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业主自筹</w:t>
            </w:r>
            <w:r>
              <w:rPr>
                <w:rFonts w:hint="eastAsia" w:ascii="宋体" w:hAnsi="宋体"/>
                <w:snapToGrid w:val="0"/>
                <w:color w:val="auto"/>
                <w:kern w:val="0"/>
                <w:szCs w:val="21"/>
                <w:highlight w:val="none"/>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1.2.2</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出资比例</w:t>
            </w:r>
          </w:p>
        </w:tc>
        <w:tc>
          <w:tcPr>
            <w:tcW w:w="6490" w:type="dxa"/>
            <w:vAlign w:val="center"/>
          </w:tcPr>
          <w:p>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1.2.3</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资金落实情况</w:t>
            </w:r>
          </w:p>
        </w:tc>
        <w:tc>
          <w:tcPr>
            <w:tcW w:w="6490" w:type="dxa"/>
            <w:vAlign w:val="center"/>
          </w:tcPr>
          <w:p>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1.3.1</w:t>
            </w:r>
          </w:p>
        </w:tc>
        <w:tc>
          <w:tcPr>
            <w:tcW w:w="1644"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val="en-US" w:eastAsia="zh-CN"/>
              </w:rPr>
              <w:t>比选</w:t>
            </w:r>
            <w:r>
              <w:rPr>
                <w:rFonts w:ascii="宋体" w:hAnsi="宋体"/>
                <w:color w:val="auto"/>
                <w:kern w:val="0"/>
                <w:szCs w:val="21"/>
                <w:highlight w:val="none"/>
              </w:rPr>
              <w:t>范围</w:t>
            </w:r>
          </w:p>
        </w:tc>
        <w:tc>
          <w:tcPr>
            <w:tcW w:w="6490" w:type="dxa"/>
            <w:vAlign w:val="center"/>
          </w:tcPr>
          <w:p>
            <w:pPr>
              <w:tabs>
                <w:tab w:val="left" w:pos="3840"/>
                <w:tab w:val="left" w:pos="5300"/>
              </w:tabs>
              <w:autoSpaceDE w:val="0"/>
              <w:autoSpaceDN w:val="0"/>
              <w:adjustRightInd w:val="0"/>
              <w:snapToGrid w:val="0"/>
              <w:spacing w:line="460" w:lineRule="exact"/>
              <w:ind w:firstLine="420" w:firstLineChars="200"/>
              <w:jc w:val="left"/>
              <w:rPr>
                <w:rFonts w:ascii="宋体" w:hAnsi="宋体"/>
                <w:i/>
                <w:color w:val="auto"/>
                <w:szCs w:val="21"/>
                <w:highlight w:val="none"/>
              </w:rPr>
            </w:pPr>
            <w:r>
              <w:rPr>
                <w:rFonts w:hint="eastAsia" w:ascii="宋体" w:hAnsi="宋体"/>
                <w:snapToGrid w:val="0"/>
                <w:color w:val="auto"/>
                <w:kern w:val="0"/>
                <w:szCs w:val="21"/>
                <w:highlight w:val="none"/>
                <w:u w:val="single"/>
              </w:rPr>
              <w:t>以本工程</w:t>
            </w:r>
            <w:r>
              <w:rPr>
                <w:rFonts w:hint="eastAsia" w:ascii="宋体" w:hAnsi="宋体"/>
                <w:snapToGrid w:val="0"/>
                <w:color w:val="auto"/>
                <w:kern w:val="0"/>
                <w:szCs w:val="21"/>
                <w:highlight w:val="none"/>
                <w:u w:val="single"/>
                <w:lang w:val="en-US" w:eastAsia="zh-CN"/>
              </w:rPr>
              <w:t>比选人</w:t>
            </w:r>
            <w:r>
              <w:rPr>
                <w:rFonts w:hint="eastAsia" w:ascii="宋体" w:hAnsi="宋体"/>
                <w:snapToGrid w:val="0"/>
                <w:color w:val="auto"/>
                <w:kern w:val="0"/>
                <w:szCs w:val="21"/>
                <w:highlight w:val="none"/>
                <w:u w:val="single"/>
              </w:rPr>
              <w:t>发布的施工图、工程量清单为准，若施工图与工程量清单有不一致的地方，以工程量清单为准。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1.3.2</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计划工期</w:t>
            </w:r>
          </w:p>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缺陷责任期</w:t>
            </w:r>
          </w:p>
        </w:tc>
        <w:tc>
          <w:tcPr>
            <w:tcW w:w="6490" w:type="dxa"/>
            <w:vAlign w:val="center"/>
          </w:tcPr>
          <w:p>
            <w:pPr>
              <w:snapToGrid w:val="0"/>
              <w:spacing w:line="400" w:lineRule="exact"/>
              <w:rPr>
                <w:rFonts w:ascii="宋体" w:hAnsi="宋体"/>
                <w:snapToGrid w:val="0"/>
                <w:color w:val="auto"/>
                <w:kern w:val="0"/>
                <w:szCs w:val="21"/>
                <w:highlight w:val="none"/>
                <w:u w:val="single"/>
              </w:rPr>
            </w:pPr>
            <w:r>
              <w:rPr>
                <w:rFonts w:hint="eastAsia" w:ascii="宋体" w:hAnsi="宋体"/>
                <w:color w:val="auto"/>
                <w:kern w:val="0"/>
                <w:szCs w:val="21"/>
                <w:highlight w:val="none"/>
              </w:rPr>
              <w:t>工期：</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60</w:t>
            </w:r>
            <w:r>
              <w:rPr>
                <w:rFonts w:hint="eastAsia" w:ascii="宋体" w:hAnsi="宋体"/>
                <w:snapToGrid w:val="0"/>
                <w:color w:val="auto"/>
                <w:kern w:val="0"/>
                <w:szCs w:val="21"/>
                <w:highlight w:val="none"/>
                <w:u w:val="single"/>
              </w:rPr>
              <w:t>日历天</w:t>
            </w:r>
          </w:p>
          <w:p>
            <w:pPr>
              <w:snapToGrid w:val="0"/>
              <w:spacing w:line="400" w:lineRule="exact"/>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质保期</w:t>
            </w:r>
            <w:r>
              <w:rPr>
                <w:rFonts w:hint="eastAsia" w:ascii="宋体" w:hAnsi="宋体"/>
                <w:color w:val="auto"/>
                <w:kern w:val="0"/>
                <w:szCs w:val="21"/>
                <w:highlight w:val="none"/>
              </w:rPr>
              <w:t>：</w:t>
            </w:r>
            <w:r>
              <w:rPr>
                <w:rFonts w:hint="eastAsia" w:ascii="宋体" w:hAnsi="宋体"/>
                <w:snapToGrid w:val="0"/>
                <w:color w:val="auto"/>
                <w:kern w:val="0"/>
                <w:szCs w:val="21"/>
                <w:highlight w:val="none"/>
                <w:u w:val="single"/>
                <w:lang w:val="en-US" w:eastAsia="zh-CN"/>
              </w:rPr>
              <w:t>5年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1.3.3</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质量要求</w:t>
            </w:r>
          </w:p>
        </w:tc>
        <w:tc>
          <w:tcPr>
            <w:tcW w:w="6490" w:type="dxa"/>
            <w:vAlign w:val="center"/>
          </w:tcPr>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符合强制性质量标准，</w:t>
            </w:r>
            <w:r>
              <w:rPr>
                <w:rFonts w:hint="eastAsia" w:ascii="宋体" w:hAnsi="宋体"/>
                <w:color w:val="auto"/>
                <w:szCs w:val="21"/>
                <w:highlight w:val="none"/>
                <w:u w:val="single"/>
              </w:rPr>
              <w:t>符合</w:t>
            </w:r>
            <w:r>
              <w:rPr>
                <w:rFonts w:ascii="宋体" w:hAnsi="宋体"/>
                <w:color w:val="auto"/>
                <w:szCs w:val="21"/>
                <w:highlight w:val="none"/>
                <w:u w:val="single"/>
              </w:rPr>
              <w:t>国家和重庆市现行有关施工质量验收规范要求，并达到合格标准</w:t>
            </w:r>
            <w:r>
              <w:rPr>
                <w:rFonts w:ascii="宋体" w:hAnsi="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86" w:hRule="atLeast"/>
          <w:jc w:val="center"/>
        </w:trPr>
        <w:tc>
          <w:tcPr>
            <w:tcW w:w="1335" w:type="dxa"/>
            <w:vAlign w:val="center"/>
          </w:tcPr>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both"/>
              <w:rPr>
                <w:rFonts w:ascii="宋体" w:hAnsi="宋体"/>
                <w:color w:val="auto"/>
                <w:kern w:val="0"/>
                <w:szCs w:val="21"/>
                <w:highlight w:val="none"/>
              </w:rPr>
            </w:pPr>
          </w:p>
        </w:tc>
        <w:tc>
          <w:tcPr>
            <w:tcW w:w="1644" w:type="dxa"/>
            <w:vAlign w:val="center"/>
          </w:tcPr>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资质条件、能力和信誉</w:t>
            </w: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资质条件、能力和信誉</w:t>
            </w:r>
          </w:p>
          <w:p>
            <w:pPr>
              <w:snapToGrid w:val="0"/>
              <w:spacing w:line="400" w:lineRule="exact"/>
              <w:jc w:val="center"/>
              <w:rPr>
                <w:rFonts w:ascii="宋体" w:hAnsi="宋体"/>
                <w:color w:val="auto"/>
                <w:kern w:val="0"/>
                <w:szCs w:val="21"/>
                <w:highlight w:val="none"/>
              </w:rPr>
            </w:pPr>
          </w:p>
          <w:p>
            <w:pPr>
              <w:snapToGrid w:val="0"/>
              <w:spacing w:line="400" w:lineRule="exact"/>
              <w:jc w:val="both"/>
              <w:rPr>
                <w:rFonts w:ascii="宋体" w:hAnsi="宋体"/>
                <w:color w:val="auto"/>
                <w:kern w:val="0"/>
                <w:szCs w:val="21"/>
                <w:highlight w:val="none"/>
              </w:rPr>
            </w:pPr>
          </w:p>
        </w:tc>
        <w:tc>
          <w:tcPr>
            <w:tcW w:w="6490" w:type="dxa"/>
            <w:vAlign w:val="center"/>
          </w:tcPr>
          <w:p>
            <w:pPr>
              <w:autoSpaceDE w:val="0"/>
              <w:autoSpaceDN w:val="0"/>
              <w:adjustRightInd w:val="0"/>
              <w:snapToGrid w:val="0"/>
              <w:spacing w:line="400" w:lineRule="exact"/>
              <w:rPr>
                <w:rFonts w:ascii="宋体" w:hAnsi="宋体"/>
                <w:color w:val="auto"/>
                <w:szCs w:val="21"/>
                <w:highlight w:val="none"/>
              </w:rPr>
            </w:pPr>
            <w:bookmarkStart w:id="104" w:name="OLE_LINK1"/>
            <w:r>
              <w:rPr>
                <w:rFonts w:ascii="宋体" w:hAnsi="宋体"/>
                <w:color w:val="auto"/>
                <w:szCs w:val="21"/>
                <w:highlight w:val="none"/>
              </w:rPr>
              <w:t>本工程施工招标实行资格后审，</w:t>
            </w:r>
            <w:r>
              <w:rPr>
                <w:rFonts w:hint="eastAsia" w:ascii="宋体" w:hAnsi="宋体"/>
                <w:color w:val="auto"/>
                <w:szCs w:val="21"/>
                <w:highlight w:val="none"/>
                <w:lang w:eastAsia="zh-CN"/>
              </w:rPr>
              <w:t>竞选人</w:t>
            </w:r>
            <w:r>
              <w:rPr>
                <w:rFonts w:ascii="宋体" w:hAnsi="宋体"/>
                <w:color w:val="auto"/>
                <w:szCs w:val="21"/>
                <w:highlight w:val="none"/>
              </w:rPr>
              <w:t>应</w:t>
            </w:r>
            <w:bookmarkStart w:id="105" w:name="一是"/>
            <w:bookmarkEnd w:id="105"/>
            <w:r>
              <w:rPr>
                <w:rFonts w:ascii="宋体" w:hAnsi="宋体"/>
                <w:color w:val="auto"/>
                <w:szCs w:val="21"/>
                <w:highlight w:val="none"/>
              </w:rPr>
              <w:t>具备以下资格条件：</w:t>
            </w:r>
          </w:p>
          <w:bookmarkEnd w:id="104"/>
          <w:p>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1.资质条件、营业执照及安全生产条件</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（1）具备建设行政主管部门颁发的有效的</w:t>
            </w:r>
            <w:r>
              <w:rPr>
                <w:rFonts w:hint="eastAsia" w:ascii="宋体" w:hAnsi="宋体"/>
                <w:snapToGrid w:val="0"/>
                <w:color w:val="auto"/>
                <w:kern w:val="0"/>
                <w:szCs w:val="21"/>
                <w:highlight w:val="none"/>
                <w:u w:val="single"/>
              </w:rPr>
              <w:t>建筑施工总承包叁级及以上或屋面防水整改工程专业承包二级及以上资质。</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ascii="宋体" w:hAnsi="宋体"/>
                <w:color w:val="auto"/>
                <w:szCs w:val="21"/>
                <w:highlight w:val="none"/>
              </w:rPr>
              <w:t>须</w:t>
            </w:r>
            <w:r>
              <w:rPr>
                <w:rFonts w:hint="eastAsia" w:ascii="宋体" w:hAnsi="宋体"/>
                <w:color w:val="auto"/>
                <w:szCs w:val="21"/>
                <w:highlight w:val="none"/>
              </w:rPr>
              <w:t>在</w:t>
            </w:r>
            <w:r>
              <w:rPr>
                <w:rFonts w:hint="eastAsia" w:ascii="宋体" w:hAnsi="宋体"/>
                <w:color w:val="auto"/>
                <w:szCs w:val="21"/>
                <w:highlight w:val="none"/>
                <w:lang w:eastAsia="zh-CN"/>
              </w:rPr>
              <w:t>竞选文件</w:t>
            </w:r>
            <w:r>
              <w:rPr>
                <w:rFonts w:hint="eastAsia" w:ascii="宋体" w:hAnsi="宋体"/>
                <w:color w:val="auto"/>
                <w:szCs w:val="21"/>
                <w:highlight w:val="none"/>
              </w:rPr>
              <w:t>资格审查部分</w:t>
            </w:r>
            <w:r>
              <w:rPr>
                <w:rFonts w:ascii="宋体" w:hAnsi="宋体"/>
                <w:color w:val="auto"/>
                <w:szCs w:val="21"/>
                <w:highlight w:val="none"/>
              </w:rPr>
              <w:t>提供</w:t>
            </w:r>
            <w:r>
              <w:rPr>
                <w:rFonts w:hint="eastAsia" w:ascii="宋体" w:hAnsi="宋体"/>
                <w:color w:val="auto"/>
                <w:szCs w:val="21"/>
                <w:highlight w:val="none"/>
              </w:rPr>
              <w:t>有效的资质证书</w:t>
            </w:r>
            <w:r>
              <w:rPr>
                <w:rFonts w:ascii="宋体" w:hAnsi="宋体"/>
                <w:color w:val="auto"/>
                <w:szCs w:val="21"/>
                <w:highlight w:val="none"/>
              </w:rPr>
              <w:t>复印件。</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（2）具备有效的营业执照。</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ascii="宋体" w:hAnsi="宋体"/>
                <w:color w:val="auto"/>
                <w:szCs w:val="21"/>
                <w:highlight w:val="none"/>
              </w:rPr>
              <w:t>须</w:t>
            </w:r>
            <w:r>
              <w:rPr>
                <w:rFonts w:hint="eastAsia" w:ascii="宋体" w:hAnsi="宋体"/>
                <w:color w:val="auto"/>
                <w:szCs w:val="21"/>
                <w:highlight w:val="none"/>
              </w:rPr>
              <w:t>在</w:t>
            </w:r>
            <w:r>
              <w:rPr>
                <w:rFonts w:hint="eastAsia" w:ascii="宋体" w:hAnsi="宋体"/>
                <w:color w:val="auto"/>
                <w:szCs w:val="21"/>
                <w:highlight w:val="none"/>
                <w:lang w:eastAsia="zh-CN"/>
              </w:rPr>
              <w:t>竞选文件</w:t>
            </w:r>
            <w:r>
              <w:rPr>
                <w:rFonts w:hint="eastAsia" w:ascii="宋体" w:hAnsi="宋体"/>
                <w:color w:val="auto"/>
                <w:szCs w:val="21"/>
                <w:highlight w:val="none"/>
              </w:rPr>
              <w:t>资格审查部分</w:t>
            </w:r>
            <w:r>
              <w:rPr>
                <w:rFonts w:ascii="宋体" w:hAnsi="宋体"/>
                <w:color w:val="auto"/>
                <w:szCs w:val="21"/>
                <w:highlight w:val="none"/>
              </w:rPr>
              <w:t>提供有效的营业执照复印件。</w:t>
            </w:r>
            <w:r>
              <w:rPr>
                <w:rFonts w:hint="eastAsia" w:ascii="宋体" w:hAnsi="宋体"/>
                <w:color w:val="auto"/>
                <w:szCs w:val="21"/>
                <w:highlight w:val="none"/>
              </w:rPr>
              <w:t>注：不得将</w:t>
            </w:r>
            <w:r>
              <w:rPr>
                <w:rFonts w:hint="eastAsia" w:ascii="宋体" w:hAnsi="宋体"/>
                <w:color w:val="auto"/>
                <w:szCs w:val="21"/>
                <w:highlight w:val="none"/>
                <w:lang w:eastAsia="zh-CN"/>
              </w:rPr>
              <w:t>竞选人</w:t>
            </w:r>
            <w:r>
              <w:rPr>
                <w:rFonts w:hint="eastAsia" w:ascii="宋体" w:hAnsi="宋体"/>
                <w:color w:val="auto"/>
                <w:szCs w:val="21"/>
                <w:highlight w:val="none"/>
              </w:rPr>
              <w:t>营业执照记载的经营范围作为评审因素。</w:t>
            </w:r>
          </w:p>
          <w:p>
            <w:pPr>
              <w:autoSpaceDE w:val="0"/>
              <w:autoSpaceDN w:val="0"/>
              <w:adjustRightInd w:val="0"/>
              <w:snapToGrid w:val="0"/>
              <w:spacing w:line="400" w:lineRule="exact"/>
              <w:ind w:firstLine="420" w:firstLineChars="200"/>
              <w:rPr>
                <w:rFonts w:hint="eastAsia" w:ascii="宋体" w:hAnsi="宋体" w:eastAsia="宋体"/>
                <w:i/>
                <w:color w:val="auto"/>
                <w:szCs w:val="21"/>
                <w:highlight w:val="none"/>
                <w:lang w:eastAsia="zh-CN"/>
              </w:rPr>
            </w:pPr>
            <w:r>
              <w:rPr>
                <w:rFonts w:ascii="宋体" w:hAnsi="宋体"/>
                <w:color w:val="auto"/>
                <w:szCs w:val="21"/>
                <w:highlight w:val="none"/>
              </w:rPr>
              <w:t>（3）具备建设行政主管部门颁发的有效的安全生产许可证</w:t>
            </w:r>
            <w:r>
              <w:rPr>
                <w:rFonts w:hint="eastAsia" w:ascii="宋体" w:hAnsi="宋体"/>
                <w:color w:val="auto"/>
                <w:szCs w:val="21"/>
                <w:highlight w:val="none"/>
                <w:lang w:eastAsia="zh-CN"/>
              </w:rPr>
              <w:t>。</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rPr>
              <w:t>须在</w:t>
            </w:r>
            <w:r>
              <w:rPr>
                <w:rFonts w:hint="eastAsia" w:ascii="宋体" w:hAnsi="宋体"/>
                <w:color w:val="auto"/>
                <w:szCs w:val="21"/>
                <w:highlight w:val="none"/>
                <w:lang w:eastAsia="zh-CN"/>
              </w:rPr>
              <w:t>竞选文件</w:t>
            </w:r>
            <w:r>
              <w:rPr>
                <w:rFonts w:hint="eastAsia" w:ascii="宋体" w:hAnsi="宋体"/>
                <w:color w:val="auto"/>
                <w:szCs w:val="21"/>
                <w:highlight w:val="none"/>
              </w:rPr>
              <w:t>资格审查部分提供有效的安全生产许可证</w:t>
            </w:r>
            <w:r>
              <w:rPr>
                <w:rFonts w:ascii="宋体" w:hAnsi="宋体"/>
                <w:color w:val="auto"/>
                <w:szCs w:val="21"/>
                <w:highlight w:val="none"/>
              </w:rPr>
              <w:t>复印件。</w:t>
            </w:r>
          </w:p>
          <w:p>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2.财务要求</w:t>
            </w:r>
          </w:p>
          <w:p>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2020</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2021</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年的年度财务状况不亏损。</w:t>
            </w:r>
          </w:p>
          <w:p>
            <w:pPr>
              <w:autoSpaceDE w:val="0"/>
              <w:autoSpaceDN w:val="0"/>
              <w:adjustRightInd w:val="0"/>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val="en-US" w:eastAsia="zh-CN"/>
              </w:rPr>
              <w:t>竞选</w:t>
            </w:r>
            <w:r>
              <w:rPr>
                <w:rFonts w:hint="eastAsia" w:ascii="宋体" w:hAnsi="宋体"/>
                <w:color w:val="auto"/>
                <w:kern w:val="0"/>
                <w:szCs w:val="21"/>
                <w:highlight w:val="none"/>
              </w:rPr>
              <w:t>人须在</w:t>
            </w:r>
            <w:r>
              <w:rPr>
                <w:rFonts w:hint="eastAsia" w:ascii="宋体" w:hAnsi="宋体"/>
                <w:color w:val="auto"/>
                <w:kern w:val="0"/>
                <w:szCs w:val="21"/>
                <w:highlight w:val="none"/>
                <w:lang w:val="en-US" w:eastAsia="zh-CN"/>
              </w:rPr>
              <w:t>竞选</w:t>
            </w:r>
            <w:r>
              <w:rPr>
                <w:rFonts w:hint="eastAsia" w:ascii="宋体" w:hAnsi="宋体"/>
                <w:color w:val="auto"/>
                <w:kern w:val="0"/>
                <w:szCs w:val="21"/>
                <w:highlight w:val="none"/>
              </w:rPr>
              <w:t>文件资格审查部分提供经会计师事务所或审计机构出具的合法有效的财务审计报告及财务报表复印件，财务报表须至少包括现金流量表、资产负债表、利润表。</w:t>
            </w:r>
          </w:p>
          <w:p>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3.业绩要求</w:t>
            </w:r>
          </w:p>
          <w:p>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val="en-US" w:eastAsia="zh-CN"/>
              </w:rPr>
              <w:t>竞选</w:t>
            </w:r>
            <w:r>
              <w:rPr>
                <w:rFonts w:hint="eastAsia" w:ascii="宋体" w:hAnsi="宋体"/>
                <w:color w:val="auto"/>
                <w:kern w:val="0"/>
                <w:szCs w:val="21"/>
                <w:highlight w:val="none"/>
              </w:rPr>
              <w:t>人提供的类似业绩应同时满足以下要求：</w:t>
            </w:r>
          </w:p>
          <w:p>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3.1业绩时间要求：</w:t>
            </w:r>
          </w:p>
          <w:p>
            <w:pPr>
              <w:autoSpaceDE w:val="0"/>
              <w:autoSpaceDN w:val="0"/>
              <w:adjustRightInd w:val="0"/>
              <w:snapToGrid w:val="0"/>
              <w:spacing w:line="400" w:lineRule="exact"/>
              <w:ind w:firstLine="420" w:firstLineChars="200"/>
              <w:rPr>
                <w:rFonts w:ascii="宋体" w:hAnsi="宋体"/>
                <w:color w:val="auto"/>
                <w:szCs w:val="21"/>
                <w:highlight w:val="none"/>
                <w:u w:val="single"/>
              </w:rPr>
            </w:pPr>
            <w:r>
              <w:rPr>
                <w:rFonts w:hint="eastAsia" w:ascii="宋体" w:hAnsi="宋体"/>
                <w:color w:val="auto"/>
                <w:kern w:val="0"/>
                <w:szCs w:val="21"/>
                <w:highlight w:val="none"/>
                <w:lang w:val="en-US" w:eastAsia="zh-CN"/>
              </w:rPr>
              <w:t>竞选</w:t>
            </w:r>
            <w:r>
              <w:rPr>
                <w:rFonts w:ascii="宋体" w:hAnsi="宋体"/>
                <w:color w:val="auto"/>
                <w:kern w:val="0"/>
                <w:szCs w:val="21"/>
                <w:highlight w:val="none"/>
              </w:rPr>
              <w:t>截止日前</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3</w:t>
            </w:r>
            <w:r>
              <w:rPr>
                <w:rFonts w:ascii="宋体" w:hAnsi="宋体"/>
                <w:color w:val="auto"/>
                <w:szCs w:val="21"/>
                <w:highlight w:val="none"/>
              </w:rPr>
              <w:t>年</w:t>
            </w:r>
            <w:r>
              <w:rPr>
                <w:rFonts w:hint="eastAsia" w:ascii="宋体" w:hAnsi="宋体"/>
                <w:color w:val="auto"/>
                <w:szCs w:val="21"/>
                <w:highlight w:val="none"/>
              </w:rPr>
              <w:t>，指</w:t>
            </w:r>
            <w:r>
              <w:rPr>
                <w:rFonts w:hint="eastAsia" w:ascii="宋体" w:hAnsi="宋体"/>
                <w:color w:val="auto"/>
                <w:kern w:val="0"/>
                <w:szCs w:val="21"/>
                <w:highlight w:val="none"/>
                <w:lang w:val="en-US" w:eastAsia="zh-CN"/>
              </w:rPr>
              <w:t>竞选</w:t>
            </w:r>
            <w:r>
              <w:rPr>
                <w:rFonts w:hint="eastAsia" w:ascii="宋体" w:hAnsi="宋体"/>
                <w:color w:val="auto"/>
                <w:szCs w:val="21"/>
                <w:highlight w:val="none"/>
                <w:lang w:val="en-US" w:eastAsia="zh-CN"/>
              </w:rPr>
              <w:t>人在</w:t>
            </w:r>
            <w:r>
              <w:rPr>
                <w:rFonts w:hint="eastAsia" w:ascii="宋体" w:hAnsi="宋体"/>
                <w:color w:val="auto"/>
                <w:szCs w:val="21"/>
                <w:highlight w:val="none"/>
                <w:u w:val="single"/>
                <w:lang w:val="en-US" w:eastAsia="zh-CN"/>
              </w:rPr>
              <w:t>2020</w:t>
            </w:r>
            <w:r>
              <w:rPr>
                <w:rFonts w:hint="eastAsia" w:ascii="宋体" w:hAnsi="宋体"/>
                <w:color w:val="auto"/>
                <w:szCs w:val="21"/>
                <w:highlight w:val="none"/>
              </w:rPr>
              <w:t>年1月1日起至</w:t>
            </w:r>
            <w:r>
              <w:rPr>
                <w:rFonts w:hint="eastAsia" w:ascii="宋体" w:hAnsi="宋体"/>
                <w:color w:val="auto"/>
                <w:kern w:val="0"/>
                <w:szCs w:val="21"/>
                <w:highlight w:val="none"/>
                <w:lang w:val="en-US" w:eastAsia="zh-CN"/>
              </w:rPr>
              <w:t>竞选</w:t>
            </w:r>
            <w:r>
              <w:rPr>
                <w:rFonts w:hint="eastAsia" w:ascii="宋体" w:hAnsi="宋体"/>
                <w:color w:val="auto"/>
                <w:szCs w:val="21"/>
                <w:highlight w:val="none"/>
              </w:rPr>
              <w:t>截止日止（以竣工时间为准）</w:t>
            </w:r>
            <w:r>
              <w:rPr>
                <w:rFonts w:hint="eastAsia" w:ascii="宋体" w:hAnsi="宋体"/>
                <w:color w:val="auto"/>
                <w:szCs w:val="21"/>
                <w:highlight w:val="none"/>
                <w:lang w:val="en-US" w:eastAsia="zh-CN"/>
              </w:rPr>
              <w:t>完成</w:t>
            </w:r>
            <w:r>
              <w:rPr>
                <w:rFonts w:hint="eastAsia" w:ascii="宋体" w:hAnsi="宋体"/>
                <w:color w:val="auto"/>
                <w:szCs w:val="21"/>
                <w:highlight w:val="none"/>
              </w:rPr>
              <w:t>的1个类似项目业绩。</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3.2业绩规模要求：</w:t>
            </w:r>
          </w:p>
          <w:p>
            <w:pPr>
              <w:autoSpaceDE w:val="0"/>
              <w:autoSpaceDN w:val="0"/>
              <w:adjustRightInd w:val="0"/>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工程类别：</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防水工程</w:t>
            </w:r>
            <w:r>
              <w:rPr>
                <w:rFonts w:hint="eastAsia" w:ascii="宋体" w:hAnsi="宋体"/>
                <w:color w:val="auto"/>
                <w:szCs w:val="21"/>
                <w:highlight w:val="none"/>
                <w:u w:val="single"/>
              </w:rPr>
              <w:t xml:space="preserve"> </w:t>
            </w:r>
          </w:p>
          <w:p>
            <w:pPr>
              <w:autoSpaceDE w:val="0"/>
              <w:autoSpaceDN w:val="0"/>
              <w:adjustRightInd w:val="0"/>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sym w:font="Wingdings 2" w:char="0052"/>
            </w:r>
            <w:r>
              <w:rPr>
                <w:rFonts w:hint="eastAsia" w:ascii="宋体" w:hAnsi="宋体"/>
                <w:color w:val="auto"/>
                <w:szCs w:val="21"/>
                <w:highlight w:val="none"/>
              </w:rPr>
              <w:t>工程造价：</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25万元</w:t>
            </w:r>
            <w:r>
              <w:rPr>
                <w:rFonts w:hint="eastAsia" w:ascii="宋体" w:hAnsi="宋体"/>
                <w:color w:val="auto"/>
                <w:szCs w:val="21"/>
                <w:highlight w:val="none"/>
                <w:u w:val="single"/>
              </w:rPr>
              <w:t xml:space="preserve">  </w:t>
            </w:r>
          </w:p>
          <w:p>
            <w:pPr>
              <w:autoSpaceDE w:val="0"/>
              <w:autoSpaceDN w:val="0"/>
              <w:adjustRightInd w:val="0"/>
              <w:snapToGrid w:val="0"/>
              <w:spacing w:line="400" w:lineRule="exact"/>
              <w:ind w:firstLine="415" w:firstLineChars="198"/>
              <w:rPr>
                <w:rFonts w:ascii="宋体" w:hAnsi="宋体"/>
                <w:color w:val="auto"/>
                <w:szCs w:val="21"/>
                <w:highlight w:val="none"/>
              </w:rPr>
            </w:pPr>
            <w:r>
              <w:rPr>
                <w:rFonts w:hint="eastAsia" w:ascii="宋体" w:hAnsi="宋体"/>
                <w:color w:val="auto"/>
                <w:szCs w:val="21"/>
                <w:highlight w:val="none"/>
              </w:rPr>
              <w:t>3.3业绩证明材料要求：</w:t>
            </w:r>
          </w:p>
          <w:p>
            <w:pPr>
              <w:autoSpaceDE w:val="0"/>
              <w:autoSpaceDN w:val="0"/>
              <w:adjustRightInd w:val="0"/>
              <w:snapToGrid w:val="0"/>
              <w:spacing w:line="400" w:lineRule="exact"/>
              <w:ind w:firstLine="415" w:firstLineChars="198"/>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kern w:val="0"/>
                <w:szCs w:val="21"/>
                <w:highlight w:val="none"/>
                <w:lang w:val="en-US" w:eastAsia="zh-CN"/>
              </w:rPr>
              <w:t>竞选</w:t>
            </w:r>
            <w:r>
              <w:rPr>
                <w:rFonts w:hint="eastAsia" w:ascii="宋体" w:hAnsi="宋体"/>
                <w:color w:val="auto"/>
                <w:szCs w:val="21"/>
                <w:highlight w:val="none"/>
              </w:rPr>
              <w:t>人须在</w:t>
            </w:r>
            <w:r>
              <w:rPr>
                <w:rFonts w:hint="eastAsia" w:ascii="宋体" w:hAnsi="宋体"/>
                <w:color w:val="auto"/>
                <w:kern w:val="0"/>
                <w:szCs w:val="21"/>
                <w:highlight w:val="none"/>
                <w:lang w:val="en-US" w:eastAsia="zh-CN"/>
              </w:rPr>
              <w:t>竞选</w:t>
            </w:r>
            <w:r>
              <w:rPr>
                <w:rFonts w:hint="eastAsia" w:ascii="宋体" w:hAnsi="宋体"/>
                <w:color w:val="auto"/>
                <w:szCs w:val="21"/>
                <w:highlight w:val="none"/>
              </w:rPr>
              <w:t>文件资格审查部分提供该业绩的中标通知书（直接发包的项目可提供项目发包人出具的项目直接发包情况说明或证明文书代替）、合同协议书和工程竣工验收合格的证明材料。同时须提供该业绩在“全国建筑市场监管公共服务平台”的网页截图，截图数量不限但须确保截图信息清晰显示完整的网站名称、查询网址、工程名称、中标单位名称（或承包单位名称或施工企业名称），截图的其余信息不作为评审依据。若上述资料无法体现工程规模（如有）的，还须提供业主证明。</w:t>
            </w:r>
          </w:p>
          <w:p>
            <w:pPr>
              <w:autoSpaceDE w:val="0"/>
              <w:autoSpaceDN w:val="0"/>
              <w:adjustRightInd w:val="0"/>
              <w:snapToGrid w:val="0"/>
              <w:spacing w:line="400" w:lineRule="exact"/>
              <w:ind w:firstLine="415" w:firstLineChars="198"/>
              <w:rPr>
                <w:rFonts w:ascii="宋体" w:hAnsi="宋体"/>
                <w:color w:val="auto"/>
                <w:szCs w:val="21"/>
                <w:highlight w:val="none"/>
              </w:rPr>
            </w:pPr>
            <w:r>
              <w:rPr>
                <w:rFonts w:hint="eastAsia" w:ascii="宋体" w:hAnsi="宋体"/>
                <w:color w:val="auto"/>
                <w:szCs w:val="21"/>
                <w:highlight w:val="none"/>
              </w:rPr>
              <w:t>注：</w:t>
            </w:r>
            <w:r>
              <w:rPr>
                <w:rFonts w:hint="eastAsia" w:ascii="宋体" w:hAnsi="宋体"/>
                <w:color w:val="auto"/>
                <w:kern w:val="0"/>
                <w:szCs w:val="21"/>
                <w:highlight w:val="none"/>
                <w:lang w:val="en-US" w:eastAsia="zh-CN"/>
              </w:rPr>
              <w:t>竞选</w:t>
            </w:r>
            <w:r>
              <w:rPr>
                <w:rFonts w:hint="eastAsia" w:ascii="宋体" w:hAnsi="宋体"/>
                <w:color w:val="auto"/>
                <w:szCs w:val="21"/>
                <w:highlight w:val="none"/>
              </w:rPr>
              <w:t>人应对其提供的业绩证明材料（含截图）的真实性负责。当上述资料中针对同一指标存在不一致时，以工程竣工验收合格的证明材料为准。</w:t>
            </w:r>
          </w:p>
          <w:p>
            <w:pPr>
              <w:autoSpaceDE w:val="0"/>
              <w:autoSpaceDN w:val="0"/>
              <w:adjustRightInd w:val="0"/>
              <w:snapToGrid w:val="0"/>
              <w:spacing w:line="400" w:lineRule="exact"/>
              <w:ind w:firstLine="415" w:firstLineChars="198"/>
              <w:rPr>
                <w:rFonts w:ascii="宋体" w:hAnsi="宋体"/>
                <w:color w:val="auto"/>
                <w:szCs w:val="21"/>
                <w:highlight w:val="none"/>
              </w:rPr>
            </w:pPr>
            <w:r>
              <w:rPr>
                <w:rFonts w:hint="eastAsia" w:ascii="宋体" w:hAnsi="宋体"/>
                <w:color w:val="auto"/>
                <w:szCs w:val="21"/>
                <w:highlight w:val="none"/>
              </w:rPr>
              <w:t>不满足上述业绩要求的业绩无效。</w:t>
            </w:r>
          </w:p>
          <w:p>
            <w:p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lang w:val="en-US" w:eastAsia="zh-CN"/>
              </w:rPr>
              <w:t>4</w:t>
            </w:r>
            <w:r>
              <w:rPr>
                <w:rFonts w:ascii="宋体" w:hAnsi="宋体"/>
                <w:b/>
                <w:color w:val="auto"/>
                <w:szCs w:val="21"/>
                <w:highlight w:val="none"/>
              </w:rPr>
              <w:t>.投标截止日投标资格情况</w:t>
            </w: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rPr>
              <w:t>自行承诺（格式见第八章</w:t>
            </w:r>
            <w:r>
              <w:rPr>
                <w:rFonts w:hint="eastAsia" w:ascii="宋体" w:hAnsi="宋体"/>
                <w:color w:val="auto"/>
                <w:szCs w:val="21"/>
                <w:highlight w:val="none"/>
                <w:lang w:eastAsia="zh-CN"/>
              </w:rPr>
              <w:t>竞选文件</w:t>
            </w:r>
            <w:r>
              <w:rPr>
                <w:rFonts w:hint="eastAsia" w:ascii="宋体" w:hAnsi="宋体"/>
                <w:color w:val="auto"/>
                <w:szCs w:val="21"/>
                <w:highlight w:val="none"/>
              </w:rPr>
              <w:t>格式）不得存在下列情形之一：</w:t>
            </w:r>
          </w:p>
          <w:p>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（3）被列入《重庆市工程建设领域招标投标信用管理暂行办法》规定的重庆市工程建设领域招标投标失信惩戒对象名单（以下称黑名单）且在记分有效期内；</w:t>
            </w: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（5）被重庆市</w:t>
            </w:r>
            <w:r>
              <w:rPr>
                <w:rFonts w:hint="eastAsia" w:ascii="宋体" w:hAnsi="宋体" w:eastAsia="宋体" w:cs="宋体"/>
                <w:color w:val="auto"/>
                <w:szCs w:val="21"/>
                <w:highlight w:val="none"/>
                <w:lang w:val="en-US" w:eastAsia="zh-CN"/>
              </w:rPr>
              <w:t>市级有关行业</w:t>
            </w:r>
            <w:r>
              <w:rPr>
                <w:rFonts w:hint="eastAsia" w:ascii="宋体" w:hAnsi="宋体"/>
                <w:color w:val="auto"/>
                <w:szCs w:val="21"/>
                <w:highlight w:val="none"/>
              </w:rPr>
              <w:t>主管部门暂停在渝承揽新业务且在暂停期内。</w:t>
            </w:r>
          </w:p>
          <w:p>
            <w:pPr>
              <w:spacing w:line="400" w:lineRule="exact"/>
              <w:ind w:firstLine="420" w:firstLineChars="200"/>
              <w:rPr>
                <w:rFonts w:hint="eastAsia"/>
                <w:color w:val="auto"/>
                <w:highlight w:val="none"/>
              </w:rPr>
            </w:pPr>
            <w:r>
              <w:rPr>
                <w:rFonts w:hint="eastAsia"/>
                <w:color w:val="auto"/>
                <w:highlight w:val="none"/>
                <w:lang w:eastAsia="zh-CN"/>
              </w:rPr>
              <w:t>竞选人</w:t>
            </w:r>
            <w:r>
              <w:rPr>
                <w:rFonts w:hint="eastAsia"/>
                <w:color w:val="auto"/>
                <w:highlight w:val="none"/>
              </w:rPr>
              <w:t>须在</w:t>
            </w:r>
            <w:r>
              <w:rPr>
                <w:rFonts w:hint="eastAsia"/>
                <w:color w:val="auto"/>
                <w:highlight w:val="none"/>
                <w:lang w:eastAsia="zh-CN"/>
              </w:rPr>
              <w:t>竞选文件</w:t>
            </w:r>
            <w:r>
              <w:rPr>
                <w:rFonts w:hint="eastAsia"/>
                <w:color w:val="auto"/>
                <w:highlight w:val="none"/>
              </w:rPr>
              <w:t>资格审查部分提供承诺。</w:t>
            </w:r>
          </w:p>
          <w:p>
            <w:pPr>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5.项目经理资格要求</w:t>
            </w: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5.1</w:t>
            </w:r>
            <w:r>
              <w:rPr>
                <w:rFonts w:hint="eastAsia" w:ascii="宋体" w:hAnsi="宋体"/>
                <w:color w:val="auto"/>
                <w:kern w:val="0"/>
                <w:szCs w:val="21"/>
                <w:highlight w:val="none"/>
                <w:lang w:val="en-US" w:eastAsia="zh-CN"/>
              </w:rPr>
              <w:t>竞选</w:t>
            </w:r>
            <w:r>
              <w:rPr>
                <w:rFonts w:hint="eastAsia"/>
                <w:color w:val="auto"/>
                <w:szCs w:val="21"/>
                <w:highlight w:val="none"/>
              </w:rPr>
              <w:t>人拟派的</w:t>
            </w:r>
            <w:r>
              <w:rPr>
                <w:color w:val="auto"/>
                <w:szCs w:val="21"/>
                <w:highlight w:val="none"/>
              </w:rPr>
              <w:t>项目经理必须已在</w:t>
            </w:r>
            <w:r>
              <w:rPr>
                <w:rFonts w:hint="eastAsia" w:ascii="宋体" w:hAnsi="宋体"/>
                <w:color w:val="auto"/>
                <w:kern w:val="0"/>
                <w:szCs w:val="21"/>
                <w:highlight w:val="none"/>
                <w:lang w:val="en-US" w:eastAsia="zh-CN"/>
              </w:rPr>
              <w:t>竞选</w:t>
            </w:r>
            <w:r>
              <w:rPr>
                <w:rFonts w:hint="eastAsia"/>
                <w:color w:val="auto"/>
                <w:szCs w:val="21"/>
                <w:highlight w:val="none"/>
              </w:rPr>
              <w:t>人本</w:t>
            </w:r>
            <w:r>
              <w:rPr>
                <w:color w:val="auto"/>
                <w:szCs w:val="21"/>
                <w:highlight w:val="none"/>
              </w:rPr>
              <w:t>单位注册并应具有</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u w:val="single"/>
                <w:lang w:val="en-US" w:eastAsia="zh-CN"/>
              </w:rPr>
              <w:t>建筑</w:t>
            </w:r>
            <w:r>
              <w:rPr>
                <w:rFonts w:hint="eastAsia"/>
                <w:color w:val="auto"/>
                <w:szCs w:val="21"/>
                <w:highlight w:val="none"/>
                <w:u w:val="single"/>
              </w:rPr>
              <w:t xml:space="preserve"> </w:t>
            </w:r>
            <w:r>
              <w:rPr>
                <w:rFonts w:hint="eastAsia"/>
                <w:color w:val="auto"/>
                <w:szCs w:val="21"/>
                <w:highlight w:val="none"/>
              </w:rPr>
              <w:t>专业</w:t>
            </w:r>
            <w:r>
              <w:rPr>
                <w:color w:val="auto"/>
                <w:szCs w:val="21"/>
                <w:highlight w:val="none"/>
                <w:u w:val="single"/>
              </w:rPr>
              <w:t xml:space="preserve"> </w:t>
            </w:r>
            <w:r>
              <w:rPr>
                <w:rFonts w:hint="eastAsia"/>
                <w:color w:val="auto"/>
                <w:szCs w:val="21"/>
                <w:highlight w:val="none"/>
                <w:u w:val="single"/>
                <w:lang w:val="en-US" w:eastAsia="zh-CN"/>
              </w:rPr>
              <w:t>二</w:t>
            </w:r>
            <w:r>
              <w:rPr>
                <w:color w:val="auto"/>
                <w:szCs w:val="21"/>
                <w:highlight w:val="none"/>
                <w:u w:val="single"/>
              </w:rPr>
              <w:t>级及以上</w:t>
            </w:r>
            <w:r>
              <w:rPr>
                <w:color w:val="auto"/>
                <w:szCs w:val="21"/>
                <w:highlight w:val="none"/>
              </w:rPr>
              <w:t>注册建造师执业</w:t>
            </w:r>
            <w:r>
              <w:rPr>
                <w:rFonts w:ascii="宋体" w:hAnsi="宋体"/>
                <w:color w:val="auto"/>
                <w:szCs w:val="21"/>
                <w:highlight w:val="none"/>
              </w:rPr>
              <w:t>资格</w:t>
            </w:r>
            <w:r>
              <w:rPr>
                <w:rFonts w:hint="eastAsia" w:ascii="宋体" w:hAnsi="宋体"/>
                <w:color w:val="auto"/>
                <w:szCs w:val="21"/>
                <w:highlight w:val="none"/>
              </w:rPr>
              <w:t>。</w:t>
            </w:r>
          </w:p>
          <w:p>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5.2项目经理承诺要求：投标人须承诺拟派项目经理按注册建造师的相关规定到岗履职和未被禁止参与投标。</w:t>
            </w:r>
          </w:p>
          <w:p>
            <w:pPr>
              <w:snapToGrid w:val="0"/>
              <w:spacing w:line="400" w:lineRule="exact"/>
              <w:ind w:firstLine="420" w:firstLineChars="200"/>
              <w:rPr>
                <w:rFonts w:ascii="宋体" w:hAnsi="宋体"/>
                <w:color w:val="auto"/>
                <w:highlight w:val="none"/>
              </w:rPr>
            </w:pPr>
            <w:r>
              <w:rPr>
                <w:rFonts w:ascii="宋体" w:hAnsi="宋体"/>
                <w:color w:val="auto"/>
                <w:highlight w:val="none"/>
              </w:rPr>
              <w:t>5.2.1到岗履职承诺要求：承诺拟派项目经理中标后在本项目任职，签订合同时拟派的项目经理必须与</w:t>
            </w:r>
            <w:r>
              <w:rPr>
                <w:rFonts w:hint="eastAsia" w:ascii="宋体" w:hAnsi="宋体"/>
                <w:color w:val="auto"/>
                <w:kern w:val="0"/>
                <w:szCs w:val="21"/>
                <w:highlight w:val="none"/>
                <w:lang w:val="en-US" w:eastAsia="zh-CN"/>
              </w:rPr>
              <w:t>竞选</w:t>
            </w:r>
            <w:r>
              <w:rPr>
                <w:rFonts w:ascii="宋体" w:hAnsi="宋体"/>
                <w:color w:val="auto"/>
                <w:highlight w:val="none"/>
              </w:rPr>
              <w:t>文件中的项目经理一致，并满足办理施工许可手续的相关要求。不能按承诺到岗履约的，按合同相关条款处罚并上报行政主管部门，给招标人造成损失的，</w:t>
            </w:r>
            <w:r>
              <w:rPr>
                <w:rFonts w:hint="eastAsia" w:ascii="宋体" w:hAnsi="宋体"/>
                <w:color w:val="auto"/>
                <w:kern w:val="0"/>
                <w:szCs w:val="21"/>
                <w:highlight w:val="none"/>
                <w:lang w:val="en-US" w:eastAsia="zh-CN"/>
              </w:rPr>
              <w:t>竞选</w:t>
            </w:r>
            <w:r>
              <w:rPr>
                <w:rFonts w:ascii="宋体" w:hAnsi="宋体"/>
                <w:color w:val="auto"/>
                <w:highlight w:val="none"/>
              </w:rPr>
              <w:t>人依法承担违约赔偿责任。拟派项目经理中标后不得随意更换。</w:t>
            </w:r>
          </w:p>
          <w:p>
            <w:pPr>
              <w:snapToGrid w:val="0"/>
              <w:spacing w:line="400" w:lineRule="exact"/>
              <w:ind w:firstLine="420" w:firstLineChars="200"/>
              <w:rPr>
                <w:rFonts w:ascii="宋体" w:hAnsi="宋体"/>
                <w:color w:val="auto"/>
                <w:highlight w:val="none"/>
              </w:rPr>
            </w:pPr>
            <w:r>
              <w:rPr>
                <w:rFonts w:ascii="宋体" w:hAnsi="宋体"/>
                <w:color w:val="auto"/>
                <w:highlight w:val="none"/>
              </w:rPr>
              <w:t>5.2.2未被禁止参与投标承诺要求：承诺拟派项目经理未被重庆市</w:t>
            </w:r>
            <w:r>
              <w:rPr>
                <w:rFonts w:hint="eastAsia" w:ascii="宋体" w:hAnsi="宋体"/>
                <w:color w:val="auto"/>
                <w:highlight w:val="none"/>
                <w:lang w:val="en-US" w:eastAsia="zh-CN"/>
              </w:rPr>
              <w:t>市级有关行业</w:t>
            </w:r>
            <w:r>
              <w:rPr>
                <w:rFonts w:ascii="宋体" w:hAnsi="宋体"/>
                <w:color w:val="auto"/>
                <w:highlight w:val="none"/>
              </w:rPr>
              <w:t>主管部门暂停在渝承揽新业务。若被暂停在渝承揽新业务但仍参加投标，将被否决投标；已取得中标候选人资格或中标资格的，</w:t>
            </w:r>
            <w:r>
              <w:rPr>
                <w:rFonts w:hint="eastAsia" w:ascii="宋体" w:hAnsi="宋体"/>
                <w:color w:val="auto"/>
                <w:highlight w:val="none"/>
                <w:lang w:val="en-US" w:eastAsia="zh-CN"/>
              </w:rPr>
              <w:t>比选</w:t>
            </w:r>
            <w:r>
              <w:rPr>
                <w:rFonts w:ascii="宋体" w:hAnsi="宋体"/>
                <w:color w:val="auto"/>
                <w:highlight w:val="none"/>
              </w:rPr>
              <w:t>人有权取消其中标候选人资格或中标资格；给</w:t>
            </w:r>
            <w:r>
              <w:rPr>
                <w:rFonts w:hint="eastAsia" w:ascii="宋体" w:hAnsi="宋体"/>
                <w:color w:val="auto"/>
                <w:highlight w:val="none"/>
                <w:lang w:val="en-US" w:eastAsia="zh-CN"/>
              </w:rPr>
              <w:t>比选</w:t>
            </w:r>
            <w:r>
              <w:rPr>
                <w:rFonts w:ascii="宋体" w:hAnsi="宋体"/>
                <w:color w:val="auto"/>
                <w:highlight w:val="none"/>
              </w:rPr>
              <w:t>人造成损失的，投标人依法承担违约赔偿责任。</w:t>
            </w:r>
          </w:p>
          <w:p>
            <w:pPr>
              <w:snapToGrid w:val="0"/>
              <w:spacing w:line="400" w:lineRule="exact"/>
              <w:ind w:firstLine="420" w:firstLineChars="200"/>
              <w:rPr>
                <w:rFonts w:ascii="宋体" w:hAnsi="宋体"/>
                <w:color w:val="auto"/>
                <w:highlight w:val="none"/>
              </w:rPr>
            </w:pPr>
            <w:r>
              <w:rPr>
                <w:rFonts w:ascii="宋体" w:hAnsi="宋体"/>
                <w:color w:val="auto"/>
                <w:highlight w:val="none"/>
              </w:rPr>
              <w:t>5.2.3项目经理的其它承诺要求：为保证</w:t>
            </w:r>
            <w:r>
              <w:rPr>
                <w:rFonts w:hint="eastAsia" w:ascii="宋体" w:hAnsi="宋体"/>
                <w:color w:val="auto"/>
                <w:kern w:val="0"/>
                <w:szCs w:val="21"/>
                <w:highlight w:val="none"/>
                <w:lang w:val="en-US" w:eastAsia="zh-CN"/>
              </w:rPr>
              <w:t>竞选</w:t>
            </w:r>
            <w:r>
              <w:rPr>
                <w:rFonts w:hint="eastAsia" w:ascii="宋体" w:hAnsi="宋体"/>
                <w:color w:val="auto"/>
                <w:highlight w:val="none"/>
              </w:rPr>
              <w:t>人</w:t>
            </w:r>
            <w:r>
              <w:rPr>
                <w:rFonts w:ascii="宋体" w:hAnsi="宋体"/>
                <w:color w:val="auto"/>
                <w:highlight w:val="none"/>
              </w:rPr>
              <w:t>拟派的项目经理到本项目到岗履职，</w:t>
            </w:r>
            <w:r>
              <w:rPr>
                <w:rFonts w:hint="eastAsia" w:ascii="宋体" w:hAnsi="宋体"/>
                <w:color w:val="auto"/>
                <w:kern w:val="0"/>
                <w:szCs w:val="21"/>
                <w:highlight w:val="none"/>
                <w:lang w:val="en-US" w:eastAsia="zh-CN"/>
              </w:rPr>
              <w:t>竞选</w:t>
            </w:r>
            <w:r>
              <w:rPr>
                <w:rFonts w:hint="eastAsia" w:ascii="宋体" w:hAnsi="宋体"/>
                <w:color w:val="auto"/>
                <w:highlight w:val="none"/>
              </w:rPr>
              <w:t>人</w:t>
            </w:r>
            <w:r>
              <w:rPr>
                <w:rFonts w:ascii="宋体" w:hAnsi="宋体"/>
                <w:color w:val="auto"/>
                <w:highlight w:val="none"/>
              </w:rPr>
              <w:t>还需承诺：</w:t>
            </w:r>
          </w:p>
          <w:p>
            <w:pPr>
              <w:snapToGrid w:val="0"/>
              <w:spacing w:line="400" w:lineRule="exact"/>
              <w:ind w:firstLine="420" w:firstLineChars="200"/>
              <w:rPr>
                <w:rFonts w:ascii="宋体" w:hAnsi="宋体"/>
                <w:color w:val="auto"/>
                <w:highlight w:val="none"/>
              </w:rPr>
            </w:pPr>
            <w:r>
              <w:rPr>
                <w:rFonts w:ascii="宋体" w:hAnsi="宋体"/>
                <w:color w:val="auto"/>
                <w:highlight w:val="none"/>
              </w:rPr>
              <w:t>若</w:t>
            </w:r>
            <w:r>
              <w:rPr>
                <w:rFonts w:hint="eastAsia" w:ascii="宋体" w:hAnsi="宋体"/>
                <w:color w:val="auto"/>
                <w:highlight w:val="none"/>
              </w:rPr>
              <w:t>投标人</w:t>
            </w:r>
            <w:r>
              <w:rPr>
                <w:rFonts w:ascii="宋体" w:hAnsi="宋体"/>
                <w:color w:val="auto"/>
                <w:highlight w:val="none"/>
              </w:rPr>
              <w:t>拟派本项目的项目经理有在其他项目任职的情形的（或有在其他项目中标或拟中标的情形的），应在收到中标通知书后</w:t>
            </w:r>
            <w:r>
              <w:rPr>
                <w:rFonts w:ascii="宋体" w:hAnsi="宋体"/>
                <w:color w:val="auto"/>
                <w:highlight w:val="none"/>
                <w:u w:val="single"/>
              </w:rPr>
              <w:t xml:space="preserve"> 14 </w:t>
            </w:r>
            <w:r>
              <w:rPr>
                <w:rFonts w:ascii="宋体" w:hAnsi="宋体"/>
                <w:color w:val="auto"/>
                <w:highlight w:val="none"/>
              </w:rPr>
              <w:t>日（7～30日）内，办理完成放弃在其他项目任职的手续（或办理完成放弃在其他项目中标或拟中标的手续），招标人在合同签订前有权对</w:t>
            </w:r>
            <w:r>
              <w:rPr>
                <w:rFonts w:hint="eastAsia" w:ascii="宋体" w:hAnsi="宋体"/>
                <w:color w:val="auto"/>
                <w:highlight w:val="none"/>
              </w:rPr>
              <w:t>投标人</w:t>
            </w:r>
            <w:r>
              <w:rPr>
                <w:rFonts w:ascii="宋体" w:hAnsi="宋体"/>
                <w:color w:val="auto"/>
                <w:highlight w:val="none"/>
              </w:rPr>
              <w:t>拟派项目经理在其他项目的任职情形（或在其他项目的中标或拟中标情形）进行核查，若与</w:t>
            </w:r>
            <w:r>
              <w:rPr>
                <w:rFonts w:hint="eastAsia" w:ascii="宋体" w:hAnsi="宋体"/>
                <w:color w:val="auto"/>
                <w:highlight w:val="none"/>
              </w:rPr>
              <w:t>投标人</w:t>
            </w:r>
            <w:r>
              <w:rPr>
                <w:rFonts w:ascii="宋体" w:hAnsi="宋体"/>
                <w:color w:val="auto"/>
                <w:highlight w:val="none"/>
              </w:rPr>
              <w:t>承诺内容不符或</w:t>
            </w:r>
            <w:r>
              <w:rPr>
                <w:rFonts w:hint="eastAsia" w:ascii="宋体" w:hAnsi="宋体"/>
                <w:color w:val="auto"/>
                <w:kern w:val="0"/>
                <w:szCs w:val="21"/>
                <w:highlight w:val="none"/>
                <w:lang w:val="en-US" w:eastAsia="zh-CN"/>
              </w:rPr>
              <w:t>竞选</w:t>
            </w:r>
            <w:r>
              <w:rPr>
                <w:rFonts w:hint="eastAsia" w:ascii="宋体" w:hAnsi="宋体"/>
                <w:color w:val="auto"/>
                <w:highlight w:val="none"/>
              </w:rPr>
              <w:t>人</w:t>
            </w:r>
            <w:r>
              <w:rPr>
                <w:rFonts w:ascii="宋体" w:hAnsi="宋体"/>
                <w:color w:val="auto"/>
                <w:highlight w:val="none"/>
              </w:rPr>
              <w:t>未在上述时间内按照</w:t>
            </w:r>
            <w:r>
              <w:rPr>
                <w:rFonts w:hint="eastAsia" w:ascii="宋体" w:hAnsi="宋体"/>
                <w:color w:val="auto"/>
                <w:highlight w:val="none"/>
                <w:lang w:val="en-US" w:eastAsia="zh-CN"/>
              </w:rPr>
              <w:t>比选</w:t>
            </w:r>
            <w:r>
              <w:rPr>
                <w:rFonts w:ascii="宋体" w:hAnsi="宋体"/>
                <w:color w:val="auto"/>
                <w:highlight w:val="none"/>
              </w:rPr>
              <w:t>文件规定递交放弃在其他项目任职、中标或拟中标的相关资料，视为</w:t>
            </w:r>
            <w:r>
              <w:rPr>
                <w:rFonts w:hint="eastAsia" w:ascii="宋体" w:hAnsi="宋体"/>
                <w:color w:val="auto"/>
                <w:kern w:val="0"/>
                <w:szCs w:val="21"/>
                <w:highlight w:val="none"/>
                <w:lang w:val="en-US" w:eastAsia="zh-CN"/>
              </w:rPr>
              <w:t>竞选</w:t>
            </w:r>
            <w:r>
              <w:rPr>
                <w:rFonts w:hint="eastAsia" w:ascii="宋体" w:hAnsi="宋体"/>
                <w:color w:val="auto"/>
                <w:highlight w:val="none"/>
              </w:rPr>
              <w:t>人</w:t>
            </w:r>
            <w:r>
              <w:rPr>
                <w:rFonts w:ascii="宋体" w:hAnsi="宋体"/>
                <w:color w:val="auto"/>
                <w:highlight w:val="none"/>
              </w:rPr>
              <w:t>放弃中标资格，</w:t>
            </w:r>
            <w:r>
              <w:rPr>
                <w:rFonts w:hint="eastAsia" w:ascii="宋体" w:hAnsi="宋体"/>
                <w:color w:val="auto"/>
                <w:highlight w:val="none"/>
                <w:lang w:val="en-US" w:eastAsia="zh-CN"/>
              </w:rPr>
              <w:t>比选</w:t>
            </w:r>
            <w:r>
              <w:rPr>
                <w:rFonts w:ascii="宋体" w:hAnsi="宋体"/>
                <w:color w:val="auto"/>
                <w:highlight w:val="none"/>
              </w:rPr>
              <w:t>人不退还其</w:t>
            </w:r>
            <w:r>
              <w:rPr>
                <w:rFonts w:hint="eastAsia" w:ascii="宋体" w:hAnsi="宋体"/>
                <w:color w:val="auto"/>
                <w:highlight w:val="none"/>
                <w:lang w:val="en-US" w:eastAsia="zh-CN"/>
              </w:rPr>
              <w:t>竞选</w:t>
            </w:r>
            <w:r>
              <w:rPr>
                <w:rFonts w:ascii="宋体" w:hAnsi="宋体"/>
                <w:color w:val="auto"/>
                <w:highlight w:val="none"/>
              </w:rPr>
              <w:t>保证金。在合同签订时，</w:t>
            </w:r>
            <w:r>
              <w:rPr>
                <w:rFonts w:hint="eastAsia" w:ascii="宋体" w:hAnsi="宋体"/>
                <w:color w:val="auto"/>
                <w:kern w:val="0"/>
                <w:szCs w:val="21"/>
                <w:highlight w:val="none"/>
                <w:lang w:val="en-US" w:eastAsia="zh-CN"/>
              </w:rPr>
              <w:t>竞选</w:t>
            </w:r>
            <w:r>
              <w:rPr>
                <w:rFonts w:hint="eastAsia" w:ascii="宋体" w:hAnsi="宋体"/>
                <w:color w:val="auto"/>
                <w:highlight w:val="none"/>
              </w:rPr>
              <w:t>人</w:t>
            </w:r>
            <w:r>
              <w:rPr>
                <w:rFonts w:ascii="宋体" w:hAnsi="宋体"/>
                <w:color w:val="auto"/>
                <w:highlight w:val="none"/>
              </w:rPr>
              <w:t>需确保拟派项目经理符合《建筑施工企业项目经理资质管理办法》规定的项目经理任职条件，否则视为</w:t>
            </w:r>
            <w:r>
              <w:rPr>
                <w:rFonts w:hint="eastAsia" w:ascii="宋体" w:hAnsi="宋体"/>
                <w:color w:val="auto"/>
                <w:kern w:val="0"/>
                <w:szCs w:val="21"/>
                <w:highlight w:val="none"/>
                <w:lang w:val="en-US" w:eastAsia="zh-CN"/>
              </w:rPr>
              <w:t>竞选</w:t>
            </w:r>
            <w:r>
              <w:rPr>
                <w:rFonts w:hint="eastAsia" w:ascii="宋体" w:hAnsi="宋体"/>
                <w:color w:val="auto"/>
                <w:highlight w:val="none"/>
              </w:rPr>
              <w:t>人</w:t>
            </w:r>
            <w:r>
              <w:rPr>
                <w:rFonts w:ascii="宋体" w:hAnsi="宋体"/>
                <w:color w:val="auto"/>
                <w:highlight w:val="none"/>
              </w:rPr>
              <w:t>放弃中标资格，</w:t>
            </w:r>
            <w:r>
              <w:rPr>
                <w:rFonts w:hint="eastAsia" w:ascii="宋体" w:hAnsi="宋体"/>
                <w:color w:val="auto"/>
                <w:highlight w:val="none"/>
                <w:lang w:val="en-US" w:eastAsia="zh-CN"/>
              </w:rPr>
              <w:t>比选</w:t>
            </w:r>
            <w:r>
              <w:rPr>
                <w:rFonts w:ascii="宋体" w:hAnsi="宋体"/>
                <w:color w:val="auto"/>
                <w:highlight w:val="none"/>
              </w:rPr>
              <w:t>人不退还其投标保证金。</w:t>
            </w:r>
          </w:p>
          <w:p>
            <w:pPr>
              <w:snapToGrid w:val="0"/>
              <w:spacing w:line="400" w:lineRule="exact"/>
              <w:ind w:firstLine="420" w:firstLineChars="200"/>
              <w:rPr>
                <w:rFonts w:ascii="宋体" w:hAnsi="宋体"/>
                <w:color w:val="auto"/>
                <w:highlight w:val="none"/>
              </w:rPr>
            </w:pPr>
            <w:r>
              <w:rPr>
                <w:rFonts w:ascii="宋体" w:hAnsi="宋体"/>
                <w:color w:val="auto"/>
                <w:highlight w:val="none"/>
              </w:rPr>
              <w:t>放弃在其他项目任职的需提供：①经业主或建设单位同意任职变更的文件；②负责项目监管的行业行政主管部门出具同意任职变更的证明材料。</w:t>
            </w:r>
          </w:p>
          <w:p>
            <w:pPr>
              <w:snapToGrid w:val="0"/>
              <w:spacing w:line="400" w:lineRule="exact"/>
              <w:ind w:firstLine="420" w:firstLineChars="200"/>
              <w:rPr>
                <w:rFonts w:ascii="宋体" w:hAnsi="宋体"/>
                <w:color w:val="auto"/>
                <w:highlight w:val="none"/>
              </w:rPr>
            </w:pPr>
            <w:r>
              <w:rPr>
                <w:rFonts w:ascii="宋体" w:hAnsi="宋体"/>
                <w:color w:val="auto"/>
                <w:highlight w:val="none"/>
              </w:rPr>
              <w:t>放弃在其他项目中标或拟中标的需提供：①经中标或拟中标的其他项目建设单位同意的放弃中标函</w:t>
            </w:r>
            <w:r>
              <w:rPr>
                <w:rFonts w:hint="eastAsia" w:ascii="宋体" w:hAnsi="宋体"/>
                <w:color w:val="auto"/>
                <w:highlight w:val="none"/>
              </w:rPr>
              <w:t>。</w:t>
            </w:r>
          </w:p>
          <w:p>
            <w:pPr>
              <w:snapToGrid w:val="0"/>
              <w:spacing w:line="400" w:lineRule="exact"/>
              <w:ind w:firstLine="420" w:firstLineChars="200"/>
              <w:rPr>
                <w:rFonts w:ascii="宋体" w:hAnsi="宋体"/>
                <w:color w:val="auto"/>
                <w:szCs w:val="21"/>
                <w:highlight w:val="none"/>
              </w:rPr>
            </w:pPr>
            <w:r>
              <w:rPr>
                <w:rFonts w:hint="eastAsia" w:ascii="宋体" w:hAnsi="宋体"/>
                <w:color w:val="auto"/>
                <w:highlight w:val="none"/>
              </w:rPr>
              <w:t>5.2.4未提供上述承诺或承诺内容不符合要求的，由评标委员会作否决投标处理</w:t>
            </w:r>
            <w:r>
              <w:rPr>
                <w:rFonts w:ascii="宋体" w:hAnsi="宋体"/>
                <w:color w:val="auto"/>
                <w:highlight w:val="none"/>
              </w:rPr>
              <w:t>。</w:t>
            </w:r>
          </w:p>
          <w:p>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val="en-US" w:eastAsia="zh-CN"/>
              </w:rPr>
              <w:t>竞选</w:t>
            </w:r>
            <w:r>
              <w:rPr>
                <w:rFonts w:hint="eastAsia" w:ascii="宋体" w:hAnsi="宋体"/>
                <w:color w:val="auto"/>
                <w:kern w:val="0"/>
                <w:szCs w:val="21"/>
                <w:highlight w:val="none"/>
              </w:rPr>
              <w:t>人须在</w:t>
            </w:r>
            <w:r>
              <w:rPr>
                <w:rFonts w:hint="eastAsia" w:ascii="宋体" w:hAnsi="宋体"/>
                <w:color w:val="auto"/>
                <w:kern w:val="0"/>
                <w:szCs w:val="21"/>
                <w:highlight w:val="none"/>
                <w:lang w:val="en-US" w:eastAsia="zh-CN"/>
              </w:rPr>
              <w:t>竞选</w:t>
            </w:r>
            <w:r>
              <w:rPr>
                <w:rFonts w:hint="eastAsia" w:ascii="宋体" w:hAnsi="宋体"/>
                <w:color w:val="auto"/>
                <w:kern w:val="0"/>
                <w:szCs w:val="21"/>
                <w:highlight w:val="none"/>
              </w:rPr>
              <w:t>文件资格审查部分提供有效的拟派项目经理建造师注册证、身份证、投标人为其缴纳的养老保险证明材料复印件，拟派项目经理到岗履职和未被禁止参与投标的承诺原件（承诺格式见第八章投标文件格式）。</w:t>
            </w:r>
          </w:p>
          <w:p>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注：</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提供拟派的项目经理为一级建造师或重庆市二级建造师注册人员的，必须提供建造师电子注册证书，且该建造师电子注册证书须由建造师本人在个人签名处手写本人签名。</w:t>
            </w:r>
          </w:p>
          <w:p>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重庆市以外的省级住房城乡建设主管部门对二级建造师电子注册证书使用有明确规定的，从其规定。未规定使用电子注册证书的，可提供纸质证书扫描件。</w:t>
            </w:r>
          </w:p>
          <w:p>
            <w:pPr>
              <w:autoSpaceDE w:val="0"/>
              <w:autoSpaceDN w:val="0"/>
              <w:adjustRightInd w:val="0"/>
              <w:snapToGrid w:val="0"/>
              <w:spacing w:line="400" w:lineRule="exact"/>
              <w:ind w:firstLine="420" w:firstLineChars="200"/>
              <w:rPr>
                <w:color w:val="auto"/>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建造师电子注册证书本人手写签名与签名图像笔迹是否一致不作为否决投标的情形。</w:t>
            </w:r>
          </w:p>
          <w:p>
            <w:pPr>
              <w:autoSpaceDE w:val="0"/>
              <w:autoSpaceDN w:val="0"/>
              <w:adjustRightInd w:val="0"/>
              <w:snapToGrid w:val="0"/>
              <w:spacing w:line="400" w:lineRule="exact"/>
              <w:ind w:firstLine="422" w:firstLineChars="200"/>
              <w:rPr>
                <w:rFonts w:ascii="宋体" w:hAnsi="宋体"/>
                <w:color w:val="auto"/>
                <w:spacing w:val="-24"/>
                <w:kern w:val="0"/>
                <w:szCs w:val="21"/>
                <w:highlight w:val="none"/>
              </w:rPr>
            </w:pPr>
            <w:r>
              <w:rPr>
                <w:rFonts w:hint="eastAsia" w:ascii="宋体" w:hAnsi="宋体"/>
                <w:b/>
                <w:color w:val="auto"/>
                <w:szCs w:val="21"/>
                <w:highlight w:val="none"/>
                <w:lang w:val="en-US" w:eastAsia="zh-CN"/>
              </w:rPr>
              <w:t>6</w:t>
            </w:r>
            <w:r>
              <w:rPr>
                <w:rFonts w:ascii="宋体" w:hAnsi="宋体"/>
                <w:b/>
                <w:color w:val="auto"/>
                <w:szCs w:val="21"/>
                <w:highlight w:val="none"/>
              </w:rPr>
              <w:t>.其他要求</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主要管理人员：</w:t>
            </w:r>
          </w:p>
          <w:p>
            <w:pPr>
              <w:autoSpaceDE w:val="0"/>
              <w:autoSpaceDN w:val="0"/>
              <w:adjustRightIn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招标人可取消其中标资格，给招标人造成损失的，投标人依法承担违约赔偿责任。</w:t>
            </w:r>
          </w:p>
          <w:p>
            <w:pPr>
              <w:autoSpaceDE w:val="0"/>
              <w:autoSpaceDN w:val="0"/>
              <w:adjustRightIn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投标人须在投标文件资格审查部分提供承诺（承诺格式见第八章投标文件格式）。</w:t>
            </w:r>
          </w:p>
          <w:p>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委托代理人</w:t>
            </w:r>
            <w:r>
              <w:rPr>
                <w:rFonts w:hint="eastAsia" w:ascii="宋体" w:hAnsi="宋体"/>
                <w:color w:val="auto"/>
                <w:kern w:val="0"/>
                <w:szCs w:val="21"/>
                <w:highlight w:val="none"/>
              </w:rPr>
              <w:t>：</w:t>
            </w:r>
            <w:r>
              <w:rPr>
                <w:rFonts w:ascii="宋体" w:hAnsi="宋体"/>
                <w:color w:val="auto"/>
                <w:kern w:val="0"/>
                <w:szCs w:val="21"/>
                <w:highlight w:val="none"/>
              </w:rPr>
              <w:t>委托代理人必须为</w:t>
            </w:r>
            <w:r>
              <w:rPr>
                <w:rFonts w:hint="eastAsia" w:ascii="宋体" w:hAnsi="宋体"/>
                <w:color w:val="auto"/>
                <w:kern w:val="0"/>
                <w:szCs w:val="21"/>
                <w:highlight w:val="none"/>
                <w:lang w:eastAsia="zh-CN"/>
              </w:rPr>
              <w:t>竞选人</w:t>
            </w:r>
            <w:r>
              <w:rPr>
                <w:rFonts w:ascii="宋体" w:hAnsi="宋体"/>
                <w:color w:val="auto"/>
                <w:kern w:val="0"/>
                <w:szCs w:val="21"/>
                <w:highlight w:val="none"/>
              </w:rPr>
              <w:t>本单位</w:t>
            </w:r>
            <w:r>
              <w:rPr>
                <w:rFonts w:hint="eastAsia" w:ascii="宋体" w:hAnsi="宋体"/>
                <w:color w:val="auto"/>
                <w:kern w:val="0"/>
                <w:szCs w:val="21"/>
                <w:highlight w:val="none"/>
              </w:rPr>
              <w:t>人员。</w:t>
            </w:r>
          </w:p>
          <w:p>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须</w:t>
            </w:r>
            <w:r>
              <w:rPr>
                <w:rFonts w:hint="eastAsia" w:ascii="宋体" w:hAnsi="宋体"/>
                <w:color w:val="auto"/>
                <w:kern w:val="0"/>
                <w:szCs w:val="21"/>
                <w:highlight w:val="none"/>
              </w:rPr>
              <w:t>在</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资格审查部分</w:t>
            </w:r>
            <w:r>
              <w:rPr>
                <w:rFonts w:ascii="宋体" w:hAnsi="宋体"/>
                <w:color w:val="auto"/>
                <w:kern w:val="0"/>
                <w:szCs w:val="21"/>
                <w:highlight w:val="none"/>
              </w:rPr>
              <w:t>提供</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为该</w:t>
            </w:r>
            <w:r>
              <w:rPr>
                <w:rFonts w:ascii="宋体" w:hAnsi="宋体"/>
                <w:color w:val="auto"/>
                <w:kern w:val="0"/>
                <w:szCs w:val="21"/>
                <w:highlight w:val="none"/>
              </w:rPr>
              <w:t>委托代理人</w:t>
            </w:r>
            <w:r>
              <w:rPr>
                <w:rFonts w:hint="eastAsia" w:ascii="宋体" w:hAnsi="宋体"/>
                <w:color w:val="auto"/>
                <w:kern w:val="0"/>
                <w:szCs w:val="21"/>
                <w:highlight w:val="none"/>
              </w:rPr>
              <w:t>缴纳的养老保险证明复印件。否则，将由评标委员会作否决投标处理。</w:t>
            </w:r>
          </w:p>
          <w:p>
            <w:pPr>
              <w:autoSpaceDE w:val="0"/>
              <w:autoSpaceDN w:val="0"/>
              <w:adjustRightInd w:val="0"/>
              <w:snapToGrid w:val="0"/>
              <w:spacing w:line="400" w:lineRule="exact"/>
              <w:ind w:firstLine="417" w:firstLineChars="198"/>
              <w:rPr>
                <w:rFonts w:ascii="宋体" w:hAnsi="宋体" w:cs="宋体"/>
                <w:b/>
                <w:color w:val="auto"/>
                <w:szCs w:val="21"/>
                <w:highlight w:val="none"/>
              </w:rPr>
            </w:pPr>
            <w:r>
              <w:rPr>
                <w:rFonts w:hint="eastAsia" w:ascii="宋体" w:hAnsi="宋体" w:cs="宋体"/>
                <w:b/>
                <w:color w:val="auto"/>
                <w:szCs w:val="21"/>
                <w:highlight w:val="none"/>
              </w:rPr>
              <w:t>特别说明：</w:t>
            </w:r>
          </w:p>
          <w:p>
            <w:pPr>
              <w:numPr>
                <w:ilvl w:val="0"/>
                <w:numId w:val="1"/>
              </w:numPr>
              <w:autoSpaceDE w:val="0"/>
              <w:autoSpaceDN w:val="0"/>
              <w:adjustRightInd w:val="0"/>
              <w:snapToGrid w:val="0"/>
              <w:spacing w:line="400" w:lineRule="exact"/>
              <w:ind w:firstLine="415" w:firstLineChars="198"/>
              <w:rPr>
                <w:rFonts w:hint="eastAsia" w:ascii="宋体" w:hAnsi="宋体" w:cs="宋体"/>
                <w:color w:val="auto"/>
                <w:szCs w:val="21"/>
                <w:highlight w:val="none"/>
              </w:rPr>
            </w:pPr>
            <w:r>
              <w:rPr>
                <w:rFonts w:hint="eastAsia" w:ascii="宋体" w:hAnsi="宋体" w:cs="宋体"/>
                <w:color w:val="auto"/>
                <w:szCs w:val="21"/>
                <w:highlight w:val="none"/>
              </w:rPr>
              <w:t>上述要求须提交的相关证明材料复印件均应加盖</w:t>
            </w:r>
            <w:r>
              <w:rPr>
                <w:rFonts w:hint="eastAsia" w:ascii="宋体" w:hAnsi="宋体" w:cs="宋体"/>
                <w:color w:val="auto"/>
                <w:szCs w:val="21"/>
                <w:highlight w:val="none"/>
                <w:lang w:val="en-US" w:eastAsia="zh-CN"/>
              </w:rPr>
              <w:t>竞选</w:t>
            </w:r>
            <w:r>
              <w:rPr>
                <w:rFonts w:hint="eastAsia" w:ascii="宋体" w:hAnsi="宋体" w:cs="宋体"/>
                <w:color w:val="auto"/>
                <w:szCs w:val="21"/>
                <w:highlight w:val="none"/>
              </w:rPr>
              <w:t>单位法人章并装入</w:t>
            </w:r>
            <w:r>
              <w:rPr>
                <w:rFonts w:hint="eastAsia" w:ascii="宋体" w:hAnsi="宋体" w:cs="宋体"/>
                <w:color w:val="auto"/>
                <w:szCs w:val="21"/>
                <w:highlight w:val="none"/>
                <w:lang w:val="en-US" w:eastAsia="zh-CN"/>
              </w:rPr>
              <w:t>竞选</w:t>
            </w:r>
            <w:r>
              <w:rPr>
                <w:rFonts w:hint="eastAsia" w:ascii="宋体" w:hAnsi="宋体" w:cs="宋体"/>
                <w:color w:val="auto"/>
                <w:szCs w:val="21"/>
                <w:highlight w:val="none"/>
              </w:rPr>
              <w:t>文件资格审查部分中。</w:t>
            </w:r>
            <w:r>
              <w:rPr>
                <w:rFonts w:hint="eastAsia" w:ascii="宋体" w:hAnsi="宋体" w:cs="宋体"/>
                <w:color w:val="auto"/>
                <w:szCs w:val="21"/>
                <w:highlight w:val="none"/>
                <w:lang w:val="en-US" w:eastAsia="zh-CN"/>
              </w:rPr>
              <w:t>竞选</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竞选</w:t>
            </w:r>
            <w:r>
              <w:rPr>
                <w:rFonts w:hint="eastAsia" w:ascii="宋体" w:hAnsi="宋体" w:cs="宋体"/>
                <w:color w:val="auto"/>
                <w:szCs w:val="21"/>
                <w:highlight w:val="none"/>
              </w:rPr>
              <w:t>人的委托代理人须随身携带以上所有复印件的原件及原件清单（营业执照、资质证书、带二维码的证件、身份证、网页打印件、截图、承诺书、声明除外），在递交投标文件时一次性递交，不得补交，原件袋必须密封。评标委员会审查时必须对有关证明和证件的原件核查，若经审查复印件与原件不一致，或未提交原件的，则投标文件由评标委员会作否决投标处理。上述要求</w:t>
            </w:r>
            <w:r>
              <w:rPr>
                <w:rFonts w:hint="eastAsia" w:ascii="宋体" w:hAnsi="宋体" w:cs="宋体"/>
                <w:color w:val="auto"/>
                <w:kern w:val="0"/>
                <w:szCs w:val="21"/>
                <w:highlight w:val="none"/>
              </w:rPr>
              <w:t>，有一条不满足则</w:t>
            </w:r>
            <w:r>
              <w:rPr>
                <w:rFonts w:hint="eastAsia" w:ascii="宋体" w:hAnsi="宋体" w:cs="宋体"/>
                <w:color w:val="auto"/>
                <w:kern w:val="0"/>
                <w:szCs w:val="21"/>
                <w:highlight w:val="none"/>
                <w:lang w:val="en-US" w:eastAsia="zh-CN"/>
              </w:rPr>
              <w:t>竞选</w:t>
            </w:r>
            <w:r>
              <w:rPr>
                <w:rFonts w:hint="eastAsia" w:ascii="宋体" w:hAnsi="宋体" w:cs="宋体"/>
                <w:color w:val="auto"/>
                <w:kern w:val="0"/>
                <w:szCs w:val="21"/>
                <w:highlight w:val="none"/>
              </w:rPr>
              <w:t>文件由评标委员会</w:t>
            </w:r>
            <w:r>
              <w:rPr>
                <w:rFonts w:hint="eastAsia" w:ascii="宋体" w:hAnsi="宋体" w:cs="宋体"/>
                <w:color w:val="auto"/>
                <w:szCs w:val="21"/>
                <w:highlight w:val="none"/>
              </w:rPr>
              <w:t>作否决投标处理</w:t>
            </w:r>
            <w:r>
              <w:rPr>
                <w:rFonts w:hint="eastAsia" w:ascii="宋体" w:hAnsi="宋体" w:cs="宋体"/>
                <w:color w:val="auto"/>
                <w:kern w:val="0"/>
                <w:szCs w:val="21"/>
                <w:highlight w:val="none"/>
              </w:rPr>
              <w:t>。</w:t>
            </w:r>
          </w:p>
          <w:p>
            <w:pPr>
              <w:numPr>
                <w:ilvl w:val="0"/>
                <w:numId w:val="1"/>
              </w:numPr>
              <w:autoSpaceDE w:val="0"/>
              <w:autoSpaceDN w:val="0"/>
              <w:adjustRightInd w:val="0"/>
              <w:snapToGrid w:val="0"/>
              <w:spacing w:line="400" w:lineRule="exact"/>
              <w:ind w:firstLine="415" w:firstLineChars="198"/>
              <w:rPr>
                <w:rFonts w:ascii="宋体" w:hAnsi="宋体" w:cs="宋体"/>
                <w:color w:val="auto"/>
                <w:kern w:val="0"/>
                <w:szCs w:val="21"/>
                <w:highlight w:val="none"/>
              </w:rPr>
            </w:pP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须自行承诺其提供的上述相关证明材料真实有效，不存在弄虚作假情形（格式见第八章</w:t>
            </w:r>
            <w:r>
              <w:rPr>
                <w:rFonts w:hint="eastAsia" w:ascii="宋体" w:hAnsi="宋体" w:cs="宋体"/>
                <w:color w:val="auto"/>
                <w:szCs w:val="21"/>
                <w:highlight w:val="none"/>
                <w:lang w:eastAsia="zh-CN"/>
              </w:rPr>
              <w:t>竞选文件</w:t>
            </w:r>
            <w:r>
              <w:rPr>
                <w:rFonts w:hint="eastAsia" w:ascii="宋体" w:hAnsi="宋体" w:cs="宋体"/>
                <w:color w:val="auto"/>
                <w:szCs w:val="21"/>
                <w:highlight w:val="none"/>
              </w:rPr>
              <w:t>格式）。</w:t>
            </w:r>
            <w:r>
              <w:rPr>
                <w:rFonts w:hint="eastAsia" w:ascii="宋体" w:hAnsi="宋体" w:cs="宋体"/>
                <w:color w:val="auto"/>
                <w:szCs w:val="21"/>
                <w:highlight w:val="none"/>
                <w:u w:val="single"/>
                <w:lang w:eastAsia="zh-CN"/>
              </w:rPr>
              <w:t>比选人</w:t>
            </w:r>
            <w:r>
              <w:rPr>
                <w:rFonts w:hint="eastAsia" w:ascii="宋体" w:hAnsi="宋体" w:cs="宋体"/>
                <w:color w:val="auto"/>
                <w:szCs w:val="21"/>
                <w:highlight w:val="none"/>
                <w:u w:val="single"/>
              </w:rPr>
              <w:t>在合同签订前均有权对</w:t>
            </w:r>
            <w:r>
              <w:rPr>
                <w:rFonts w:hint="eastAsia" w:ascii="宋体" w:hAnsi="宋体" w:cs="宋体"/>
                <w:color w:val="auto"/>
                <w:szCs w:val="21"/>
                <w:highlight w:val="none"/>
                <w:u w:val="single"/>
                <w:lang w:eastAsia="zh-CN"/>
              </w:rPr>
              <w:t>竞选人</w:t>
            </w:r>
            <w:r>
              <w:rPr>
                <w:rFonts w:hint="eastAsia" w:ascii="宋体" w:hAnsi="宋体" w:cs="宋体"/>
                <w:color w:val="auto"/>
                <w:szCs w:val="21"/>
                <w:highlight w:val="none"/>
                <w:u w:val="single"/>
              </w:rPr>
              <w:t>提供的资料进行核实，若发现弄虚作假，</w:t>
            </w:r>
            <w:r>
              <w:rPr>
                <w:rFonts w:hint="eastAsia" w:ascii="宋体" w:hAnsi="宋体" w:cs="宋体"/>
                <w:color w:val="auto"/>
                <w:szCs w:val="21"/>
                <w:highlight w:val="none"/>
                <w:u w:val="single"/>
                <w:lang w:val="en-US" w:eastAsia="zh-CN"/>
              </w:rPr>
              <w:t>按相关规定</w:t>
            </w:r>
            <w:r>
              <w:rPr>
                <w:rFonts w:hint="eastAsia" w:ascii="宋体" w:hAnsi="宋体" w:cs="宋体"/>
                <w:color w:val="auto"/>
                <w:szCs w:val="21"/>
                <w:highlight w:val="none"/>
                <w:u w:val="single"/>
              </w:rPr>
              <w:t>取消其中标资格，并按相关法律法规报招标投标监督部门，其投标保证金不予退还，</w:t>
            </w:r>
            <w:r>
              <w:rPr>
                <w:rFonts w:hint="eastAsia" w:ascii="宋体" w:hAnsi="宋体" w:cs="宋体"/>
                <w:color w:val="auto"/>
                <w:szCs w:val="21"/>
                <w:highlight w:val="none"/>
                <w:u w:val="single"/>
                <w:lang w:eastAsia="zh-CN"/>
              </w:rPr>
              <w:t>竞选人</w:t>
            </w:r>
            <w:r>
              <w:rPr>
                <w:rFonts w:hint="eastAsia" w:ascii="宋体" w:hAnsi="宋体" w:cs="宋体"/>
                <w:color w:val="auto"/>
                <w:szCs w:val="21"/>
                <w:highlight w:val="none"/>
                <w:u w:val="single"/>
              </w:rPr>
              <w:t>承担因此造成的相关责任并赔偿相应损失</w:t>
            </w:r>
            <w:r>
              <w:rPr>
                <w:rFonts w:hint="eastAsia" w:ascii="宋体" w:hAnsi="宋体" w:cs="宋体"/>
                <w:color w:val="auto"/>
                <w:szCs w:val="21"/>
                <w:highlight w:val="none"/>
              </w:rPr>
              <w:t>。</w:t>
            </w:r>
          </w:p>
          <w:p>
            <w:pPr>
              <w:spacing w:line="400" w:lineRule="exact"/>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（3）</w:t>
            </w:r>
            <w:r>
              <w:rPr>
                <w:rFonts w:ascii="宋体" w:hAnsi="宋体"/>
                <w:bCs/>
                <w:color w:val="auto"/>
                <w:kern w:val="0"/>
                <w:szCs w:val="21"/>
                <w:highlight w:val="none"/>
              </w:rPr>
              <w:t>本招标文件中所要求的人员</w:t>
            </w:r>
            <w:r>
              <w:rPr>
                <w:rFonts w:hint="eastAsia" w:ascii="宋体" w:hAnsi="宋体"/>
                <w:bCs/>
                <w:color w:val="auto"/>
                <w:kern w:val="0"/>
                <w:szCs w:val="21"/>
                <w:highlight w:val="none"/>
              </w:rPr>
              <w:t>养老保险</w:t>
            </w:r>
            <w:r>
              <w:rPr>
                <w:rFonts w:ascii="宋体" w:hAnsi="宋体"/>
                <w:bCs/>
                <w:color w:val="auto"/>
                <w:kern w:val="0"/>
                <w:szCs w:val="21"/>
                <w:highlight w:val="none"/>
              </w:rPr>
              <w:t>证明要求如下：</w:t>
            </w:r>
          </w:p>
          <w:p>
            <w:pPr>
              <w:spacing w:line="400" w:lineRule="exact"/>
              <w:ind w:firstLine="420" w:firstLineChars="200"/>
              <w:rPr>
                <w:rFonts w:ascii="宋体" w:hAnsi="宋体"/>
                <w:bCs/>
                <w:color w:val="auto"/>
                <w:kern w:val="0"/>
                <w:szCs w:val="21"/>
                <w:highlight w:val="none"/>
              </w:rPr>
            </w:pPr>
            <w:r>
              <w:rPr>
                <w:rFonts w:ascii="宋体" w:hAnsi="宋体"/>
                <w:bCs/>
                <w:color w:val="auto"/>
                <w:kern w:val="0"/>
                <w:szCs w:val="21"/>
                <w:highlight w:val="none"/>
              </w:rPr>
              <w:t>①</w:t>
            </w:r>
            <w:r>
              <w:rPr>
                <w:rFonts w:hint="eastAsia" w:ascii="宋体" w:hAnsi="宋体"/>
                <w:bCs/>
                <w:color w:val="auto"/>
                <w:kern w:val="0"/>
                <w:szCs w:val="21"/>
                <w:highlight w:val="none"/>
                <w:lang w:val="en-US" w:eastAsia="zh-CN"/>
              </w:rPr>
              <w:t>企业</w:t>
            </w:r>
            <w:r>
              <w:rPr>
                <w:rFonts w:ascii="宋体" w:hAnsi="宋体"/>
                <w:bCs/>
                <w:color w:val="auto"/>
                <w:kern w:val="0"/>
                <w:szCs w:val="21"/>
                <w:highlight w:val="none"/>
              </w:rPr>
              <w:t>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证明，事业单位提供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证明或行政主管部门在编证明。</w:t>
            </w:r>
          </w:p>
          <w:p>
            <w:pPr>
              <w:spacing w:line="400" w:lineRule="exact"/>
              <w:ind w:firstLine="420" w:firstLineChars="200"/>
              <w:rPr>
                <w:rFonts w:ascii="宋体" w:hAnsi="宋体"/>
                <w:bCs/>
                <w:snapToGrid w:val="0"/>
                <w:color w:val="auto"/>
                <w:kern w:val="0"/>
                <w:szCs w:val="21"/>
                <w:highlight w:val="none"/>
              </w:rPr>
            </w:pPr>
            <w:r>
              <w:rPr>
                <w:rFonts w:ascii="宋体" w:hAnsi="宋体"/>
                <w:bCs/>
                <w:color w:val="auto"/>
                <w:kern w:val="0"/>
                <w:szCs w:val="21"/>
                <w:highlight w:val="none"/>
              </w:rPr>
              <w:t>②</w:t>
            </w:r>
            <w:r>
              <w:rPr>
                <w:rFonts w:hint="eastAsia" w:ascii="宋体" w:hAnsi="宋体"/>
                <w:bCs/>
                <w:snapToGrid w:val="0"/>
                <w:color w:val="auto"/>
                <w:kern w:val="0"/>
                <w:szCs w:val="21"/>
                <w:highlight w:val="none"/>
              </w:rPr>
              <w:t>项目经理</w:t>
            </w:r>
            <w:r>
              <w:rPr>
                <w:rFonts w:ascii="宋体" w:hAnsi="宋体"/>
                <w:bCs/>
                <w:snapToGrid w:val="0"/>
                <w:color w:val="auto"/>
                <w:kern w:val="0"/>
                <w:szCs w:val="21"/>
                <w:highlight w:val="none"/>
              </w:rPr>
              <w:t>和委托代理人的</w:t>
            </w:r>
            <w:r>
              <w:rPr>
                <w:rFonts w:hint="eastAsia" w:ascii="宋体" w:hAnsi="宋体"/>
                <w:bCs/>
                <w:snapToGrid w:val="0"/>
                <w:color w:val="auto"/>
                <w:kern w:val="0"/>
                <w:szCs w:val="21"/>
                <w:highlight w:val="none"/>
              </w:rPr>
              <w:t>连续养老保险</w:t>
            </w:r>
            <w:r>
              <w:rPr>
                <w:rFonts w:ascii="宋体" w:hAnsi="宋体"/>
                <w:bCs/>
                <w:snapToGrid w:val="0"/>
                <w:color w:val="auto"/>
                <w:kern w:val="0"/>
                <w:szCs w:val="21"/>
                <w:highlight w:val="none"/>
              </w:rPr>
              <w:t>证明期限</w:t>
            </w:r>
            <w:r>
              <w:rPr>
                <w:rFonts w:hint="eastAsia" w:ascii="宋体" w:hAnsi="宋体"/>
                <w:bCs/>
                <w:snapToGrid w:val="0"/>
                <w:color w:val="auto"/>
                <w:kern w:val="0"/>
                <w:szCs w:val="21"/>
                <w:highlight w:val="none"/>
                <w:lang w:val="en-US" w:eastAsia="zh-CN"/>
              </w:rPr>
              <w:t>须包含</w:t>
            </w:r>
            <w:r>
              <w:rPr>
                <w:rFonts w:hint="eastAsia" w:ascii="宋体" w:hAnsi="宋体"/>
                <w:bCs/>
                <w:snapToGrid w:val="0"/>
                <w:color w:val="auto"/>
                <w:kern w:val="0"/>
                <w:szCs w:val="21"/>
                <w:highlight w:val="none"/>
                <w:u w:val="single"/>
                <w:lang w:val="en-US" w:eastAsia="zh-CN"/>
              </w:rPr>
              <w:t>2023</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lang w:val="en-US" w:eastAsia="zh-CN"/>
              </w:rPr>
              <w:t>1</w:t>
            </w:r>
            <w:r>
              <w:rPr>
                <w:rFonts w:ascii="宋体" w:hAnsi="宋体"/>
                <w:bCs/>
                <w:snapToGrid w:val="0"/>
                <w:color w:val="auto"/>
                <w:kern w:val="0"/>
                <w:szCs w:val="21"/>
                <w:highlight w:val="none"/>
              </w:rPr>
              <w:t>月至</w:t>
            </w:r>
            <w:r>
              <w:rPr>
                <w:rFonts w:hint="eastAsia" w:ascii="宋体" w:hAnsi="宋体"/>
                <w:bCs/>
                <w:snapToGrid w:val="0"/>
                <w:color w:val="auto"/>
                <w:kern w:val="0"/>
                <w:szCs w:val="21"/>
                <w:highlight w:val="none"/>
                <w:u w:val="single"/>
                <w:lang w:val="en-US" w:eastAsia="zh-CN"/>
              </w:rPr>
              <w:t>2023</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lang w:val="en-US" w:eastAsia="zh-CN"/>
              </w:rPr>
              <w:t>6</w:t>
            </w:r>
            <w:r>
              <w:rPr>
                <w:rFonts w:ascii="宋体" w:hAnsi="宋体"/>
                <w:bCs/>
                <w:snapToGrid w:val="0"/>
                <w:color w:val="auto"/>
                <w:kern w:val="0"/>
                <w:szCs w:val="21"/>
                <w:highlight w:val="none"/>
              </w:rPr>
              <w:t>月</w:t>
            </w:r>
            <w:r>
              <w:rPr>
                <w:rFonts w:hint="eastAsia" w:ascii="宋体" w:hAnsi="宋体"/>
                <w:bCs/>
                <w:color w:val="auto"/>
                <w:szCs w:val="21"/>
                <w:highlight w:val="none"/>
              </w:rPr>
              <w:t>。养老保险证明原件必须加盖社保部门公章，提供的养老保险参保证明须体现上述人员的姓名、身份证号（或社保号）、单位名称、本单位参保时间（或起始参保时间）。为确保对所有</w:t>
            </w:r>
            <w:r>
              <w:rPr>
                <w:rFonts w:hint="eastAsia" w:ascii="宋体" w:hAnsi="宋体"/>
                <w:bCs/>
                <w:color w:val="auto"/>
                <w:szCs w:val="21"/>
                <w:highlight w:val="none"/>
                <w:lang w:eastAsia="zh-CN"/>
              </w:rPr>
              <w:t>竞选人</w:t>
            </w:r>
            <w:r>
              <w:rPr>
                <w:rFonts w:hint="eastAsia" w:ascii="宋体" w:hAnsi="宋体"/>
                <w:bCs/>
                <w:color w:val="auto"/>
                <w:szCs w:val="21"/>
                <w:highlight w:val="none"/>
              </w:rPr>
              <w:t>的公开、公平、公正，</w:t>
            </w:r>
            <w:r>
              <w:rPr>
                <w:rFonts w:hint="eastAsia" w:ascii="宋体" w:hAnsi="宋体"/>
                <w:bCs/>
                <w:color w:val="auto"/>
                <w:szCs w:val="21"/>
                <w:highlight w:val="none"/>
                <w:lang w:eastAsia="zh-CN"/>
              </w:rPr>
              <w:t>竞选人</w:t>
            </w:r>
            <w:r>
              <w:rPr>
                <w:rFonts w:hint="eastAsia" w:ascii="宋体" w:hAnsi="宋体"/>
                <w:bCs/>
                <w:color w:val="auto"/>
                <w:szCs w:val="21"/>
                <w:highlight w:val="none"/>
              </w:rPr>
              <w:t>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1.4.2</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是否接受联合体投标</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w:t>
            </w:r>
            <w:r>
              <w:rPr>
                <w:rFonts w:ascii="宋体" w:hAnsi="宋体"/>
                <w:color w:val="auto"/>
                <w:kern w:val="0"/>
                <w:szCs w:val="21"/>
                <w:highlight w:val="none"/>
              </w:rPr>
              <w:t>不接受</w:t>
            </w:r>
          </w:p>
          <w:p>
            <w:pPr>
              <w:snapToGrid w:val="0"/>
              <w:spacing w:after="15" w:afterLines="5"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接受，应满足下列要求：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1.9.1</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踏勘现场</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w:t>
            </w:r>
            <w:r>
              <w:rPr>
                <w:rFonts w:ascii="宋体" w:hAnsi="宋体"/>
                <w:color w:val="auto"/>
                <w:kern w:val="0"/>
                <w:szCs w:val="21"/>
                <w:highlight w:val="none"/>
              </w:rPr>
              <w:t>不组织</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组织，</w:t>
            </w:r>
            <w:r>
              <w:rPr>
                <w:rFonts w:hint="eastAsia" w:ascii="宋体" w:hAnsi="宋体"/>
                <w:color w:val="auto"/>
                <w:kern w:val="0"/>
                <w:szCs w:val="21"/>
                <w:highlight w:val="none"/>
              </w:rPr>
              <w:t>集中</w:t>
            </w:r>
            <w:r>
              <w:rPr>
                <w:rFonts w:ascii="宋体" w:hAnsi="宋体"/>
                <w:color w:val="auto"/>
                <w:kern w:val="0"/>
                <w:szCs w:val="21"/>
                <w:highlight w:val="none"/>
              </w:rPr>
              <w:t>踏勘时间：</w:t>
            </w:r>
          </w:p>
          <w:p>
            <w:pPr>
              <w:snapToGrid w:val="0"/>
              <w:spacing w:line="400" w:lineRule="exact"/>
              <w:ind w:firstLine="1260" w:firstLineChars="600"/>
              <w:rPr>
                <w:rFonts w:ascii="宋体" w:hAnsi="宋体"/>
                <w:color w:val="auto"/>
                <w:kern w:val="0"/>
                <w:szCs w:val="21"/>
                <w:highlight w:val="none"/>
              </w:rPr>
            </w:pPr>
            <w:r>
              <w:rPr>
                <w:rFonts w:ascii="宋体" w:hAnsi="宋体"/>
                <w:color w:val="auto"/>
                <w:kern w:val="0"/>
                <w:szCs w:val="21"/>
                <w:highlight w:val="none"/>
              </w:rPr>
              <w:t>集中踏勘地点：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1.10.1</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投标预备会</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w:t>
            </w:r>
            <w:r>
              <w:rPr>
                <w:rFonts w:ascii="宋体" w:hAnsi="宋体"/>
                <w:color w:val="auto"/>
                <w:kern w:val="0"/>
                <w:szCs w:val="21"/>
                <w:highlight w:val="none"/>
              </w:rPr>
              <w:t>不召开</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召开，召开时间：</w:t>
            </w:r>
          </w:p>
          <w:p>
            <w:pPr>
              <w:snapToGrid w:val="0"/>
              <w:spacing w:after="15" w:afterLines="5" w:line="400" w:lineRule="exact"/>
              <w:ind w:firstLine="1260" w:firstLineChars="600"/>
              <w:rPr>
                <w:rFonts w:ascii="宋体" w:hAnsi="宋体"/>
                <w:color w:val="auto"/>
                <w:kern w:val="0"/>
                <w:szCs w:val="21"/>
                <w:highlight w:val="none"/>
              </w:rPr>
            </w:pPr>
            <w:r>
              <w:rPr>
                <w:rFonts w:ascii="宋体" w:hAnsi="宋体"/>
                <w:color w:val="auto"/>
                <w:kern w:val="0"/>
                <w:szCs w:val="21"/>
                <w:highlight w:val="none"/>
              </w:rPr>
              <w:t>召开地点：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1.11</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分包</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w:t>
            </w:r>
            <w:r>
              <w:rPr>
                <w:rFonts w:ascii="宋体" w:hAnsi="宋体"/>
                <w:color w:val="auto"/>
                <w:kern w:val="0"/>
                <w:szCs w:val="21"/>
                <w:highlight w:val="none"/>
              </w:rPr>
              <w:t>不允许</w:t>
            </w:r>
          </w:p>
          <w:p>
            <w:pPr>
              <w:snapToGrid w:val="0"/>
              <w:spacing w:line="400" w:lineRule="exact"/>
              <w:ind w:firstLine="420" w:firstLineChars="200"/>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rPr>
              <w:t>□</w:t>
            </w:r>
            <w:r>
              <w:rPr>
                <w:rFonts w:ascii="宋体" w:hAnsi="宋体"/>
                <w:color w:val="auto"/>
                <w:kern w:val="0"/>
                <w:szCs w:val="21"/>
                <w:highlight w:val="none"/>
              </w:rPr>
              <w:t>允许，分包内容要求：</w:t>
            </w:r>
            <w:r>
              <w:rPr>
                <w:rFonts w:hint="eastAsia" w:ascii="宋体" w:hAnsi="宋体"/>
                <w:color w:val="auto"/>
                <w:kern w:val="0"/>
                <w:szCs w:val="21"/>
                <w:highlight w:val="none"/>
                <w:lang w:val="en-US" w:eastAsia="zh-CN"/>
              </w:rPr>
              <w:t>/</w:t>
            </w:r>
          </w:p>
          <w:p>
            <w:pPr>
              <w:snapToGrid w:val="0"/>
              <w:spacing w:line="400" w:lineRule="exact"/>
              <w:ind w:firstLine="1260" w:firstLineChars="600"/>
              <w:rPr>
                <w:rFonts w:hint="eastAsia" w:ascii="宋体" w:hAnsi="宋体" w:eastAsia="宋体"/>
                <w:color w:val="auto"/>
                <w:kern w:val="0"/>
                <w:szCs w:val="21"/>
                <w:highlight w:val="none"/>
                <w:lang w:val="en-US" w:eastAsia="zh-CN"/>
              </w:rPr>
            </w:pPr>
            <w:r>
              <w:rPr>
                <w:rFonts w:ascii="宋体" w:hAnsi="宋体"/>
                <w:color w:val="auto"/>
                <w:kern w:val="0"/>
                <w:szCs w:val="21"/>
                <w:highlight w:val="none"/>
              </w:rPr>
              <w:t>分包金额要求：</w:t>
            </w:r>
            <w:r>
              <w:rPr>
                <w:rFonts w:hint="eastAsia" w:ascii="宋体" w:hAnsi="宋体"/>
                <w:color w:val="auto"/>
                <w:kern w:val="0"/>
                <w:szCs w:val="21"/>
                <w:highlight w:val="none"/>
                <w:lang w:val="en-US" w:eastAsia="zh-CN"/>
              </w:rPr>
              <w:t>/</w:t>
            </w:r>
          </w:p>
          <w:p>
            <w:pPr>
              <w:snapToGrid w:val="0"/>
              <w:spacing w:after="15" w:afterLines="5" w:line="400" w:lineRule="exact"/>
              <w:rPr>
                <w:rFonts w:hint="eastAsia" w:ascii="宋体" w:hAnsi="宋体" w:eastAsia="宋体"/>
                <w:color w:val="auto"/>
                <w:kern w:val="0"/>
                <w:szCs w:val="21"/>
                <w:highlight w:val="none"/>
                <w:lang w:val="en-US" w:eastAsia="zh-CN"/>
              </w:rPr>
            </w:pPr>
            <w:r>
              <w:rPr>
                <w:rFonts w:ascii="宋体" w:hAnsi="宋体"/>
                <w:color w:val="auto"/>
                <w:kern w:val="0"/>
                <w:szCs w:val="21"/>
                <w:highlight w:val="none"/>
              </w:rPr>
              <w:t>接受分包的第三人资质要求：</w:t>
            </w:r>
            <w:r>
              <w:rPr>
                <w:rFonts w:hint="eastAsia" w:ascii="宋体" w:hAnsi="宋体"/>
                <w:color w:val="auto"/>
                <w:kern w:val="0"/>
                <w:szCs w:val="21"/>
                <w:highlight w:val="none"/>
                <w:lang w:val="en-US" w:eastAsia="zh-CN"/>
              </w:rPr>
              <w:t>/</w:t>
            </w:r>
          </w:p>
          <w:p>
            <w:pPr>
              <w:snapToGrid w:val="0"/>
              <w:spacing w:after="15" w:afterLines="5" w:line="400" w:lineRule="exact"/>
              <w:rPr>
                <w:rFonts w:ascii="宋体" w:hAnsi="宋体"/>
                <w:color w:val="auto"/>
                <w:kern w:val="0"/>
                <w:szCs w:val="21"/>
                <w:highlight w:val="none"/>
              </w:rPr>
            </w:pPr>
            <w:r>
              <w:rPr>
                <w:rFonts w:hint="eastAsia" w:ascii="宋体" w:hAnsi="宋体"/>
                <w:color w:val="auto"/>
                <w:kern w:val="0"/>
                <w:szCs w:val="21"/>
                <w:highlight w:val="none"/>
              </w:rPr>
              <w:t>注：分包应按照相关法律法规及规范性文件执行，不得违法分包。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2.1</w:t>
            </w:r>
          </w:p>
        </w:tc>
        <w:tc>
          <w:tcPr>
            <w:tcW w:w="1644" w:type="dxa"/>
            <w:vAlign w:val="center"/>
          </w:tcPr>
          <w:p>
            <w:pPr>
              <w:snapToGrid w:val="0"/>
              <w:spacing w:after="15" w:afterLines="5" w:line="400" w:lineRule="exact"/>
              <w:jc w:val="center"/>
              <w:rPr>
                <w:rFonts w:ascii="宋体" w:hAnsi="宋体"/>
                <w:color w:val="auto"/>
                <w:kern w:val="0"/>
                <w:szCs w:val="21"/>
                <w:highlight w:val="none"/>
              </w:rPr>
            </w:pPr>
            <w:r>
              <w:rPr>
                <w:rFonts w:ascii="宋体" w:hAnsi="宋体"/>
                <w:color w:val="auto"/>
                <w:kern w:val="0"/>
                <w:szCs w:val="21"/>
                <w:highlight w:val="none"/>
              </w:rPr>
              <w:t>构成招标文件的其他材料</w:t>
            </w:r>
          </w:p>
        </w:tc>
        <w:tc>
          <w:tcPr>
            <w:tcW w:w="6490" w:type="dxa"/>
            <w:vAlign w:val="center"/>
          </w:tcPr>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比选人</w:t>
            </w:r>
            <w:r>
              <w:rPr>
                <w:rFonts w:ascii="宋体" w:hAnsi="宋体"/>
                <w:color w:val="auto"/>
                <w:szCs w:val="21"/>
                <w:highlight w:val="none"/>
              </w:rPr>
              <w:t>发出的</w:t>
            </w:r>
            <w:r>
              <w:rPr>
                <w:rFonts w:hint="eastAsia" w:ascii="宋体" w:hAnsi="宋体"/>
                <w:color w:val="auto"/>
                <w:szCs w:val="21"/>
                <w:highlight w:val="none"/>
              </w:rPr>
              <w:t>澄清</w:t>
            </w:r>
            <w:r>
              <w:rPr>
                <w:rFonts w:ascii="宋体" w:hAnsi="宋体"/>
                <w:color w:val="auto"/>
                <w:szCs w:val="21"/>
                <w:highlight w:val="none"/>
              </w:rPr>
              <w:t>及</w:t>
            </w:r>
            <w:r>
              <w:rPr>
                <w:rFonts w:hint="eastAsia" w:ascii="宋体" w:hAnsi="宋体"/>
                <w:color w:val="auto"/>
                <w:szCs w:val="21"/>
                <w:highlight w:val="none"/>
              </w:rPr>
              <w:t>修改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1</w:t>
            </w:r>
          </w:p>
        </w:tc>
        <w:tc>
          <w:tcPr>
            <w:tcW w:w="1644" w:type="dxa"/>
            <w:tcBorders>
              <w:bottom w:val="single" w:color="auto" w:sz="4" w:space="0"/>
            </w:tcBorders>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对招标文件提出</w:t>
            </w:r>
            <w:r>
              <w:rPr>
                <w:rFonts w:hint="eastAsia" w:ascii="宋体" w:hAnsi="宋体"/>
                <w:color w:val="auto"/>
                <w:kern w:val="0"/>
                <w:szCs w:val="21"/>
                <w:highlight w:val="none"/>
              </w:rPr>
              <w:t>疑问</w:t>
            </w:r>
            <w:r>
              <w:rPr>
                <w:rFonts w:ascii="宋体" w:hAnsi="宋体"/>
                <w:color w:val="auto"/>
                <w:kern w:val="0"/>
                <w:szCs w:val="21"/>
                <w:highlight w:val="none"/>
              </w:rPr>
              <w:t>的截止时间</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应仔细</w:t>
            </w:r>
            <w:r>
              <w:rPr>
                <w:rFonts w:hint="eastAsia" w:ascii="宋体" w:hAnsi="宋体"/>
                <w:color w:val="auto"/>
                <w:kern w:val="0"/>
                <w:szCs w:val="21"/>
                <w:highlight w:val="none"/>
              </w:rPr>
              <w:t>阅读</w:t>
            </w:r>
            <w:r>
              <w:rPr>
                <w:rFonts w:ascii="宋体" w:hAnsi="宋体"/>
                <w:color w:val="auto"/>
                <w:kern w:val="0"/>
                <w:szCs w:val="21"/>
                <w:highlight w:val="none"/>
              </w:rPr>
              <w:t>招标文件</w:t>
            </w:r>
            <w:r>
              <w:rPr>
                <w:rFonts w:hint="eastAsia" w:ascii="宋体" w:hAnsi="宋体"/>
                <w:color w:val="auto"/>
                <w:kern w:val="0"/>
                <w:szCs w:val="21"/>
                <w:highlight w:val="none"/>
              </w:rPr>
              <w:t>及附件</w:t>
            </w:r>
            <w:r>
              <w:rPr>
                <w:rFonts w:ascii="宋体" w:hAnsi="宋体"/>
                <w:color w:val="auto"/>
                <w:kern w:val="0"/>
                <w:szCs w:val="21"/>
                <w:highlight w:val="none"/>
              </w:rPr>
              <w:t>的所有内容，如有文字表述不清，图纸尺寸标注不明以及存在错、漏、缺、概念模糊和有可能出现歧义或理解上的偏差的内容等应</w:t>
            </w:r>
            <w:r>
              <w:rPr>
                <w:rFonts w:hint="eastAsia" w:ascii="宋体" w:hAnsi="宋体" w:cs="宋体"/>
                <w:color w:val="auto"/>
                <w:kern w:val="0"/>
                <w:szCs w:val="21"/>
                <w:highlight w:val="none"/>
              </w:rPr>
              <w:t>在</w:t>
            </w:r>
            <w:r>
              <w:rPr>
                <w:rFonts w:hint="eastAsia" w:ascii="宋体" w:hAnsi="宋体" w:cs="宋体"/>
                <w:color w:val="auto"/>
                <w:kern w:val="0"/>
                <w:szCs w:val="21"/>
                <w:highlight w:val="none"/>
                <w:lang w:eastAsia="zh-CN"/>
              </w:rPr>
              <w:t>比选公告</w:t>
            </w:r>
            <w:r>
              <w:rPr>
                <w:rFonts w:hint="eastAsia" w:ascii="宋体" w:hAnsi="宋体" w:cs="宋体"/>
                <w:color w:val="auto"/>
                <w:kern w:val="0"/>
                <w:szCs w:val="21"/>
                <w:highlight w:val="none"/>
              </w:rPr>
              <w:t>规定的时间</w:t>
            </w:r>
            <w:r>
              <w:rPr>
                <w:rFonts w:ascii="宋体" w:hAnsi="宋体"/>
                <w:color w:val="auto"/>
                <w:kern w:val="0"/>
                <w:szCs w:val="21"/>
                <w:highlight w:val="none"/>
              </w:rPr>
              <w:t>前</w:t>
            </w:r>
            <w:r>
              <w:rPr>
                <w:rFonts w:hint="eastAsia" w:ascii="宋体" w:hAnsi="宋体"/>
                <w:snapToGrid w:val="0"/>
                <w:color w:val="auto"/>
                <w:kern w:val="0"/>
                <w:szCs w:val="21"/>
                <w:highlight w:val="none"/>
                <w:u w:val="none"/>
                <w:lang w:val="en-US" w:eastAsia="zh-CN"/>
              </w:rPr>
              <w:t>向代理机构或比选人</w:t>
            </w:r>
            <w:r>
              <w:rPr>
                <w:rFonts w:hint="eastAsia" w:ascii="宋体" w:hAnsi="宋体"/>
                <w:snapToGrid w:val="0"/>
                <w:color w:val="auto"/>
                <w:kern w:val="0"/>
                <w:szCs w:val="21"/>
                <w:highlight w:val="none"/>
                <w:u w:val="none"/>
              </w:rPr>
              <w:t>提出疑问</w:t>
            </w:r>
            <w:r>
              <w:rPr>
                <w:rFonts w:hint="eastAsia" w:ascii="宋体" w:hAnsi="宋体"/>
                <w:snapToGrid w:val="0"/>
                <w:color w:val="auto"/>
                <w:kern w:val="0"/>
                <w:szCs w:val="21"/>
                <w:highlight w:val="none"/>
                <w:u w:val="none"/>
                <w:lang w:eastAsia="zh-CN"/>
              </w:rPr>
              <w:t>（</w:t>
            </w:r>
            <w:r>
              <w:rPr>
                <w:rFonts w:hint="eastAsia" w:ascii="宋体" w:hAnsi="宋体"/>
                <w:snapToGrid w:val="0"/>
                <w:color w:val="auto"/>
                <w:kern w:val="0"/>
                <w:szCs w:val="21"/>
                <w:highlight w:val="none"/>
                <w:u w:val="none"/>
                <w:lang w:val="en-US" w:eastAsia="zh-CN"/>
              </w:rPr>
              <w:t>纸质形式</w:t>
            </w:r>
            <w:r>
              <w:rPr>
                <w:rFonts w:hint="eastAsia" w:ascii="宋体" w:hAnsi="宋体"/>
                <w:snapToGrid w:val="0"/>
                <w:color w:val="auto"/>
                <w:kern w:val="0"/>
                <w:szCs w:val="21"/>
                <w:highlight w:val="none"/>
                <w:u w:val="none"/>
                <w:lang w:eastAsia="zh-CN"/>
              </w:rPr>
              <w:t>）</w:t>
            </w:r>
            <w:r>
              <w:rPr>
                <w:rFonts w:ascii="宋体" w:hAnsi="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2.2.2</w:t>
            </w:r>
          </w:p>
        </w:tc>
        <w:tc>
          <w:tcPr>
            <w:tcW w:w="1644" w:type="dxa"/>
            <w:tcBorders>
              <w:top w:val="single" w:color="auto" w:sz="4" w:space="0"/>
            </w:tcBorders>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比选人</w:t>
            </w:r>
            <w:r>
              <w:rPr>
                <w:rFonts w:ascii="宋体" w:hAnsi="宋体"/>
                <w:color w:val="auto"/>
                <w:kern w:val="0"/>
                <w:szCs w:val="21"/>
                <w:highlight w:val="none"/>
              </w:rPr>
              <w:t>对招标文件</w:t>
            </w:r>
            <w:r>
              <w:rPr>
                <w:rFonts w:hint="eastAsia" w:ascii="宋体" w:hAnsi="宋体"/>
                <w:color w:val="auto"/>
                <w:kern w:val="0"/>
                <w:szCs w:val="21"/>
                <w:highlight w:val="none"/>
              </w:rPr>
              <w:t>澄清</w:t>
            </w:r>
            <w:r>
              <w:rPr>
                <w:rFonts w:ascii="宋体" w:hAnsi="宋体"/>
                <w:color w:val="auto"/>
                <w:kern w:val="0"/>
                <w:szCs w:val="21"/>
                <w:highlight w:val="none"/>
              </w:rPr>
              <w:t>的截止时间</w:t>
            </w:r>
          </w:p>
        </w:tc>
        <w:tc>
          <w:tcPr>
            <w:tcW w:w="6490" w:type="dxa"/>
            <w:vAlign w:val="center"/>
          </w:tcPr>
          <w:p>
            <w:pPr>
              <w:snapToGrid w:val="0"/>
              <w:spacing w:line="400" w:lineRule="exact"/>
              <w:ind w:firstLine="420" w:firstLineChars="200"/>
              <w:rPr>
                <w:rFonts w:ascii="宋体" w:hAnsi="宋体"/>
                <w:snapToGrid w:val="0"/>
                <w:color w:val="auto"/>
                <w:kern w:val="0"/>
                <w:szCs w:val="21"/>
                <w:highlight w:val="none"/>
              </w:rPr>
            </w:pPr>
            <w:r>
              <w:rPr>
                <w:rFonts w:hint="eastAsia" w:ascii="宋体" w:hAnsi="宋体"/>
                <w:color w:val="auto"/>
                <w:szCs w:val="21"/>
                <w:highlight w:val="none"/>
                <w:lang w:eastAsia="zh-CN"/>
              </w:rPr>
              <w:t>比选人</w:t>
            </w:r>
            <w:r>
              <w:rPr>
                <w:rFonts w:hint="eastAsia" w:ascii="宋体" w:hAnsi="宋体"/>
                <w:color w:val="auto"/>
                <w:szCs w:val="21"/>
                <w:highlight w:val="none"/>
              </w:rPr>
              <w:t>应在</w:t>
            </w:r>
            <w:r>
              <w:rPr>
                <w:rFonts w:hint="eastAsia" w:ascii="宋体" w:hAnsi="宋体"/>
                <w:color w:val="auto"/>
                <w:szCs w:val="21"/>
                <w:highlight w:val="none"/>
                <w:lang w:eastAsia="zh-CN"/>
              </w:rPr>
              <w:t>比选公告</w:t>
            </w:r>
            <w:r>
              <w:rPr>
                <w:rFonts w:hint="eastAsia" w:ascii="宋体" w:hAnsi="宋体"/>
                <w:color w:val="auto"/>
                <w:szCs w:val="21"/>
                <w:highlight w:val="none"/>
              </w:rPr>
              <w:t>规定的时间前</w:t>
            </w:r>
            <w:r>
              <w:rPr>
                <w:rFonts w:ascii="宋体" w:hAnsi="宋体"/>
                <w:color w:val="auto"/>
                <w:szCs w:val="21"/>
                <w:highlight w:val="none"/>
              </w:rPr>
              <w:t>，</w:t>
            </w:r>
            <w:r>
              <w:rPr>
                <w:rFonts w:ascii="宋体" w:hAnsi="宋体"/>
                <w:color w:val="auto"/>
                <w:kern w:val="0"/>
                <w:szCs w:val="21"/>
                <w:highlight w:val="none"/>
              </w:rPr>
              <w:t>在</w:t>
            </w:r>
            <w:r>
              <w:rPr>
                <w:rFonts w:hint="eastAsia" w:ascii="宋体" w:hAnsi="宋体"/>
                <w:snapToGrid w:val="0"/>
                <w:color w:val="auto"/>
                <w:kern w:val="0"/>
                <w:szCs w:val="21"/>
                <w:highlight w:val="none"/>
                <w:u w:val="single"/>
              </w:rPr>
              <w:t xml:space="preserve"> 重庆经开区投资集团有限公司(http://www.cetzig.com/）</w:t>
            </w:r>
            <w:r>
              <w:rPr>
                <w:rFonts w:hint="eastAsia" w:ascii="宋体" w:hAnsi="宋体"/>
                <w:snapToGrid w:val="0"/>
                <w:color w:val="auto"/>
                <w:kern w:val="0"/>
                <w:szCs w:val="21"/>
                <w:highlight w:val="none"/>
                <w:u w:val="single"/>
                <w:lang w:eastAsia="zh-CN"/>
              </w:rPr>
              <w:t>、重庆市行采家（https://www.gec123.com）</w:t>
            </w:r>
            <w:r>
              <w:rPr>
                <w:rFonts w:ascii="宋体" w:hAnsi="宋体"/>
                <w:color w:val="auto"/>
                <w:kern w:val="0"/>
                <w:szCs w:val="21"/>
                <w:highlight w:val="none"/>
              </w:rPr>
              <w:t>发布</w:t>
            </w:r>
            <w:r>
              <w:rPr>
                <w:rFonts w:hint="eastAsia" w:ascii="宋体" w:hAnsi="宋体"/>
                <w:color w:val="auto"/>
                <w:kern w:val="0"/>
                <w:szCs w:val="21"/>
                <w:highlight w:val="none"/>
              </w:rPr>
              <w:t>澄清</w:t>
            </w:r>
            <w:r>
              <w:rPr>
                <w:rFonts w:ascii="宋体" w:hAnsi="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pPr>
              <w:snapToGrid w:val="0"/>
              <w:spacing w:line="400" w:lineRule="exact"/>
              <w:jc w:val="center"/>
              <w:rPr>
                <w:rFonts w:ascii="宋体" w:hAnsi="宋体"/>
                <w:color w:val="auto"/>
                <w:kern w:val="0"/>
                <w:szCs w:val="21"/>
                <w:highlight w:val="none"/>
              </w:rPr>
            </w:pPr>
          </w:p>
        </w:tc>
        <w:tc>
          <w:tcPr>
            <w:tcW w:w="1644"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投标截止时间</w:t>
            </w:r>
          </w:p>
        </w:tc>
        <w:tc>
          <w:tcPr>
            <w:tcW w:w="6490" w:type="dxa"/>
            <w:vAlign w:val="center"/>
          </w:tcPr>
          <w:p>
            <w:pPr>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详见</w:t>
            </w:r>
            <w:r>
              <w:rPr>
                <w:rFonts w:hint="eastAsia" w:ascii="宋体" w:hAnsi="宋体"/>
                <w:color w:val="auto"/>
                <w:szCs w:val="21"/>
                <w:highlight w:val="none"/>
                <w:lang w:eastAsia="zh-CN"/>
              </w:rPr>
              <w:t>比选公告</w:t>
            </w:r>
            <w:r>
              <w:rPr>
                <w:rFonts w:hint="eastAsia" w:ascii="宋体" w:hAnsi="宋体"/>
                <w:color w:val="auto"/>
                <w:szCs w:val="21"/>
                <w:highlight w:val="none"/>
              </w:rPr>
              <w:t>规定的投标截止时间。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2.2.3</w:t>
            </w:r>
          </w:p>
        </w:tc>
        <w:tc>
          <w:tcPr>
            <w:tcW w:w="1644" w:type="dxa"/>
            <w:vAlign w:val="center"/>
          </w:tcPr>
          <w:p>
            <w:pPr>
              <w:snapToGrid w:val="0"/>
              <w:spacing w:after="15" w:afterLines="5"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比选人</w:t>
            </w:r>
            <w:r>
              <w:rPr>
                <w:rFonts w:ascii="宋体" w:hAnsi="宋体"/>
                <w:color w:val="auto"/>
                <w:kern w:val="0"/>
                <w:szCs w:val="21"/>
                <w:highlight w:val="none"/>
              </w:rPr>
              <w:t>对招标文件进行</w:t>
            </w:r>
            <w:r>
              <w:rPr>
                <w:rFonts w:hint="eastAsia" w:ascii="宋体" w:hAnsi="宋体"/>
                <w:color w:val="auto"/>
                <w:kern w:val="0"/>
                <w:szCs w:val="21"/>
                <w:highlight w:val="none"/>
              </w:rPr>
              <w:t>修改</w:t>
            </w:r>
            <w:r>
              <w:rPr>
                <w:rFonts w:ascii="宋体" w:hAnsi="宋体"/>
                <w:color w:val="auto"/>
                <w:kern w:val="0"/>
                <w:szCs w:val="21"/>
                <w:highlight w:val="none"/>
              </w:rPr>
              <w:t>的时间</w:t>
            </w:r>
          </w:p>
        </w:tc>
        <w:tc>
          <w:tcPr>
            <w:tcW w:w="6490" w:type="dxa"/>
            <w:vAlign w:val="center"/>
          </w:tcPr>
          <w:p>
            <w:pPr>
              <w:snapToGrid w:val="0"/>
              <w:spacing w:line="400" w:lineRule="exact"/>
              <w:ind w:firstLine="420" w:firstLineChars="200"/>
              <w:rPr>
                <w:rFonts w:ascii="宋体" w:hAnsi="宋体"/>
                <w:color w:val="auto"/>
                <w:szCs w:val="21"/>
                <w:highlight w:val="none"/>
              </w:rPr>
            </w:pP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编制的，须在投标截止时间</w:t>
            </w:r>
            <w:r>
              <w:rPr>
                <w:rFonts w:hint="eastAsia" w:ascii="宋体" w:hAnsi="宋体"/>
                <w:snapToGrid w:val="0"/>
                <w:color w:val="auto"/>
                <w:kern w:val="0"/>
                <w:szCs w:val="21"/>
                <w:highlight w:val="none"/>
                <w:lang w:val="en-US" w:eastAsia="zh-CN"/>
              </w:rPr>
              <w:t>1</w:t>
            </w:r>
            <w:r>
              <w:rPr>
                <w:rFonts w:ascii="宋体" w:hAnsi="宋体"/>
                <w:snapToGrid w:val="0"/>
                <w:color w:val="auto"/>
                <w:kern w:val="0"/>
                <w:szCs w:val="21"/>
                <w:highlight w:val="none"/>
              </w:rPr>
              <w:t>日前发布，发布时间至投标截止时间不足</w:t>
            </w:r>
            <w:r>
              <w:rPr>
                <w:rFonts w:hint="eastAsia" w:ascii="宋体" w:hAnsi="宋体"/>
                <w:snapToGrid w:val="0"/>
                <w:color w:val="auto"/>
                <w:kern w:val="0"/>
                <w:szCs w:val="21"/>
                <w:highlight w:val="none"/>
                <w:lang w:val="en-US" w:eastAsia="zh-CN"/>
              </w:rPr>
              <w:t>1</w:t>
            </w:r>
            <w:r>
              <w:rPr>
                <w:rFonts w:ascii="宋体" w:hAnsi="宋体"/>
                <w:snapToGrid w:val="0"/>
                <w:color w:val="auto"/>
                <w:kern w:val="0"/>
                <w:szCs w:val="21"/>
                <w:highlight w:val="none"/>
              </w:rPr>
              <w:t>日的，须相应延后投标截止时间。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3.1.1</w:t>
            </w:r>
          </w:p>
        </w:tc>
        <w:tc>
          <w:tcPr>
            <w:tcW w:w="1644" w:type="dxa"/>
            <w:vAlign w:val="center"/>
          </w:tcPr>
          <w:p>
            <w:pPr>
              <w:snapToGrid w:val="0"/>
              <w:spacing w:after="31" w:afterLines="10"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lang w:eastAsia="zh-CN"/>
              </w:rPr>
              <w:t>竞选文件</w:t>
            </w:r>
            <w:r>
              <w:rPr>
                <w:rFonts w:ascii="宋体" w:hAnsi="宋体"/>
                <w:color w:val="auto"/>
                <w:kern w:val="0"/>
                <w:szCs w:val="21"/>
                <w:highlight w:val="none"/>
              </w:rPr>
              <w:t>的其他材料</w:t>
            </w:r>
          </w:p>
        </w:tc>
        <w:tc>
          <w:tcPr>
            <w:tcW w:w="6490" w:type="dxa"/>
            <w:vAlign w:val="center"/>
          </w:tcPr>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ascii="宋体" w:hAnsi="宋体"/>
                <w:color w:val="auto"/>
                <w:szCs w:val="21"/>
                <w:highlight w:val="none"/>
              </w:rPr>
              <w:t>的书面澄清、说明和补正（但不得改变</w:t>
            </w:r>
            <w:r>
              <w:rPr>
                <w:rFonts w:hint="eastAsia" w:ascii="宋体" w:hAnsi="宋体"/>
                <w:color w:val="auto"/>
                <w:szCs w:val="21"/>
                <w:highlight w:val="none"/>
                <w:lang w:eastAsia="zh-CN"/>
              </w:rPr>
              <w:t>竞选文件</w:t>
            </w:r>
            <w:r>
              <w:rPr>
                <w:rFonts w:ascii="宋体" w:hAnsi="宋体"/>
                <w:color w:val="auto"/>
                <w:szCs w:val="21"/>
                <w:highlight w:val="none"/>
              </w:rPr>
              <w:t>的实质性内容）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3.2</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投标报价</w:t>
            </w:r>
          </w:p>
        </w:tc>
        <w:tc>
          <w:tcPr>
            <w:tcW w:w="6490" w:type="dxa"/>
            <w:vAlign w:val="center"/>
          </w:tcPr>
          <w:p>
            <w:pPr>
              <w:pStyle w:val="2"/>
              <w:tabs>
                <w:tab w:val="left" w:pos="546"/>
                <w:tab w:val="left" w:pos="711"/>
              </w:tabs>
              <w:snapToGrid w:val="0"/>
              <w:spacing w:after="0" w:line="400" w:lineRule="exact"/>
              <w:ind w:firstLine="420" w:firstLineChars="200"/>
              <w:rPr>
                <w:rFonts w:ascii="宋体" w:hAnsi="宋体" w:cs="宋体"/>
                <w:color w:val="auto"/>
                <w:szCs w:val="21"/>
                <w:highlight w:val="none"/>
              </w:rPr>
            </w:pPr>
            <w:r>
              <w:rPr>
                <w:rFonts w:ascii="宋体" w:hAnsi="宋体"/>
                <w:color w:val="auto"/>
                <w:szCs w:val="21"/>
                <w:highlight w:val="none"/>
              </w:rPr>
              <w:t>1.</w:t>
            </w:r>
            <w:r>
              <w:rPr>
                <w:rFonts w:hint="eastAsia" w:ascii="宋体" w:hAnsi="宋体" w:cs="宋体"/>
                <w:color w:val="auto"/>
                <w:szCs w:val="21"/>
                <w:highlight w:val="none"/>
              </w:rPr>
              <w:t>使用国有资金投资的建设工程发承包，必须采用工程量清单计价。工程量清单应采用综合单价计价。</w:t>
            </w:r>
          </w:p>
          <w:p>
            <w:pPr>
              <w:pStyle w:val="2"/>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应按《建设工程工程量清单计价规范》（GB50500-2013）及重庆市相关工程量清单计价规则的要求填写相应清单表格。</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应按本须知、《重庆市建设工程费用定额》（CQFYDE-2018）、《重庆市住房和城乡建设委员会关于适用增值税新税率调整建设工程计价依据的通知》（渝建〔2019〕143号）和第五章“工程量清单”的要求填写相应清单表格。</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的投标报价应是本章</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须知前附表第1.3.1项中所述的本工程合同段招标范围内的全部工程的投标报价，并以</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在工程量清单中提出的单价或总价</w:t>
            </w:r>
            <w:r>
              <w:rPr>
                <w:rFonts w:ascii="宋体" w:hAnsi="宋体" w:cs="宋体"/>
                <w:color w:val="auto"/>
                <w:szCs w:val="21"/>
                <w:highlight w:val="none"/>
              </w:rPr>
              <w:footnoteReference w:id="0"/>
            </w:r>
            <w:r>
              <w:rPr>
                <w:rFonts w:hint="eastAsia" w:ascii="宋体" w:hAnsi="宋体" w:cs="宋体"/>
                <w:color w:val="auto"/>
                <w:szCs w:val="21"/>
                <w:highlight w:val="none"/>
              </w:rPr>
              <w:t>为依据。</w:t>
            </w:r>
          </w:p>
          <w:p>
            <w:pPr>
              <w:tabs>
                <w:tab w:val="left" w:pos="546"/>
                <w:tab w:val="left" w:pos="711"/>
              </w:tabs>
              <w:snapToGrid w:val="0"/>
              <w:spacing w:line="400" w:lineRule="exact"/>
              <w:ind w:left="6" w:leftChars="3" w:firstLine="420" w:firstLineChars="200"/>
              <w:rPr>
                <w:rFonts w:ascii="宋体" w:hAnsi="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应认真填写工程量清单中所列的本合同各工程子目的单价或总价。</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没有填入单价或总价的工程子目，</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将认为该子目的价款已包括在工程量清单其他子目的单价和总价中。</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必须按招标工程量清单填报价格。项目编码、项目名称、项目特征、计量单位、工程量必须与招标工程量清单一致。</w:t>
            </w:r>
          </w:p>
          <w:p>
            <w:pPr>
              <w:tabs>
                <w:tab w:val="left" w:pos="546"/>
                <w:tab w:val="left" w:pos="711"/>
              </w:tabs>
              <w:snapToGrid w:val="0"/>
              <w:spacing w:line="400" w:lineRule="exact"/>
              <w:ind w:left="6" w:leftChars="3"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lang w:eastAsia="zh-CN"/>
              </w:rPr>
              <w:t>竞选函</w:t>
            </w:r>
            <w:r>
              <w:rPr>
                <w:rFonts w:hint="eastAsia" w:ascii="宋体" w:hAnsi="宋体" w:cs="宋体"/>
                <w:color w:val="auto"/>
                <w:szCs w:val="21"/>
                <w:highlight w:val="none"/>
              </w:rPr>
              <w:t>中的总报价必须与已标价工程量清单总报价一致。否则由评标委员会作否决投标处理。</w:t>
            </w:r>
          </w:p>
          <w:p>
            <w:pPr>
              <w:pStyle w:val="2"/>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u w:val="single"/>
              </w:rPr>
              <w:t>（1）在合同实施期间，单价和总价按专用合同条款第11条的规定可调整</w:t>
            </w:r>
            <w:r>
              <w:rPr>
                <w:rFonts w:hint="eastAsia" w:ascii="宋体" w:hAnsi="宋体" w:cs="宋体"/>
                <w:color w:val="auto"/>
                <w:szCs w:val="21"/>
                <w:highlight w:val="none"/>
              </w:rPr>
              <w:t>。</w:t>
            </w:r>
          </w:p>
          <w:p>
            <w:pPr>
              <w:pStyle w:val="2"/>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rPr>
              <w:t>（2）增值税计税方法由</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依据国家税法规定选择：</w:t>
            </w:r>
          </w:p>
          <w:p>
            <w:pPr>
              <w:pStyle w:val="2"/>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一般计税法</w:t>
            </w:r>
          </w:p>
          <w:p>
            <w:pPr>
              <w:pStyle w:val="2"/>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如发现工程量清单中的数量与图纸中数量不一致，应于本须知第2.2.1项中规定的时间前书面通知</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核查，除非</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以修改的形式予以更正，否则，应以工程量清单中列出的数量为准。</w:t>
            </w:r>
          </w:p>
          <w:p>
            <w:pPr>
              <w:tabs>
                <w:tab w:val="left" w:pos="546"/>
                <w:tab w:val="left" w:pos="711"/>
              </w:tabs>
              <w:snapToGrid w:val="0"/>
              <w:spacing w:line="400" w:lineRule="exact"/>
              <w:ind w:firstLine="420" w:firstLineChars="200"/>
              <w:rPr>
                <w:rFonts w:ascii="宋体" w:hAnsi="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在工程量清单中所列出的价格（包括暂列金额、暂估价等），</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不得修改</w:t>
            </w:r>
            <w:r>
              <w:rPr>
                <w:rFonts w:hint="eastAsia" w:ascii="宋体" w:hAnsi="宋体"/>
                <w:color w:val="auto"/>
                <w:szCs w:val="21"/>
                <w:highlight w:val="none"/>
              </w:rPr>
              <w:t>。</w:t>
            </w:r>
          </w:p>
          <w:p>
            <w:pPr>
              <w:tabs>
                <w:tab w:val="left" w:pos="546"/>
                <w:tab w:val="left" w:pos="711"/>
              </w:tabs>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8.本工程招标将设置投标总报价最高限价，投标总报价最高限价为373072</w:t>
            </w:r>
            <w:r>
              <w:rPr>
                <w:rFonts w:hint="eastAsia" w:ascii="宋体" w:hAnsi="宋体"/>
                <w:color w:val="auto"/>
                <w:szCs w:val="21"/>
                <w:highlight w:val="none"/>
                <w:lang w:val="en-US" w:eastAsia="zh-CN"/>
              </w:rPr>
              <w:t>.</w:t>
            </w:r>
            <w:r>
              <w:rPr>
                <w:rFonts w:hint="eastAsia" w:ascii="宋体" w:hAnsi="宋体"/>
                <w:color w:val="auto"/>
                <w:szCs w:val="21"/>
                <w:highlight w:val="none"/>
              </w:rPr>
              <w:t>45元</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大写：叁拾柒万叁仟零柒拾贰元肆角伍分</w:t>
            </w:r>
            <w:r>
              <w:rPr>
                <w:rFonts w:hint="eastAsia" w:ascii="宋体" w:hAnsi="宋体"/>
                <w:color w:val="auto"/>
                <w:szCs w:val="21"/>
                <w:highlight w:val="none"/>
                <w:lang w:eastAsia="zh-CN"/>
              </w:rPr>
              <w:t>）</w:t>
            </w:r>
            <w:r>
              <w:rPr>
                <w:rFonts w:hint="eastAsia" w:ascii="宋体" w:hAnsi="宋体"/>
                <w:color w:val="auto"/>
                <w:szCs w:val="21"/>
                <w:highlight w:val="none"/>
              </w:rPr>
              <w:t>，投标人的投标总报价不得超过其最高限价，否则由评标委员会作否决投标处理。</w:t>
            </w:r>
          </w:p>
          <w:p>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本工程招标将设置全部工程量清单综合单价最高限价，工程量清单综合单价最高限价随比选文件发布，投标人的每项工程量清单综合单价报价不得超过其对应清单综合单价最高限价。</w:t>
            </w:r>
          </w:p>
          <w:p>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在合同签订前将对中标人已标价工程量清单进行清标。若发现中标人的工程量清单综合单价报价超过招标时给出的工程量清单综合单价最高限价的，在工程结算时</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将以发出的工程量清单综合单价最高限价为基础，按照中标人的中标总报价与本工程的总价最高限价的下浮比例进行同比例下调，中标人必须无条件接受，否则按中标人违约处理。</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须在</w:t>
            </w:r>
            <w:r>
              <w:rPr>
                <w:rFonts w:hint="eastAsia" w:ascii="宋体" w:hAnsi="宋体" w:cs="宋体"/>
                <w:color w:val="auto"/>
                <w:szCs w:val="21"/>
                <w:highlight w:val="none"/>
                <w:lang w:eastAsia="zh-CN"/>
              </w:rPr>
              <w:t>竞选文件</w:t>
            </w:r>
            <w:r>
              <w:rPr>
                <w:rFonts w:hint="eastAsia" w:ascii="宋体" w:hAnsi="宋体" w:cs="宋体"/>
                <w:color w:val="auto"/>
                <w:szCs w:val="21"/>
                <w:highlight w:val="none"/>
              </w:rPr>
              <w:t>资格审查部分提供承诺函，承诺函包括以下内容：</w:t>
            </w:r>
          </w:p>
          <w:p>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（1）符合第五章“工程量清单”给出的范围及数量。</w:t>
            </w:r>
          </w:p>
          <w:p>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（2）招标文件中规定工程量清单不允许修改的内容不得修改。</w:t>
            </w:r>
          </w:p>
          <w:p>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（3）每项工程量清单综合单价报价不得高于对应工程量清单综合单价最高限价。</w:t>
            </w:r>
          </w:p>
          <w:p>
            <w:pPr>
              <w:pStyle w:val="2"/>
              <w:spacing w:after="0" w:line="400" w:lineRule="exact"/>
              <w:ind w:firstLine="420" w:firstLineChars="200"/>
              <w:rPr>
                <w:rFonts w:hint="eastAsia" w:ascii="宋体" w:hAnsi="宋体" w:eastAsia="宋体" w:cs="宋体"/>
                <w:color w:val="auto"/>
                <w:szCs w:val="21"/>
                <w:highlight w:val="none"/>
                <w:lang w:eastAsia="zh-CN"/>
              </w:rPr>
            </w:pPr>
            <w:r>
              <w:rPr>
                <w:rFonts w:ascii="宋体" w:hAnsi="宋体" w:cs="宋体"/>
                <w:color w:val="auto"/>
                <w:szCs w:val="21"/>
                <w:highlight w:val="none"/>
              </w:rPr>
              <w:t>9.安全文明施工费：</w:t>
            </w:r>
            <w:r>
              <w:rPr>
                <w:rFonts w:hint="eastAsia" w:ascii="宋体" w:hAnsi="宋体" w:cs="宋体"/>
                <w:color w:val="auto"/>
                <w:szCs w:val="21"/>
                <w:highlight w:val="none"/>
              </w:rPr>
              <w:t>10604.28</w:t>
            </w:r>
            <w:r>
              <w:rPr>
                <w:rFonts w:hint="eastAsia" w:ascii="宋体" w:hAnsi="宋体" w:cs="宋体"/>
                <w:color w:val="auto"/>
                <w:szCs w:val="21"/>
                <w:highlight w:val="none"/>
                <w:lang w:eastAsia="zh-CN"/>
              </w:rPr>
              <w:t>元</w:t>
            </w:r>
          </w:p>
          <w:p>
            <w:pPr>
              <w:pStyle w:val="2"/>
              <w:tabs>
                <w:tab w:val="left" w:pos="546"/>
                <w:tab w:val="left" w:pos="711"/>
              </w:tabs>
              <w:snapToGrid w:val="0"/>
              <w:spacing w:after="0" w:line="400" w:lineRule="exact"/>
              <w:ind w:firstLine="420" w:firstLineChars="200"/>
              <w:rPr>
                <w:rFonts w:ascii="宋体" w:hAnsi="宋体" w:cs="宋体"/>
                <w:color w:val="auto"/>
                <w:szCs w:val="21"/>
                <w:highlight w:val="none"/>
              </w:rPr>
            </w:pPr>
            <w:r>
              <w:rPr>
                <w:rFonts w:ascii="宋体" w:hAnsi="宋体" w:cs="宋体"/>
                <w:color w:val="auto"/>
                <w:szCs w:val="21"/>
                <w:highlight w:val="none"/>
              </w:rPr>
              <w:t>9.1</w:t>
            </w:r>
            <w:r>
              <w:rPr>
                <w:rFonts w:hint="eastAsia" w:ascii="宋体" w:hAnsi="宋体" w:cs="宋体"/>
                <w:color w:val="auto"/>
                <w:szCs w:val="21"/>
                <w:highlight w:val="none"/>
              </w:rPr>
              <w:t>根据《重庆城乡建设委员会关于印发</w:t>
            </w:r>
            <w:r>
              <w:rPr>
                <w:rFonts w:ascii="宋体" w:hAnsi="宋体" w:cs="宋体"/>
                <w:color w:val="auto"/>
                <w:szCs w:val="21"/>
                <w:highlight w:val="none"/>
              </w:rPr>
              <w:t>&lt;</w:t>
            </w:r>
            <w:r>
              <w:rPr>
                <w:rFonts w:hint="eastAsia" w:ascii="宋体" w:hAnsi="宋体" w:cs="宋体"/>
                <w:color w:val="auto"/>
                <w:szCs w:val="21"/>
                <w:highlight w:val="none"/>
              </w:rPr>
              <w:t>重庆市建设工程安全文明施工费计取及使用管理规定</w:t>
            </w:r>
            <w:r>
              <w:rPr>
                <w:rFonts w:ascii="宋体" w:hAnsi="宋体" w:cs="宋体"/>
                <w:color w:val="auto"/>
                <w:szCs w:val="21"/>
                <w:highlight w:val="none"/>
              </w:rPr>
              <w:t>&gt;</w:t>
            </w:r>
            <w:r>
              <w:rPr>
                <w:rFonts w:hint="eastAsia" w:ascii="宋体" w:hAnsi="宋体" w:cs="宋体"/>
                <w:color w:val="auto"/>
                <w:szCs w:val="21"/>
                <w:highlight w:val="none"/>
              </w:rPr>
              <w:t>的通知》（渝建发〔2014〕25号）规定，安全文明施工费由安全施工费、文明施工费、环境保护费及临时设施费组成。</w:t>
            </w:r>
          </w:p>
          <w:p>
            <w:pPr>
              <w:pStyle w:val="97"/>
              <w:spacing w:line="400" w:lineRule="exact"/>
              <w:ind w:firstLineChars="200"/>
              <w:rPr>
                <w:color w:val="auto"/>
                <w:sz w:val="21"/>
                <w:szCs w:val="21"/>
                <w:highlight w:val="none"/>
              </w:rPr>
            </w:pPr>
            <w:r>
              <w:rPr>
                <w:color w:val="auto"/>
                <w:sz w:val="21"/>
                <w:szCs w:val="21"/>
                <w:highlight w:val="none"/>
              </w:rPr>
              <w:t>9.2本工程安全文明施工费由</w:t>
            </w:r>
            <w:r>
              <w:rPr>
                <w:rFonts w:hint="eastAsia"/>
                <w:color w:val="auto"/>
                <w:sz w:val="21"/>
                <w:szCs w:val="21"/>
                <w:highlight w:val="none"/>
                <w:lang w:eastAsia="zh-CN"/>
              </w:rPr>
              <w:t>比选人</w:t>
            </w:r>
            <w:r>
              <w:rPr>
                <w:color w:val="auto"/>
                <w:sz w:val="21"/>
                <w:szCs w:val="21"/>
                <w:highlight w:val="none"/>
              </w:rPr>
              <w:t>根据《建设工程工程量清单计价规范》（GB50500-2013）、《重庆市建设工程工程量清单计价规则》（CQJJGZ-2013）、《</w:t>
            </w:r>
            <w:r>
              <w:rPr>
                <w:rFonts w:hint="eastAsia"/>
                <w:color w:val="auto"/>
                <w:sz w:val="21"/>
                <w:szCs w:val="21"/>
                <w:highlight w:val="none"/>
              </w:rPr>
              <w:t>重庆市城乡建设委员会</w:t>
            </w:r>
            <w:r>
              <w:rPr>
                <w:color w:val="auto"/>
                <w:sz w:val="21"/>
                <w:szCs w:val="21"/>
                <w:highlight w:val="none"/>
              </w:rPr>
              <w:t>关于印发&lt;重庆市建设工程安全文明施工费计取及使用管理规定&gt;的通知》（渝建发</w:t>
            </w:r>
            <w:r>
              <w:rPr>
                <w:rFonts w:hint="eastAsia"/>
                <w:color w:val="auto"/>
                <w:sz w:val="21"/>
                <w:szCs w:val="21"/>
                <w:highlight w:val="none"/>
              </w:rPr>
              <w:t>〔</w:t>
            </w:r>
            <w:r>
              <w:rPr>
                <w:color w:val="auto"/>
                <w:sz w:val="21"/>
                <w:szCs w:val="21"/>
                <w:highlight w:val="none"/>
              </w:rPr>
              <w:t>2014</w:t>
            </w:r>
            <w:r>
              <w:rPr>
                <w:rFonts w:hint="eastAsia"/>
                <w:color w:val="auto"/>
                <w:sz w:val="21"/>
                <w:szCs w:val="21"/>
                <w:highlight w:val="none"/>
              </w:rPr>
              <w:t>〕</w:t>
            </w:r>
            <w:r>
              <w:rPr>
                <w:color w:val="auto"/>
                <w:sz w:val="21"/>
                <w:szCs w:val="21"/>
                <w:highlight w:val="none"/>
              </w:rPr>
              <w:t>25号）</w:t>
            </w:r>
            <w:r>
              <w:rPr>
                <w:rFonts w:hint="eastAsia"/>
                <w:color w:val="auto"/>
                <w:sz w:val="21"/>
                <w:szCs w:val="21"/>
                <w:highlight w:val="none"/>
              </w:rPr>
              <w:t>、《重庆市住房和城乡建设委员会关于调整建设施工现场形象品质提升安全文明施工费计取的通知》（渝建管〔2020〕97号）</w:t>
            </w:r>
            <w:r>
              <w:rPr>
                <w:color w:val="auto"/>
                <w:sz w:val="21"/>
                <w:szCs w:val="21"/>
                <w:highlight w:val="none"/>
              </w:rPr>
              <w:t>、</w:t>
            </w:r>
            <w:r>
              <w:rPr>
                <w:rFonts w:hint="eastAsia"/>
                <w:color w:val="auto"/>
                <w:sz w:val="21"/>
                <w:szCs w:val="21"/>
                <w:highlight w:val="none"/>
              </w:rPr>
              <w:t>《重庆市建设工程费用定额》（CQFYDE-2018）、《重庆市住房和城乡建设委员会关于适用增值税新税率调整建设工程计价依据的通知》（渝建〔2019〕143号）</w:t>
            </w:r>
            <w:r>
              <w:rPr>
                <w:color w:val="auto"/>
                <w:sz w:val="21"/>
                <w:szCs w:val="21"/>
                <w:highlight w:val="none"/>
              </w:rPr>
              <w:t>的相关规定和费用标准单列计算，</w:t>
            </w:r>
            <w:r>
              <w:rPr>
                <w:rFonts w:hint="eastAsia"/>
                <w:b/>
                <w:bCs/>
                <w:color w:val="auto"/>
                <w:sz w:val="21"/>
                <w:szCs w:val="21"/>
                <w:highlight w:val="none"/>
              </w:rPr>
              <w:t>安全文明施工费为暂定金额10604.28元元</w:t>
            </w:r>
            <w:r>
              <w:rPr>
                <w:color w:val="auto"/>
                <w:sz w:val="21"/>
                <w:szCs w:val="21"/>
                <w:highlight w:val="none"/>
              </w:rPr>
              <w:t>，与最高限价一起公布。《</w:t>
            </w:r>
            <w:r>
              <w:rPr>
                <w:rFonts w:hint="eastAsia"/>
                <w:color w:val="auto"/>
                <w:sz w:val="21"/>
                <w:szCs w:val="21"/>
                <w:highlight w:val="none"/>
                <w:lang w:eastAsia="zh-CN"/>
              </w:rPr>
              <w:t>竞选函</w:t>
            </w:r>
            <w:r>
              <w:rPr>
                <w:color w:val="auto"/>
                <w:sz w:val="21"/>
                <w:szCs w:val="21"/>
                <w:highlight w:val="none"/>
              </w:rPr>
              <w:t>》中的安全文明施工费</w:t>
            </w:r>
            <w:r>
              <w:rPr>
                <w:rFonts w:hint="eastAsia"/>
                <w:color w:val="auto"/>
                <w:sz w:val="21"/>
                <w:szCs w:val="21"/>
                <w:highlight w:val="none"/>
                <w:lang w:val="en-US" w:eastAsia="zh-CN"/>
              </w:rPr>
              <w:t>金额或工程量清单中安全文明施工费的汇总金额未</w:t>
            </w:r>
            <w:r>
              <w:rPr>
                <w:color w:val="auto"/>
                <w:sz w:val="21"/>
                <w:szCs w:val="21"/>
                <w:highlight w:val="none"/>
              </w:rPr>
              <w:t>按照</w:t>
            </w:r>
            <w:r>
              <w:rPr>
                <w:rFonts w:hint="eastAsia"/>
                <w:color w:val="auto"/>
                <w:sz w:val="21"/>
                <w:szCs w:val="21"/>
                <w:highlight w:val="none"/>
                <w:lang w:eastAsia="zh-CN"/>
              </w:rPr>
              <w:t>比选人</w:t>
            </w:r>
            <w:r>
              <w:rPr>
                <w:color w:val="auto"/>
                <w:sz w:val="21"/>
                <w:szCs w:val="21"/>
                <w:highlight w:val="none"/>
              </w:rPr>
              <w:t>给出的暂定金额填报</w:t>
            </w:r>
            <w:r>
              <w:rPr>
                <w:rFonts w:hint="eastAsia"/>
                <w:color w:val="auto"/>
                <w:sz w:val="21"/>
                <w:szCs w:val="21"/>
                <w:highlight w:val="none"/>
                <w:lang w:val="en-US" w:eastAsia="zh-CN"/>
              </w:rPr>
              <w:t>的</w:t>
            </w:r>
            <w:r>
              <w:rPr>
                <w:color w:val="auto"/>
                <w:sz w:val="21"/>
                <w:szCs w:val="21"/>
                <w:highlight w:val="none"/>
              </w:rPr>
              <w:t>，视为对招标文件不作实质性响应，其</w:t>
            </w:r>
            <w:r>
              <w:rPr>
                <w:rFonts w:hint="eastAsia"/>
                <w:color w:val="auto"/>
                <w:sz w:val="21"/>
                <w:szCs w:val="21"/>
                <w:highlight w:val="none"/>
                <w:lang w:eastAsia="zh-CN"/>
              </w:rPr>
              <w:t>竞选文件</w:t>
            </w:r>
            <w:r>
              <w:rPr>
                <w:rFonts w:hint="eastAsia"/>
                <w:color w:val="auto"/>
                <w:sz w:val="21"/>
                <w:szCs w:val="21"/>
                <w:highlight w:val="none"/>
              </w:rPr>
              <w:t>由评标委员会</w:t>
            </w:r>
            <w:r>
              <w:rPr>
                <w:color w:val="auto"/>
                <w:sz w:val="21"/>
                <w:szCs w:val="21"/>
                <w:highlight w:val="none"/>
              </w:rPr>
              <w:t>作否决投标处理。</w:t>
            </w:r>
            <w:r>
              <w:rPr>
                <w:rFonts w:hint="eastAsia"/>
                <w:color w:val="auto"/>
                <w:sz w:val="21"/>
                <w:szCs w:val="21"/>
                <w:highlight w:val="none"/>
              </w:rPr>
              <w:t>注：采用全费用清单计价的项目，安全文明施工费仅针对《</w:t>
            </w:r>
            <w:r>
              <w:rPr>
                <w:rFonts w:hint="eastAsia"/>
                <w:color w:val="auto"/>
                <w:sz w:val="21"/>
                <w:szCs w:val="21"/>
                <w:highlight w:val="none"/>
                <w:lang w:eastAsia="zh-CN"/>
              </w:rPr>
              <w:t>竞选函</w:t>
            </w:r>
            <w:r>
              <w:rPr>
                <w:rFonts w:hint="eastAsia"/>
                <w:color w:val="auto"/>
                <w:sz w:val="21"/>
                <w:szCs w:val="21"/>
                <w:highlight w:val="none"/>
              </w:rPr>
              <w:t>》中的安全文明施工费进行评审。</w:t>
            </w:r>
          </w:p>
          <w:p>
            <w:pPr>
              <w:tabs>
                <w:tab w:val="left" w:pos="546"/>
                <w:tab w:val="left" w:pos="711"/>
              </w:tabs>
              <w:snapToGrid w:val="0"/>
              <w:spacing w:line="400" w:lineRule="exact"/>
              <w:ind w:firstLine="420" w:firstLineChars="200"/>
              <w:rPr>
                <w:rFonts w:ascii="宋体" w:hAnsi="宋体" w:cs="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本工程所需材料（含设备）价格由</w:t>
            </w:r>
            <w:r>
              <w:rPr>
                <w:rFonts w:hint="eastAsia" w:ascii="宋体" w:hAnsi="宋体"/>
                <w:color w:val="auto"/>
                <w:szCs w:val="21"/>
                <w:highlight w:val="none"/>
                <w:lang w:eastAsia="zh-CN"/>
              </w:rPr>
              <w:t>竞选人</w:t>
            </w:r>
            <w:r>
              <w:rPr>
                <w:rFonts w:hint="eastAsia" w:ascii="宋体" w:hAnsi="宋体"/>
                <w:color w:val="auto"/>
                <w:szCs w:val="21"/>
                <w:highlight w:val="none"/>
              </w:rPr>
              <w:t>参照重庆市建设工</w:t>
            </w:r>
            <w:r>
              <w:rPr>
                <w:rFonts w:hint="eastAsia" w:ascii="宋体" w:hAnsi="宋体" w:cs="宋体"/>
                <w:color w:val="auto"/>
                <w:szCs w:val="21"/>
                <w:highlight w:val="none"/>
              </w:rPr>
              <w:t>程造价管理总站发布的《重庆工程造价信息》或工程造价管理机构发布的工程造价信息（造价信息引用时限为</w:t>
            </w:r>
            <w:r>
              <w:rPr>
                <w:rFonts w:hint="eastAsia" w:ascii="宋体" w:hAnsi="宋体" w:cs="宋体"/>
                <w:color w:val="auto"/>
                <w:szCs w:val="21"/>
                <w:highlight w:val="none"/>
                <w:lang w:eastAsia="zh-CN"/>
              </w:rPr>
              <w:t>比选公告</w:t>
            </w:r>
            <w:r>
              <w:rPr>
                <w:rFonts w:hint="eastAsia" w:ascii="宋体" w:hAnsi="宋体" w:cs="宋体"/>
                <w:color w:val="auto"/>
                <w:szCs w:val="21"/>
                <w:highlight w:val="none"/>
              </w:rPr>
              <w:t>发布日期前一期），并结合市场行情及自身实力进行自主报价。</w:t>
            </w:r>
          </w:p>
          <w:p>
            <w:pPr>
              <w:pStyle w:val="2"/>
              <w:tabs>
                <w:tab w:val="left" w:pos="546"/>
                <w:tab w:val="left" w:pos="711"/>
              </w:tabs>
              <w:snapToGrid w:val="0"/>
              <w:spacing w:after="0"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11.本项目建筑安装材料价格风险按照《重庆市城乡建设委员会关于进一步加强建筑安装材料价格风险管控的指导意见》（渝建〔2018〕61号）执行。本项目主要材料及设备价格风险内容、范围及调整方法为：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不调整</w:t>
            </w:r>
            <w:r>
              <w:rPr>
                <w:rFonts w:hint="eastAsia" w:ascii="宋体" w:hAnsi="宋体" w:cs="宋体"/>
                <w:color w:val="auto"/>
                <w:szCs w:val="21"/>
                <w:highlight w:val="none"/>
                <w:u w:val="single"/>
              </w:rPr>
              <w:t xml:space="preserve"> </w:t>
            </w:r>
          </w:p>
          <w:p>
            <w:pPr>
              <w:pStyle w:val="2"/>
              <w:tabs>
                <w:tab w:val="left" w:pos="546"/>
                <w:tab w:val="left" w:pos="711"/>
              </w:tabs>
              <w:snapToGrid w:val="0"/>
              <w:spacing w:after="0" w:line="400" w:lineRule="exact"/>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本项目所采用技术、工艺和产品等必须执行重庆市住房和城乡建设委员会关于发布《重庆市建设领域禁止、限制使用落后技术通告（2019年版）（渝建发〔2019〕25号）的规定。</w:t>
            </w:r>
          </w:p>
          <w:p>
            <w:pPr>
              <w:pStyle w:val="2"/>
              <w:tabs>
                <w:tab w:val="left" w:pos="546"/>
                <w:tab w:val="left" w:pos="711"/>
              </w:tabs>
              <w:snapToGrid w:val="0"/>
              <w:spacing w:after="0" w:line="400" w:lineRule="exact"/>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本工程主体结构若需混凝土，则必须使用商品混凝土，不得自建搅拌站。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3.3.1</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投标有效期</w:t>
            </w:r>
          </w:p>
        </w:tc>
        <w:tc>
          <w:tcPr>
            <w:tcW w:w="6490" w:type="dxa"/>
            <w:vAlign w:val="center"/>
          </w:tcPr>
          <w:p>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90</w:t>
            </w:r>
            <w:r>
              <w:rPr>
                <w:rFonts w:ascii="宋体" w:hAnsi="宋体"/>
                <w:color w:val="auto"/>
                <w:szCs w:val="21"/>
                <w:highlight w:val="none"/>
                <w:u w:val="single"/>
              </w:rPr>
              <w:t xml:space="preserve"> </w:t>
            </w:r>
            <w:r>
              <w:rPr>
                <w:rFonts w:ascii="宋体" w:hAnsi="宋体"/>
                <w:color w:val="auto"/>
                <w:szCs w:val="21"/>
                <w:highlight w:val="none"/>
              </w:rPr>
              <w:t>日历天（从提交</w:t>
            </w:r>
            <w:r>
              <w:rPr>
                <w:rFonts w:hint="eastAsia" w:ascii="宋体" w:hAnsi="宋体"/>
                <w:color w:val="auto"/>
                <w:szCs w:val="21"/>
                <w:highlight w:val="none"/>
                <w:lang w:eastAsia="zh-CN"/>
              </w:rPr>
              <w:t>竞选文件</w:t>
            </w:r>
            <w:r>
              <w:rPr>
                <w:rFonts w:ascii="宋体" w:hAnsi="宋体"/>
                <w:color w:val="auto"/>
                <w:szCs w:val="21"/>
                <w:highlight w:val="none"/>
              </w:rPr>
              <w:t>截止日起计算）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3.6</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是否允许递交</w:t>
            </w:r>
          </w:p>
          <w:p>
            <w:pPr>
              <w:snapToGrid w:val="0"/>
              <w:spacing w:after="93" w:afterLines="30" w:line="400" w:lineRule="exact"/>
              <w:jc w:val="center"/>
              <w:rPr>
                <w:rFonts w:ascii="宋体" w:hAnsi="宋体"/>
                <w:color w:val="auto"/>
                <w:kern w:val="0"/>
                <w:szCs w:val="21"/>
                <w:highlight w:val="none"/>
              </w:rPr>
            </w:pPr>
            <w:r>
              <w:rPr>
                <w:rFonts w:ascii="宋体" w:hAnsi="宋体"/>
                <w:color w:val="auto"/>
                <w:kern w:val="0"/>
                <w:szCs w:val="21"/>
                <w:highlight w:val="none"/>
              </w:rPr>
              <w:t>备选投标方案</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3.7.1</w:t>
            </w:r>
          </w:p>
        </w:tc>
        <w:tc>
          <w:tcPr>
            <w:tcW w:w="1644" w:type="dxa"/>
            <w:vAlign w:val="center"/>
          </w:tcPr>
          <w:p>
            <w:pPr>
              <w:snapToGrid w:val="0"/>
              <w:spacing w:after="93" w:afterLines="30"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格式要求</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编制</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时不得对第八章“</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格式”的相应要素作实质性修改，否则由评标委员会作否决投标处理。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3.7.3</w:t>
            </w:r>
          </w:p>
        </w:tc>
        <w:tc>
          <w:tcPr>
            <w:tcW w:w="1644"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签名</w:t>
            </w:r>
            <w:r>
              <w:rPr>
                <w:rFonts w:ascii="宋体" w:hAnsi="宋体"/>
                <w:color w:val="auto"/>
                <w:kern w:val="0"/>
                <w:szCs w:val="21"/>
                <w:highlight w:val="none"/>
              </w:rPr>
              <w:t>盖章要求</w:t>
            </w:r>
          </w:p>
        </w:tc>
        <w:tc>
          <w:tcPr>
            <w:tcW w:w="6490" w:type="dxa"/>
            <w:vAlign w:val="center"/>
          </w:tcPr>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竞选文件</w:t>
            </w:r>
            <w:r>
              <w:rPr>
                <w:rFonts w:hint="eastAsia" w:ascii="宋体" w:hAnsi="宋体"/>
                <w:color w:val="auto"/>
                <w:szCs w:val="21"/>
                <w:highlight w:val="none"/>
              </w:rPr>
              <w:t>应用不褪色的材料书写或打印，并由</w:t>
            </w:r>
            <w:r>
              <w:rPr>
                <w:rFonts w:hint="eastAsia" w:ascii="宋体" w:hAnsi="宋体"/>
                <w:color w:val="auto"/>
                <w:szCs w:val="21"/>
                <w:highlight w:val="none"/>
                <w:lang w:eastAsia="zh-CN"/>
              </w:rPr>
              <w:t>竞选人</w:t>
            </w:r>
            <w:r>
              <w:rPr>
                <w:rFonts w:hint="eastAsia" w:ascii="宋体" w:hAnsi="宋体"/>
                <w:color w:val="auto"/>
                <w:szCs w:val="21"/>
                <w:highlight w:val="none"/>
              </w:rPr>
              <w:t>的法定代表人或其委托代理人在招标文件规定的位置按招标文件要求签名或盖章、盖单位法人章。委托代理人签名的，</w:t>
            </w:r>
            <w:r>
              <w:rPr>
                <w:rFonts w:hint="eastAsia" w:ascii="宋体" w:hAnsi="宋体"/>
                <w:color w:val="auto"/>
                <w:szCs w:val="21"/>
                <w:highlight w:val="none"/>
                <w:lang w:eastAsia="zh-CN"/>
              </w:rPr>
              <w:t>竞选文件</w:t>
            </w:r>
            <w:r>
              <w:rPr>
                <w:rFonts w:hint="eastAsia" w:ascii="宋体" w:hAnsi="宋体"/>
                <w:color w:val="auto"/>
                <w:szCs w:val="21"/>
                <w:highlight w:val="none"/>
              </w:rPr>
              <w:t>应附法定代表人签署的授权委托书。</w:t>
            </w:r>
            <w:r>
              <w:rPr>
                <w:rFonts w:hint="eastAsia" w:ascii="宋体" w:hAnsi="宋体"/>
                <w:color w:val="auto"/>
                <w:szCs w:val="21"/>
                <w:highlight w:val="none"/>
                <w:lang w:eastAsia="zh-CN"/>
              </w:rPr>
              <w:t>竞选文件</w:t>
            </w:r>
            <w:r>
              <w:rPr>
                <w:rFonts w:hint="eastAsia" w:ascii="宋体" w:hAnsi="宋体"/>
                <w:color w:val="auto"/>
                <w:szCs w:val="21"/>
                <w:highlight w:val="none"/>
              </w:rPr>
              <w:t>应尽量避免涂改、行间插字或删除。如果出现上述情况，改动之处应加盖单位法人章或由</w:t>
            </w:r>
            <w:r>
              <w:rPr>
                <w:rFonts w:hint="eastAsia" w:ascii="宋体" w:hAnsi="宋体"/>
                <w:color w:val="auto"/>
                <w:szCs w:val="21"/>
                <w:highlight w:val="none"/>
                <w:lang w:eastAsia="zh-CN"/>
              </w:rPr>
              <w:t>竞选人</w:t>
            </w:r>
            <w:r>
              <w:rPr>
                <w:rFonts w:hint="eastAsia" w:ascii="宋体" w:hAnsi="宋体"/>
                <w:color w:val="auto"/>
                <w:szCs w:val="21"/>
                <w:highlight w:val="none"/>
              </w:rPr>
              <w:t>的法定代表人或其授权的代理人签名确认。</w:t>
            </w:r>
          </w:p>
          <w:p>
            <w:pPr>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未按上述规定执行的，交由评标委员会作否决投标处理。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3.7.4</w:t>
            </w:r>
          </w:p>
        </w:tc>
        <w:tc>
          <w:tcPr>
            <w:tcW w:w="1644" w:type="dxa"/>
            <w:vAlign w:val="center"/>
          </w:tcPr>
          <w:p>
            <w:pPr>
              <w:snapToGrid w:val="0"/>
              <w:spacing w:line="400" w:lineRule="exact"/>
              <w:rPr>
                <w:rFonts w:ascii="宋体" w:hAnsi="宋体"/>
                <w:color w:val="auto"/>
                <w:spacing w:val="-6"/>
                <w:kern w:val="0"/>
                <w:szCs w:val="21"/>
                <w:highlight w:val="none"/>
              </w:rPr>
            </w:pPr>
            <w:r>
              <w:rPr>
                <w:rFonts w:hint="eastAsia" w:ascii="宋体" w:hAnsi="宋体"/>
                <w:color w:val="auto"/>
                <w:spacing w:val="-6"/>
                <w:kern w:val="0"/>
                <w:szCs w:val="21"/>
                <w:highlight w:val="none"/>
                <w:lang w:eastAsia="zh-CN"/>
              </w:rPr>
              <w:t>竞选文件</w:t>
            </w:r>
            <w:r>
              <w:rPr>
                <w:rFonts w:ascii="宋体" w:hAnsi="宋体"/>
                <w:color w:val="auto"/>
                <w:spacing w:val="-6"/>
                <w:kern w:val="0"/>
                <w:szCs w:val="21"/>
                <w:highlight w:val="none"/>
              </w:rPr>
              <w:t>的份数</w:t>
            </w:r>
          </w:p>
        </w:tc>
        <w:tc>
          <w:tcPr>
            <w:tcW w:w="6490" w:type="dxa"/>
            <w:vAlign w:val="center"/>
          </w:tcPr>
          <w:p>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竞选文件</w:t>
            </w:r>
            <w:r>
              <w:rPr>
                <w:rFonts w:ascii="宋体" w:hAnsi="宋体"/>
                <w:color w:val="auto"/>
                <w:kern w:val="0"/>
                <w:szCs w:val="21"/>
                <w:highlight w:val="none"/>
              </w:rPr>
              <w:t>正本</w:t>
            </w:r>
            <w:r>
              <w:rPr>
                <w:rFonts w:hint="eastAsia" w:ascii="宋体" w:hAnsi="宋体"/>
                <w:color w:val="auto"/>
                <w:kern w:val="0"/>
                <w:szCs w:val="21"/>
                <w:highlight w:val="none"/>
              </w:rPr>
              <w:t>1份、副本2份，电子版形式（</w:t>
            </w:r>
            <w:r>
              <w:rPr>
                <w:rFonts w:hint="eastAsia" w:ascii="宋体" w:hAnsi="宋体"/>
                <w:color w:val="auto"/>
                <w:kern w:val="0"/>
                <w:szCs w:val="21"/>
                <w:highlight w:val="none"/>
                <w:lang w:val="en-US" w:eastAsia="zh-CN"/>
              </w:rPr>
              <w:t>U盘</w:t>
            </w:r>
            <w:r>
              <w:rPr>
                <w:rFonts w:hint="eastAsia" w:ascii="宋体" w:hAnsi="宋体"/>
                <w:color w:val="auto"/>
                <w:kern w:val="0"/>
                <w:szCs w:val="21"/>
                <w:highlight w:val="none"/>
              </w:rPr>
              <w:t>）1份，</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技术方案</w:t>
            </w:r>
            <w:r>
              <w:rPr>
                <w:rFonts w:ascii="宋体" w:hAnsi="宋体"/>
                <w:snapToGrid w:val="0"/>
                <w:color w:val="auto"/>
                <w:kern w:val="0"/>
                <w:szCs w:val="21"/>
                <w:highlight w:val="none"/>
              </w:rPr>
              <w:t>》不分正副本</w:t>
            </w:r>
            <w:r>
              <w:rPr>
                <w:rFonts w:hint="eastAsia" w:ascii="宋体" w:hAnsi="宋体"/>
                <w:color w:val="auto"/>
                <w:kern w:val="0"/>
                <w:szCs w:val="21"/>
                <w:highlight w:val="none"/>
              </w:rPr>
              <w:t>。当副本和正本不一致时，以正本为准。否则由评标委员会作否决投标处理。</w:t>
            </w:r>
          </w:p>
          <w:p>
            <w:pPr>
              <w:autoSpaceDE w:val="0"/>
              <w:autoSpaceDN w:val="0"/>
              <w:adjustRightInd w:val="0"/>
              <w:snapToGrid w:val="0"/>
              <w:spacing w:line="400" w:lineRule="exact"/>
              <w:ind w:firstLine="422" w:firstLineChars="200"/>
              <w:rPr>
                <w:rFonts w:ascii="宋体" w:hAnsi="宋体"/>
                <w:b/>
                <w:bCs/>
                <w:color w:val="auto"/>
                <w:kern w:val="0"/>
                <w:szCs w:val="21"/>
                <w:highlight w:val="none"/>
              </w:rPr>
            </w:pPr>
            <w:r>
              <w:rPr>
                <w:rFonts w:hint="eastAsia" w:ascii="宋体" w:hAnsi="宋体"/>
                <w:b/>
                <w:bCs/>
                <w:color w:val="auto"/>
                <w:kern w:val="0"/>
                <w:szCs w:val="21"/>
                <w:highlight w:val="none"/>
              </w:rPr>
              <w:t>电子版形式（</w:t>
            </w:r>
            <w:r>
              <w:rPr>
                <w:rFonts w:hint="eastAsia" w:ascii="宋体" w:hAnsi="宋体"/>
                <w:b/>
                <w:bCs/>
                <w:color w:val="auto"/>
                <w:kern w:val="0"/>
                <w:szCs w:val="21"/>
                <w:highlight w:val="none"/>
                <w:lang w:val="en-US" w:eastAsia="zh-CN"/>
              </w:rPr>
              <w:t>u盘</w:t>
            </w:r>
            <w:r>
              <w:rPr>
                <w:rFonts w:hint="eastAsia" w:ascii="宋体" w:hAnsi="宋体"/>
                <w:b/>
                <w:bCs/>
                <w:color w:val="auto"/>
                <w:kern w:val="0"/>
                <w:szCs w:val="21"/>
                <w:highlight w:val="none"/>
              </w:rPr>
              <w:t>）中的经济部分：应包含经济部分全部excel格式预算表格，工程量清单综合单价分析表无须装订入</w:t>
            </w:r>
            <w:r>
              <w:rPr>
                <w:rFonts w:hint="eastAsia" w:ascii="宋体" w:hAnsi="宋体"/>
                <w:b/>
                <w:bCs/>
                <w:color w:val="auto"/>
                <w:kern w:val="0"/>
                <w:szCs w:val="21"/>
                <w:highlight w:val="none"/>
                <w:lang w:eastAsia="zh-CN"/>
              </w:rPr>
              <w:t>竞选文件</w:t>
            </w:r>
            <w:r>
              <w:rPr>
                <w:rFonts w:hint="eastAsia" w:ascii="宋体" w:hAnsi="宋体"/>
                <w:b/>
                <w:bCs/>
                <w:color w:val="auto"/>
                <w:kern w:val="0"/>
                <w:szCs w:val="21"/>
                <w:highlight w:val="none"/>
              </w:rPr>
              <w:t>纸质版中，但清单项目的综合单价分析表（excel格式）必须刻入光盘中。</w:t>
            </w:r>
          </w:p>
          <w:p>
            <w:pPr>
              <w:autoSpaceDE w:val="0"/>
              <w:autoSpaceDN w:val="0"/>
              <w:adjustRightInd w:val="0"/>
              <w:snapToGrid w:val="0"/>
              <w:spacing w:line="400" w:lineRule="exact"/>
              <w:ind w:firstLine="422" w:firstLineChars="200"/>
              <w:rPr>
                <w:rFonts w:ascii="宋体" w:hAnsi="宋体"/>
                <w:color w:val="auto"/>
                <w:kern w:val="0"/>
                <w:szCs w:val="21"/>
                <w:highlight w:val="none"/>
              </w:rPr>
            </w:pPr>
            <w:r>
              <w:rPr>
                <w:rFonts w:hint="eastAsia" w:ascii="宋体" w:hAnsi="宋体"/>
                <w:b/>
                <w:bCs/>
                <w:color w:val="auto"/>
                <w:kern w:val="0"/>
                <w:szCs w:val="21"/>
                <w:highlight w:val="none"/>
              </w:rPr>
              <w:t>注：在核发中标通知书时，中标人应另外补充一式</w:t>
            </w:r>
            <w:r>
              <w:rPr>
                <w:rFonts w:hint="eastAsia" w:ascii="宋体" w:hAnsi="宋体"/>
                <w:b/>
                <w:bCs/>
                <w:color w:val="auto"/>
                <w:kern w:val="0"/>
                <w:szCs w:val="21"/>
                <w:highlight w:val="none"/>
                <w:u w:val="single"/>
              </w:rPr>
              <w:t xml:space="preserve"> 6 </w:t>
            </w:r>
            <w:r>
              <w:rPr>
                <w:rFonts w:hint="eastAsia" w:ascii="宋体" w:hAnsi="宋体"/>
                <w:b/>
                <w:bCs/>
                <w:color w:val="auto"/>
                <w:kern w:val="0"/>
                <w:szCs w:val="21"/>
                <w:highlight w:val="none"/>
              </w:rPr>
              <w:t>份</w:t>
            </w:r>
            <w:r>
              <w:rPr>
                <w:rFonts w:hint="eastAsia" w:ascii="宋体" w:hAnsi="宋体"/>
                <w:b/>
                <w:bCs/>
                <w:color w:val="auto"/>
                <w:kern w:val="0"/>
                <w:szCs w:val="21"/>
                <w:highlight w:val="none"/>
                <w:lang w:eastAsia="zh-CN"/>
              </w:rPr>
              <w:t>竞选文件</w:t>
            </w:r>
            <w:r>
              <w:rPr>
                <w:rFonts w:hint="eastAsia" w:ascii="宋体" w:hAnsi="宋体"/>
                <w:b/>
                <w:bCs/>
                <w:color w:val="auto"/>
                <w:kern w:val="0"/>
                <w:szCs w:val="21"/>
                <w:highlight w:val="none"/>
              </w:rPr>
              <w:t>（除需增加的工程量清单综合单价分析表外，其他内容必须与投标时提交的</w:t>
            </w:r>
            <w:r>
              <w:rPr>
                <w:rFonts w:hint="eastAsia" w:ascii="宋体" w:hAnsi="宋体"/>
                <w:b/>
                <w:bCs/>
                <w:color w:val="auto"/>
                <w:kern w:val="0"/>
                <w:szCs w:val="21"/>
                <w:highlight w:val="none"/>
                <w:lang w:eastAsia="zh-CN"/>
              </w:rPr>
              <w:t>竞选文件</w:t>
            </w:r>
            <w:r>
              <w:rPr>
                <w:rFonts w:hint="eastAsia" w:ascii="宋体" w:hAnsi="宋体"/>
                <w:b/>
                <w:bCs/>
                <w:color w:val="auto"/>
                <w:kern w:val="0"/>
                <w:szCs w:val="21"/>
                <w:highlight w:val="none"/>
              </w:rPr>
              <w:t>相一致）。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3.7.5</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装订要求</w:t>
            </w:r>
          </w:p>
        </w:tc>
        <w:tc>
          <w:tcPr>
            <w:tcW w:w="6490" w:type="dxa"/>
            <w:vAlign w:val="center"/>
          </w:tcPr>
          <w:p>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1、本工程技术部分采用暗标评审，应将</w:t>
            </w:r>
            <w:r>
              <w:rPr>
                <w:rFonts w:hint="eastAsia" w:ascii="宋体" w:hAnsi="宋体"/>
                <w:color w:val="auto"/>
                <w:szCs w:val="21"/>
                <w:highlight w:val="none"/>
                <w:lang w:eastAsia="zh-CN"/>
              </w:rPr>
              <w:t>竞选函</w:t>
            </w:r>
            <w:r>
              <w:rPr>
                <w:rFonts w:ascii="宋体" w:hAnsi="宋体"/>
                <w:color w:val="auto"/>
                <w:szCs w:val="21"/>
                <w:highlight w:val="none"/>
              </w:rPr>
              <w:t>部分、</w:t>
            </w:r>
            <w:r>
              <w:rPr>
                <w:rFonts w:hint="eastAsia" w:ascii="宋体" w:hAnsi="宋体"/>
                <w:color w:val="auto"/>
                <w:szCs w:val="21"/>
                <w:highlight w:val="none"/>
              </w:rPr>
              <w:t>经济</w:t>
            </w:r>
            <w:r>
              <w:rPr>
                <w:rFonts w:ascii="宋体" w:hAnsi="宋体"/>
                <w:color w:val="auto"/>
                <w:szCs w:val="21"/>
                <w:highlight w:val="none"/>
              </w:rPr>
              <w:t>部分、技术部分、</w:t>
            </w:r>
            <w:r>
              <w:rPr>
                <w:rFonts w:hint="eastAsia" w:ascii="宋体" w:hAnsi="宋体"/>
                <w:color w:val="auto"/>
                <w:kern w:val="0"/>
                <w:szCs w:val="21"/>
                <w:highlight w:val="none"/>
              </w:rPr>
              <w:t>资格审查部分</w:t>
            </w:r>
            <w:r>
              <w:rPr>
                <w:rFonts w:ascii="宋体" w:hAnsi="宋体"/>
                <w:color w:val="auto"/>
                <w:szCs w:val="21"/>
                <w:highlight w:val="none"/>
              </w:rPr>
              <w:t>各自分别装订成册。</w:t>
            </w:r>
          </w:p>
          <w:p>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2、装订</w:t>
            </w:r>
          </w:p>
          <w:p>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1</w:t>
            </w:r>
            <w:r>
              <w:rPr>
                <w:rFonts w:ascii="宋体" w:hAnsi="宋体"/>
                <w:color w:val="auto"/>
                <w:szCs w:val="21"/>
                <w:highlight w:val="none"/>
              </w:rPr>
              <w:t>）</w:t>
            </w:r>
            <w:r>
              <w:rPr>
                <w:rFonts w:hint="eastAsia" w:ascii="宋体" w:hAnsi="宋体"/>
                <w:color w:val="auto"/>
                <w:szCs w:val="21"/>
                <w:highlight w:val="none"/>
                <w:lang w:eastAsia="zh-CN"/>
              </w:rPr>
              <w:t>竞选函</w:t>
            </w:r>
            <w:r>
              <w:rPr>
                <w:rFonts w:ascii="宋体" w:hAnsi="宋体"/>
                <w:color w:val="auto"/>
                <w:szCs w:val="21"/>
                <w:highlight w:val="none"/>
              </w:rPr>
              <w:t>部分的装订要求</w:t>
            </w:r>
          </w:p>
          <w:p>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color w:val="auto"/>
                <w:szCs w:val="21"/>
                <w:highlight w:val="none"/>
              </w:rPr>
              <w:t>应编制目录</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但不得将目录编制作为评审因素</w:t>
            </w:r>
            <w:r>
              <w:rPr>
                <w:rFonts w:hint="eastAsia" w:ascii="宋体" w:hAnsi="宋体"/>
                <w:color w:val="auto"/>
                <w:szCs w:val="21"/>
                <w:highlight w:val="none"/>
                <w:lang w:eastAsia="zh-CN"/>
              </w:rPr>
              <w:t>）</w:t>
            </w:r>
            <w:r>
              <w:rPr>
                <w:rFonts w:ascii="宋体" w:hAnsi="宋体"/>
                <w:color w:val="auto"/>
                <w:szCs w:val="21"/>
                <w:highlight w:val="none"/>
              </w:rPr>
              <w:t>，标注页码。</w:t>
            </w:r>
          </w:p>
          <w:p>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rPr>
              <w:t>经济</w:t>
            </w:r>
            <w:r>
              <w:rPr>
                <w:rFonts w:ascii="宋体" w:hAnsi="宋体"/>
                <w:color w:val="auto"/>
                <w:szCs w:val="21"/>
                <w:highlight w:val="none"/>
              </w:rPr>
              <w:t>部分的装订要求</w:t>
            </w:r>
          </w:p>
          <w:p>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color w:val="auto"/>
                <w:szCs w:val="21"/>
                <w:highlight w:val="none"/>
              </w:rPr>
              <w:t>应编制目录</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但不得将目录编制作为评审因素</w:t>
            </w:r>
            <w:r>
              <w:rPr>
                <w:rFonts w:hint="eastAsia" w:ascii="宋体" w:hAnsi="宋体"/>
                <w:color w:val="auto"/>
                <w:szCs w:val="21"/>
                <w:highlight w:val="none"/>
                <w:lang w:eastAsia="zh-CN"/>
              </w:rPr>
              <w:t>）</w:t>
            </w:r>
            <w:r>
              <w:rPr>
                <w:rFonts w:hint="eastAsia" w:ascii="宋体" w:hAnsi="宋体"/>
                <w:color w:val="auto"/>
                <w:szCs w:val="21"/>
                <w:highlight w:val="none"/>
              </w:rPr>
              <w:t>，标注页码。</w:t>
            </w:r>
          </w:p>
          <w:p>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）技术部分</w:t>
            </w:r>
            <w:r>
              <w:rPr>
                <w:rFonts w:hint="eastAsia" w:ascii="宋体" w:hAnsi="宋体"/>
                <w:color w:val="auto"/>
                <w:szCs w:val="21"/>
                <w:highlight w:val="none"/>
              </w:rPr>
              <w:t>（如有）</w:t>
            </w:r>
            <w:r>
              <w:rPr>
                <w:rFonts w:ascii="宋体" w:hAnsi="宋体"/>
                <w:color w:val="auto"/>
                <w:szCs w:val="21"/>
                <w:highlight w:val="none"/>
              </w:rPr>
              <w:t>的装订要求</w:t>
            </w:r>
          </w:p>
          <w:p>
            <w:pPr>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技术方案</w:t>
            </w:r>
            <w:r>
              <w:rPr>
                <w:rFonts w:ascii="宋体" w:hAnsi="宋体"/>
                <w:color w:val="auto"/>
                <w:kern w:val="0"/>
                <w:szCs w:val="21"/>
                <w:highlight w:val="none"/>
              </w:rPr>
              <w:t>》面页使用A4厚型白纸面页，用初号仿宋字体居中标明 “</w:t>
            </w:r>
            <w:r>
              <w:rPr>
                <w:rFonts w:hint="eastAsia" w:ascii="宋体" w:hAnsi="宋体"/>
                <w:color w:val="auto"/>
                <w:kern w:val="0"/>
                <w:szCs w:val="21"/>
                <w:highlight w:val="none"/>
              </w:rPr>
              <w:t>技术方案</w:t>
            </w:r>
            <w:r>
              <w:rPr>
                <w:rFonts w:ascii="宋体" w:hAnsi="宋体"/>
                <w:color w:val="auto"/>
                <w:kern w:val="0"/>
                <w:szCs w:val="21"/>
                <w:highlight w:val="none"/>
              </w:rPr>
              <w:t>”；在页面右下角加盖投标单位章后沿密封线折叠成腰约10cm左右的等腰直角三角形密封；面页除了“</w:t>
            </w:r>
            <w:r>
              <w:rPr>
                <w:rFonts w:hint="eastAsia" w:ascii="宋体" w:hAnsi="宋体"/>
                <w:color w:val="auto"/>
                <w:kern w:val="0"/>
                <w:szCs w:val="21"/>
                <w:highlight w:val="none"/>
              </w:rPr>
              <w:t>技术方案</w:t>
            </w:r>
            <w:r>
              <w:rPr>
                <w:rFonts w:ascii="宋体" w:hAnsi="宋体"/>
                <w:color w:val="auto"/>
                <w:kern w:val="0"/>
                <w:szCs w:val="21"/>
                <w:highlight w:val="none"/>
              </w:rPr>
              <w:t>”</w:t>
            </w:r>
            <w:r>
              <w:rPr>
                <w:rFonts w:hint="eastAsia" w:ascii="宋体" w:hAnsi="宋体"/>
                <w:color w:val="auto"/>
                <w:kern w:val="0"/>
                <w:szCs w:val="21"/>
                <w:highlight w:val="none"/>
              </w:rPr>
              <w:t>四</w:t>
            </w:r>
            <w:r>
              <w:rPr>
                <w:rFonts w:ascii="宋体" w:hAnsi="宋体"/>
                <w:color w:val="auto"/>
                <w:kern w:val="0"/>
                <w:szCs w:val="21"/>
                <w:highlight w:val="none"/>
              </w:rPr>
              <w:t>字和右下角密封处印章外不得有其他印记；密封后的面页及整个《</w:t>
            </w:r>
            <w:r>
              <w:rPr>
                <w:rFonts w:hint="eastAsia" w:ascii="宋体" w:hAnsi="宋体"/>
                <w:color w:val="auto"/>
                <w:kern w:val="0"/>
                <w:szCs w:val="21"/>
                <w:highlight w:val="none"/>
              </w:rPr>
              <w:t>技术方案</w:t>
            </w:r>
            <w:r>
              <w:rPr>
                <w:rFonts w:ascii="宋体" w:hAnsi="宋体"/>
                <w:color w:val="auto"/>
                <w:kern w:val="0"/>
                <w:szCs w:val="21"/>
                <w:highlight w:val="none"/>
              </w:rPr>
              <w:t>》均不得</w:t>
            </w:r>
            <w:r>
              <w:rPr>
                <w:rFonts w:ascii="宋体" w:hAnsi="宋体"/>
                <w:color w:val="auto"/>
                <w:szCs w:val="21"/>
                <w:highlight w:val="none"/>
              </w:rPr>
              <w:t>出现白页、残页和倒页，不得</w:t>
            </w:r>
            <w:r>
              <w:rPr>
                <w:rFonts w:ascii="宋体" w:hAnsi="宋体"/>
                <w:color w:val="auto"/>
                <w:kern w:val="0"/>
                <w:szCs w:val="21"/>
                <w:highlight w:val="none"/>
              </w:rPr>
              <w:t>显示与</w:t>
            </w:r>
            <w:r>
              <w:rPr>
                <w:rFonts w:hint="eastAsia" w:ascii="宋体" w:hAnsi="宋体"/>
                <w:color w:val="auto"/>
                <w:kern w:val="0"/>
                <w:szCs w:val="21"/>
                <w:highlight w:val="none"/>
                <w:lang w:eastAsia="zh-CN"/>
              </w:rPr>
              <w:t>竞选人</w:t>
            </w:r>
            <w:r>
              <w:rPr>
                <w:rFonts w:ascii="宋体" w:hAnsi="宋体"/>
                <w:color w:val="auto"/>
                <w:kern w:val="0"/>
                <w:szCs w:val="21"/>
                <w:highlight w:val="none"/>
              </w:rPr>
              <w:t>企业有关的任何信息</w:t>
            </w:r>
            <w:r>
              <w:rPr>
                <w:rFonts w:hint="eastAsia" w:ascii="宋体" w:hAnsi="宋体"/>
                <w:color w:val="auto"/>
                <w:kern w:val="0"/>
                <w:szCs w:val="21"/>
                <w:highlight w:val="none"/>
              </w:rPr>
              <w:t>及与本工程无关内容</w:t>
            </w:r>
            <w:r>
              <w:rPr>
                <w:rFonts w:ascii="宋体" w:hAnsi="宋体"/>
                <w:color w:val="auto"/>
                <w:kern w:val="0"/>
                <w:szCs w:val="21"/>
                <w:highlight w:val="none"/>
              </w:rPr>
              <w:t>（面页由</w:t>
            </w:r>
            <w:r>
              <w:rPr>
                <w:rFonts w:hint="eastAsia" w:ascii="宋体" w:hAnsi="宋体"/>
                <w:color w:val="auto"/>
                <w:kern w:val="0"/>
                <w:szCs w:val="21"/>
                <w:highlight w:val="none"/>
                <w:lang w:eastAsia="zh-CN"/>
              </w:rPr>
              <w:t>竞选人</w:t>
            </w:r>
            <w:r>
              <w:rPr>
                <w:rFonts w:ascii="宋体" w:hAnsi="宋体"/>
                <w:color w:val="auto"/>
                <w:kern w:val="0"/>
                <w:szCs w:val="21"/>
                <w:highlight w:val="none"/>
              </w:rPr>
              <w:t>按招标文件中提供的电子文档格式用A4厚型白纸打印，加盖</w:t>
            </w:r>
            <w:r>
              <w:rPr>
                <w:rFonts w:hint="eastAsia" w:ascii="宋体" w:hAnsi="宋体"/>
                <w:color w:val="auto"/>
                <w:kern w:val="0"/>
                <w:szCs w:val="21"/>
                <w:highlight w:val="none"/>
              </w:rPr>
              <w:t>单位法人章</w:t>
            </w:r>
            <w:r>
              <w:rPr>
                <w:rFonts w:ascii="宋体" w:hAnsi="宋体"/>
                <w:color w:val="auto"/>
                <w:kern w:val="0"/>
                <w:szCs w:val="21"/>
                <w:highlight w:val="none"/>
              </w:rPr>
              <w:t>后其面页的反面以不得显示出</w:t>
            </w:r>
            <w:r>
              <w:rPr>
                <w:rFonts w:hint="eastAsia" w:ascii="宋体" w:hAnsi="宋体"/>
                <w:color w:val="auto"/>
                <w:kern w:val="0"/>
                <w:szCs w:val="21"/>
                <w:highlight w:val="none"/>
              </w:rPr>
              <w:t>单位</w:t>
            </w:r>
            <w:r>
              <w:rPr>
                <w:rFonts w:ascii="宋体" w:hAnsi="宋体"/>
                <w:color w:val="auto"/>
                <w:kern w:val="0"/>
                <w:szCs w:val="21"/>
                <w:highlight w:val="none"/>
              </w:rPr>
              <w:t>法人章单位名称为准）；</w:t>
            </w:r>
            <w:r>
              <w:rPr>
                <w:rFonts w:hint="eastAsia" w:ascii="宋体" w:hAnsi="宋体"/>
                <w:color w:val="auto"/>
                <w:kern w:val="0"/>
                <w:szCs w:val="21"/>
                <w:highlight w:val="none"/>
              </w:rPr>
              <w:t>《技术方案》文本部分的纸张采用A4白纸，文本部分的文字采用四号仿宋字体；图表部分的纸张采用A4或A3白纸，图表内的字体、字号大小不限；文字、图表不得使用彩色和不得编制页码。</w:t>
            </w:r>
            <w:r>
              <w:rPr>
                <w:rFonts w:ascii="宋体" w:hAnsi="宋体"/>
                <w:color w:val="auto"/>
                <w:kern w:val="0"/>
                <w:szCs w:val="21"/>
                <w:highlight w:val="none"/>
              </w:rPr>
              <w:t>违反上述任何一项，</w:t>
            </w:r>
            <w:r>
              <w:rPr>
                <w:rFonts w:hint="eastAsia" w:ascii="宋体" w:hAnsi="宋体"/>
                <w:color w:val="auto"/>
                <w:kern w:val="0"/>
                <w:szCs w:val="21"/>
                <w:highlight w:val="none"/>
              </w:rPr>
              <w:t>采用经评审的最低投标价法的</w:t>
            </w:r>
            <w:r>
              <w:rPr>
                <w:rFonts w:ascii="宋体" w:hAnsi="宋体"/>
                <w:color w:val="auto"/>
                <w:kern w:val="0"/>
                <w:szCs w:val="21"/>
                <w:highlight w:val="none"/>
              </w:rPr>
              <w:t>其</w:t>
            </w:r>
            <w:r>
              <w:rPr>
                <w:rFonts w:hint="eastAsia" w:ascii="宋体" w:hAnsi="宋体"/>
                <w:color w:val="auto"/>
                <w:kern w:val="0"/>
                <w:szCs w:val="21"/>
                <w:highlight w:val="none"/>
                <w:lang w:eastAsia="zh-CN"/>
              </w:rPr>
              <w:t>竞选文件</w:t>
            </w:r>
            <w:r>
              <w:rPr>
                <w:rFonts w:ascii="宋体" w:hAnsi="宋体"/>
                <w:color w:val="auto"/>
                <w:kern w:val="0"/>
                <w:szCs w:val="21"/>
                <w:highlight w:val="none"/>
              </w:rPr>
              <w:t>《</w:t>
            </w:r>
            <w:r>
              <w:rPr>
                <w:rFonts w:hint="eastAsia" w:ascii="宋体" w:hAnsi="宋体"/>
                <w:color w:val="auto"/>
                <w:kern w:val="0"/>
                <w:szCs w:val="21"/>
                <w:highlight w:val="none"/>
              </w:rPr>
              <w:t>技术方案</w:t>
            </w:r>
            <w:r>
              <w:rPr>
                <w:rFonts w:ascii="宋体" w:hAnsi="宋体"/>
                <w:color w:val="auto"/>
                <w:kern w:val="0"/>
                <w:szCs w:val="21"/>
                <w:highlight w:val="none"/>
              </w:rPr>
              <w:t>》</w:t>
            </w:r>
            <w:r>
              <w:rPr>
                <w:rFonts w:hint="eastAsia" w:ascii="宋体" w:hAnsi="宋体"/>
                <w:color w:val="auto"/>
                <w:kern w:val="0"/>
                <w:szCs w:val="21"/>
                <w:highlight w:val="none"/>
              </w:rPr>
              <w:t>符合性</w:t>
            </w:r>
            <w:r>
              <w:rPr>
                <w:rFonts w:ascii="宋体" w:hAnsi="宋体"/>
                <w:color w:val="auto"/>
                <w:kern w:val="0"/>
                <w:szCs w:val="21"/>
                <w:highlight w:val="none"/>
              </w:rPr>
              <w:t>评审不合格</w:t>
            </w:r>
            <w:r>
              <w:rPr>
                <w:rFonts w:hint="eastAsia" w:ascii="宋体" w:hAnsi="宋体"/>
                <w:color w:val="auto"/>
                <w:kern w:val="0"/>
                <w:szCs w:val="21"/>
                <w:highlight w:val="none"/>
              </w:rPr>
              <w:t>；（技术方案原则上不超过</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200</w:t>
            </w:r>
            <w:r>
              <w:rPr>
                <w:rFonts w:hint="eastAsia" w:ascii="宋体" w:hAnsi="宋体"/>
                <w:color w:val="auto"/>
                <w:kern w:val="0"/>
                <w:szCs w:val="21"/>
                <w:highlight w:val="none"/>
              </w:rPr>
              <w:t>页</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不包含目录页，超过200页评标委员会可作为否决投标处理</w:t>
            </w:r>
            <w:r>
              <w:rPr>
                <w:rFonts w:hint="eastAsia" w:ascii="宋体" w:hAnsi="宋体"/>
                <w:color w:val="auto"/>
                <w:kern w:val="0"/>
                <w:szCs w:val="21"/>
                <w:highlight w:val="none"/>
              </w:rPr>
              <w:t>）</w:t>
            </w:r>
          </w:p>
          <w:p>
            <w:pPr>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kern w:val="0"/>
                <w:szCs w:val="21"/>
                <w:highlight w:val="none"/>
              </w:rPr>
              <w:t>资格审查部分</w:t>
            </w:r>
            <w:r>
              <w:rPr>
                <w:rFonts w:ascii="宋体" w:hAnsi="宋体"/>
                <w:color w:val="auto"/>
                <w:kern w:val="0"/>
                <w:szCs w:val="21"/>
                <w:highlight w:val="none"/>
              </w:rPr>
              <w:t>的装订要求</w:t>
            </w:r>
          </w:p>
          <w:p>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color w:val="auto"/>
                <w:szCs w:val="21"/>
                <w:highlight w:val="none"/>
              </w:rPr>
              <w:t>应编制目录</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但不得将目录编制作为评审因素</w:t>
            </w:r>
            <w:r>
              <w:rPr>
                <w:rFonts w:hint="eastAsia" w:ascii="宋体" w:hAnsi="宋体"/>
                <w:color w:val="auto"/>
                <w:szCs w:val="21"/>
                <w:highlight w:val="none"/>
                <w:lang w:eastAsia="zh-CN"/>
              </w:rPr>
              <w:t>）</w:t>
            </w:r>
            <w:r>
              <w:rPr>
                <w:rFonts w:ascii="宋体" w:hAnsi="宋体"/>
                <w:color w:val="auto"/>
                <w:szCs w:val="21"/>
                <w:highlight w:val="none"/>
              </w:rPr>
              <w:t>，标注页码</w:t>
            </w:r>
            <w:r>
              <w:rPr>
                <w:rFonts w:hint="eastAsia" w:ascii="宋体" w:hAnsi="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4.1.1</w:t>
            </w:r>
          </w:p>
        </w:tc>
        <w:tc>
          <w:tcPr>
            <w:tcW w:w="1644" w:type="dxa"/>
            <w:vAlign w:val="center"/>
          </w:tcPr>
          <w:p>
            <w:pPr>
              <w:snapToGrid w:val="0"/>
              <w:spacing w:line="400" w:lineRule="exact"/>
              <w:jc w:val="center"/>
              <w:rPr>
                <w:rFonts w:ascii="宋体" w:hAnsi="宋体"/>
                <w:color w:val="auto"/>
                <w:spacing w:val="-6"/>
                <w:kern w:val="0"/>
                <w:szCs w:val="21"/>
                <w:highlight w:val="none"/>
              </w:rPr>
            </w:pPr>
            <w:r>
              <w:rPr>
                <w:rFonts w:hint="eastAsia" w:ascii="宋体" w:hAnsi="宋体"/>
                <w:color w:val="auto"/>
                <w:spacing w:val="-6"/>
                <w:kern w:val="0"/>
                <w:szCs w:val="21"/>
                <w:highlight w:val="none"/>
                <w:lang w:eastAsia="zh-CN"/>
              </w:rPr>
              <w:t>竞选文件</w:t>
            </w:r>
            <w:r>
              <w:rPr>
                <w:rFonts w:ascii="宋体" w:hAnsi="宋体"/>
                <w:color w:val="auto"/>
                <w:spacing w:val="-6"/>
                <w:kern w:val="0"/>
                <w:szCs w:val="21"/>
                <w:highlight w:val="none"/>
              </w:rPr>
              <w:t>的密封</w:t>
            </w:r>
          </w:p>
        </w:tc>
        <w:tc>
          <w:tcPr>
            <w:tcW w:w="6490" w:type="dxa"/>
            <w:vAlign w:val="center"/>
          </w:tcPr>
          <w:p>
            <w:pPr>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 xml:space="preserve"> </w:t>
            </w:r>
            <w:r>
              <w:rPr>
                <w:rFonts w:hint="eastAsia" w:ascii="宋体" w:hAnsi="宋体"/>
                <w:color w:val="auto"/>
                <w:szCs w:val="21"/>
                <w:highlight w:val="none"/>
                <w:lang w:eastAsia="zh-CN"/>
              </w:rPr>
              <w:t>竞选文件</w:t>
            </w:r>
            <w:r>
              <w:rPr>
                <w:rFonts w:ascii="宋体" w:hAnsi="宋体"/>
                <w:color w:val="auto"/>
                <w:szCs w:val="21"/>
                <w:highlight w:val="none"/>
              </w:rPr>
              <w:t>袋使用“</w:t>
            </w:r>
            <w:r>
              <w:rPr>
                <w:rFonts w:hint="eastAsia" w:ascii="宋体" w:hAnsi="宋体"/>
                <w:color w:val="auto"/>
                <w:szCs w:val="21"/>
                <w:highlight w:val="none"/>
                <w:lang w:eastAsia="zh-CN"/>
              </w:rPr>
              <w:t>竞选函</w:t>
            </w:r>
            <w:r>
              <w:rPr>
                <w:rFonts w:ascii="宋体" w:hAnsi="宋体"/>
                <w:color w:val="auto"/>
                <w:szCs w:val="21"/>
                <w:highlight w:val="none"/>
              </w:rPr>
              <w:t>部分”袋、“</w:t>
            </w:r>
            <w:r>
              <w:rPr>
                <w:rFonts w:hint="eastAsia" w:ascii="宋体" w:hAnsi="宋体"/>
                <w:color w:val="auto"/>
                <w:szCs w:val="21"/>
                <w:highlight w:val="none"/>
              </w:rPr>
              <w:t>经济</w:t>
            </w:r>
            <w:r>
              <w:rPr>
                <w:rFonts w:ascii="宋体" w:hAnsi="宋体"/>
                <w:color w:val="auto"/>
                <w:szCs w:val="21"/>
                <w:highlight w:val="none"/>
              </w:rPr>
              <w:t>部分”袋、“技术部分”袋</w:t>
            </w:r>
            <w:r>
              <w:rPr>
                <w:rFonts w:hint="eastAsia" w:ascii="宋体" w:hAnsi="宋体"/>
                <w:color w:val="auto"/>
                <w:szCs w:val="21"/>
                <w:highlight w:val="none"/>
              </w:rPr>
              <w:t>（如有）</w:t>
            </w:r>
            <w:r>
              <w:rPr>
                <w:rFonts w:ascii="宋体" w:hAnsi="宋体"/>
                <w:color w:val="auto"/>
                <w:szCs w:val="21"/>
                <w:highlight w:val="none"/>
              </w:rPr>
              <w:t>、“</w:t>
            </w:r>
            <w:r>
              <w:rPr>
                <w:rFonts w:hint="eastAsia" w:ascii="宋体" w:hAnsi="宋体"/>
                <w:color w:val="auto"/>
                <w:szCs w:val="21"/>
                <w:highlight w:val="none"/>
              </w:rPr>
              <w:t>资格审查部分</w:t>
            </w:r>
            <w:r>
              <w:rPr>
                <w:rFonts w:ascii="宋体" w:hAnsi="宋体"/>
                <w:color w:val="auto"/>
                <w:szCs w:val="21"/>
                <w:highlight w:val="none"/>
              </w:rPr>
              <w:t>”袋以及“</w:t>
            </w:r>
            <w:r>
              <w:rPr>
                <w:rFonts w:hint="eastAsia" w:ascii="宋体" w:hAnsi="宋体"/>
                <w:color w:val="auto"/>
                <w:szCs w:val="21"/>
                <w:highlight w:val="none"/>
                <w:lang w:eastAsia="zh-CN"/>
              </w:rPr>
              <w:t>竞选文件</w:t>
            </w:r>
            <w:r>
              <w:rPr>
                <w:rFonts w:ascii="宋体" w:hAnsi="宋体"/>
                <w:color w:val="auto"/>
                <w:szCs w:val="21"/>
                <w:highlight w:val="none"/>
              </w:rPr>
              <w:t>”大袋。</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rPr>
              <w:t xml:space="preserve"> </w:t>
            </w:r>
            <w:r>
              <w:rPr>
                <w:rFonts w:hint="eastAsia" w:ascii="宋体" w:hAnsi="宋体"/>
                <w:color w:val="auto"/>
                <w:szCs w:val="21"/>
                <w:highlight w:val="none"/>
                <w:lang w:eastAsia="zh-CN"/>
              </w:rPr>
              <w:t>竞选函</w:t>
            </w:r>
            <w:r>
              <w:rPr>
                <w:rFonts w:ascii="宋体" w:hAnsi="宋体"/>
                <w:color w:val="auto"/>
                <w:szCs w:val="21"/>
                <w:highlight w:val="none"/>
              </w:rPr>
              <w:t>部分</w:t>
            </w:r>
            <w:r>
              <w:rPr>
                <w:rFonts w:hint="eastAsia" w:ascii="宋体" w:hAnsi="宋体"/>
                <w:color w:val="auto"/>
                <w:szCs w:val="21"/>
                <w:highlight w:val="none"/>
              </w:rPr>
              <w:t>和电子版形式</w:t>
            </w:r>
            <w:r>
              <w:rPr>
                <w:rFonts w:hint="eastAsia" w:ascii="宋体" w:hAnsi="宋体"/>
                <w:color w:val="auto"/>
                <w:kern w:val="0"/>
                <w:szCs w:val="21"/>
                <w:highlight w:val="none"/>
              </w:rPr>
              <w:t>（光盘</w:t>
            </w:r>
            <w:r>
              <w:rPr>
                <w:rFonts w:hint="eastAsia" w:ascii="宋体" w:hAnsi="宋体"/>
                <w:color w:val="auto"/>
                <w:kern w:val="0"/>
                <w:szCs w:val="21"/>
                <w:highlight w:val="none"/>
                <w:lang w:val="en-US" w:eastAsia="zh-CN"/>
              </w:rPr>
              <w:t>或U盘</w:t>
            </w:r>
            <w:r>
              <w:rPr>
                <w:rFonts w:hint="eastAsia" w:ascii="宋体" w:hAnsi="宋体"/>
                <w:color w:val="auto"/>
                <w:szCs w:val="21"/>
                <w:highlight w:val="none"/>
              </w:rPr>
              <w:t>）</w:t>
            </w:r>
            <w:r>
              <w:rPr>
                <w:rFonts w:ascii="宋体" w:hAnsi="宋体"/>
                <w:color w:val="auto"/>
                <w:szCs w:val="21"/>
                <w:highlight w:val="none"/>
              </w:rPr>
              <w:t>装入“</w:t>
            </w:r>
            <w:r>
              <w:rPr>
                <w:rFonts w:hint="eastAsia" w:ascii="宋体" w:hAnsi="宋体"/>
                <w:color w:val="auto"/>
                <w:szCs w:val="21"/>
                <w:highlight w:val="none"/>
                <w:lang w:eastAsia="zh-CN"/>
              </w:rPr>
              <w:t>竞选函</w:t>
            </w:r>
            <w:r>
              <w:rPr>
                <w:rFonts w:ascii="宋体" w:hAnsi="宋体"/>
                <w:color w:val="auto"/>
                <w:szCs w:val="21"/>
                <w:highlight w:val="none"/>
              </w:rPr>
              <w:t>部分”袋中，密封并在袋上加盖</w:t>
            </w:r>
            <w:r>
              <w:rPr>
                <w:rFonts w:hint="eastAsia" w:ascii="宋体" w:hAnsi="宋体"/>
                <w:color w:val="auto"/>
                <w:szCs w:val="21"/>
                <w:highlight w:val="none"/>
                <w:lang w:eastAsia="zh-CN"/>
              </w:rPr>
              <w:t>竞选人</w:t>
            </w:r>
            <w:r>
              <w:rPr>
                <w:rFonts w:ascii="宋体" w:hAnsi="宋体"/>
                <w:color w:val="auto"/>
                <w:szCs w:val="21"/>
                <w:highlight w:val="none"/>
              </w:rPr>
              <w:t>单位</w:t>
            </w:r>
            <w:r>
              <w:rPr>
                <w:rFonts w:hint="eastAsia" w:ascii="宋体" w:hAnsi="宋体"/>
                <w:color w:val="auto"/>
                <w:szCs w:val="21"/>
                <w:highlight w:val="none"/>
              </w:rPr>
              <w:t>法人</w:t>
            </w:r>
            <w:r>
              <w:rPr>
                <w:rFonts w:ascii="宋体" w:hAnsi="宋体"/>
                <w:color w:val="auto"/>
                <w:szCs w:val="21"/>
                <w:highlight w:val="none"/>
              </w:rPr>
              <w:t>章。</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 xml:space="preserve"> </w:t>
            </w:r>
            <w:r>
              <w:rPr>
                <w:rFonts w:hint="eastAsia" w:ascii="宋体" w:hAnsi="宋体"/>
                <w:color w:val="auto"/>
                <w:spacing w:val="4"/>
                <w:szCs w:val="21"/>
                <w:highlight w:val="none"/>
              </w:rPr>
              <w:t>经济</w:t>
            </w:r>
            <w:r>
              <w:rPr>
                <w:rFonts w:ascii="宋体" w:hAnsi="宋体"/>
                <w:color w:val="auto"/>
                <w:spacing w:val="4"/>
                <w:szCs w:val="21"/>
                <w:highlight w:val="none"/>
              </w:rPr>
              <w:t>部分装入“</w:t>
            </w:r>
            <w:r>
              <w:rPr>
                <w:rFonts w:hint="eastAsia" w:ascii="宋体" w:hAnsi="宋体"/>
                <w:color w:val="auto"/>
                <w:spacing w:val="4"/>
                <w:szCs w:val="21"/>
                <w:highlight w:val="none"/>
              </w:rPr>
              <w:t>经济</w:t>
            </w:r>
            <w:r>
              <w:rPr>
                <w:rFonts w:ascii="宋体" w:hAnsi="宋体"/>
                <w:color w:val="auto"/>
                <w:spacing w:val="4"/>
                <w:szCs w:val="21"/>
                <w:highlight w:val="none"/>
              </w:rPr>
              <w:t>部分”袋中，密封并在袋上加盖</w:t>
            </w:r>
            <w:r>
              <w:rPr>
                <w:rFonts w:hint="eastAsia" w:ascii="宋体" w:hAnsi="宋体"/>
                <w:color w:val="auto"/>
                <w:spacing w:val="4"/>
                <w:szCs w:val="21"/>
                <w:highlight w:val="none"/>
                <w:lang w:eastAsia="zh-CN"/>
              </w:rPr>
              <w:t>竞选人</w:t>
            </w:r>
            <w:r>
              <w:rPr>
                <w:rFonts w:ascii="宋体" w:hAnsi="宋体"/>
                <w:color w:val="auto"/>
                <w:spacing w:val="4"/>
                <w:szCs w:val="21"/>
                <w:highlight w:val="none"/>
              </w:rPr>
              <w:t>单</w:t>
            </w:r>
            <w:r>
              <w:rPr>
                <w:rFonts w:ascii="宋体" w:hAnsi="宋体"/>
                <w:color w:val="auto"/>
                <w:szCs w:val="21"/>
                <w:highlight w:val="none"/>
              </w:rPr>
              <w:t>位</w:t>
            </w:r>
            <w:r>
              <w:rPr>
                <w:rFonts w:hint="eastAsia" w:ascii="宋体" w:hAnsi="宋体"/>
                <w:color w:val="auto"/>
                <w:szCs w:val="21"/>
                <w:highlight w:val="none"/>
              </w:rPr>
              <w:t>法人</w:t>
            </w:r>
            <w:r>
              <w:rPr>
                <w:rFonts w:ascii="宋体" w:hAnsi="宋体"/>
                <w:color w:val="auto"/>
                <w:szCs w:val="21"/>
                <w:highlight w:val="none"/>
              </w:rPr>
              <w:t>章。</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ascii="宋体" w:hAnsi="宋体"/>
                <w:color w:val="auto"/>
                <w:szCs w:val="21"/>
                <w:highlight w:val="none"/>
              </w:rPr>
              <w:t>.本次招标技术部分采用暗标评审，技术部分装入“技术部分”袋中，密封不加盖任何印章。</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 资格审查部分装入“资格审查部分”袋中，密封并在袋上加盖</w:t>
            </w:r>
            <w:r>
              <w:rPr>
                <w:rFonts w:hint="eastAsia" w:ascii="宋体" w:hAnsi="宋体"/>
                <w:color w:val="auto"/>
                <w:szCs w:val="21"/>
                <w:highlight w:val="none"/>
                <w:lang w:eastAsia="zh-CN"/>
              </w:rPr>
              <w:t>竞选人</w:t>
            </w:r>
            <w:r>
              <w:rPr>
                <w:rFonts w:hint="eastAsia" w:ascii="宋体" w:hAnsi="宋体"/>
                <w:color w:val="auto"/>
                <w:szCs w:val="21"/>
                <w:highlight w:val="none"/>
              </w:rPr>
              <w:t>单位法人章。</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6</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lang w:eastAsia="zh-CN"/>
              </w:rPr>
              <w:t>竞选函</w:t>
            </w:r>
            <w:r>
              <w:rPr>
                <w:rFonts w:ascii="宋体" w:hAnsi="宋体"/>
                <w:color w:val="auto"/>
                <w:szCs w:val="21"/>
                <w:highlight w:val="none"/>
              </w:rPr>
              <w:t>部分”、“</w:t>
            </w:r>
            <w:r>
              <w:rPr>
                <w:rFonts w:hint="eastAsia" w:ascii="宋体" w:hAnsi="宋体"/>
                <w:color w:val="auto"/>
                <w:szCs w:val="21"/>
                <w:highlight w:val="none"/>
              </w:rPr>
              <w:t>经济</w:t>
            </w:r>
            <w:r>
              <w:rPr>
                <w:rFonts w:ascii="宋体" w:hAnsi="宋体"/>
                <w:color w:val="auto"/>
                <w:szCs w:val="21"/>
                <w:highlight w:val="none"/>
              </w:rPr>
              <w:t>部分”、“技术部分”</w:t>
            </w:r>
            <w:r>
              <w:rPr>
                <w:rFonts w:hint="eastAsia" w:ascii="宋体" w:hAnsi="宋体"/>
                <w:color w:val="auto"/>
                <w:szCs w:val="21"/>
                <w:highlight w:val="none"/>
              </w:rPr>
              <w:t>（如有）、“资格审查部分”</w:t>
            </w:r>
            <w:r>
              <w:rPr>
                <w:rFonts w:ascii="宋体" w:hAnsi="宋体"/>
                <w:color w:val="auto"/>
                <w:szCs w:val="21"/>
                <w:highlight w:val="none"/>
              </w:rPr>
              <w:t>等小袋装入“</w:t>
            </w:r>
            <w:r>
              <w:rPr>
                <w:rFonts w:hint="eastAsia" w:ascii="宋体" w:hAnsi="宋体"/>
                <w:color w:val="auto"/>
                <w:szCs w:val="21"/>
                <w:highlight w:val="none"/>
                <w:lang w:eastAsia="zh-CN"/>
              </w:rPr>
              <w:t>竞选文件</w:t>
            </w:r>
            <w:r>
              <w:rPr>
                <w:rFonts w:ascii="宋体" w:hAnsi="宋体"/>
                <w:color w:val="auto"/>
                <w:szCs w:val="21"/>
                <w:highlight w:val="none"/>
              </w:rPr>
              <w:t>”大袋中，密封并在大袋上加盖</w:t>
            </w:r>
            <w:r>
              <w:rPr>
                <w:rFonts w:hint="eastAsia" w:ascii="宋体" w:hAnsi="宋体"/>
                <w:color w:val="auto"/>
                <w:szCs w:val="21"/>
                <w:highlight w:val="none"/>
                <w:lang w:eastAsia="zh-CN"/>
              </w:rPr>
              <w:t>竞选人</w:t>
            </w:r>
            <w:r>
              <w:rPr>
                <w:rFonts w:ascii="宋体" w:hAnsi="宋体"/>
                <w:color w:val="auto"/>
                <w:szCs w:val="21"/>
                <w:highlight w:val="none"/>
              </w:rPr>
              <w:t>单位</w:t>
            </w:r>
            <w:r>
              <w:rPr>
                <w:rFonts w:hint="eastAsia" w:ascii="宋体" w:hAnsi="宋体"/>
                <w:color w:val="auto"/>
                <w:szCs w:val="21"/>
                <w:highlight w:val="none"/>
              </w:rPr>
              <w:t>法人</w:t>
            </w:r>
            <w:r>
              <w:rPr>
                <w:rFonts w:ascii="宋体" w:hAnsi="宋体"/>
                <w:color w:val="auto"/>
                <w:szCs w:val="21"/>
                <w:highlight w:val="none"/>
              </w:rPr>
              <w:t>章，同时“</w:t>
            </w:r>
            <w:r>
              <w:rPr>
                <w:rFonts w:hint="eastAsia" w:ascii="宋体" w:hAnsi="宋体"/>
                <w:color w:val="auto"/>
                <w:szCs w:val="21"/>
                <w:highlight w:val="none"/>
                <w:lang w:eastAsia="zh-CN"/>
              </w:rPr>
              <w:t>竞选文件</w:t>
            </w:r>
            <w:r>
              <w:rPr>
                <w:rFonts w:ascii="宋体" w:hAnsi="宋体"/>
                <w:color w:val="auto"/>
                <w:szCs w:val="21"/>
                <w:highlight w:val="none"/>
              </w:rPr>
              <w:t>”大袋应按本表第4.1.2项的规定写明相应内容。</w:t>
            </w:r>
            <w:r>
              <w:rPr>
                <w:rFonts w:hint="eastAsia" w:ascii="宋体" w:hAnsi="宋体"/>
                <w:color w:val="auto"/>
                <w:szCs w:val="21"/>
                <w:highlight w:val="none"/>
              </w:rPr>
              <w:t>一个大袋装不下的，可使用多个大袋分册封装。大袋未按要求密封的，</w:t>
            </w:r>
            <w:r>
              <w:rPr>
                <w:rFonts w:hint="eastAsia" w:ascii="宋体" w:hAnsi="宋体"/>
                <w:color w:val="auto"/>
                <w:szCs w:val="21"/>
                <w:highlight w:val="none"/>
                <w:lang w:eastAsia="zh-CN"/>
              </w:rPr>
              <w:t>比选人</w:t>
            </w:r>
            <w:r>
              <w:rPr>
                <w:rFonts w:hint="eastAsia" w:ascii="宋体" w:hAnsi="宋体"/>
                <w:color w:val="auto"/>
                <w:szCs w:val="21"/>
                <w:highlight w:val="none"/>
              </w:rPr>
              <w:t>或代理机构应该拒收。</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注：“</w:t>
            </w:r>
            <w:r>
              <w:rPr>
                <w:rFonts w:hint="eastAsia" w:ascii="宋体" w:hAnsi="宋体"/>
                <w:color w:val="auto"/>
                <w:szCs w:val="21"/>
                <w:highlight w:val="none"/>
                <w:lang w:eastAsia="zh-CN"/>
              </w:rPr>
              <w:t>竞选函</w:t>
            </w:r>
            <w:r>
              <w:rPr>
                <w:rFonts w:hint="eastAsia" w:ascii="宋体" w:hAnsi="宋体"/>
                <w:color w:val="auto"/>
                <w:szCs w:val="21"/>
                <w:highlight w:val="none"/>
              </w:rPr>
              <w:t>部分”袋、“技术部分”袋（如有）、“经济部分”袋、“资格审查部分”袋只为方便</w:t>
            </w:r>
            <w:r>
              <w:rPr>
                <w:rFonts w:hint="eastAsia" w:ascii="宋体" w:hAnsi="宋体"/>
                <w:color w:val="auto"/>
                <w:szCs w:val="21"/>
                <w:highlight w:val="none"/>
                <w:lang w:eastAsia="zh-CN"/>
              </w:rPr>
              <w:t>竞选文件</w:t>
            </w:r>
            <w:r>
              <w:rPr>
                <w:rFonts w:hint="eastAsia" w:ascii="宋体" w:hAnsi="宋体"/>
                <w:color w:val="auto"/>
                <w:szCs w:val="21"/>
                <w:highlight w:val="none"/>
              </w:rPr>
              <w:t>分装，不作为判定密封合格与否的条件。但为了方便开标，请各</w:t>
            </w:r>
            <w:r>
              <w:rPr>
                <w:rFonts w:hint="eastAsia" w:ascii="宋体" w:hAnsi="宋体"/>
                <w:color w:val="auto"/>
                <w:szCs w:val="21"/>
                <w:highlight w:val="none"/>
                <w:lang w:eastAsia="zh-CN"/>
              </w:rPr>
              <w:t>竞选人</w:t>
            </w:r>
            <w:r>
              <w:rPr>
                <w:rFonts w:hint="eastAsia" w:ascii="宋体" w:hAnsi="宋体"/>
                <w:color w:val="auto"/>
                <w:szCs w:val="21"/>
                <w:highlight w:val="none"/>
              </w:rPr>
              <w:t>主动配合，按要求分装。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4.1.2</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封套上写明</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应在“</w:t>
            </w:r>
            <w:r>
              <w:rPr>
                <w:rFonts w:hint="eastAsia" w:ascii="宋体" w:hAnsi="宋体"/>
                <w:color w:val="auto"/>
                <w:kern w:val="0"/>
                <w:szCs w:val="21"/>
                <w:highlight w:val="none"/>
                <w:lang w:eastAsia="zh-CN"/>
              </w:rPr>
              <w:t>竞选文件</w:t>
            </w:r>
            <w:r>
              <w:rPr>
                <w:rFonts w:ascii="宋体" w:hAnsi="宋体"/>
                <w:color w:val="auto"/>
                <w:kern w:val="0"/>
                <w:szCs w:val="21"/>
                <w:highlight w:val="none"/>
              </w:rPr>
              <w:t>”大袋封套上写明如下内容：</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比选人</w:t>
            </w:r>
            <w:r>
              <w:rPr>
                <w:rFonts w:ascii="宋体" w:hAnsi="宋体"/>
                <w:color w:val="auto"/>
                <w:kern w:val="0"/>
                <w:szCs w:val="21"/>
                <w:highlight w:val="none"/>
              </w:rPr>
              <w:t>名称：</w:t>
            </w:r>
            <w:r>
              <w:rPr>
                <w:rFonts w:hint="eastAsia" w:ascii="宋体" w:hAnsi="宋体"/>
                <w:color w:val="auto"/>
                <w:kern w:val="0"/>
                <w:szCs w:val="21"/>
                <w:highlight w:val="none"/>
                <w:u w:val="single"/>
              </w:rPr>
              <w:t xml:space="preserve">            </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名称：</w:t>
            </w:r>
            <w:r>
              <w:rPr>
                <w:rFonts w:hint="eastAsia" w:ascii="宋体" w:hAnsi="宋体"/>
                <w:color w:val="auto"/>
                <w:kern w:val="0"/>
                <w:szCs w:val="21"/>
                <w:highlight w:val="none"/>
                <w:u w:val="single"/>
              </w:rPr>
              <w:t xml:space="preserve">            </w:t>
            </w:r>
          </w:p>
          <w:p>
            <w:pPr>
              <w:snapToGrid w:val="0"/>
              <w:spacing w:line="400" w:lineRule="exact"/>
              <w:ind w:firstLine="420" w:firstLineChars="200"/>
              <w:rPr>
                <w:rFonts w:hint="eastAsia" w:ascii="宋体" w:hAnsi="宋体" w:eastAsia="宋体"/>
                <w:color w:val="auto"/>
                <w:kern w:val="0"/>
                <w:szCs w:val="21"/>
                <w:highlight w:val="none"/>
                <w:lang w:eastAsia="zh-CN"/>
              </w:rPr>
            </w:pPr>
            <w:r>
              <w:rPr>
                <w:rFonts w:ascii="宋体" w:hAnsi="宋体"/>
                <w:color w:val="auto"/>
                <w:kern w:val="0"/>
                <w:szCs w:val="21"/>
                <w:highlight w:val="none"/>
                <w:u w:val="single"/>
              </w:rPr>
              <w:t xml:space="preserve">                （项目名称）</w:t>
            </w:r>
            <w:r>
              <w:rPr>
                <w:rFonts w:hint="eastAsia" w:ascii="宋体" w:hAnsi="宋体"/>
                <w:color w:val="auto"/>
                <w:kern w:val="0"/>
                <w:szCs w:val="21"/>
                <w:highlight w:val="none"/>
                <w:lang w:eastAsia="zh-CN"/>
              </w:rPr>
              <w:t>竞选文件</w:t>
            </w:r>
          </w:p>
          <w:p>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在</w:t>
            </w: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时</w:t>
            </w:r>
            <w:r>
              <w:rPr>
                <w:rFonts w:hint="eastAsia" w:ascii="宋体" w:hAnsi="宋体"/>
                <w:color w:val="auto"/>
                <w:kern w:val="0"/>
                <w:szCs w:val="21"/>
                <w:highlight w:val="none"/>
                <w:u w:val="single"/>
              </w:rPr>
              <w:t xml:space="preserve">    </w:t>
            </w:r>
            <w:r>
              <w:rPr>
                <w:rFonts w:ascii="宋体" w:hAnsi="宋体"/>
                <w:color w:val="auto"/>
                <w:kern w:val="0"/>
                <w:szCs w:val="21"/>
                <w:highlight w:val="none"/>
              </w:rPr>
              <w:t>分前不得开启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4.2.2</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递交</w:t>
            </w:r>
            <w:r>
              <w:rPr>
                <w:rFonts w:hint="eastAsia" w:ascii="宋体" w:hAnsi="宋体"/>
                <w:color w:val="auto"/>
                <w:kern w:val="0"/>
                <w:szCs w:val="21"/>
                <w:highlight w:val="none"/>
                <w:lang w:eastAsia="zh-CN"/>
              </w:rPr>
              <w:t>竞选文件</w:t>
            </w:r>
            <w:r>
              <w:rPr>
                <w:rFonts w:ascii="宋体" w:hAnsi="宋体"/>
                <w:color w:val="auto"/>
                <w:kern w:val="0"/>
                <w:szCs w:val="21"/>
                <w:highlight w:val="none"/>
              </w:rPr>
              <w:t>地点</w:t>
            </w:r>
          </w:p>
        </w:tc>
        <w:tc>
          <w:tcPr>
            <w:tcW w:w="6490" w:type="dxa"/>
            <w:vAlign w:val="center"/>
          </w:tcPr>
          <w:p>
            <w:pPr>
              <w:snapToGrid w:val="0"/>
              <w:spacing w:line="400" w:lineRule="exact"/>
              <w:ind w:firstLine="420" w:firstLineChars="200"/>
              <w:rPr>
                <w:rFonts w:hint="eastAsia" w:ascii="宋体" w:hAnsi="宋体" w:eastAsia="宋体"/>
                <w:bCs/>
                <w:i/>
                <w:color w:val="auto"/>
                <w:szCs w:val="21"/>
                <w:highlight w:val="none"/>
                <w:lang w:eastAsia="zh-CN"/>
              </w:rPr>
            </w:pPr>
            <w:r>
              <w:rPr>
                <w:rFonts w:hint="eastAsia" w:ascii="宋体" w:hAnsi="宋体"/>
                <w:color w:val="auto"/>
                <w:kern w:val="0"/>
                <w:szCs w:val="21"/>
                <w:highlight w:val="none"/>
              </w:rPr>
              <w:t>重庆经开区投资集团有限公司会议室</w:t>
            </w:r>
            <w:r>
              <w:rPr>
                <w:rFonts w:hint="eastAsia" w:ascii="宋体" w:hAnsi="宋体"/>
                <w:color w:val="auto"/>
                <w:kern w:val="0"/>
                <w:szCs w:val="21"/>
                <w:highlight w:val="none"/>
                <w:lang w:eastAsia="zh-CN"/>
              </w:rPr>
              <w:t>（开标前一天通知具体会议室）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4.2.3</w:t>
            </w:r>
          </w:p>
        </w:tc>
        <w:tc>
          <w:tcPr>
            <w:tcW w:w="1644" w:type="dxa"/>
            <w:vAlign w:val="center"/>
          </w:tcPr>
          <w:p>
            <w:pPr>
              <w:snapToGrid w:val="0"/>
              <w:spacing w:line="400" w:lineRule="exact"/>
              <w:jc w:val="center"/>
              <w:rPr>
                <w:rFonts w:hint="eastAsia" w:ascii="宋体" w:hAnsi="宋体" w:eastAsia="宋体"/>
                <w:color w:val="auto"/>
                <w:kern w:val="0"/>
                <w:szCs w:val="21"/>
                <w:highlight w:val="none"/>
                <w:lang w:eastAsia="zh-CN"/>
              </w:rPr>
            </w:pPr>
            <w:r>
              <w:rPr>
                <w:rFonts w:ascii="宋体" w:hAnsi="宋体"/>
                <w:color w:val="auto"/>
                <w:kern w:val="0"/>
                <w:szCs w:val="21"/>
                <w:highlight w:val="none"/>
              </w:rPr>
              <w:t>是否退还</w:t>
            </w:r>
            <w:r>
              <w:rPr>
                <w:rFonts w:hint="eastAsia" w:ascii="宋体" w:hAnsi="宋体"/>
                <w:color w:val="auto"/>
                <w:kern w:val="0"/>
                <w:szCs w:val="21"/>
                <w:highlight w:val="none"/>
                <w:lang w:eastAsia="zh-CN"/>
              </w:rPr>
              <w:t>竞选文件</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w:t>
            </w:r>
            <w:r>
              <w:rPr>
                <w:rFonts w:ascii="宋体" w:hAnsi="宋体"/>
                <w:color w:val="auto"/>
                <w:kern w:val="0"/>
                <w:szCs w:val="21"/>
                <w:highlight w:val="none"/>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5.1</w:t>
            </w:r>
            <w:r>
              <w:rPr>
                <w:rFonts w:hint="eastAsia" w:ascii="宋体" w:hAnsi="宋体"/>
                <w:color w:val="auto"/>
                <w:kern w:val="0"/>
                <w:szCs w:val="21"/>
                <w:highlight w:val="none"/>
              </w:rPr>
              <w:t>.1</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开标时间和</w:t>
            </w:r>
          </w:p>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地点</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开标时间：同投标截止时间</w:t>
            </w:r>
          </w:p>
          <w:p>
            <w:pPr>
              <w:snapToGrid w:val="0"/>
              <w:spacing w:line="400" w:lineRule="exact"/>
              <w:ind w:firstLine="420" w:firstLineChars="200"/>
              <w:rPr>
                <w:rFonts w:ascii="宋体" w:hAnsi="宋体"/>
                <w:bCs/>
                <w:i/>
                <w:color w:val="auto"/>
                <w:szCs w:val="21"/>
                <w:highlight w:val="none"/>
              </w:rPr>
            </w:pPr>
            <w:r>
              <w:rPr>
                <w:rFonts w:ascii="宋体" w:hAnsi="宋体"/>
                <w:color w:val="auto"/>
                <w:kern w:val="0"/>
                <w:szCs w:val="21"/>
                <w:highlight w:val="none"/>
              </w:rPr>
              <w:t>开标地点</w:t>
            </w:r>
            <w:r>
              <w:rPr>
                <w:rFonts w:hint="eastAsia" w:ascii="宋体" w:hAnsi="宋体"/>
                <w:color w:val="auto"/>
                <w:kern w:val="0"/>
                <w:szCs w:val="21"/>
                <w:highlight w:val="none"/>
                <w:lang w:val="en-US" w:eastAsia="zh-CN"/>
              </w:rPr>
              <w:t>详见比选公告</w:t>
            </w:r>
            <w:r>
              <w:rPr>
                <w:rFonts w:ascii="宋体" w:hAnsi="宋体"/>
                <w:bCs/>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szCs w:val="21"/>
                <w:highlight w:val="none"/>
              </w:rPr>
            </w:pPr>
            <w:r>
              <w:rPr>
                <w:rFonts w:ascii="宋体" w:hAnsi="宋体"/>
                <w:color w:val="auto"/>
                <w:szCs w:val="21"/>
                <w:highlight w:val="none"/>
              </w:rPr>
              <w:t>5.2</w:t>
            </w:r>
          </w:p>
        </w:tc>
        <w:tc>
          <w:tcPr>
            <w:tcW w:w="1644" w:type="dxa"/>
            <w:vAlign w:val="center"/>
          </w:tcPr>
          <w:p>
            <w:pPr>
              <w:snapToGrid w:val="0"/>
              <w:spacing w:line="400" w:lineRule="exact"/>
              <w:jc w:val="center"/>
              <w:rPr>
                <w:rFonts w:ascii="宋体" w:hAnsi="宋体"/>
                <w:color w:val="auto"/>
                <w:szCs w:val="21"/>
                <w:highlight w:val="none"/>
              </w:rPr>
            </w:pPr>
            <w:r>
              <w:rPr>
                <w:rFonts w:ascii="宋体" w:hAnsi="宋体"/>
                <w:color w:val="auto"/>
                <w:szCs w:val="21"/>
                <w:highlight w:val="none"/>
              </w:rPr>
              <w:t>开标程序</w:t>
            </w:r>
          </w:p>
        </w:tc>
        <w:tc>
          <w:tcPr>
            <w:tcW w:w="6490" w:type="dxa"/>
            <w:vAlign w:val="center"/>
          </w:tcPr>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主持人按下列程序进行开标：</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 核验参加开标会议的</w:t>
            </w:r>
            <w:r>
              <w:rPr>
                <w:rFonts w:hint="eastAsia" w:ascii="宋体" w:hAnsi="宋体"/>
                <w:color w:val="auto"/>
                <w:szCs w:val="21"/>
                <w:highlight w:val="none"/>
                <w:lang w:eastAsia="zh-CN"/>
              </w:rPr>
              <w:t>竞选人</w:t>
            </w:r>
            <w:r>
              <w:rPr>
                <w:rFonts w:ascii="宋体" w:hAnsi="宋体"/>
                <w:color w:val="auto"/>
                <w:szCs w:val="21"/>
                <w:highlight w:val="none"/>
              </w:rPr>
              <w:t>的法定代表人或</w:t>
            </w:r>
            <w:r>
              <w:rPr>
                <w:rFonts w:hint="eastAsia" w:ascii="宋体" w:hAnsi="宋体"/>
                <w:color w:val="auto"/>
                <w:szCs w:val="21"/>
                <w:highlight w:val="none"/>
              </w:rPr>
              <w:t>委托代理人</w:t>
            </w:r>
            <w:r>
              <w:rPr>
                <w:rFonts w:ascii="宋体" w:hAnsi="宋体"/>
                <w:color w:val="auto"/>
                <w:szCs w:val="21"/>
                <w:highlight w:val="none"/>
              </w:rPr>
              <w:t>本人身份证（原件），核验委托代理人的授权委托书</w:t>
            </w:r>
            <w:r>
              <w:rPr>
                <w:rFonts w:hint="eastAsia" w:ascii="宋体" w:hAnsi="宋体"/>
                <w:color w:val="auto"/>
                <w:szCs w:val="21"/>
                <w:highlight w:val="none"/>
              </w:rPr>
              <w:t>、养老保险证明材料复印件</w:t>
            </w:r>
            <w:r>
              <w:rPr>
                <w:rFonts w:ascii="宋体" w:hAnsi="宋体"/>
                <w:color w:val="auto"/>
                <w:szCs w:val="21"/>
                <w:highlight w:val="none"/>
              </w:rPr>
              <w:t>，以确认其身份合法有效；</w:t>
            </w:r>
            <w:r>
              <w:rPr>
                <w:rFonts w:hint="eastAsia" w:ascii="宋体" w:hAnsi="宋体"/>
                <w:color w:val="auto"/>
                <w:szCs w:val="21"/>
                <w:highlight w:val="none"/>
              </w:rPr>
              <w:t>若经核实委托代理人提供资料与实际不符的，不得参加开标会。核验合格的法定代表人或委托代理人可自行选择是否参加开标会，不参加开标会的视为默认开标结果。</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宣布开标纪律</w:t>
            </w:r>
            <w:r>
              <w:rPr>
                <w:rFonts w:hint="eastAsia" w:ascii="宋体" w:hAnsi="宋体"/>
                <w:color w:val="auto"/>
                <w:szCs w:val="21"/>
                <w:highlight w:val="none"/>
              </w:rPr>
              <w:t>。</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 宣布开标人、唱标人、记录人、监标人等有关人员姓名</w:t>
            </w:r>
            <w:r>
              <w:rPr>
                <w:rFonts w:hint="eastAsia" w:ascii="宋体" w:hAnsi="宋体"/>
                <w:color w:val="auto"/>
                <w:szCs w:val="21"/>
                <w:highlight w:val="none"/>
              </w:rPr>
              <w:t>。</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 公布在投标截止时间前递交</w:t>
            </w:r>
            <w:r>
              <w:rPr>
                <w:rFonts w:hint="eastAsia" w:ascii="宋体" w:hAnsi="宋体"/>
                <w:color w:val="auto"/>
                <w:szCs w:val="21"/>
                <w:highlight w:val="none"/>
                <w:lang w:eastAsia="zh-CN"/>
              </w:rPr>
              <w:t>竞选文件</w:t>
            </w:r>
            <w:r>
              <w:rPr>
                <w:rFonts w:ascii="宋体" w:hAnsi="宋体"/>
                <w:color w:val="auto"/>
                <w:szCs w:val="21"/>
                <w:highlight w:val="none"/>
              </w:rPr>
              <w:t>的</w:t>
            </w:r>
            <w:r>
              <w:rPr>
                <w:rFonts w:hint="eastAsia" w:ascii="宋体" w:hAnsi="宋体"/>
                <w:color w:val="auto"/>
                <w:szCs w:val="21"/>
                <w:highlight w:val="none"/>
                <w:lang w:eastAsia="zh-CN"/>
              </w:rPr>
              <w:t>竞选人</w:t>
            </w:r>
            <w:r>
              <w:rPr>
                <w:rFonts w:ascii="宋体" w:hAnsi="宋体"/>
                <w:color w:val="auto"/>
                <w:szCs w:val="21"/>
                <w:highlight w:val="none"/>
              </w:rPr>
              <w:t>名称</w:t>
            </w:r>
            <w:r>
              <w:rPr>
                <w:rFonts w:hint="eastAsia" w:ascii="宋体" w:hAnsi="宋体"/>
                <w:color w:val="auto"/>
                <w:szCs w:val="21"/>
                <w:highlight w:val="none"/>
              </w:rPr>
              <w:t>。</w:t>
            </w:r>
          </w:p>
          <w:p>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5. </w:t>
            </w:r>
            <w:r>
              <w:rPr>
                <w:rFonts w:hint="eastAsia" w:ascii="宋体" w:hAnsi="宋体"/>
                <w:color w:val="auto"/>
                <w:szCs w:val="21"/>
                <w:highlight w:val="none"/>
                <w:lang w:eastAsia="zh-CN"/>
              </w:rPr>
              <w:t>竞选文件</w:t>
            </w:r>
            <w:r>
              <w:rPr>
                <w:rFonts w:hint="eastAsia" w:ascii="宋体" w:hAnsi="宋体"/>
                <w:color w:val="auto"/>
                <w:szCs w:val="21"/>
                <w:highlight w:val="none"/>
              </w:rPr>
              <w:t>的密封检查：</w:t>
            </w:r>
            <w:r>
              <w:rPr>
                <w:rFonts w:hint="eastAsia" w:ascii="宋体" w:hAnsi="宋体"/>
                <w:color w:val="auto"/>
                <w:szCs w:val="21"/>
                <w:highlight w:val="none"/>
                <w:lang w:eastAsia="zh-CN"/>
              </w:rPr>
              <w:t>竞选人</w:t>
            </w:r>
            <w:r>
              <w:rPr>
                <w:rFonts w:hint="eastAsia" w:ascii="宋体" w:hAnsi="宋体"/>
                <w:color w:val="auto"/>
                <w:szCs w:val="21"/>
                <w:highlight w:val="none"/>
              </w:rPr>
              <w:t>可对自己的</w:t>
            </w:r>
            <w:r>
              <w:rPr>
                <w:rFonts w:hint="eastAsia" w:ascii="宋体" w:hAnsi="宋体"/>
                <w:color w:val="auto"/>
                <w:szCs w:val="21"/>
                <w:highlight w:val="none"/>
                <w:lang w:eastAsia="zh-CN"/>
              </w:rPr>
              <w:t>竞选文件</w:t>
            </w:r>
            <w:r>
              <w:rPr>
                <w:rFonts w:hint="eastAsia" w:ascii="宋体" w:hAnsi="宋体"/>
                <w:color w:val="auto"/>
                <w:szCs w:val="21"/>
                <w:highlight w:val="none"/>
              </w:rPr>
              <w:t>封装情况进行检查，以确认其</w:t>
            </w:r>
            <w:r>
              <w:rPr>
                <w:rFonts w:hint="eastAsia" w:ascii="宋体" w:hAnsi="宋体"/>
                <w:color w:val="auto"/>
                <w:szCs w:val="21"/>
                <w:highlight w:val="none"/>
                <w:lang w:eastAsia="zh-CN"/>
              </w:rPr>
              <w:t>竞选文件</w:t>
            </w:r>
            <w:r>
              <w:rPr>
                <w:rFonts w:hint="eastAsia" w:ascii="宋体" w:hAnsi="宋体"/>
                <w:color w:val="auto"/>
                <w:szCs w:val="21"/>
                <w:highlight w:val="none"/>
              </w:rPr>
              <w:t>密封完好。</w:t>
            </w: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 公布最高限价</w:t>
            </w:r>
            <w:r>
              <w:rPr>
                <w:rFonts w:hint="eastAsia" w:ascii="宋体" w:hAnsi="宋体"/>
                <w:color w:val="auto"/>
                <w:szCs w:val="21"/>
                <w:highlight w:val="none"/>
              </w:rPr>
              <w:t>，采用经评审最低投标价法的还需计算最高限价的85%数值，以便评标委员会评审。</w:t>
            </w: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7</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逐单位随机开启</w:t>
            </w:r>
            <w:r>
              <w:rPr>
                <w:rFonts w:hint="eastAsia" w:ascii="宋体" w:hAnsi="宋体"/>
                <w:color w:val="auto"/>
                <w:szCs w:val="21"/>
                <w:highlight w:val="none"/>
                <w:lang w:eastAsia="zh-CN"/>
              </w:rPr>
              <w:t>竞选文件</w:t>
            </w:r>
            <w:r>
              <w:rPr>
                <w:rFonts w:ascii="宋体" w:hAnsi="宋体"/>
                <w:color w:val="auto"/>
                <w:szCs w:val="21"/>
                <w:highlight w:val="none"/>
              </w:rPr>
              <w:t>。开启</w:t>
            </w:r>
            <w:r>
              <w:rPr>
                <w:rFonts w:hint="eastAsia" w:ascii="宋体" w:hAnsi="宋体"/>
                <w:color w:val="auto"/>
                <w:szCs w:val="21"/>
                <w:highlight w:val="none"/>
                <w:lang w:eastAsia="zh-CN"/>
              </w:rPr>
              <w:t>竞选文件</w:t>
            </w:r>
            <w:r>
              <w:rPr>
                <w:rFonts w:ascii="宋体" w:hAnsi="宋体"/>
                <w:color w:val="auto"/>
                <w:szCs w:val="21"/>
                <w:highlight w:val="none"/>
              </w:rPr>
              <w:t>大袋及</w:t>
            </w:r>
            <w:r>
              <w:rPr>
                <w:rFonts w:hint="eastAsia" w:ascii="宋体" w:hAnsi="宋体"/>
                <w:color w:val="auto"/>
                <w:szCs w:val="21"/>
                <w:highlight w:val="none"/>
                <w:lang w:eastAsia="zh-CN"/>
              </w:rPr>
              <w:t>竞选函</w:t>
            </w:r>
            <w:r>
              <w:rPr>
                <w:rFonts w:ascii="宋体" w:hAnsi="宋体"/>
                <w:color w:val="auto"/>
                <w:szCs w:val="21"/>
                <w:highlight w:val="none"/>
              </w:rPr>
              <w:t>部分袋、</w:t>
            </w:r>
            <w:r>
              <w:rPr>
                <w:rFonts w:hint="eastAsia" w:ascii="宋体" w:hAnsi="宋体"/>
                <w:color w:val="auto"/>
                <w:szCs w:val="21"/>
                <w:highlight w:val="none"/>
              </w:rPr>
              <w:t>经济</w:t>
            </w:r>
            <w:r>
              <w:rPr>
                <w:rFonts w:ascii="宋体" w:hAnsi="宋体"/>
                <w:color w:val="auto"/>
                <w:szCs w:val="21"/>
                <w:highlight w:val="none"/>
              </w:rPr>
              <w:t>部分袋、技术部分袋</w:t>
            </w:r>
            <w:r>
              <w:rPr>
                <w:rFonts w:hint="eastAsia" w:ascii="宋体" w:hAnsi="宋体"/>
                <w:color w:val="auto"/>
                <w:szCs w:val="21"/>
                <w:highlight w:val="none"/>
              </w:rPr>
              <w:t>（如有）、资格审查部分袋</w:t>
            </w:r>
            <w:r>
              <w:rPr>
                <w:rFonts w:ascii="宋体" w:hAnsi="宋体"/>
                <w:color w:val="auto"/>
                <w:szCs w:val="21"/>
                <w:highlight w:val="none"/>
              </w:rPr>
              <w:t>；公布</w:t>
            </w:r>
            <w:r>
              <w:rPr>
                <w:rFonts w:hint="eastAsia" w:ascii="宋体" w:hAnsi="宋体"/>
                <w:color w:val="auto"/>
                <w:szCs w:val="21"/>
                <w:highlight w:val="none"/>
                <w:lang w:eastAsia="zh-CN"/>
              </w:rPr>
              <w:t>竞选人</w:t>
            </w:r>
            <w:r>
              <w:rPr>
                <w:rFonts w:ascii="宋体" w:hAnsi="宋体"/>
                <w:color w:val="auto"/>
                <w:szCs w:val="21"/>
                <w:highlight w:val="none"/>
              </w:rPr>
              <w:t>名称、投标报价、质量要求、工期及其他内容并记录在案</w:t>
            </w:r>
            <w:r>
              <w:rPr>
                <w:rFonts w:hint="eastAsia" w:ascii="宋体" w:hAnsi="宋体"/>
                <w:color w:val="auto"/>
                <w:szCs w:val="21"/>
                <w:highlight w:val="none"/>
              </w:rPr>
              <w:t>。</w:t>
            </w:r>
          </w:p>
          <w:p>
            <w:pPr>
              <w:numPr>
                <w:ilvl w:val="255"/>
                <w:numId w:val="0"/>
              </w:num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ascii="宋体" w:hAnsi="宋体"/>
                <w:color w:val="auto"/>
                <w:szCs w:val="21"/>
                <w:highlight w:val="none"/>
                <w:lang w:eastAsia="zh-CN"/>
              </w:rPr>
              <w:t>竞选人</w:t>
            </w:r>
            <w:r>
              <w:rPr>
                <w:rFonts w:hint="eastAsia" w:ascii="宋体" w:hAnsi="宋体"/>
                <w:color w:val="auto"/>
                <w:szCs w:val="21"/>
                <w:highlight w:val="none"/>
              </w:rPr>
              <w:t>对开标有异议的，应当场提出，由</w:t>
            </w:r>
            <w:r>
              <w:rPr>
                <w:rFonts w:hint="eastAsia" w:ascii="宋体" w:hAnsi="宋体"/>
                <w:color w:val="auto"/>
                <w:szCs w:val="21"/>
                <w:highlight w:val="none"/>
                <w:lang w:eastAsia="zh-CN"/>
              </w:rPr>
              <w:t>比选人</w:t>
            </w:r>
            <w:r>
              <w:rPr>
                <w:rFonts w:hint="eastAsia" w:ascii="宋体" w:hAnsi="宋体"/>
                <w:color w:val="auto"/>
                <w:szCs w:val="21"/>
                <w:highlight w:val="none"/>
              </w:rPr>
              <w:t>或代理机构当场答复，并记录到开标记录表中。异议处理完毕后，汇总开标情况，打印开标记录表。</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9</w:t>
            </w:r>
            <w:r>
              <w:rPr>
                <w:rFonts w:ascii="宋体" w:hAnsi="宋体"/>
                <w:color w:val="auto"/>
                <w:szCs w:val="21"/>
                <w:highlight w:val="none"/>
              </w:rPr>
              <w:t xml:space="preserve">. </w:t>
            </w:r>
            <w:r>
              <w:rPr>
                <w:rFonts w:hint="eastAsia" w:ascii="宋体" w:hAnsi="宋体"/>
                <w:color w:val="auto"/>
                <w:szCs w:val="21"/>
                <w:highlight w:val="none"/>
                <w:lang w:eastAsia="zh-CN"/>
              </w:rPr>
              <w:t>竞选人</w:t>
            </w:r>
            <w:r>
              <w:rPr>
                <w:rFonts w:ascii="宋体" w:hAnsi="宋体"/>
                <w:color w:val="auto"/>
                <w:szCs w:val="21"/>
                <w:highlight w:val="none"/>
              </w:rPr>
              <w:t>代表、</w:t>
            </w:r>
            <w:r>
              <w:rPr>
                <w:rFonts w:hint="eastAsia" w:ascii="宋体" w:hAnsi="宋体"/>
                <w:color w:val="auto"/>
                <w:szCs w:val="21"/>
                <w:highlight w:val="none"/>
                <w:lang w:eastAsia="zh-CN"/>
              </w:rPr>
              <w:t>比选人</w:t>
            </w:r>
            <w:r>
              <w:rPr>
                <w:rFonts w:ascii="宋体" w:hAnsi="宋体"/>
                <w:color w:val="auto"/>
                <w:szCs w:val="21"/>
                <w:highlight w:val="none"/>
              </w:rPr>
              <w:t>代表、监标人、</w:t>
            </w:r>
            <w:r>
              <w:rPr>
                <w:rFonts w:hint="eastAsia" w:ascii="宋体" w:hAnsi="宋体"/>
                <w:color w:val="auto"/>
                <w:szCs w:val="21"/>
                <w:highlight w:val="none"/>
              </w:rPr>
              <w:t>主持人、</w:t>
            </w:r>
            <w:r>
              <w:rPr>
                <w:rFonts w:ascii="宋体" w:hAnsi="宋体"/>
                <w:color w:val="auto"/>
                <w:szCs w:val="21"/>
                <w:highlight w:val="none"/>
              </w:rPr>
              <w:t>记录人等有关人员在开标记录上</w:t>
            </w:r>
            <w:r>
              <w:rPr>
                <w:rFonts w:hint="eastAsia" w:ascii="宋体" w:hAnsi="宋体"/>
                <w:color w:val="auto"/>
                <w:szCs w:val="21"/>
                <w:highlight w:val="none"/>
              </w:rPr>
              <w:t>签名</w:t>
            </w:r>
            <w:r>
              <w:rPr>
                <w:rFonts w:ascii="宋体" w:hAnsi="宋体"/>
                <w:color w:val="auto"/>
                <w:szCs w:val="21"/>
                <w:highlight w:val="none"/>
              </w:rPr>
              <w:t>确认</w:t>
            </w:r>
            <w:r>
              <w:rPr>
                <w:rFonts w:hint="eastAsia" w:ascii="宋体" w:hAnsi="宋体"/>
                <w:color w:val="auto"/>
                <w:szCs w:val="21"/>
                <w:highlight w:val="none"/>
              </w:rPr>
              <w:t>。因其他原因未能签名的，视为默认开标结果。</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ascii="宋体" w:hAnsi="宋体"/>
                <w:color w:val="auto"/>
                <w:szCs w:val="21"/>
                <w:highlight w:val="none"/>
              </w:rPr>
              <w:t>. 开标结束。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6.1.1</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评标委员会的组建</w:t>
            </w:r>
          </w:p>
        </w:tc>
        <w:tc>
          <w:tcPr>
            <w:tcW w:w="6490" w:type="dxa"/>
            <w:vAlign w:val="center"/>
          </w:tcPr>
          <w:p>
            <w:pPr>
              <w:autoSpaceDE w:val="0"/>
              <w:autoSpaceDN w:val="0"/>
              <w:adjustRightInd w:val="0"/>
              <w:snapToGrid w:val="0"/>
              <w:spacing w:line="400" w:lineRule="exact"/>
              <w:ind w:firstLine="436" w:firstLineChars="200"/>
              <w:rPr>
                <w:rFonts w:ascii="宋体" w:hAnsi="宋体"/>
                <w:color w:val="auto"/>
                <w:kern w:val="0"/>
                <w:szCs w:val="21"/>
                <w:highlight w:val="none"/>
              </w:rPr>
            </w:pPr>
            <w:r>
              <w:rPr>
                <w:rFonts w:hint="eastAsia" w:ascii="宋体" w:hAnsi="宋体"/>
                <w:color w:val="auto"/>
                <w:spacing w:val="4"/>
                <w:kern w:val="0"/>
                <w:szCs w:val="21"/>
                <w:highlight w:val="none"/>
              </w:rPr>
              <w:t>由</w:t>
            </w:r>
            <w:r>
              <w:rPr>
                <w:rFonts w:hint="eastAsia" w:ascii="宋体" w:hAnsi="宋体"/>
                <w:color w:val="auto"/>
                <w:spacing w:val="4"/>
                <w:kern w:val="0"/>
                <w:szCs w:val="21"/>
                <w:highlight w:val="none"/>
                <w:lang w:eastAsia="zh-CN"/>
              </w:rPr>
              <w:t>比选人</w:t>
            </w:r>
            <w:r>
              <w:rPr>
                <w:rFonts w:hint="eastAsia" w:ascii="宋体" w:hAnsi="宋体"/>
                <w:color w:val="auto"/>
                <w:spacing w:val="4"/>
                <w:kern w:val="0"/>
                <w:szCs w:val="21"/>
                <w:highlight w:val="none"/>
              </w:rPr>
              <w:t>按法律法规及相关规定依法组建评标委员会</w:t>
            </w:r>
            <w:r>
              <w:rPr>
                <w:rFonts w:hint="eastAsia" w:ascii="宋体" w:hAnsi="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7.1</w:t>
            </w:r>
          </w:p>
        </w:tc>
        <w:tc>
          <w:tcPr>
            <w:tcW w:w="1644" w:type="dxa"/>
            <w:vAlign w:val="center"/>
          </w:tcPr>
          <w:p>
            <w:pPr>
              <w:snapToGrid w:val="0"/>
              <w:spacing w:after="62" w:afterLines="20" w:line="400" w:lineRule="exact"/>
              <w:jc w:val="center"/>
              <w:rPr>
                <w:rFonts w:ascii="宋体" w:hAnsi="宋体"/>
                <w:color w:val="auto"/>
                <w:kern w:val="0"/>
                <w:szCs w:val="21"/>
                <w:highlight w:val="none"/>
              </w:rPr>
            </w:pPr>
            <w:r>
              <w:rPr>
                <w:rFonts w:ascii="宋体" w:hAnsi="宋体"/>
                <w:color w:val="auto"/>
                <w:kern w:val="0"/>
                <w:szCs w:val="21"/>
                <w:highlight w:val="none"/>
              </w:rPr>
              <w:t>是否授权评标委员会确定中标人</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是</w:t>
            </w:r>
          </w:p>
          <w:p>
            <w:pPr>
              <w:snapToGrid w:val="0"/>
              <w:spacing w:line="400" w:lineRule="exact"/>
              <w:ind w:firstLine="420" w:firstLineChars="200"/>
              <w:rPr>
                <w:rFonts w:ascii="宋体" w:hAnsi="宋体"/>
                <w:i/>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rPr>
              <w:t>B</w:t>
            </w:r>
            <w:r>
              <w:rPr>
                <w:rFonts w:ascii="宋体" w:hAnsi="宋体"/>
                <w:color w:val="auto"/>
                <w:kern w:val="0"/>
                <w:szCs w:val="21"/>
                <w:highlight w:val="none"/>
              </w:rPr>
              <w:t>否，推荐经</w:t>
            </w:r>
            <w:r>
              <w:rPr>
                <w:rFonts w:hint="eastAsia" w:ascii="宋体" w:hAnsi="宋体"/>
                <w:color w:val="auto"/>
                <w:kern w:val="0"/>
                <w:szCs w:val="21"/>
                <w:highlight w:val="none"/>
                <w:lang w:eastAsia="zh-CN"/>
              </w:rPr>
              <w:t>投标报价</w:t>
            </w:r>
            <w:r>
              <w:rPr>
                <w:rFonts w:ascii="宋体" w:hAnsi="宋体"/>
                <w:color w:val="auto"/>
                <w:kern w:val="0"/>
                <w:szCs w:val="21"/>
                <w:highlight w:val="none"/>
              </w:rPr>
              <w:t>由低到高排名前三名为中标候选人。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7.2</w:t>
            </w:r>
          </w:p>
        </w:tc>
        <w:tc>
          <w:tcPr>
            <w:tcW w:w="1644" w:type="dxa"/>
            <w:vAlign w:val="center"/>
          </w:tcPr>
          <w:p>
            <w:pPr>
              <w:snapToGrid w:val="0"/>
              <w:spacing w:after="62" w:afterLines="20" w:line="400" w:lineRule="exact"/>
              <w:jc w:val="center"/>
              <w:rPr>
                <w:rFonts w:ascii="宋体" w:hAnsi="宋体"/>
                <w:color w:val="auto"/>
                <w:kern w:val="0"/>
                <w:szCs w:val="21"/>
                <w:highlight w:val="none"/>
              </w:rPr>
            </w:pPr>
            <w:r>
              <w:rPr>
                <w:rFonts w:ascii="宋体" w:hAnsi="宋体"/>
                <w:color w:val="auto"/>
                <w:kern w:val="0"/>
                <w:szCs w:val="21"/>
                <w:highlight w:val="none"/>
              </w:rPr>
              <w:t>中标公示</w:t>
            </w:r>
          </w:p>
        </w:tc>
        <w:tc>
          <w:tcPr>
            <w:tcW w:w="6490" w:type="dxa"/>
            <w:vAlign w:val="center"/>
          </w:tcPr>
          <w:p>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在收到评标报告后3日内将评标结果在</w:t>
            </w:r>
            <w:r>
              <w:rPr>
                <w:rFonts w:hint="eastAsia" w:ascii="宋体" w:hAnsi="宋体" w:cs="宋体"/>
                <w:color w:val="auto"/>
                <w:szCs w:val="21"/>
                <w:highlight w:val="none"/>
                <w:u w:val="single"/>
              </w:rPr>
              <w:t xml:space="preserve">重庆经开区投资集团有限公司(http://www.cetzig.com/）  </w:t>
            </w:r>
            <w:r>
              <w:rPr>
                <w:rFonts w:hint="eastAsia" w:ascii="宋体" w:hAnsi="宋体" w:cs="宋体"/>
                <w:color w:val="auto"/>
                <w:szCs w:val="21"/>
                <w:highlight w:val="none"/>
              </w:rPr>
              <w:t>上进行公示，公示期为</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日。为深化信息公开，接受社会监督，本项目将按照《</w:t>
            </w:r>
            <w:r>
              <w:rPr>
                <w:rFonts w:hint="eastAsia" w:ascii="宋体" w:hAnsi="宋体" w:cs="宋体"/>
                <w:color w:val="auto"/>
                <w:szCs w:val="21"/>
                <w:highlight w:val="none"/>
                <w:lang w:eastAsia="zh-CN"/>
              </w:rPr>
              <w:t>比选公告</w:t>
            </w:r>
            <w:r>
              <w:rPr>
                <w:rFonts w:hint="eastAsia" w:ascii="宋体" w:hAnsi="宋体" w:cs="宋体"/>
                <w:color w:val="auto"/>
                <w:szCs w:val="21"/>
                <w:highlight w:val="none"/>
              </w:rPr>
              <w:t>和公示信息发布管理办法》（国家发改委令第10号）的要求，公示内容包括中标候选人名称、排序、投标报价；提出异议、投诉的渠道和方式。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7.3.1</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履约担保</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1、中标人是否提供履约担保：</w:t>
            </w:r>
            <w:r>
              <w:rPr>
                <w:rFonts w:hint="eastAsia" w:ascii="宋体" w:hAnsi="宋体"/>
                <w:color w:val="auto"/>
                <w:kern w:val="0"/>
                <w:szCs w:val="21"/>
                <w:highlight w:val="none"/>
                <w:u w:val="single"/>
              </w:rPr>
              <w:t>提供</w:t>
            </w:r>
            <w:r>
              <w:rPr>
                <w:rFonts w:hint="eastAsia" w:ascii="宋体" w:hAnsi="宋体"/>
                <w:color w:val="auto"/>
                <w:kern w:val="0"/>
                <w:szCs w:val="21"/>
                <w:highlight w:val="none"/>
              </w:rPr>
              <w:t>。</w:t>
            </w:r>
            <w:r>
              <w:rPr>
                <w:rFonts w:hint="eastAsia" w:ascii="宋体" w:hAnsi="宋体"/>
                <w:i/>
                <w:color w:val="auto"/>
                <w:kern w:val="0"/>
                <w:szCs w:val="21"/>
                <w:highlight w:val="none"/>
              </w:rPr>
              <w:t>[提示：</w:t>
            </w:r>
            <w:r>
              <w:rPr>
                <w:rFonts w:hint="eastAsia" w:ascii="宋体" w:hAnsi="宋体"/>
                <w:i/>
                <w:color w:val="auto"/>
                <w:kern w:val="0"/>
                <w:szCs w:val="21"/>
                <w:highlight w:val="none"/>
                <w:lang w:eastAsia="zh-CN"/>
              </w:rPr>
              <w:t>比选人</w:t>
            </w:r>
            <w:r>
              <w:rPr>
                <w:rFonts w:hint="eastAsia" w:ascii="宋体" w:hAnsi="宋体"/>
                <w:i/>
                <w:color w:val="auto"/>
                <w:kern w:val="0"/>
                <w:szCs w:val="21"/>
                <w:highlight w:val="none"/>
              </w:rPr>
              <w:t>要求中标人提供履约担保的，应向中标人提供相应的支付担保。]</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2、中标人提供履约担保的形式、金额及期限：</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（1）履约担保的形式：现金或银行保函或现金+银行保函的组合；采用银行保函形式的，保函必须为不可撤销且见索即付；</w:t>
            </w:r>
          </w:p>
          <w:p>
            <w:pPr>
              <w:snapToGrid w:val="0"/>
              <w:spacing w:line="400" w:lineRule="exact"/>
              <w:ind w:firstLine="420" w:firstLineChars="200"/>
              <w:rPr>
                <w:rFonts w:ascii="宋体" w:hAnsi="宋体"/>
                <w:i/>
                <w:color w:val="auto"/>
                <w:kern w:val="0"/>
                <w:szCs w:val="21"/>
                <w:highlight w:val="none"/>
              </w:rPr>
            </w:pPr>
            <w:r>
              <w:rPr>
                <w:rFonts w:hint="eastAsia" w:ascii="宋体" w:hAnsi="宋体"/>
                <w:color w:val="auto"/>
                <w:kern w:val="0"/>
                <w:szCs w:val="21"/>
                <w:highlight w:val="none"/>
              </w:rPr>
              <w:t>（2）履约担保的金额：</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中标金额10%</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（3）履约担保的提交时间：见专用合同条款。</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（4）履约担保的期限：见专用合同条款。</w:t>
            </w:r>
          </w:p>
          <w:p>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（5）履约担保的退还时间：见专用合同条款。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7.4.1</w:t>
            </w:r>
          </w:p>
        </w:tc>
        <w:tc>
          <w:tcPr>
            <w:tcW w:w="1644"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签订合同</w:t>
            </w:r>
          </w:p>
        </w:tc>
        <w:tc>
          <w:tcPr>
            <w:tcW w:w="6490" w:type="dxa"/>
            <w:vAlign w:val="center"/>
          </w:tcPr>
          <w:p>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依法必须进行招标的项目，中标候选人有《招标投标法实施条例》第七十四条规定行为的，视为特别严重信用不良行为且情节特别严重，按信用记分上限一次性记12分，纳入黑名单管理；中标人有《招标投标法实施条例》第七十四条规定行为的，按中标项目金额10‰罚款上限予以行政处罚，按信用记分上限一次性并处记12分，纳入黑名单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8.1</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重新招标</w:t>
            </w:r>
            <w:r>
              <w:rPr>
                <w:rFonts w:hint="eastAsia" w:ascii="宋体" w:hAnsi="宋体"/>
                <w:color w:val="auto"/>
                <w:kern w:val="0"/>
                <w:szCs w:val="21"/>
                <w:highlight w:val="none"/>
              </w:rPr>
              <w:t>的情形</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须知第8.1（1）执行；</w:t>
            </w:r>
          </w:p>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须知第8.1（2）执行；</w:t>
            </w:r>
          </w:p>
          <w:p>
            <w:pPr>
              <w:widowControl/>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ascii="宋体" w:hAnsi="宋体"/>
                <w:color w:val="auto"/>
                <w:kern w:val="0"/>
                <w:szCs w:val="21"/>
                <w:highlight w:val="none"/>
              </w:rPr>
              <w:t>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须知第8.1（3）执行；</w:t>
            </w:r>
          </w:p>
          <w:p>
            <w:pPr>
              <w:widowControl/>
              <w:spacing w:after="62" w:afterLines="20" w:line="400" w:lineRule="exact"/>
              <w:ind w:firstLine="420" w:firstLineChars="200"/>
              <w:rPr>
                <w:rFonts w:ascii="宋体" w:hAnsi="宋体"/>
                <w:color w:val="auto"/>
                <w:kern w:val="0"/>
                <w:szCs w:val="21"/>
                <w:highlight w:val="none"/>
              </w:rPr>
            </w:pPr>
            <w:r>
              <w:rPr>
                <w:rFonts w:ascii="宋体" w:hAnsi="宋体"/>
                <w:snapToGrid w:val="0"/>
                <w:color w:val="auto"/>
                <w:kern w:val="0"/>
                <w:szCs w:val="21"/>
                <w:highlight w:val="none"/>
              </w:rPr>
              <w:t>4.</w:t>
            </w:r>
            <w:r>
              <w:rPr>
                <w:rFonts w:ascii="宋体" w:hAnsi="宋体"/>
                <w:color w:val="auto"/>
                <w:kern w:val="0"/>
                <w:szCs w:val="21"/>
                <w:highlight w:val="none"/>
              </w:rPr>
              <w:t>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须知第8.1（4）执行</w:t>
            </w:r>
            <w:r>
              <w:rPr>
                <w:rFonts w:hint="eastAsia" w:ascii="宋体" w:hAnsi="宋体"/>
                <w:color w:val="auto"/>
                <w:kern w:val="0"/>
                <w:szCs w:val="21"/>
                <w:highlight w:val="none"/>
              </w:rPr>
              <w:t>。</w:t>
            </w:r>
          </w:p>
          <w:p>
            <w:pPr>
              <w:widowControl/>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注：本款只适用于首次招标。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8.2</w:t>
            </w:r>
          </w:p>
        </w:tc>
        <w:tc>
          <w:tcPr>
            <w:tcW w:w="1644" w:type="dxa"/>
            <w:vAlign w:val="center"/>
          </w:tcPr>
          <w:p>
            <w:pPr>
              <w:snapToGrid w:val="0"/>
              <w:spacing w:line="400" w:lineRule="exact"/>
              <w:jc w:val="center"/>
              <w:rPr>
                <w:color w:val="auto"/>
                <w:highlight w:val="none"/>
              </w:rPr>
            </w:pPr>
            <w:bookmarkStart w:id="106" w:name="_Toc13210670"/>
            <w:bookmarkStart w:id="107" w:name="_Toc536628250"/>
            <w:bookmarkStart w:id="108" w:name="_Toc16930431"/>
            <w:bookmarkStart w:id="109" w:name="_Toc509218709"/>
            <w:bookmarkStart w:id="110" w:name="_Toc430530434"/>
            <w:r>
              <w:rPr>
                <w:rFonts w:hint="eastAsia" w:ascii="宋体" w:hAnsi="宋体"/>
                <w:color w:val="auto"/>
                <w:kern w:val="0"/>
                <w:szCs w:val="21"/>
                <w:highlight w:val="none"/>
              </w:rPr>
              <w:t>重新</w:t>
            </w:r>
            <w:r>
              <w:rPr>
                <w:rFonts w:ascii="宋体" w:hAnsi="宋体"/>
                <w:color w:val="auto"/>
                <w:kern w:val="0"/>
                <w:szCs w:val="21"/>
                <w:highlight w:val="none"/>
              </w:rPr>
              <w:t>招标和不再招标</w:t>
            </w:r>
            <w:bookmarkEnd w:id="106"/>
            <w:bookmarkEnd w:id="107"/>
            <w:bookmarkEnd w:id="108"/>
            <w:bookmarkEnd w:id="109"/>
            <w:bookmarkEnd w:id="110"/>
          </w:p>
        </w:tc>
        <w:tc>
          <w:tcPr>
            <w:tcW w:w="6490" w:type="dxa"/>
            <w:vAlign w:val="center"/>
          </w:tcPr>
          <w:p>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重新招标的</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仍然少于三个的，按照招标投标法律法规规定的程序开标和评标。重新招标经评审有有效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的，应当依法确定中标候选人；无有效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的，可以不再进行招标，但是按照国家有关规定需要履行审批、核准、备案手续的依法必须进行招标的项目，应当报原项目投资主管部门审批、核准、备案</w:t>
            </w:r>
            <w:r>
              <w:rPr>
                <w:rFonts w:ascii="宋体" w:hAnsi="宋体"/>
                <w:snapToGrid w:val="0"/>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w:t>
            </w:r>
          </w:p>
        </w:tc>
        <w:tc>
          <w:tcPr>
            <w:tcW w:w="8134" w:type="dxa"/>
            <w:gridSpan w:val="2"/>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需要补充的其他内容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1</w:t>
            </w:r>
          </w:p>
        </w:tc>
        <w:tc>
          <w:tcPr>
            <w:tcW w:w="1644" w:type="dxa"/>
            <w:vAlign w:val="center"/>
          </w:tcPr>
          <w:p>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建筑领域实施农民工工资专用账户相关要求</w:t>
            </w:r>
          </w:p>
        </w:tc>
        <w:tc>
          <w:tcPr>
            <w:tcW w:w="6490" w:type="dxa"/>
          </w:tcPr>
          <w:p>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在实施过程中，中标人必须执行《重庆市城乡建设委员会、中国人民银行重庆营业管理部、中国银行业监督管理委员会重庆监管局关于建筑领域实施农民工工资专用账户管理及银行代发制度（试行）的通知》（渝建发〔2017〕13号）及《关于建筑领域农民工工资专户管理网络系统正式运行有关事宜的通知》，实行农民工工资专用账户管理及银行代发制度，填报相应的网络管理系统。</w:t>
            </w:r>
          </w:p>
          <w:p>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投标人中标后，在与发包人签订的合同中，必须明确在我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olor w:val="auto"/>
                <w:kern w:val="0"/>
                <w:szCs w:val="21"/>
                <w:highlight w:val="none"/>
                <w:lang w:eastAsia="zh-CN"/>
              </w:rPr>
            </w:pPr>
            <w:r>
              <w:rPr>
                <w:rFonts w:ascii="宋体" w:hAnsi="宋体"/>
                <w:color w:val="auto"/>
                <w:kern w:val="0"/>
                <w:szCs w:val="21"/>
                <w:highlight w:val="none"/>
              </w:rPr>
              <w:t>10.</w:t>
            </w:r>
            <w:r>
              <w:rPr>
                <w:rFonts w:hint="eastAsia" w:ascii="宋体" w:hAnsi="宋体"/>
                <w:color w:val="auto"/>
                <w:kern w:val="0"/>
                <w:szCs w:val="21"/>
                <w:highlight w:val="none"/>
                <w:lang w:val="en-US" w:eastAsia="zh-CN"/>
              </w:rPr>
              <w:t>2</w:t>
            </w:r>
          </w:p>
        </w:tc>
        <w:tc>
          <w:tcPr>
            <w:tcW w:w="1644"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异议、</w:t>
            </w:r>
            <w:r>
              <w:rPr>
                <w:rFonts w:ascii="宋体" w:hAnsi="宋体"/>
                <w:color w:val="auto"/>
                <w:kern w:val="0"/>
                <w:szCs w:val="21"/>
                <w:highlight w:val="none"/>
              </w:rPr>
              <w:t>投诉处理</w:t>
            </w:r>
          </w:p>
        </w:tc>
        <w:tc>
          <w:tcPr>
            <w:tcW w:w="6490" w:type="dxa"/>
            <w:vAlign w:val="center"/>
          </w:tcPr>
          <w:p>
            <w:pPr>
              <w:widowControl/>
              <w:spacing w:line="400" w:lineRule="exact"/>
              <w:ind w:firstLine="420" w:firstLineChars="200"/>
              <w:rPr>
                <w:color w:val="auto"/>
                <w:highlight w:val="none"/>
              </w:rPr>
            </w:pPr>
            <w:r>
              <w:rPr>
                <w:color w:val="auto"/>
                <w:highlight w:val="none"/>
              </w:rPr>
              <w:t>1.</w:t>
            </w:r>
            <w:r>
              <w:rPr>
                <w:rFonts w:hint="eastAsia"/>
                <w:color w:val="auto"/>
                <w:highlight w:val="none"/>
              </w:rPr>
              <w:t xml:space="preserve"> </w:t>
            </w:r>
            <w:r>
              <w:rPr>
                <w:rFonts w:hint="eastAsia"/>
                <w:color w:val="auto"/>
                <w:highlight w:val="none"/>
                <w:lang w:eastAsia="zh-CN"/>
              </w:rPr>
              <w:t>竞选人</w:t>
            </w:r>
            <w:r>
              <w:rPr>
                <w:color w:val="auto"/>
                <w:highlight w:val="none"/>
              </w:rPr>
              <w:t>或者其他利害关系人就本项目的招标文件</w:t>
            </w:r>
            <w:r>
              <w:rPr>
                <w:rFonts w:hint="eastAsia"/>
                <w:color w:val="auto"/>
                <w:highlight w:val="none"/>
              </w:rPr>
              <w:t>（含澄清修改）、开标情况、</w:t>
            </w:r>
            <w:r>
              <w:rPr>
                <w:color w:val="auto"/>
                <w:highlight w:val="none"/>
              </w:rPr>
              <w:t>评标结果等事项提出异议或投诉</w:t>
            </w:r>
            <w:r>
              <w:rPr>
                <w:rFonts w:hint="eastAsia"/>
                <w:color w:val="auto"/>
                <w:highlight w:val="none"/>
              </w:rPr>
              <w:t>的</w:t>
            </w:r>
            <w:r>
              <w:rPr>
                <w:color w:val="auto"/>
                <w:highlight w:val="none"/>
              </w:rPr>
              <w:t>，应当先向</w:t>
            </w:r>
            <w:r>
              <w:rPr>
                <w:rFonts w:hint="eastAsia"/>
                <w:color w:val="auto"/>
                <w:highlight w:val="none"/>
                <w:lang w:eastAsia="zh-CN"/>
              </w:rPr>
              <w:t>比选人</w:t>
            </w:r>
            <w:r>
              <w:rPr>
                <w:color w:val="auto"/>
                <w:highlight w:val="none"/>
              </w:rPr>
              <w:t>提出异议；</w:t>
            </w:r>
            <w:r>
              <w:rPr>
                <w:rFonts w:hint="eastAsia"/>
                <w:color w:val="auto"/>
                <w:highlight w:val="none"/>
                <w:lang w:eastAsia="zh-CN"/>
              </w:rPr>
              <w:t>比选人</w:t>
            </w:r>
            <w:r>
              <w:rPr>
                <w:color w:val="auto"/>
                <w:highlight w:val="none"/>
              </w:rPr>
              <w:t>应当在规定时间内答复；对</w:t>
            </w:r>
            <w:r>
              <w:rPr>
                <w:rFonts w:hint="eastAsia"/>
                <w:color w:val="auto"/>
                <w:highlight w:val="none"/>
                <w:lang w:eastAsia="zh-CN"/>
              </w:rPr>
              <w:t>比选人</w:t>
            </w:r>
            <w:r>
              <w:rPr>
                <w:color w:val="auto"/>
                <w:highlight w:val="none"/>
              </w:rPr>
              <w:t>的答复不满意，可向行政监督部门投诉。</w:t>
            </w:r>
          </w:p>
          <w:p>
            <w:pPr>
              <w:widowControl/>
              <w:spacing w:line="400" w:lineRule="exact"/>
              <w:ind w:firstLine="420" w:firstLineChars="200"/>
              <w:rPr>
                <w:color w:val="auto"/>
                <w:highlight w:val="none"/>
              </w:rPr>
            </w:pPr>
            <w:r>
              <w:rPr>
                <w:rFonts w:hint="eastAsia"/>
                <w:color w:val="auto"/>
                <w:highlight w:val="none"/>
              </w:rPr>
              <w:t>提出异议或投诉时应当包括下列内容：</w:t>
            </w:r>
          </w:p>
          <w:p>
            <w:pPr>
              <w:widowControl/>
              <w:spacing w:line="400" w:lineRule="exact"/>
              <w:ind w:firstLine="420" w:firstLineChars="200"/>
              <w:rPr>
                <w:color w:val="auto"/>
                <w:highlight w:val="none"/>
              </w:rPr>
            </w:pPr>
            <w:r>
              <w:rPr>
                <w:rFonts w:hint="eastAsia"/>
                <w:color w:val="auto"/>
                <w:highlight w:val="none"/>
              </w:rPr>
              <w:t>（1）异议</w:t>
            </w:r>
            <w:r>
              <w:rPr>
                <w:rFonts w:hint="eastAsia"/>
                <w:color w:val="auto"/>
                <w:highlight w:val="none"/>
                <w:lang w:val="en-US" w:eastAsia="zh-CN"/>
              </w:rPr>
              <w:t>人</w:t>
            </w:r>
            <w:r>
              <w:rPr>
                <w:rFonts w:hint="eastAsia"/>
                <w:color w:val="auto"/>
                <w:highlight w:val="none"/>
              </w:rPr>
              <w:t>或投诉人的名称、地址及有效联系方式；</w:t>
            </w:r>
          </w:p>
          <w:p>
            <w:pPr>
              <w:widowControl/>
              <w:spacing w:line="400" w:lineRule="exact"/>
              <w:ind w:firstLine="420" w:firstLineChars="200"/>
              <w:rPr>
                <w:color w:val="auto"/>
                <w:highlight w:val="none"/>
              </w:rPr>
            </w:pPr>
            <w:r>
              <w:rPr>
                <w:rFonts w:hint="eastAsia"/>
                <w:color w:val="auto"/>
                <w:highlight w:val="none"/>
              </w:rPr>
              <w:t>（2）被异议</w:t>
            </w:r>
            <w:r>
              <w:rPr>
                <w:rFonts w:hint="eastAsia"/>
                <w:color w:val="auto"/>
                <w:highlight w:val="none"/>
                <w:lang w:val="en-US" w:eastAsia="zh-CN"/>
              </w:rPr>
              <w:t>人</w:t>
            </w:r>
            <w:r>
              <w:rPr>
                <w:rFonts w:hint="eastAsia"/>
                <w:color w:val="auto"/>
                <w:highlight w:val="none"/>
              </w:rPr>
              <w:t>或</w:t>
            </w:r>
            <w:r>
              <w:rPr>
                <w:rFonts w:hint="eastAsia"/>
                <w:color w:val="auto"/>
                <w:highlight w:val="none"/>
                <w:lang w:val="en-US" w:eastAsia="zh-CN"/>
              </w:rPr>
              <w:t>被</w:t>
            </w:r>
            <w:r>
              <w:rPr>
                <w:rFonts w:hint="eastAsia"/>
                <w:color w:val="auto"/>
                <w:highlight w:val="none"/>
              </w:rPr>
              <w:t>投诉人的名称、地址及有效联系方式；</w:t>
            </w:r>
          </w:p>
          <w:p>
            <w:pPr>
              <w:widowControl/>
              <w:spacing w:line="400" w:lineRule="exact"/>
              <w:ind w:firstLine="420" w:firstLineChars="200"/>
              <w:rPr>
                <w:color w:val="auto"/>
                <w:highlight w:val="none"/>
              </w:rPr>
            </w:pPr>
            <w:r>
              <w:rPr>
                <w:rFonts w:hint="eastAsia"/>
                <w:color w:val="auto"/>
                <w:highlight w:val="none"/>
              </w:rPr>
              <w:t>（3）异议或投诉事项的基本事实；</w:t>
            </w:r>
          </w:p>
          <w:p>
            <w:pPr>
              <w:widowControl/>
              <w:spacing w:line="400" w:lineRule="exact"/>
              <w:ind w:firstLine="420" w:firstLineChars="200"/>
              <w:rPr>
                <w:color w:val="auto"/>
                <w:highlight w:val="none"/>
              </w:rPr>
            </w:pPr>
            <w:r>
              <w:rPr>
                <w:rFonts w:hint="eastAsia"/>
                <w:color w:val="auto"/>
                <w:highlight w:val="none"/>
              </w:rPr>
              <w:t>（4）请求及主张；</w:t>
            </w:r>
          </w:p>
          <w:p>
            <w:pPr>
              <w:widowControl/>
              <w:spacing w:line="400" w:lineRule="exact"/>
              <w:ind w:firstLine="420" w:firstLineChars="200"/>
              <w:rPr>
                <w:color w:val="auto"/>
                <w:highlight w:val="none"/>
              </w:rPr>
            </w:pPr>
            <w:r>
              <w:rPr>
                <w:rFonts w:hint="eastAsia"/>
                <w:color w:val="auto"/>
                <w:highlight w:val="none"/>
              </w:rPr>
              <w:t>（5）涉及事项的证据、证明材料。</w:t>
            </w:r>
          </w:p>
          <w:p>
            <w:pPr>
              <w:widowControl/>
              <w:spacing w:line="400" w:lineRule="exact"/>
              <w:ind w:firstLine="420" w:firstLineChars="200"/>
              <w:rPr>
                <w:color w:val="auto"/>
                <w:highlight w:val="none"/>
              </w:rPr>
            </w:pPr>
            <w:r>
              <w:rPr>
                <w:rFonts w:hint="eastAsia"/>
                <w:color w:val="auto"/>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pPr>
              <w:widowControl/>
              <w:spacing w:line="400" w:lineRule="exact"/>
              <w:ind w:firstLine="420" w:firstLineChars="200"/>
              <w:rPr>
                <w:color w:val="auto"/>
                <w:highlight w:val="none"/>
              </w:rPr>
            </w:pPr>
            <w:r>
              <w:rPr>
                <w:color w:val="auto"/>
                <w:highlight w:val="none"/>
              </w:rPr>
              <w:t>2.</w:t>
            </w:r>
            <w:r>
              <w:rPr>
                <w:rFonts w:hint="eastAsia"/>
                <w:color w:val="auto"/>
                <w:highlight w:val="none"/>
              </w:rPr>
              <w:t xml:space="preserve"> </w:t>
            </w:r>
            <w:r>
              <w:rPr>
                <w:color w:val="auto"/>
                <w:highlight w:val="none"/>
              </w:rPr>
              <w:t>行政监督部门依照《</w:t>
            </w:r>
            <w:r>
              <w:rPr>
                <w:rFonts w:hint="eastAsia"/>
                <w:color w:val="auto"/>
                <w:highlight w:val="none"/>
              </w:rPr>
              <w:t>中华人民共和国</w:t>
            </w:r>
            <w:r>
              <w:rPr>
                <w:color w:val="auto"/>
                <w:highlight w:val="none"/>
              </w:rPr>
              <w:t>招标投标法》、《</w:t>
            </w:r>
            <w:r>
              <w:rPr>
                <w:rFonts w:hint="eastAsia"/>
                <w:color w:val="auto"/>
                <w:highlight w:val="none"/>
              </w:rPr>
              <w:t>中华人民共和国</w:t>
            </w:r>
            <w:r>
              <w:rPr>
                <w:color w:val="auto"/>
                <w:highlight w:val="none"/>
              </w:rPr>
              <w:t>招标投标法实施条例》、《重庆市招标投标条例》、《工程建设项目招标投标活动投诉处理办法》（七部委令第11号（根据九部门2013年第23号令修正））、</w:t>
            </w:r>
            <w:r>
              <w:rPr>
                <w:rFonts w:hint="eastAsia"/>
                <w:color w:val="auto"/>
                <w:highlight w:val="none"/>
              </w:rPr>
              <w:t>《关于印发&lt;重庆市招标投标活动投诉处理实施细则（修订）&gt;的通知》（渝公管发〔2021〕54号）</w:t>
            </w:r>
            <w:r>
              <w:rPr>
                <w:color w:val="auto"/>
                <w:highlight w:val="none"/>
              </w:rPr>
              <w:t>等法律法规文件处理投诉。</w:t>
            </w:r>
          </w:p>
          <w:p>
            <w:pPr>
              <w:snapToGrid w:val="0"/>
              <w:spacing w:after="124" w:afterLines="40" w:line="400" w:lineRule="exact"/>
              <w:ind w:firstLine="420" w:firstLineChars="200"/>
              <w:rPr>
                <w:color w:val="auto"/>
                <w:highlight w:val="none"/>
              </w:rPr>
            </w:pPr>
            <w:r>
              <w:rPr>
                <w:rFonts w:hint="eastAsia"/>
                <w:color w:val="auto"/>
                <w:highlight w:val="none"/>
              </w:rPr>
              <w:t>3. 根据《重庆市工程建设领域招标投标信用管理暂行办法》的规定，</w:t>
            </w:r>
            <w:r>
              <w:rPr>
                <w:rFonts w:hint="eastAsia"/>
                <w:color w:val="auto"/>
                <w:highlight w:val="none"/>
                <w:lang w:eastAsia="zh-CN"/>
              </w:rPr>
              <w:t>竞选人</w:t>
            </w:r>
            <w:r>
              <w:rPr>
                <w:rFonts w:hint="eastAsia"/>
                <w:color w:val="auto"/>
                <w:highlight w:val="none"/>
              </w:rPr>
              <w:t>捏造事实、伪造材料，或者以非法手段获取证明材料进行质疑或者投诉的，将被列入黑名单管理；</w:t>
            </w:r>
            <w:r>
              <w:rPr>
                <w:color w:val="auto"/>
                <w:highlight w:val="none"/>
              </w:rPr>
              <w:t>给他人造成损失的，依法承担赔偿责任。</w:t>
            </w:r>
          </w:p>
          <w:p>
            <w:pPr>
              <w:widowControl/>
              <w:spacing w:line="400" w:lineRule="exact"/>
              <w:ind w:firstLine="420" w:firstLineChars="200"/>
              <w:rPr>
                <w:rFonts w:hint="default"/>
                <w:color w:val="auto"/>
                <w:highlight w:val="none"/>
                <w:lang w:val="en-US"/>
              </w:rPr>
            </w:pPr>
            <w:r>
              <w:rPr>
                <w:rFonts w:hint="eastAsia"/>
                <w:color w:val="auto"/>
                <w:highlight w:val="none"/>
              </w:rPr>
              <w:t>4.异议受理单位：</w:t>
            </w:r>
            <w:r>
              <w:rPr>
                <w:rFonts w:hint="eastAsia"/>
                <w:color w:val="auto"/>
                <w:highlight w:val="none"/>
                <w:lang w:eastAsia="zh-CN"/>
              </w:rPr>
              <w:t>重庆经开区投资集团有限公司成本管理部</w:t>
            </w:r>
          </w:p>
          <w:p>
            <w:pPr>
              <w:widowControl/>
              <w:spacing w:line="400" w:lineRule="exact"/>
              <w:ind w:firstLine="630" w:firstLineChars="300"/>
              <w:rPr>
                <w:rFonts w:hint="default"/>
                <w:color w:val="auto"/>
                <w:highlight w:val="none"/>
                <w:lang w:val="en-US" w:eastAsia="zh-CN"/>
              </w:rPr>
            </w:pPr>
            <w:r>
              <w:rPr>
                <w:rFonts w:hint="eastAsia"/>
                <w:color w:val="auto"/>
                <w:highlight w:val="none"/>
              </w:rPr>
              <w:t>联系电话：</w:t>
            </w:r>
            <w:r>
              <w:rPr>
                <w:rFonts w:hint="eastAsia"/>
                <w:color w:val="auto"/>
                <w:highlight w:val="none"/>
                <w:lang w:val="en-US" w:eastAsia="zh-CN"/>
              </w:rPr>
              <w:t>62823880</w:t>
            </w:r>
          </w:p>
          <w:p>
            <w:pPr>
              <w:pStyle w:val="2"/>
              <w:rPr>
                <w:rFonts w:hint="eastAsia"/>
                <w:color w:val="auto"/>
                <w:highlight w:val="none"/>
                <w:lang w:val="en-US" w:eastAsia="zh-CN"/>
              </w:rPr>
            </w:pPr>
            <w:r>
              <w:rPr>
                <w:rFonts w:hint="eastAsia"/>
                <w:color w:val="auto"/>
                <w:highlight w:val="none"/>
                <w:lang w:val="en-US" w:eastAsia="zh-CN"/>
              </w:rPr>
              <w:t xml:space="preserve">     投诉受理单位：重庆经开区投资集团有限公司纪检室</w:t>
            </w:r>
          </w:p>
          <w:p>
            <w:pPr>
              <w:ind w:firstLine="630" w:firstLineChars="300"/>
              <w:rPr>
                <w:rFonts w:hint="default"/>
                <w:color w:val="auto"/>
                <w:highlight w:val="none"/>
                <w:lang w:val="en-US" w:eastAsia="zh-CN"/>
              </w:rPr>
            </w:pPr>
            <w:r>
              <w:rPr>
                <w:rFonts w:hint="default"/>
                <w:color w:val="auto"/>
                <w:highlight w:val="none"/>
                <w:lang w:val="en-US" w:eastAsia="zh-CN"/>
              </w:rPr>
              <w:t>联系电话：62637528</w:t>
            </w:r>
            <w:r>
              <w:rPr>
                <w:rFonts w:hint="eastAsia" w:ascii="宋体" w:hAnsi="宋体"/>
                <w:color w:val="auto"/>
                <w:kern w:val="0"/>
                <w:szCs w:val="21"/>
                <w:highlight w:val="none"/>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3</w:t>
            </w:r>
          </w:p>
        </w:tc>
        <w:tc>
          <w:tcPr>
            <w:tcW w:w="1644"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关于对招标文件及投标争议的解释</w:t>
            </w:r>
          </w:p>
        </w:tc>
        <w:tc>
          <w:tcPr>
            <w:tcW w:w="6490" w:type="dxa"/>
            <w:vAlign w:val="center"/>
          </w:tcPr>
          <w:p>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对资格预审文件或者招标文件的评标标准和方法，以及资格审查和否决投标条款理解有争议的，应当作出不利于</w:t>
            </w:r>
            <w:r>
              <w:rPr>
                <w:rFonts w:hint="eastAsia" w:ascii="宋体" w:hAnsi="宋体"/>
                <w:color w:val="auto"/>
                <w:kern w:val="0"/>
                <w:szCs w:val="21"/>
                <w:highlight w:val="none"/>
                <w:lang w:eastAsia="zh-CN"/>
              </w:rPr>
              <w:t>比选人</w:t>
            </w:r>
            <w:r>
              <w:rPr>
                <w:rFonts w:hint="eastAsia" w:ascii="宋体" w:hAnsi="宋体"/>
                <w:color w:val="auto"/>
                <w:kern w:val="0"/>
                <w:szCs w:val="21"/>
                <w:highlight w:val="none"/>
              </w:rPr>
              <w:t>的解释，但违背国家利益、社会公共利益的除外。</w:t>
            </w:r>
          </w:p>
          <w:p>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理解有争议的，应当作出不利于提交该</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的</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的解释。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restart"/>
            <w:vAlign w:val="center"/>
          </w:tcPr>
          <w:p>
            <w:pPr>
              <w:snapToGrid w:val="0"/>
              <w:spacing w:line="400" w:lineRule="exact"/>
              <w:jc w:val="center"/>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4</w:t>
            </w:r>
          </w:p>
        </w:tc>
        <w:tc>
          <w:tcPr>
            <w:tcW w:w="1644" w:type="dxa"/>
            <w:vMerge w:val="restart"/>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其他</w:t>
            </w:r>
          </w:p>
        </w:tc>
        <w:tc>
          <w:tcPr>
            <w:tcW w:w="6490" w:type="dxa"/>
            <w:vAlign w:val="center"/>
          </w:tcPr>
          <w:p>
            <w:pPr>
              <w:autoSpaceDE w:val="0"/>
              <w:autoSpaceDN w:val="0"/>
              <w:adjustRightInd w:val="0"/>
              <w:snapToGrid w:val="0"/>
              <w:spacing w:line="40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lang w:val="en-US" w:eastAsia="zh-CN"/>
              </w:rPr>
              <w:t>项目招标</w:t>
            </w:r>
            <w:r>
              <w:rPr>
                <w:rFonts w:hint="eastAsia" w:ascii="宋体" w:hAnsi="宋体" w:eastAsia="宋体" w:cs="Times New Roman"/>
                <w:color w:val="auto"/>
                <w:kern w:val="0"/>
                <w:szCs w:val="21"/>
                <w:highlight w:val="none"/>
              </w:rPr>
              <w:t>代理费</w:t>
            </w:r>
            <w:r>
              <w:rPr>
                <w:rFonts w:hint="eastAsia" w:ascii="宋体" w:hAnsi="宋体" w:cs="Times New Roman"/>
                <w:color w:val="auto"/>
                <w:kern w:val="0"/>
                <w:szCs w:val="21"/>
                <w:highlight w:val="none"/>
                <w:lang w:eastAsia="zh-CN"/>
              </w:rPr>
              <w:t>按照招标代理合同中规定的</w:t>
            </w:r>
            <w:r>
              <w:rPr>
                <w:rFonts w:hint="eastAsia" w:ascii="宋体" w:hAnsi="宋体" w:cs="Times New Roman"/>
                <w:color w:val="auto"/>
                <w:kern w:val="0"/>
                <w:szCs w:val="21"/>
                <w:highlight w:val="none"/>
                <w:lang w:val="en-US" w:eastAsia="zh-CN"/>
              </w:rPr>
              <w:t>陆仟陆佰元记取，</w:t>
            </w:r>
            <w:r>
              <w:rPr>
                <w:rFonts w:hint="eastAsia" w:ascii="宋体" w:hAnsi="宋体" w:eastAsia="宋体" w:cs="Times New Roman"/>
                <w:color w:val="auto"/>
                <w:kern w:val="0"/>
                <w:szCs w:val="21"/>
                <w:highlight w:val="none"/>
              </w:rPr>
              <w:t>中标单位在领取中标通知书时一次性向招标代理公司支付。</w:t>
            </w:r>
          </w:p>
          <w:p>
            <w:pPr>
              <w:autoSpaceDE w:val="0"/>
              <w:autoSpaceDN w:val="0"/>
              <w:adjustRightInd w:val="0"/>
              <w:snapToGrid w:val="0"/>
              <w:spacing w:line="40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该费用竞标人自行考虑在竞标报价中，比选人不单独支付费用。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continue"/>
            <w:vAlign w:val="center"/>
          </w:tcPr>
          <w:p>
            <w:pPr>
              <w:snapToGrid w:val="0"/>
              <w:spacing w:line="400" w:lineRule="exact"/>
              <w:jc w:val="center"/>
              <w:rPr>
                <w:rFonts w:hint="eastAsia" w:ascii="宋体" w:hAnsi="宋体"/>
                <w:color w:val="auto"/>
                <w:kern w:val="0"/>
                <w:szCs w:val="21"/>
                <w:highlight w:val="none"/>
              </w:rPr>
            </w:pPr>
            <w:bookmarkStart w:id="111" w:name="_Toc287607746"/>
            <w:bookmarkStart w:id="112" w:name="_Toc277082552"/>
            <w:bookmarkStart w:id="113" w:name="_Toc200513126"/>
            <w:bookmarkStart w:id="114" w:name="_Toc430530435"/>
            <w:bookmarkStart w:id="115" w:name="_Toc224103317"/>
            <w:bookmarkStart w:id="116" w:name="_Toc287620685"/>
          </w:p>
        </w:tc>
        <w:tc>
          <w:tcPr>
            <w:tcW w:w="1644" w:type="dxa"/>
            <w:vMerge w:val="continue"/>
            <w:vAlign w:val="center"/>
          </w:tcPr>
          <w:p>
            <w:pPr>
              <w:snapToGrid w:val="0"/>
              <w:spacing w:line="400" w:lineRule="exact"/>
              <w:jc w:val="center"/>
              <w:rPr>
                <w:rFonts w:hint="eastAsia" w:ascii="宋体" w:hAnsi="宋体"/>
                <w:color w:val="auto"/>
                <w:kern w:val="0"/>
                <w:szCs w:val="21"/>
                <w:highlight w:val="none"/>
              </w:rPr>
            </w:pPr>
          </w:p>
        </w:tc>
        <w:tc>
          <w:tcPr>
            <w:tcW w:w="6490" w:type="dxa"/>
            <w:vAlign w:val="center"/>
          </w:tcPr>
          <w:p>
            <w:pPr>
              <w:autoSpaceDE w:val="0"/>
              <w:autoSpaceDN w:val="0"/>
              <w:adjustRightInd w:val="0"/>
              <w:snapToGrid w:val="0"/>
              <w:spacing w:line="40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比选文件每套售价</w:t>
            </w:r>
            <w:r>
              <w:rPr>
                <w:rFonts w:hint="eastAsia" w:ascii="宋体" w:hAnsi="宋体" w:cs="Times New Roman"/>
                <w:color w:val="auto"/>
                <w:kern w:val="0"/>
                <w:szCs w:val="21"/>
                <w:highlight w:val="none"/>
                <w:lang w:val="en-US" w:eastAsia="zh-CN"/>
              </w:rPr>
              <w:t>500</w:t>
            </w:r>
            <w:r>
              <w:rPr>
                <w:rFonts w:hint="eastAsia" w:ascii="宋体" w:hAnsi="宋体" w:eastAsia="宋体" w:cs="Times New Roman"/>
                <w:color w:val="auto"/>
                <w:kern w:val="0"/>
                <w:szCs w:val="21"/>
                <w:highlight w:val="none"/>
              </w:rPr>
              <w:t>元，售后不退。投标人递交投标文件时支付比选文件的费用，否则比选人和比选代理机构将不予接收其投标文件。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5</w:t>
            </w:r>
          </w:p>
        </w:tc>
        <w:tc>
          <w:tcPr>
            <w:tcW w:w="1644"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低价风险担保</w:t>
            </w:r>
          </w:p>
          <w:p>
            <w:pPr>
              <w:snapToGrid w:val="0"/>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（采用经评审的最低投标价法适用）</w:t>
            </w:r>
          </w:p>
        </w:tc>
        <w:tc>
          <w:tcPr>
            <w:tcW w:w="6490" w:type="dxa"/>
            <w:vAlign w:val="center"/>
          </w:tcPr>
          <w:p>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1、低价风险担保：中标价低于最高限价的85%时提供，如不按时足额提供，视为中标人放弃中标，招标人有权不退还其投标保证金，</w:t>
            </w:r>
            <w:r>
              <w:rPr>
                <w:rFonts w:hint="eastAsia" w:asciiTheme="minorEastAsia" w:hAnsiTheme="minorEastAsia" w:eastAsiaTheme="minorEastAsia" w:cstheme="minorEastAsia"/>
                <w:color w:val="auto"/>
                <w:sz w:val="21"/>
                <w:szCs w:val="21"/>
                <w:highlight w:val="none"/>
              </w:rPr>
              <w:t>并报招标投标行政监督部门按照信用管理办法的规定处理，对中标人的不良行为直接记12分，纳入重点关注名单。若投标人为联合体，由联合体牵头人或按照联合体协议的约定提交低价风险担保</w:t>
            </w:r>
            <w:r>
              <w:rPr>
                <w:rFonts w:hint="eastAsia" w:asciiTheme="minorEastAsia" w:hAnsiTheme="minorEastAsia" w:eastAsiaTheme="minorEastAsia" w:cstheme="minorEastAsia"/>
                <w:color w:val="auto"/>
                <w:kern w:val="0"/>
                <w:sz w:val="21"/>
                <w:szCs w:val="21"/>
                <w:highlight w:val="none"/>
              </w:rPr>
              <w:t>。</w:t>
            </w:r>
          </w:p>
          <w:p>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2、中标人提供低价风险担保的形式、金额及期限：</w:t>
            </w:r>
          </w:p>
          <w:p>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（1）低价风险担保的形式：现金或银行保函</w:t>
            </w:r>
            <w:r>
              <w:rPr>
                <w:rFonts w:hint="eastAsia" w:asciiTheme="minorEastAsia" w:hAnsiTheme="minorEastAsia" w:eastAsiaTheme="minorEastAsia" w:cstheme="minorEastAsia"/>
                <w:color w:val="auto"/>
                <w:sz w:val="21"/>
                <w:szCs w:val="21"/>
                <w:highlight w:val="none"/>
              </w:rPr>
              <w:t>或现金+银行保函的组合；采用银行保函形式的，保函必须为不可撤销、不可转让且见索即付的独立保函，保函格式详见第四章合同条款及格式附件，中标人出具保函时，不得修改“低价风险担保保函”名称，也不得对低价风险担保保函示范文本中付款条件等实质性内容进行修改，否则视为不符合招标文件规定</w:t>
            </w:r>
            <w:r>
              <w:rPr>
                <w:rFonts w:hint="eastAsia" w:asciiTheme="minorEastAsia" w:hAnsiTheme="minorEastAsia" w:eastAsiaTheme="minorEastAsia" w:cstheme="minorEastAsia"/>
                <w:color w:val="auto"/>
                <w:kern w:val="0"/>
                <w:sz w:val="21"/>
                <w:szCs w:val="21"/>
                <w:highlight w:val="none"/>
              </w:rPr>
              <w:t>。</w:t>
            </w:r>
          </w:p>
          <w:p>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（2）低价风险担保的金额：（最高限价×85%-中标价）×</w:t>
            </w:r>
            <w:r>
              <w:rPr>
                <w:rFonts w:hint="eastAsia" w:asciiTheme="minorEastAsia" w:hAnsiTheme="minorEastAsia" w:eastAsiaTheme="minorEastAsia" w:cstheme="minorEastAsia"/>
                <w:color w:val="auto"/>
                <w:kern w:val="0"/>
                <w:sz w:val="21"/>
                <w:szCs w:val="21"/>
                <w:highlight w:val="none"/>
                <w:lang w:val="en-US" w:eastAsia="zh-CN"/>
              </w:rPr>
              <w:t>3</w:t>
            </w:r>
            <w:r>
              <w:rPr>
                <w:rStyle w:val="54"/>
                <w:rFonts w:hint="eastAsia" w:asciiTheme="minorEastAsia" w:hAnsiTheme="minorEastAsia" w:eastAsiaTheme="minorEastAsia" w:cstheme="minorEastAsia"/>
                <w:color w:val="auto"/>
                <w:sz w:val="21"/>
                <w:szCs w:val="21"/>
                <w:highlight w:val="none"/>
              </w:rPr>
              <w:t>，且最高不超过最高限价的85%，</w:t>
            </w:r>
          </w:p>
          <w:p>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（3）低价风险担保送达招标人的时间：</w:t>
            </w:r>
            <w:r>
              <w:rPr>
                <w:rFonts w:hint="eastAsia" w:asciiTheme="minorEastAsia" w:hAnsiTheme="minorEastAsia" w:eastAsiaTheme="minorEastAsia" w:cstheme="minorEastAsia"/>
                <w:color w:val="auto"/>
                <w:sz w:val="21"/>
                <w:szCs w:val="21"/>
                <w:highlight w:val="none"/>
              </w:rPr>
              <w:t>从招标人中标通知书送达拟中标人之日起</w:t>
            </w:r>
            <w:r>
              <w:rPr>
                <w:rFonts w:hint="eastAsia" w:asciiTheme="minorEastAsia" w:hAnsiTheme="minorEastAsia" w:eastAsiaTheme="minorEastAsia" w:cstheme="minorEastAsia"/>
                <w:color w:val="auto"/>
                <w:sz w:val="21"/>
                <w:szCs w:val="21"/>
                <w:highlight w:val="none"/>
                <w:u w:val="single"/>
                <w:lang w:val="en-US" w:eastAsia="zh-CN"/>
              </w:rPr>
              <w:t>15</w:t>
            </w:r>
            <w:r>
              <w:rPr>
                <w:rFonts w:hint="eastAsia" w:asciiTheme="minorEastAsia" w:hAnsiTheme="minorEastAsia" w:eastAsiaTheme="minorEastAsia" w:cstheme="minorEastAsia"/>
                <w:color w:val="auto"/>
                <w:sz w:val="21"/>
                <w:szCs w:val="21"/>
                <w:highlight w:val="none"/>
              </w:rPr>
              <w:t>工作日内</w:t>
            </w:r>
            <w:r>
              <w:rPr>
                <w:rFonts w:hint="eastAsia" w:asciiTheme="minorEastAsia" w:hAnsiTheme="minorEastAsia" w:eastAsiaTheme="minorEastAsia" w:cstheme="minorEastAsia"/>
                <w:color w:val="auto"/>
                <w:kern w:val="0"/>
                <w:sz w:val="21"/>
                <w:szCs w:val="21"/>
                <w:highlight w:val="none"/>
              </w:rPr>
              <w:t>；</w:t>
            </w:r>
          </w:p>
          <w:p>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（4）中标人因自身原因未按中标通知书规定的时限与招标人签订合同的，招标人有权扣除其低价风险担保并取消中标资格。</w:t>
            </w:r>
          </w:p>
          <w:p>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（5）低价风险担保的期限：</w:t>
            </w:r>
            <w:r>
              <w:rPr>
                <w:rFonts w:hint="eastAsia" w:asciiTheme="minorEastAsia" w:hAnsiTheme="minorEastAsia" w:eastAsiaTheme="minorEastAsia" w:cstheme="minorEastAsia"/>
                <w:color w:val="auto"/>
                <w:kern w:val="0"/>
                <w:sz w:val="21"/>
                <w:szCs w:val="21"/>
                <w:highlight w:val="none"/>
                <w:u w:val="single"/>
              </w:rPr>
              <w:t>自低价风险担保生效之日起至竣工验收合格之日止</w:t>
            </w:r>
            <w:r>
              <w:rPr>
                <w:rFonts w:hint="eastAsia" w:asciiTheme="minorEastAsia" w:hAnsiTheme="minorEastAsia" w:eastAsiaTheme="minorEastAsia" w:cstheme="minorEastAsia"/>
                <w:color w:val="auto"/>
                <w:kern w:val="0"/>
                <w:sz w:val="21"/>
                <w:szCs w:val="21"/>
                <w:highlight w:val="none"/>
              </w:rPr>
              <w:t>。</w:t>
            </w:r>
          </w:p>
          <w:p>
            <w:pPr>
              <w:widowControl/>
              <w:spacing w:line="40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3、低价风险担保的退还时间：见专用合同条款。</w:t>
            </w:r>
          </w:p>
          <w:p>
            <w:pPr>
              <w:widowControl/>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采用经评审最低投标价法的项目，拟中标人或者中标人放弃中标项目，无正当理由不与招标人签订合同，在签订合同时向招标人提出附加条件或者更改合同实质性内容，或者拒不按照招标文件规定提交低价风险担保或履约担保的，取消其中标资格，投标保证金不予退还，给招标人造成的损失超过投标保证金数额的，拟中标人或中标人应对超过部分予以赔偿。</w:t>
            </w:r>
          </w:p>
          <w:p>
            <w:pPr>
              <w:widowControl/>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备注：当中标人或拟中标人未按时提交低价风险担保，且属于可以延长低价风险担保提交期限的特殊情形时，经招标人同意，可适当延长低价风险担保的提交期限。</w:t>
            </w:r>
          </w:p>
          <w:p>
            <w:pPr>
              <w:pStyle w:val="2"/>
              <w:widowControl/>
              <w:spacing w:line="400" w:lineRule="exact"/>
              <w:ind w:firstLine="420" w:firstLineChars="200"/>
              <w:rPr>
                <w:rFonts w:hint="eastAsia" w:ascii="宋体" w:hAnsi="宋体" w:eastAsia="宋体" w:cs="Times New Roman"/>
                <w:color w:val="auto"/>
                <w:kern w:val="0"/>
                <w:szCs w:val="21"/>
                <w:highlight w:val="none"/>
              </w:rPr>
            </w:pPr>
            <w:r>
              <w:rPr>
                <w:rFonts w:hint="eastAsia" w:asciiTheme="minorEastAsia" w:hAnsiTheme="minorEastAsia" w:eastAsiaTheme="minorEastAsia" w:cstheme="minorEastAsia"/>
                <w:color w:val="auto"/>
                <w:sz w:val="21"/>
                <w:szCs w:val="21"/>
                <w:highlight w:val="none"/>
              </w:rPr>
              <w:t>5、投标总报价低于最高限价85%的，投标人应在编制投标文件时，在投标函部分中递交低价风险担保提交承诺书。</w:t>
            </w:r>
          </w:p>
        </w:tc>
      </w:tr>
    </w:tbl>
    <w:p>
      <w:pPr>
        <w:pStyle w:val="4"/>
        <w:spacing w:before="0" w:after="0" w:line="20" w:lineRule="exact"/>
        <w:rPr>
          <w:rFonts w:ascii="宋体" w:hAnsi="宋体"/>
          <w:b w:val="0"/>
          <w:snapToGrid w:val="0"/>
          <w:color w:val="auto"/>
          <w:highlight w:val="none"/>
        </w:rPr>
      </w:pPr>
    </w:p>
    <w:p>
      <w:pPr>
        <w:pStyle w:val="4"/>
        <w:spacing w:before="0" w:after="0" w:line="200" w:lineRule="exact"/>
        <w:rPr>
          <w:rFonts w:ascii="宋体" w:hAnsi="宋体"/>
          <w:b w:val="0"/>
          <w:snapToGrid w:val="0"/>
          <w:color w:val="auto"/>
          <w:highlight w:val="none"/>
        </w:rPr>
      </w:pPr>
      <w:r>
        <w:rPr>
          <w:rFonts w:ascii="宋体" w:hAnsi="宋体"/>
          <w:b w:val="0"/>
          <w:snapToGrid w:val="0"/>
          <w:color w:val="auto"/>
          <w:highlight w:val="none"/>
        </w:rPr>
        <w:br w:type="page"/>
      </w:r>
    </w:p>
    <w:bookmarkEnd w:id="111"/>
    <w:bookmarkEnd w:id="112"/>
    <w:bookmarkEnd w:id="113"/>
    <w:bookmarkEnd w:id="114"/>
    <w:bookmarkEnd w:id="115"/>
    <w:bookmarkEnd w:id="116"/>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17" w:name="_Toc19245"/>
      <w:r>
        <w:rPr>
          <w:rFonts w:hint="eastAsia" w:ascii="宋体" w:hAnsi="宋体" w:eastAsia="宋体" w:cs="宋体"/>
          <w:color w:val="auto"/>
          <w:sz w:val="21"/>
          <w:szCs w:val="21"/>
          <w:highlight w:val="none"/>
        </w:rPr>
        <w:t>1.总则</w:t>
      </w:r>
      <w:bookmarkEnd w:id="117"/>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18" w:name="_Toc21199"/>
      <w:bookmarkStart w:id="119" w:name="_Toc293756837"/>
      <w:bookmarkStart w:id="120" w:name="_Toc293756840"/>
      <w:r>
        <w:rPr>
          <w:rFonts w:hint="eastAsia" w:ascii="宋体" w:hAnsi="宋体" w:eastAsia="宋体" w:cs="宋体"/>
          <w:color w:val="auto"/>
          <w:sz w:val="21"/>
          <w:szCs w:val="21"/>
          <w:highlight w:val="none"/>
        </w:rPr>
        <w:t>1.1 项目概况</w:t>
      </w:r>
      <w:bookmarkEnd w:id="118"/>
      <w:bookmarkEnd w:id="119"/>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1.1.1根据《中华人民共和国招标投标法》等有关法律、法规和规章的规定，本招标项目已具备</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条件，现对本标段施工进行</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本比选项目比选人、比选代理机构、项目名称、建设地点：见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本招标项目</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本招标项目名称：见投标人须知前附表。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本招标项目建设地点：见投标人须知前附表。</w:t>
      </w:r>
    </w:p>
    <w:p>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ascii="宋体" w:hAnsi="宋体" w:eastAsia="宋体" w:cs="宋体"/>
          <w:color w:val="auto"/>
          <w:sz w:val="21"/>
          <w:szCs w:val="21"/>
          <w:highlight w:val="none"/>
        </w:rPr>
        <w:t>1.1.6  本招标项目建设规模：见投标人须知前附表。</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1" w:name="_Toc4852"/>
      <w:bookmarkStart w:id="122" w:name="_Toc293756838"/>
      <w:r>
        <w:rPr>
          <w:rFonts w:hint="eastAsia" w:ascii="宋体" w:hAnsi="宋体" w:eastAsia="宋体" w:cs="宋体"/>
          <w:color w:val="auto"/>
          <w:sz w:val="21"/>
          <w:szCs w:val="21"/>
          <w:highlight w:val="none"/>
        </w:rPr>
        <w:t>1.2 资金来源和落实情况</w:t>
      </w:r>
      <w:bookmarkEnd w:id="121"/>
      <w:bookmarkEnd w:id="122"/>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123" w:name="_Toc293756839"/>
      <w:r>
        <w:rPr>
          <w:rFonts w:hint="eastAsia" w:ascii="宋体" w:hAnsi="宋体" w:eastAsia="宋体" w:cs="宋体"/>
          <w:color w:val="auto"/>
          <w:sz w:val="21"/>
          <w:szCs w:val="21"/>
          <w:highlight w:val="none"/>
        </w:rPr>
        <w:t>1.2.1  本招标项目的资金来源：见投标人须知前附表。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本招标项目的出资比例：见投标人须知前附表。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本招标项目的资金落实情况：见投标人须知前附表。</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4" w:name="_Toc4633"/>
      <w:r>
        <w:rPr>
          <w:rFonts w:hint="eastAsia" w:ascii="宋体" w:hAnsi="宋体" w:eastAsia="宋体" w:cs="宋体"/>
          <w:color w:val="auto"/>
          <w:sz w:val="21"/>
          <w:szCs w:val="21"/>
          <w:highlight w:val="none"/>
        </w:rPr>
        <w:t>1.3 比选范围、计划工期和质量要求</w:t>
      </w:r>
      <w:bookmarkEnd w:id="123"/>
      <w:bookmarkEnd w:id="124"/>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1.3.1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范围：见投标人须知前附表。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计划工期：见投标人须知前附表。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质量要求：见投标人须知前附表。</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5" w:name="_Toc18399"/>
      <w:r>
        <w:rPr>
          <w:rFonts w:hint="eastAsia" w:ascii="宋体" w:hAnsi="宋体" w:eastAsia="宋体" w:cs="宋体"/>
          <w:color w:val="auto"/>
          <w:sz w:val="21"/>
          <w:szCs w:val="21"/>
          <w:highlight w:val="none"/>
        </w:rPr>
        <w:t xml:space="preserve">1.4 </w:t>
      </w:r>
      <w:bookmarkEnd w:id="120"/>
      <w:r>
        <w:rPr>
          <w:rFonts w:hint="eastAsia" w:ascii="宋体" w:hAnsi="宋体" w:eastAsia="宋体" w:cs="宋体"/>
          <w:color w:val="auto"/>
          <w:sz w:val="21"/>
          <w:szCs w:val="21"/>
          <w:highlight w:val="none"/>
          <w:lang w:eastAsia="zh-CN"/>
        </w:rPr>
        <w:t>投标人资格要求</w:t>
      </w:r>
      <w:bookmarkEnd w:id="125"/>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人应具备承担本标段施工的资质条件、能力: 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资质条件：见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（2）项目经理资格：见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（3）项目技术负责人要求：见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（4）其他主要管理人员要求：见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（5）委托代理人：见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（6）其他要求：见投标人须知前附表。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本次比选不接受联合体。</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人不得存在下列情形之一：</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（1）与</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人存在利害关系可能影响招标公正性的法人、其他组织或者个人；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（2）为本标段前期准备提供设计或咨询服务的，但设计施工总承包的除外；</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（3）为本标段的监理人；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（4）为本标段的代建人；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（5）为本标段提供</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代理服务的；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代理机构同为一个法定代表人的；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代理机构相互控股或参股的；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代理机构相互任职或工作的；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（9）被责令停业的；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（10）被国家、重庆市（含市或任意区县）有关行政部门处以暂停投标资格行政处罚，且在处罚期限内的；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（11）财产被接管或冻结的；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（12）单位负责人为同一人或者存在控股、管理关系的不同单位，不得在同一标段中同时投标。</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6" w:name="_Toc293756841"/>
      <w:bookmarkStart w:id="127" w:name="_Toc30494"/>
      <w:r>
        <w:rPr>
          <w:rFonts w:hint="eastAsia" w:ascii="宋体" w:hAnsi="宋体" w:eastAsia="宋体" w:cs="宋体"/>
          <w:color w:val="auto"/>
          <w:sz w:val="21"/>
          <w:szCs w:val="21"/>
          <w:highlight w:val="none"/>
        </w:rPr>
        <w:t>1.5 费用承担</w:t>
      </w:r>
      <w:bookmarkEnd w:id="126"/>
      <w:bookmarkEnd w:id="127"/>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人准备和参加比选活动发生的费用自理。</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8" w:name="_Toc293756842"/>
      <w:bookmarkStart w:id="129" w:name="_Toc31005"/>
      <w:r>
        <w:rPr>
          <w:rFonts w:hint="eastAsia" w:ascii="宋体" w:hAnsi="宋体" w:eastAsia="宋体" w:cs="宋体"/>
          <w:color w:val="auto"/>
          <w:sz w:val="21"/>
          <w:szCs w:val="21"/>
          <w:highlight w:val="none"/>
        </w:rPr>
        <w:t>1.6 保密</w:t>
      </w:r>
      <w:bookmarkEnd w:id="128"/>
      <w:bookmarkEnd w:id="129"/>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参与比选活动的各方应对比选文件和比选文件中的商业和技术等秘密保密，违者应对由此造成的后果承担法律责任。</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0" w:name="_Toc293756843"/>
      <w:bookmarkStart w:id="131" w:name="_Toc32669"/>
      <w:r>
        <w:rPr>
          <w:rFonts w:hint="eastAsia" w:ascii="宋体" w:hAnsi="宋体" w:eastAsia="宋体" w:cs="宋体"/>
          <w:color w:val="auto"/>
          <w:sz w:val="21"/>
          <w:szCs w:val="21"/>
          <w:highlight w:val="none"/>
        </w:rPr>
        <w:t>1.7 语言文字</w:t>
      </w:r>
      <w:bookmarkEnd w:id="130"/>
      <w:bookmarkEnd w:id="131"/>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除专用术语外，与比选有关的语言均使用中文。必要时专用术语应附有中文注释。</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2" w:name="_Toc293756844"/>
      <w:bookmarkStart w:id="133" w:name="_Toc21395"/>
      <w:r>
        <w:rPr>
          <w:rFonts w:hint="eastAsia" w:ascii="宋体" w:hAnsi="宋体" w:eastAsia="宋体" w:cs="宋体"/>
          <w:color w:val="auto"/>
          <w:sz w:val="21"/>
          <w:szCs w:val="21"/>
          <w:highlight w:val="none"/>
        </w:rPr>
        <w:t>1.8 计量单位</w:t>
      </w:r>
      <w:bookmarkEnd w:id="132"/>
      <w:bookmarkEnd w:id="133"/>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4" w:name="_Toc293756845"/>
      <w:bookmarkStart w:id="135" w:name="_Toc14978"/>
      <w:r>
        <w:rPr>
          <w:rFonts w:hint="eastAsia" w:ascii="宋体" w:hAnsi="宋体" w:eastAsia="宋体" w:cs="宋体"/>
          <w:color w:val="auto"/>
          <w:sz w:val="21"/>
          <w:szCs w:val="21"/>
          <w:highlight w:val="none"/>
        </w:rPr>
        <w:t>1.9 踏勘现场</w:t>
      </w:r>
      <w:bookmarkEnd w:id="134"/>
      <w:bookmarkEnd w:id="135"/>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  投标人须知前附表规定组织踏勘现场的，</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按投标人须知前附表规定的时间、 地点组织投标人踏勘项目现场。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投标人踏勘现场发生的费用自理。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  除</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人的原因外，投标人自行负责在踏勘现场中所发生的人员伤亡和财产损失。</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1.9.4  </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人在踏勘现场中介绍的工程场地和相关的周边环境情况，供投标人在编制投标文件时参考，</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人不对投标人据此做出的判断和决策负责。</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6" w:name="_Toc293756846"/>
      <w:bookmarkStart w:id="137" w:name="_Toc20910"/>
      <w:r>
        <w:rPr>
          <w:rFonts w:hint="eastAsia" w:ascii="宋体" w:hAnsi="宋体" w:eastAsia="宋体" w:cs="宋体"/>
          <w:color w:val="auto"/>
          <w:sz w:val="21"/>
          <w:szCs w:val="21"/>
          <w:highlight w:val="none"/>
        </w:rPr>
        <w:t>1.10 比选预备会</w:t>
      </w:r>
      <w:bookmarkEnd w:id="136"/>
      <w:bookmarkEnd w:id="137"/>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1.10.1  投标人须知前附表规定召开投标预备会的，</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按投标人须知前附表规定的时间和地点召开投标预备会，澄清投标人提出的问题。</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1.10.2  投标人应在投标人须知前附表</w:t>
      </w:r>
      <w:r>
        <w:rPr>
          <w:rFonts w:hint="eastAsia" w:ascii="宋体" w:hAnsi="宋体" w:eastAsia="宋体" w:cs="宋体"/>
          <w:color w:val="auto"/>
          <w:kern w:val="0"/>
          <w:sz w:val="21"/>
          <w:szCs w:val="21"/>
          <w:highlight w:val="none"/>
        </w:rPr>
        <w:t>2.2.4</w:t>
      </w:r>
      <w:r>
        <w:rPr>
          <w:rFonts w:hint="eastAsia" w:ascii="宋体" w:hAnsi="宋体" w:eastAsia="宋体" w:cs="宋体"/>
          <w:snapToGrid w:val="0"/>
          <w:color w:val="auto"/>
          <w:kern w:val="0"/>
          <w:sz w:val="21"/>
          <w:szCs w:val="21"/>
          <w:highlight w:val="none"/>
        </w:rPr>
        <w:t>规定的时间前，以书面形式将提出的问题送达</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，以便</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澄清。</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1.10.3  </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在投标人须知前附表规定的时间内，将对投标人所提</w:t>
      </w:r>
      <w:r>
        <w:rPr>
          <w:rFonts w:hint="eastAsia" w:ascii="宋体" w:hAnsi="宋体" w:eastAsia="宋体" w:cs="宋体"/>
          <w:snapToGrid w:val="0"/>
          <w:color w:val="auto"/>
          <w:kern w:val="0"/>
          <w:position w:val="-2"/>
          <w:sz w:val="21"/>
          <w:szCs w:val="21"/>
          <w:highlight w:val="none"/>
        </w:rPr>
        <w:t>的</w:t>
      </w:r>
      <w:r>
        <w:rPr>
          <w:rFonts w:hint="eastAsia" w:ascii="宋体" w:hAnsi="宋体" w:eastAsia="宋体" w:cs="宋体"/>
          <w:snapToGrid w:val="0"/>
          <w:color w:val="auto"/>
          <w:kern w:val="0"/>
          <w:sz w:val="21"/>
          <w:szCs w:val="21"/>
          <w:highlight w:val="none"/>
        </w:rPr>
        <w:t>问题</w:t>
      </w:r>
      <w:r>
        <w:rPr>
          <w:rFonts w:hint="eastAsia" w:ascii="宋体" w:hAnsi="宋体" w:eastAsia="宋体" w:cs="宋体"/>
          <w:snapToGrid w:val="0"/>
          <w:color w:val="auto"/>
          <w:kern w:val="0"/>
          <w:position w:val="-2"/>
          <w:sz w:val="21"/>
          <w:szCs w:val="21"/>
          <w:highlight w:val="none"/>
        </w:rPr>
        <w:t>进行澄清。该澄清内容为</w:t>
      </w:r>
      <w:r>
        <w:rPr>
          <w:rFonts w:hint="eastAsia" w:ascii="宋体" w:hAnsi="宋体" w:eastAsia="宋体" w:cs="宋体"/>
          <w:snapToGrid w:val="0"/>
          <w:color w:val="auto"/>
          <w:kern w:val="0"/>
          <w:position w:val="-2"/>
          <w:sz w:val="21"/>
          <w:szCs w:val="21"/>
          <w:highlight w:val="none"/>
          <w:lang w:val="en-US" w:eastAsia="zh-CN"/>
        </w:rPr>
        <w:t>比选</w:t>
      </w:r>
      <w:r>
        <w:rPr>
          <w:rFonts w:hint="eastAsia" w:ascii="宋体" w:hAnsi="宋体" w:eastAsia="宋体" w:cs="宋体"/>
          <w:snapToGrid w:val="0"/>
          <w:color w:val="auto"/>
          <w:kern w:val="0"/>
          <w:position w:val="-2"/>
          <w:sz w:val="21"/>
          <w:szCs w:val="21"/>
          <w:highlight w:val="none"/>
        </w:rPr>
        <w:t>文件的组成部分。</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8" w:name="_Toc293756847"/>
      <w:bookmarkStart w:id="139" w:name="_Toc2799"/>
      <w:r>
        <w:rPr>
          <w:rFonts w:hint="eastAsia" w:ascii="宋体" w:hAnsi="宋体" w:eastAsia="宋体" w:cs="宋体"/>
          <w:color w:val="auto"/>
          <w:sz w:val="21"/>
          <w:szCs w:val="21"/>
          <w:highlight w:val="none"/>
        </w:rPr>
        <w:t>1.11 分包</w:t>
      </w:r>
      <w:bookmarkEnd w:id="138"/>
      <w:bookmarkEnd w:id="139"/>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投标人拟在中标后将中标项目的部分非主体、非关键性工作进行分包的，应符合投标人须知前附表规定的分包内容、分包金额和接受分包的第三人资质要求等限制性条件。</w:t>
      </w:r>
    </w:p>
    <w:p>
      <w:pPr>
        <w:pageBreakBefore w:val="0"/>
        <w:kinsoku/>
        <w:wordWrap/>
        <w:overflowPunct/>
        <w:topLinePunct w:val="0"/>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1.12 偏离</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投标人须知前附表允许投标文件偏离</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文件某些要求的，偏离应当符合</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文件规定的偏离范围和幅度。</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0" w:name="_Toc31437"/>
      <w:r>
        <w:rPr>
          <w:rFonts w:hint="eastAsia" w:ascii="宋体" w:hAnsi="宋体" w:eastAsia="宋体" w:cs="宋体"/>
          <w:color w:val="auto"/>
          <w:sz w:val="21"/>
          <w:szCs w:val="21"/>
          <w:highlight w:val="none"/>
        </w:rPr>
        <w:t>2.比选文件</w:t>
      </w:r>
      <w:bookmarkEnd w:id="140"/>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1" w:name="_Toc293756848"/>
      <w:bookmarkStart w:id="142" w:name="_Toc20611"/>
      <w:r>
        <w:rPr>
          <w:rFonts w:hint="eastAsia" w:ascii="宋体" w:hAnsi="宋体" w:eastAsia="宋体" w:cs="宋体"/>
          <w:color w:val="auto"/>
          <w:sz w:val="21"/>
          <w:szCs w:val="21"/>
          <w:highlight w:val="none"/>
        </w:rPr>
        <w:t>2.1比选文件的组成</w:t>
      </w:r>
      <w:bookmarkEnd w:id="141"/>
      <w:bookmarkEnd w:id="142"/>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本比选文件包括：</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公告；</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（2）投标人须知；</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（3）评标办法；</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（4）合同条款及格式；</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（5）工程量清单；</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（6）图纸；</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（7）技术标准和要求；</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（8）投标文件格式；</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（9）投标人须知前附表规定的其他材料。</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根据本章第1.10 款、第2.2 款和第2.3 款对比选文件所作的澄清、修改，构成比选文件的组成部分。</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3" w:name="_Toc293756849"/>
      <w:bookmarkStart w:id="144" w:name="_Toc14050"/>
      <w:r>
        <w:rPr>
          <w:rFonts w:hint="eastAsia" w:ascii="宋体" w:hAnsi="宋体" w:eastAsia="宋体" w:cs="宋体"/>
          <w:color w:val="auto"/>
          <w:sz w:val="21"/>
          <w:szCs w:val="21"/>
          <w:highlight w:val="none"/>
        </w:rPr>
        <w:t>2.2比选文件的澄清</w:t>
      </w:r>
      <w:bookmarkEnd w:id="143"/>
      <w:bookmarkEnd w:id="144"/>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2.2.1 投标人应仔细阅读和检查</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文件的全部内容。如发现缺页或附件不全，应及时向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人提出，以便补齐。如有疑问，应在投标人须知前附表规定的时间前在</w:t>
      </w:r>
      <w:r>
        <w:rPr>
          <w:rFonts w:hint="eastAsia" w:ascii="宋体" w:hAnsi="宋体" w:cs="宋体"/>
          <w:color w:val="auto"/>
          <w:sz w:val="21"/>
          <w:szCs w:val="21"/>
          <w:highlight w:val="none"/>
          <w:lang w:eastAsia="zh-CN"/>
        </w:rPr>
        <w:t>重庆市公共资源交易网(www.cqggzy.com)</w:t>
      </w:r>
      <w:r>
        <w:rPr>
          <w:rFonts w:hint="eastAsia" w:ascii="宋体" w:hAnsi="宋体" w:eastAsia="宋体" w:cs="宋体"/>
          <w:color w:val="auto"/>
          <w:sz w:val="21"/>
          <w:szCs w:val="21"/>
          <w:highlight w:val="none"/>
        </w:rPr>
        <w:t>提问，要求</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人对</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文件予以澄清</w:t>
      </w:r>
      <w:r>
        <w:rPr>
          <w:rFonts w:hint="eastAsia" w:ascii="宋体" w:hAnsi="宋体" w:eastAsia="宋体" w:cs="宋体"/>
          <w:color w:val="auto"/>
          <w:sz w:val="21"/>
          <w:szCs w:val="21"/>
          <w:highlight w:val="none"/>
          <w:lang w:eastAsia="zh-CN"/>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2.2.2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文件的澄清将在投标人须知前附表规定的投标截止时间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天前在</w:t>
      </w:r>
      <w:r>
        <w:rPr>
          <w:rFonts w:hint="eastAsia" w:ascii="宋体" w:hAnsi="宋体" w:cs="宋体"/>
          <w:color w:val="auto"/>
          <w:sz w:val="21"/>
          <w:szCs w:val="21"/>
          <w:highlight w:val="none"/>
          <w:lang w:eastAsia="zh-CN"/>
        </w:rPr>
        <w:t>重庆市公共资源交易网(www.cqggzy.com)</w:t>
      </w:r>
      <w:r>
        <w:rPr>
          <w:rFonts w:hint="eastAsia" w:ascii="宋体" w:hAnsi="宋体" w:eastAsia="宋体" w:cs="宋体"/>
          <w:color w:val="auto"/>
          <w:sz w:val="21"/>
          <w:szCs w:val="21"/>
          <w:highlight w:val="none"/>
        </w:rPr>
        <w:t>发布，但不指明澄清问题的来源。如果澄清发出的时间距投标截止时间不足</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天，相应延长投标截止时间。</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2.2.3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人对</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文件的修改内容可能影响投标文件编制的，须在投标截止时间</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日前发布，发布时间至投标截止时间不足</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日的，须相应延后投标截止时间。</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5" w:name="_Toc293756850"/>
      <w:bookmarkStart w:id="146" w:name="_Toc1775"/>
      <w:r>
        <w:rPr>
          <w:rFonts w:hint="eastAsia" w:ascii="宋体" w:hAnsi="宋体" w:eastAsia="宋体" w:cs="宋体"/>
          <w:color w:val="auto"/>
          <w:sz w:val="21"/>
          <w:szCs w:val="21"/>
          <w:highlight w:val="none"/>
        </w:rPr>
        <w:t>2.3比选文件的修改</w:t>
      </w:r>
      <w:bookmarkEnd w:id="145"/>
      <w:bookmarkEnd w:id="146"/>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按照本章2.2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文件的澄清相关内容及方式执行。</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7" w:name="_Toc293756851"/>
      <w:bookmarkStart w:id="148" w:name="_Toc8256"/>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bookmarkEnd w:id="147"/>
      <w:bookmarkEnd w:id="148"/>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9" w:name="_Toc293756852"/>
      <w:bookmarkStart w:id="150" w:name="_Toc16149"/>
      <w:r>
        <w:rPr>
          <w:rFonts w:hint="eastAsia" w:ascii="宋体" w:hAnsi="宋体" w:eastAsia="宋体" w:cs="宋体"/>
          <w:color w:val="auto"/>
          <w:sz w:val="21"/>
          <w:szCs w:val="21"/>
          <w:highlight w:val="none"/>
        </w:rPr>
        <w:t xml:space="preserve">3.1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文件的组成</w:t>
      </w:r>
      <w:bookmarkEnd w:id="149"/>
      <w:bookmarkEnd w:id="150"/>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3.1.1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文件应包括下列内容：</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（1）投标函及投标函附录；</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（2）法定代表人身份证明或附有法定代表人身份证明的授权委托书；</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（3）联合体协议书（如有）；</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（4）投标保证金；</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（5）已标价工程量清单；</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（6）技术方案；</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（7）项目管理机构；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（8）拟分包项目情况表（如有）；</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（9）资格审查资料；</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（10）投标人须知前附表规定的其他材料。</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  投标人须知前附表规定不接受联合体投标的，或投标人没有组成联合体的，投标文件不包括本章第3.1.1（3）目所指的联合体协议书。</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1" w:name="_Toc19630"/>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 xml:space="preserve"> 比选</w:t>
      </w:r>
      <w:r>
        <w:rPr>
          <w:rFonts w:hint="eastAsia" w:ascii="宋体" w:hAnsi="宋体" w:eastAsia="宋体" w:cs="宋体"/>
          <w:color w:val="auto"/>
          <w:sz w:val="21"/>
          <w:szCs w:val="21"/>
          <w:highlight w:val="none"/>
        </w:rPr>
        <w:t>报价</w:t>
      </w:r>
      <w:bookmarkEnd w:id="15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投标人应按第五章“工程量清单”的要求填写相应表格。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投标人在投标截止时间前修改投标函中的投标总报价，应同时修改第五章“工程量清单”中的相应报价。此修改须符合本章第 4.3 款的有关要求。</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lang w:val="en-US" w:eastAsia="zh-CN"/>
        </w:rPr>
      </w:pPr>
      <w:bookmarkStart w:id="152" w:name="_Toc9800"/>
      <w:r>
        <w:rPr>
          <w:rFonts w:hint="eastAsia" w:ascii="宋体" w:hAnsi="宋体" w:eastAsia="宋体" w:cs="宋体"/>
          <w:color w:val="auto"/>
          <w:sz w:val="21"/>
          <w:szCs w:val="21"/>
          <w:highlight w:val="none"/>
          <w:lang w:val="en-US" w:eastAsia="zh-CN"/>
        </w:rPr>
        <w:t>3.3  投标有效期</w:t>
      </w:r>
      <w:bookmarkEnd w:id="15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在投标人须知前附表规定的投标有效期内，投标人不得要求撤销或修改其投标文件。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出现特殊情况需要延长投标有效期的，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3" w:name="_Toc293756853"/>
      <w:bookmarkStart w:id="154" w:name="_Toc4150"/>
      <w:r>
        <w:rPr>
          <w:rFonts w:hint="eastAsia" w:ascii="宋体" w:hAnsi="宋体" w:eastAsia="宋体" w:cs="宋体"/>
          <w:color w:val="auto"/>
          <w:sz w:val="21"/>
          <w:szCs w:val="21"/>
          <w:highlight w:val="none"/>
        </w:rPr>
        <w:t>3.4 比选保证金</w:t>
      </w:r>
      <w:bookmarkEnd w:id="153"/>
      <w:bookmarkEnd w:id="154"/>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人在递交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文件的同时，应按</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人须知前附表规定的比选保证金金额、比选保证金缴纳形式及要求，缴纳比选保证金，并作为其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人不按本章第3.4.1 项要求提交比选保证金的，其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文件作</w:t>
      </w:r>
      <w:r>
        <w:rPr>
          <w:rFonts w:hint="eastAsia" w:ascii="宋体" w:hAnsi="宋体" w:cs="宋体"/>
          <w:color w:val="auto"/>
          <w:sz w:val="21"/>
          <w:szCs w:val="21"/>
          <w:highlight w:val="none"/>
          <w:lang w:val="en-US" w:eastAsia="zh-CN"/>
        </w:rPr>
        <w:t>否决投标</w:t>
      </w:r>
      <w:r>
        <w:rPr>
          <w:rFonts w:hint="eastAsia" w:ascii="宋体" w:hAnsi="宋体" w:eastAsia="宋体" w:cs="宋体"/>
          <w:color w:val="auto"/>
          <w:sz w:val="21"/>
          <w:szCs w:val="21"/>
          <w:highlight w:val="none"/>
        </w:rPr>
        <w:t>处理。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3.4.3 投标保证金退还：见投标人须知前附表。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（1）投标人在规定的投标有效期内撤销或修改其投标文件；</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（2）中标人在收到中标通知书后，无正当理由拒签合同协议书或未按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文件规定提交履约担保；</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（3）违反本章9.2条对投标人的纪律要求的；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（4）法律法规和本</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文件规定的其他情形。</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3.4.5（1）投标保证金为无条件担保；</w:t>
      </w:r>
    </w:p>
    <w:p>
      <w:pPr>
        <w:pageBreakBefore w:val="0"/>
        <w:kinsoku/>
        <w:wordWrap/>
        <w:overflowPunct/>
        <w:topLinePunct w:val="0"/>
        <w:bidi w:val="0"/>
        <w:spacing w:line="360" w:lineRule="auto"/>
        <w:ind w:firstLine="1050" w:firstLineChars="5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（2）投标保证金的受益人为</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5" w:name="_Toc293756854"/>
      <w:bookmarkStart w:id="156" w:name="_Toc13417"/>
      <w:r>
        <w:rPr>
          <w:rFonts w:hint="eastAsia" w:ascii="宋体" w:hAnsi="宋体" w:eastAsia="宋体" w:cs="宋体"/>
          <w:color w:val="auto"/>
          <w:sz w:val="21"/>
          <w:szCs w:val="21"/>
          <w:highlight w:val="none"/>
        </w:rPr>
        <w:t>3.5 资格审查资料</w:t>
      </w:r>
      <w:bookmarkEnd w:id="155"/>
      <w:bookmarkEnd w:id="156"/>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投标人须在</w:t>
      </w:r>
      <w:r>
        <w:rPr>
          <w:rFonts w:hint="eastAsia" w:ascii="宋体" w:hAnsi="宋体" w:cs="宋体"/>
          <w:color w:val="auto"/>
          <w:sz w:val="21"/>
          <w:szCs w:val="21"/>
          <w:highlight w:val="none"/>
          <w:lang w:val="en-US" w:eastAsia="zh-CN"/>
        </w:rPr>
        <w:t>递交投标文件的同时</w:t>
      </w:r>
      <w:r>
        <w:rPr>
          <w:rFonts w:hint="eastAsia" w:ascii="宋体" w:hAnsi="宋体" w:eastAsia="宋体" w:cs="宋体"/>
          <w:color w:val="auto"/>
          <w:sz w:val="21"/>
          <w:szCs w:val="21"/>
          <w:highlight w:val="none"/>
        </w:rPr>
        <w:t>将投标人须知前附表1.4.1中要求的原件一次性提交，评标委员会审查时必须对有关证明和证件的原件核查，若经审查复印件与原件不一致，或未提交原件的，则投标文件作否决投标处理。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联合体投标的，详见投标人须知前附表联合体投标相关内容。</w:t>
      </w:r>
    </w:p>
    <w:p>
      <w:pPr>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3.6 备选</w:t>
      </w:r>
      <w:r>
        <w:rPr>
          <w:rFonts w:hint="eastAsia" w:ascii="宋体" w:hAnsi="宋体" w:eastAsia="宋体" w:cs="宋体"/>
          <w:b/>
          <w:color w:val="auto"/>
          <w:sz w:val="21"/>
          <w:szCs w:val="21"/>
          <w:highlight w:val="none"/>
          <w:lang w:val="en-US" w:eastAsia="zh-CN"/>
        </w:rPr>
        <w:t>比选</w:t>
      </w:r>
      <w:r>
        <w:rPr>
          <w:rFonts w:hint="eastAsia" w:ascii="宋体" w:hAnsi="宋体" w:eastAsia="宋体" w:cs="宋体"/>
          <w:b/>
          <w:color w:val="auto"/>
          <w:sz w:val="21"/>
          <w:szCs w:val="21"/>
          <w:highlight w:val="none"/>
        </w:rPr>
        <w:t>方案</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除投标人须知前附表另有规定外，投标人不得递交备选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方案。允许投标人递交备选投标方案的，只有中标人所递交的备选投标方案方可予以考虑。评标委员会认为中标人的备选投标方案优于其按照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文件要求编制的投标方案的，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人可以接受该备选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w:t>
      </w:r>
    </w:p>
    <w:p>
      <w:pPr>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3.7 </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文件的编制</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157" w:name="_Toc293756855"/>
      <w:r>
        <w:rPr>
          <w:rFonts w:hint="eastAsia" w:ascii="宋体" w:hAnsi="宋体" w:eastAsia="宋体" w:cs="宋体"/>
          <w:color w:val="auto"/>
          <w:sz w:val="21"/>
          <w:szCs w:val="21"/>
          <w:highlight w:val="none"/>
        </w:rPr>
        <w:t>3.7.1  投标文件应按第八章“投标文件格式”进行编写，如有必要，可以增加附页，作为投标文件的组成部分。其中，投标函附录在满足</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文件实质性要求的基础上，可以提出比</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文件要求更有利于</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的承诺。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3.7.2  投标文件应当对</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文件有关工期、投标有效期、质量要求、技术标准和要求、</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范围等实质性内容做出响应。</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  投标文件的签字盖章要求：按本章投标人须知前附表第3.7.3项执行。</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3.7.4  投标文件的份数见投标人须知前附表。《技术部分》不分正副本，正本和副本的封面上应清楚地标记“正本”或“副本”的字样，正本和副本封面均须加盖单位法人章，否则作否决投标处理。当副本和正本不一致时，以正本为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  投标文件的正本与副本应分别装订成册，并编制目录，具体装订要求见投标人须知前附表规定。</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8" w:name="_Toc3913"/>
      <w:r>
        <w:rPr>
          <w:rFonts w:hint="eastAsia" w:ascii="宋体" w:hAnsi="宋体" w:eastAsia="宋体" w:cs="宋体"/>
          <w:color w:val="auto"/>
          <w:sz w:val="21"/>
          <w:szCs w:val="21"/>
          <w:highlight w:val="none"/>
        </w:rPr>
        <w:t xml:space="preserve">4. </w:t>
      </w:r>
      <w:bookmarkEnd w:id="157"/>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文件的递交等</w:t>
      </w:r>
      <w:bookmarkEnd w:id="158"/>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59" w:name="_Toc293756856"/>
      <w:bookmarkStart w:id="160" w:name="_Toc8171"/>
      <w:r>
        <w:rPr>
          <w:rFonts w:hint="eastAsia" w:ascii="宋体" w:hAnsi="宋体" w:eastAsia="宋体" w:cs="宋体"/>
          <w:color w:val="auto"/>
          <w:sz w:val="21"/>
          <w:szCs w:val="21"/>
          <w:highlight w:val="none"/>
        </w:rPr>
        <w:t xml:space="preserve">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文件的密封和标记</w:t>
      </w:r>
      <w:bookmarkEnd w:id="159"/>
      <w:bookmarkEnd w:id="160"/>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文件的正本与副本密封见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文件的封套上应写明的内容见投标人须知前附表。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  未按本章第 4.</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项要求密封的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文件，比选人不予受理。</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1" w:name="_Toc293756857"/>
      <w:bookmarkStart w:id="162" w:name="_Toc25394"/>
      <w:r>
        <w:rPr>
          <w:rFonts w:hint="eastAsia" w:ascii="宋体" w:hAnsi="宋体" w:eastAsia="宋体" w:cs="宋体"/>
          <w:color w:val="auto"/>
          <w:sz w:val="21"/>
          <w:szCs w:val="21"/>
          <w:highlight w:val="none"/>
        </w:rPr>
        <w:t xml:space="preserve">4.2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w:t>
      </w:r>
      <w:bookmarkEnd w:id="161"/>
      <w:bookmarkEnd w:id="162"/>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人应按本章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项规定的时间递交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文件的地点：见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人须知前附表另有规定外，</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人所递交的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文件不予退还。</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 逾期送达的或者未送达指定地点的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文件，比选人不予受理。</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3" w:name="_Toc293756858"/>
      <w:bookmarkStart w:id="164" w:name="_Toc28425"/>
      <w:r>
        <w:rPr>
          <w:rFonts w:hint="eastAsia" w:ascii="宋体" w:hAnsi="宋体" w:eastAsia="宋体" w:cs="宋体"/>
          <w:color w:val="auto"/>
          <w:sz w:val="21"/>
          <w:szCs w:val="21"/>
          <w:highlight w:val="none"/>
        </w:rPr>
        <w:t xml:space="preserve">4.3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文件的修改与撤回</w:t>
      </w:r>
      <w:bookmarkEnd w:id="163"/>
      <w:bookmarkEnd w:id="164"/>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在本章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项规定的比选截止时间前，</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人可以修改或撤回已递交的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文件，但应以书面形式通知比选人。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4.3.2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人修改或撤回已递交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文件的书面通知应按照本章第3.7.3 项的要求签字或盖章。比选人收到书面通知后，向</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人出具签收凭证。</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 修改的内容为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文件的组成部分。修改的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文件应按照本章第3 条、第4 条规定进行编制、密封、标记和递交，并标明“修改”字样。</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65" w:name="_Toc293756859"/>
      <w:bookmarkStart w:id="166" w:name="_Toc27372"/>
      <w:r>
        <w:rPr>
          <w:rFonts w:hint="eastAsia" w:ascii="宋体" w:hAnsi="宋体" w:eastAsia="宋体" w:cs="宋体"/>
          <w:color w:val="auto"/>
          <w:sz w:val="21"/>
          <w:szCs w:val="21"/>
          <w:highlight w:val="none"/>
        </w:rPr>
        <w:t xml:space="preserve">5. </w:t>
      </w:r>
      <w:bookmarkEnd w:id="165"/>
      <w:r>
        <w:rPr>
          <w:rFonts w:hint="eastAsia" w:ascii="宋体" w:hAnsi="宋体" w:eastAsia="宋体" w:cs="宋体"/>
          <w:color w:val="auto"/>
          <w:sz w:val="21"/>
          <w:szCs w:val="21"/>
          <w:highlight w:val="none"/>
        </w:rPr>
        <w:t>比选</w:t>
      </w:r>
      <w:bookmarkEnd w:id="166"/>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7" w:name="_Toc293756860"/>
      <w:bookmarkStart w:id="168" w:name="_Toc30652"/>
      <w:r>
        <w:rPr>
          <w:rFonts w:hint="eastAsia" w:ascii="宋体" w:hAnsi="宋体" w:eastAsia="宋体" w:cs="宋体"/>
          <w:color w:val="auto"/>
          <w:sz w:val="21"/>
          <w:szCs w:val="21"/>
          <w:highlight w:val="none"/>
        </w:rPr>
        <w:t>5.1 比选时间和地点</w:t>
      </w:r>
      <w:bookmarkEnd w:id="167"/>
      <w:bookmarkEnd w:id="168"/>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在投标人须知前附表第 2.2.2 项规定的投标截止时间（开标时间）和投标人须知前附表规定的地点公开开标，并邀请所有投标人的法定代表人或其委托代理人准时参加。</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9" w:name="_Toc293756861"/>
      <w:bookmarkStart w:id="170" w:name="_Toc29652"/>
      <w:r>
        <w:rPr>
          <w:rFonts w:hint="eastAsia" w:ascii="宋体" w:hAnsi="宋体" w:eastAsia="宋体" w:cs="宋体"/>
          <w:color w:val="auto"/>
          <w:sz w:val="21"/>
          <w:szCs w:val="21"/>
          <w:highlight w:val="none"/>
        </w:rPr>
        <w:t>5.2 比选程序</w:t>
      </w:r>
      <w:bookmarkEnd w:id="169"/>
      <w:bookmarkEnd w:id="170"/>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bookmarkStart w:id="171" w:name="_Toc293756862"/>
      <w:r>
        <w:rPr>
          <w:rFonts w:hint="eastAsia" w:ascii="宋体" w:hAnsi="宋体" w:eastAsia="宋体" w:cs="宋体"/>
          <w:color w:val="auto"/>
          <w:sz w:val="21"/>
          <w:szCs w:val="21"/>
          <w:highlight w:val="none"/>
        </w:rPr>
        <w:t>详见投标人须知前附表5.2开标程序</w:t>
      </w:r>
      <w:r>
        <w:rPr>
          <w:rFonts w:hint="eastAsia" w:ascii="宋体" w:hAnsi="宋体" w:eastAsia="宋体" w:cs="宋体"/>
          <w:color w:val="auto"/>
          <w:sz w:val="21"/>
          <w:szCs w:val="21"/>
          <w:highlight w:val="none"/>
          <w:lang w:eastAsia="zh-CN"/>
        </w:rPr>
        <w:t>。</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72" w:name="_Toc27684"/>
      <w:r>
        <w:rPr>
          <w:rFonts w:hint="eastAsia" w:ascii="宋体" w:hAnsi="宋体" w:eastAsia="宋体" w:cs="宋体"/>
          <w:color w:val="auto"/>
          <w:sz w:val="21"/>
          <w:szCs w:val="21"/>
          <w:highlight w:val="none"/>
        </w:rPr>
        <w:t>6. 评</w:t>
      </w:r>
      <w:bookmarkEnd w:id="171"/>
      <w:r>
        <w:rPr>
          <w:rFonts w:hint="eastAsia" w:ascii="宋体" w:hAnsi="宋体" w:eastAsia="宋体" w:cs="宋体"/>
          <w:color w:val="auto"/>
          <w:sz w:val="21"/>
          <w:szCs w:val="21"/>
          <w:highlight w:val="none"/>
        </w:rPr>
        <w:t>审</w:t>
      </w:r>
      <w:bookmarkEnd w:id="172"/>
    </w:p>
    <w:p>
      <w:pPr>
        <w:keepNext w:val="0"/>
        <w:keepLines w:val="0"/>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173" w:name="_Toc430530470"/>
      <w:bookmarkStart w:id="174" w:name="_Toc287607781"/>
      <w:bookmarkStart w:id="175" w:name="_Toc277082587"/>
      <w:bookmarkStart w:id="176" w:name="_Toc509218745"/>
      <w:bookmarkStart w:id="177" w:name="_Toc200513161"/>
      <w:bookmarkStart w:id="178" w:name="_Toc287620720"/>
      <w:bookmarkStart w:id="179" w:name="_Toc224103352"/>
      <w:bookmarkStart w:id="180" w:name="_Toc215"/>
      <w:bookmarkStart w:id="181" w:name="_Toc293756866"/>
      <w:r>
        <w:rPr>
          <w:rFonts w:hint="eastAsia" w:ascii="宋体" w:hAnsi="宋体" w:eastAsia="宋体" w:cs="宋体"/>
          <w:b w:val="0"/>
          <w:bCs/>
          <w:snapToGrid w:val="0"/>
          <w:color w:val="auto"/>
          <w:kern w:val="2"/>
          <w:sz w:val="21"/>
          <w:szCs w:val="21"/>
          <w:highlight w:val="none"/>
          <w:lang w:val="en-US" w:eastAsia="zh-CN" w:bidi="ar-SA"/>
        </w:rPr>
        <w:t>6.1  评标委员会</w:t>
      </w:r>
      <w:bookmarkEnd w:id="173"/>
      <w:bookmarkEnd w:id="174"/>
      <w:bookmarkEnd w:id="175"/>
      <w:bookmarkEnd w:id="176"/>
      <w:bookmarkEnd w:id="177"/>
      <w:bookmarkEnd w:id="178"/>
      <w:bookmarkEnd w:id="179"/>
      <w:bookmarkEnd w:id="180"/>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6.1.1  评标由</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人依据法律法规和相关规范性文件组建的评标委员会负责。</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6.1.2  评标委员会成员有下列情形之一的，应当回避：</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82" w:name="_Toc16266"/>
      <w:bookmarkStart w:id="183" w:name="_Toc287607782"/>
      <w:bookmarkStart w:id="184" w:name="_Toc224103353"/>
      <w:bookmarkStart w:id="185" w:name="_Toc277082588"/>
      <w:bookmarkStart w:id="186" w:name="_Toc287620721"/>
      <w:bookmarkStart w:id="187" w:name="_Toc509218746"/>
      <w:bookmarkStart w:id="188" w:name="_Toc200513162"/>
      <w:bookmarkStart w:id="189" w:name="_Toc430530471"/>
      <w:r>
        <w:rPr>
          <w:rFonts w:hint="eastAsia" w:ascii="宋体" w:hAnsi="宋体" w:eastAsia="宋体" w:cs="宋体"/>
          <w:snapToGrid w:val="0"/>
          <w:color w:val="auto"/>
          <w:kern w:val="0"/>
          <w:sz w:val="21"/>
          <w:szCs w:val="21"/>
          <w:highlight w:val="none"/>
        </w:rPr>
        <w:t>（1）投标人或投标人的主要负责人的近亲属；</w:t>
      </w:r>
      <w:bookmarkEnd w:id="182"/>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0" w:name="_Toc27646"/>
      <w:r>
        <w:rPr>
          <w:rFonts w:hint="eastAsia" w:ascii="宋体" w:hAnsi="宋体" w:eastAsia="宋体" w:cs="宋体"/>
          <w:snapToGrid w:val="0"/>
          <w:color w:val="auto"/>
          <w:kern w:val="0"/>
          <w:sz w:val="21"/>
          <w:szCs w:val="21"/>
          <w:highlight w:val="none"/>
        </w:rPr>
        <w:t>（2）项目主管部门或者项目行政监督部门的人员；</w:t>
      </w:r>
      <w:bookmarkEnd w:id="190"/>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1" w:name="_Toc20518"/>
      <w:r>
        <w:rPr>
          <w:rFonts w:hint="eastAsia" w:ascii="宋体" w:hAnsi="宋体" w:eastAsia="宋体" w:cs="宋体"/>
          <w:snapToGrid w:val="0"/>
          <w:color w:val="auto"/>
          <w:kern w:val="0"/>
          <w:sz w:val="21"/>
          <w:szCs w:val="21"/>
          <w:highlight w:val="none"/>
        </w:rPr>
        <w:t>（3）与投标人有利害关系，可能影响对投标公正评审的；</w:t>
      </w:r>
      <w:bookmarkEnd w:id="191"/>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2" w:name="_Toc15764"/>
      <w:r>
        <w:rPr>
          <w:rFonts w:hint="eastAsia" w:ascii="宋体" w:hAnsi="宋体" w:eastAsia="宋体" w:cs="宋体"/>
          <w:snapToGrid w:val="0"/>
          <w:color w:val="auto"/>
          <w:kern w:val="0"/>
          <w:sz w:val="21"/>
          <w:szCs w:val="21"/>
          <w:highlight w:val="none"/>
        </w:rPr>
        <w:t>（4）曾因在招标、评标以及其他与招标投标有关活动中从事违法行为而受过行政处罚或刑事处罚的；</w:t>
      </w:r>
      <w:bookmarkEnd w:id="192"/>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3" w:name="_Toc25669"/>
      <w:r>
        <w:rPr>
          <w:rFonts w:hint="eastAsia" w:ascii="宋体" w:hAnsi="宋体" w:eastAsia="宋体" w:cs="宋体"/>
          <w:snapToGrid w:val="0"/>
          <w:color w:val="auto"/>
          <w:kern w:val="0"/>
          <w:sz w:val="21"/>
          <w:szCs w:val="21"/>
          <w:highlight w:val="none"/>
        </w:rPr>
        <w:t>（5）法律法规规定的其他情形。</w:t>
      </w:r>
      <w:bookmarkEnd w:id="193"/>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val="en-US" w:eastAsia="zh-CN"/>
        </w:rPr>
      </w:pPr>
      <w:bookmarkStart w:id="194" w:name="_Toc11573"/>
      <w:r>
        <w:rPr>
          <w:rFonts w:hint="eastAsia" w:ascii="宋体" w:hAnsi="宋体" w:eastAsia="宋体" w:cs="宋体"/>
          <w:color w:val="auto"/>
          <w:sz w:val="21"/>
          <w:szCs w:val="21"/>
          <w:highlight w:val="none"/>
          <w:lang w:val="en-US" w:eastAsia="zh-CN"/>
        </w:rPr>
        <w:t>6.2  评标原则</w:t>
      </w:r>
      <w:bookmarkEnd w:id="183"/>
      <w:bookmarkEnd w:id="184"/>
      <w:bookmarkEnd w:id="185"/>
      <w:bookmarkEnd w:id="186"/>
      <w:bookmarkEnd w:id="187"/>
      <w:bookmarkEnd w:id="188"/>
      <w:bookmarkEnd w:id="189"/>
      <w:bookmarkEnd w:id="194"/>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评标活动遵循公平、公正、科学和择优的原则。</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val="en-US" w:eastAsia="zh-CN"/>
        </w:rPr>
      </w:pPr>
      <w:bookmarkStart w:id="195" w:name="_Toc224103354"/>
      <w:bookmarkStart w:id="196" w:name="_Toc200513163"/>
      <w:bookmarkStart w:id="197" w:name="_Toc277082589"/>
      <w:bookmarkStart w:id="198" w:name="_Toc287607783"/>
      <w:bookmarkStart w:id="199" w:name="_Toc509218747"/>
      <w:bookmarkStart w:id="200" w:name="_Toc287620722"/>
      <w:bookmarkStart w:id="201" w:name="_Toc430530472"/>
      <w:bookmarkStart w:id="202" w:name="_Toc15756"/>
      <w:r>
        <w:rPr>
          <w:rFonts w:hint="eastAsia" w:ascii="宋体" w:hAnsi="宋体" w:eastAsia="宋体" w:cs="宋体"/>
          <w:color w:val="auto"/>
          <w:sz w:val="21"/>
          <w:szCs w:val="21"/>
          <w:highlight w:val="none"/>
          <w:lang w:val="en-US" w:eastAsia="zh-CN"/>
        </w:rPr>
        <w:t>6.3  评标</w:t>
      </w:r>
      <w:bookmarkEnd w:id="195"/>
      <w:bookmarkEnd w:id="196"/>
      <w:bookmarkEnd w:id="197"/>
      <w:bookmarkEnd w:id="198"/>
      <w:bookmarkEnd w:id="199"/>
      <w:bookmarkEnd w:id="200"/>
      <w:bookmarkEnd w:id="201"/>
      <w:bookmarkEnd w:id="202"/>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评标委员会按照第三章“评标办法”规定的方法、评审因素、标准和程序对投标文件进行评审。第三章“评标办法”没有规定的方法、评审因素和标准，不得作为评标依据。</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03" w:name="_Toc9343"/>
      <w:r>
        <w:rPr>
          <w:rFonts w:hint="eastAsia" w:ascii="宋体" w:hAnsi="宋体" w:eastAsia="宋体" w:cs="宋体"/>
          <w:color w:val="auto"/>
          <w:sz w:val="21"/>
          <w:szCs w:val="21"/>
          <w:highlight w:val="none"/>
        </w:rPr>
        <w:t>7. 合同授予</w:t>
      </w:r>
      <w:bookmarkEnd w:id="181"/>
      <w:bookmarkEnd w:id="203"/>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04" w:name="_Toc293756867"/>
      <w:bookmarkStart w:id="205" w:name="_Toc23403"/>
      <w:r>
        <w:rPr>
          <w:rFonts w:hint="eastAsia" w:ascii="宋体" w:hAnsi="宋体" w:eastAsia="宋体" w:cs="宋体"/>
          <w:color w:val="auto"/>
          <w:sz w:val="21"/>
          <w:szCs w:val="21"/>
          <w:highlight w:val="none"/>
        </w:rPr>
        <w:t>7.1 定选方式</w:t>
      </w:r>
      <w:bookmarkEnd w:id="204"/>
      <w:bookmarkEnd w:id="20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人应当确定排名第一的中标候选人为中标人。排名第一的中标候选人放弃中标、因不可抗力不能履行合同、不按照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文件要求提交履约保证金，或者被查实存在影响中标结果的违法行为等情形，不符合中标条件的，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人可以按照评标委员会提出的中标候选人名单排序依次确定其他中标候选人为中标人，也可以重新招标。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评标委员会推荐中标候选人的人数见投标人须知前附表。</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06" w:name="_Toc293756868"/>
      <w:bookmarkStart w:id="207" w:name="_Toc6218"/>
      <w:r>
        <w:rPr>
          <w:rFonts w:hint="eastAsia" w:ascii="宋体" w:hAnsi="宋体" w:eastAsia="宋体" w:cs="宋体"/>
          <w:color w:val="auto"/>
          <w:sz w:val="21"/>
          <w:szCs w:val="21"/>
          <w:highlight w:val="none"/>
        </w:rPr>
        <w:t>7.2 中</w:t>
      </w:r>
      <w:r>
        <w:rPr>
          <w:rFonts w:hint="eastAsia" w:ascii="宋体" w:hAnsi="宋体" w:eastAsia="宋体" w:cs="宋体"/>
          <w:color w:val="auto"/>
          <w:sz w:val="21"/>
          <w:szCs w:val="21"/>
          <w:highlight w:val="none"/>
          <w:lang w:val="en-US" w:eastAsia="zh-CN"/>
        </w:rPr>
        <w:t>标</w:t>
      </w:r>
      <w:r>
        <w:rPr>
          <w:rFonts w:hint="eastAsia" w:ascii="宋体" w:hAnsi="宋体" w:eastAsia="宋体" w:cs="宋体"/>
          <w:color w:val="auto"/>
          <w:sz w:val="21"/>
          <w:szCs w:val="21"/>
          <w:highlight w:val="none"/>
        </w:rPr>
        <w:t>通知</w:t>
      </w:r>
      <w:bookmarkEnd w:id="206"/>
      <w:bookmarkEnd w:id="20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208" w:name="_Toc293756869"/>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在收到评标报告之日起3日内公示中标候选人，公示期不得少于3个工作日。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在本章第 3.3 款规定的投标有效期内，且未有投标人的异议与投诉，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人以书面形式向中标人发出中标通知书。</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7.3 履约担保</w:t>
      </w:r>
      <w:bookmarkEnd w:id="208"/>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在签订合同前，中标人应按投标人须知前附表规定的金额、担保形式和</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文件第四章“合同条款及格式”规定的履约担保格式向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人提交履约担保。</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 中选人不能按本章第7.3.1 项要求提交履约担保的，视为放弃中选，其比选保证金不予退还，给比选人造成的损失超过比选保证金数额的，中选人还应当对超过部分予以赔偿。</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09" w:name="_Toc293756870"/>
      <w:bookmarkStart w:id="210" w:name="_Toc3575"/>
      <w:r>
        <w:rPr>
          <w:rFonts w:hint="eastAsia" w:ascii="宋体" w:hAnsi="宋体" w:eastAsia="宋体" w:cs="宋体"/>
          <w:color w:val="auto"/>
          <w:sz w:val="21"/>
          <w:szCs w:val="21"/>
          <w:highlight w:val="none"/>
        </w:rPr>
        <w:t>7.4 签订合同</w:t>
      </w:r>
      <w:bookmarkEnd w:id="209"/>
      <w:bookmarkEnd w:id="21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7.4.1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人和中标人应当自中标通知书发出之日起</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天内，根据</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文件和中标人的投标文件订立书面合同。中标人放弃中标项目，无正当理由不与</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人签订合同，在签订合同时向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人提出附加条件或者更改合同实质性内容的，</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人取消其中标资格，其投标保证金不予退还；给</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人造成的损失超过投标保证金数额的，中标人还应当对超过部分予以赔偿。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7.4.2 发出中选通知书后，比选人无正当理由拒签合同的，比选人应向中选人退还比选保证金；给中选人造成损失的，还应当赔偿损失。</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11" w:name="_Toc293756871"/>
      <w:bookmarkStart w:id="212" w:name="_Toc29830"/>
      <w:r>
        <w:rPr>
          <w:rFonts w:hint="eastAsia" w:ascii="宋体" w:hAnsi="宋体" w:eastAsia="宋体" w:cs="宋体"/>
          <w:color w:val="auto"/>
          <w:sz w:val="21"/>
          <w:szCs w:val="21"/>
          <w:highlight w:val="none"/>
        </w:rPr>
        <w:t>8. 重新比选和不再比选</w:t>
      </w:r>
      <w:bookmarkEnd w:id="211"/>
      <w:bookmarkEnd w:id="212"/>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13" w:name="_Toc224103361"/>
      <w:bookmarkStart w:id="214" w:name="_Toc277082596"/>
      <w:bookmarkStart w:id="215" w:name="_Toc430530479"/>
      <w:bookmarkStart w:id="216" w:name="_Toc509218754"/>
      <w:bookmarkStart w:id="217" w:name="_Toc287620729"/>
      <w:bookmarkStart w:id="218" w:name="_Toc287607790"/>
      <w:bookmarkStart w:id="219" w:name="_Toc200513170"/>
      <w:bookmarkStart w:id="220" w:name="_Toc17604"/>
      <w:bookmarkStart w:id="221" w:name="_Toc284231394"/>
      <w:bookmarkStart w:id="222" w:name="_Toc293756873"/>
      <w:r>
        <w:rPr>
          <w:rFonts w:hint="eastAsia" w:ascii="宋体" w:hAnsi="宋体" w:eastAsia="宋体" w:cs="宋体"/>
          <w:b w:val="0"/>
          <w:bCs/>
          <w:snapToGrid w:val="0"/>
          <w:color w:val="auto"/>
          <w:kern w:val="2"/>
          <w:sz w:val="21"/>
          <w:szCs w:val="21"/>
          <w:highlight w:val="none"/>
          <w:lang w:val="en-US" w:eastAsia="zh-CN" w:bidi="ar-SA"/>
        </w:rPr>
        <w:t>8.1  重新</w:t>
      </w:r>
      <w:bookmarkEnd w:id="213"/>
      <w:bookmarkEnd w:id="214"/>
      <w:bookmarkEnd w:id="215"/>
      <w:bookmarkEnd w:id="216"/>
      <w:bookmarkEnd w:id="217"/>
      <w:bookmarkEnd w:id="218"/>
      <w:bookmarkEnd w:id="219"/>
      <w:r>
        <w:rPr>
          <w:rFonts w:hint="eastAsia" w:ascii="宋体" w:hAnsi="宋体" w:eastAsia="宋体" w:cs="宋体"/>
          <w:b w:val="0"/>
          <w:bCs/>
          <w:snapToGrid w:val="0"/>
          <w:color w:val="auto"/>
          <w:kern w:val="2"/>
          <w:sz w:val="21"/>
          <w:szCs w:val="21"/>
          <w:highlight w:val="none"/>
          <w:lang w:val="en-US" w:eastAsia="zh-CN" w:bidi="ar-SA"/>
        </w:rPr>
        <w:t>比选</w:t>
      </w:r>
      <w:bookmarkEnd w:id="220"/>
    </w:p>
    <w:p>
      <w:pPr>
        <w:pageBreakBefore w:val="0"/>
        <w:kinsoku/>
        <w:wordWrap/>
        <w:overflowPunct/>
        <w:topLinePunct w:val="0"/>
        <w:autoSpaceDE w:val="0"/>
        <w:autoSpaceDN w:val="0"/>
        <w:bidi w:val="0"/>
        <w:adjustRightInd w:val="0"/>
        <w:snapToGrid w:val="0"/>
        <w:spacing w:line="360" w:lineRule="auto"/>
        <w:ind w:left="359" w:leftChars="171"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有下列情形之一的，</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人将重新</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（1）投标截止时间止，投标人少于 3 个的；</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（2）经评标委员会评审后否决所有投标的；</w:t>
      </w:r>
    </w:p>
    <w:p>
      <w:pPr>
        <w:pageBreakBefore w:val="0"/>
        <w:widowControl/>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（3）经评标委员会评审后部分投标被否决，导致有效投标人不足三个的，评标委员会应当否决所有投标。但是有效投标人的经济、技术等指标仍然具有市场竞争力，能够满足</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文件要求的，评标委员会可以继续评标并确定中标候选人。</w:t>
      </w:r>
    </w:p>
    <w:p>
      <w:pPr>
        <w:pageBreakBefore w:val="0"/>
        <w:widowControl/>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（4）法律法规规定的其他情形。</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23" w:name="_Toc30777"/>
      <w:r>
        <w:rPr>
          <w:rFonts w:hint="eastAsia" w:ascii="宋体" w:hAnsi="宋体" w:eastAsia="宋体" w:cs="宋体"/>
          <w:color w:val="auto"/>
          <w:sz w:val="21"/>
          <w:szCs w:val="21"/>
          <w:highlight w:val="none"/>
        </w:rPr>
        <w:t>8.2 不再</w:t>
      </w:r>
      <w:bookmarkEnd w:id="221"/>
      <w:bookmarkEnd w:id="222"/>
      <w:r>
        <w:rPr>
          <w:rFonts w:hint="eastAsia" w:ascii="宋体" w:hAnsi="宋体" w:eastAsia="宋体" w:cs="宋体"/>
          <w:color w:val="auto"/>
          <w:sz w:val="21"/>
          <w:szCs w:val="21"/>
          <w:highlight w:val="none"/>
        </w:rPr>
        <w:t>比选</w:t>
      </w:r>
      <w:bookmarkEnd w:id="223"/>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224" w:name="_Toc293756874"/>
      <w:bookmarkStart w:id="225" w:name="_Toc288045280"/>
      <w:bookmarkStart w:id="226" w:name="_Toc284231395"/>
      <w:bookmarkStart w:id="227" w:name="_Toc284159224"/>
      <w:bookmarkStart w:id="228" w:name="_Toc284158456"/>
      <w:bookmarkStart w:id="229" w:name="_Toc288046894"/>
      <w:bookmarkStart w:id="230" w:name="_Toc284158539"/>
      <w:bookmarkStart w:id="231" w:name="_Toc284159360"/>
      <w:bookmarkStart w:id="232" w:name="_Toc288046541"/>
      <w:bookmarkStart w:id="233" w:name="_Toc288052291"/>
      <w:r>
        <w:rPr>
          <w:rFonts w:hint="eastAsia" w:ascii="宋体" w:hAnsi="宋体" w:eastAsia="宋体" w:cs="宋体"/>
          <w:color w:val="auto"/>
          <w:sz w:val="21"/>
          <w:szCs w:val="21"/>
          <w:highlight w:val="none"/>
        </w:rPr>
        <w:t>重新比选后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人仍少于三个的，按法定程序开展比选和评审，确定中选人。经评审无合格</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人，属于审批或核准项目的，报经原审批部门批准可以不再比选。</w:t>
      </w:r>
      <w:bookmarkEnd w:id="224"/>
      <w:bookmarkEnd w:id="225"/>
      <w:bookmarkEnd w:id="226"/>
      <w:bookmarkEnd w:id="227"/>
      <w:bookmarkEnd w:id="228"/>
      <w:bookmarkEnd w:id="229"/>
      <w:bookmarkEnd w:id="230"/>
      <w:bookmarkEnd w:id="231"/>
      <w:bookmarkEnd w:id="232"/>
      <w:bookmarkEnd w:id="233"/>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34" w:name="_Toc509218756"/>
      <w:bookmarkStart w:id="235" w:name="_Toc36043737"/>
      <w:bookmarkStart w:id="236" w:name="_Toc287620731"/>
      <w:bookmarkStart w:id="237" w:name="_Toc430530481"/>
      <w:bookmarkStart w:id="238" w:name="_Toc224103363"/>
      <w:bookmarkStart w:id="239" w:name="_Toc287607792"/>
      <w:bookmarkStart w:id="240" w:name="_Toc200513172"/>
      <w:bookmarkStart w:id="241" w:name="_Toc277082598"/>
      <w:bookmarkStart w:id="242" w:name="_Toc8575"/>
      <w:r>
        <w:rPr>
          <w:rFonts w:hint="eastAsia" w:ascii="宋体" w:hAnsi="宋体" w:eastAsia="宋体" w:cs="宋体"/>
          <w:color w:val="auto"/>
          <w:sz w:val="21"/>
          <w:szCs w:val="21"/>
          <w:highlight w:val="none"/>
        </w:rPr>
        <w:t>9.  纪律和监督</w:t>
      </w:r>
      <w:bookmarkEnd w:id="234"/>
      <w:bookmarkEnd w:id="235"/>
      <w:bookmarkEnd w:id="236"/>
      <w:bookmarkEnd w:id="237"/>
      <w:bookmarkEnd w:id="238"/>
      <w:bookmarkEnd w:id="239"/>
      <w:bookmarkEnd w:id="240"/>
      <w:bookmarkEnd w:id="241"/>
      <w:bookmarkEnd w:id="242"/>
    </w:p>
    <w:p>
      <w:pPr>
        <w:keepNext/>
        <w:keepLines/>
        <w:pageBreakBefore w:val="0"/>
        <w:widowControl w:val="0"/>
        <w:kinsoku/>
        <w:wordWrap/>
        <w:overflowPunct/>
        <w:topLinePunct w:val="0"/>
        <w:bidi w:val="0"/>
        <w:snapToGrid w:val="0"/>
        <w:spacing w:before="0" w:after="0" w:line="360" w:lineRule="auto"/>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43" w:name="_Toc509218757"/>
      <w:bookmarkStart w:id="244" w:name="_Toc224103364"/>
      <w:bookmarkStart w:id="245" w:name="_Toc430530482"/>
      <w:bookmarkStart w:id="246" w:name="_Toc277082599"/>
      <w:bookmarkStart w:id="247" w:name="_Toc287607793"/>
      <w:bookmarkStart w:id="248" w:name="_Toc287620732"/>
      <w:bookmarkStart w:id="249" w:name="_Toc200513173"/>
      <w:bookmarkStart w:id="250" w:name="_Toc2606"/>
      <w:r>
        <w:rPr>
          <w:rFonts w:hint="eastAsia" w:ascii="宋体" w:hAnsi="宋体" w:eastAsia="宋体" w:cs="宋体"/>
          <w:b w:val="0"/>
          <w:bCs/>
          <w:snapToGrid w:val="0"/>
          <w:color w:val="auto"/>
          <w:kern w:val="2"/>
          <w:sz w:val="21"/>
          <w:szCs w:val="21"/>
          <w:highlight w:val="none"/>
          <w:lang w:val="en-US" w:eastAsia="zh-CN" w:bidi="ar-SA"/>
        </w:rPr>
        <w:t>9.1  对比选人的纪律要求</w:t>
      </w:r>
      <w:bookmarkEnd w:id="243"/>
      <w:bookmarkEnd w:id="244"/>
      <w:bookmarkEnd w:id="245"/>
      <w:bookmarkEnd w:id="246"/>
      <w:bookmarkEnd w:id="247"/>
      <w:bookmarkEnd w:id="248"/>
      <w:bookmarkEnd w:id="249"/>
      <w:bookmarkEnd w:id="250"/>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人不得泄漏招标投标活动中应当保密的情况和资料，不得与投标人串通损害国家利 益、社会公共利益或者他人合法权益，</w:t>
      </w:r>
      <w:r>
        <w:rPr>
          <w:rFonts w:hint="eastAsia" w:ascii="宋体" w:hAnsi="宋体" w:eastAsia="宋体" w:cs="宋体"/>
          <w:color w:val="auto"/>
          <w:sz w:val="21"/>
          <w:szCs w:val="21"/>
          <w:highlight w:val="none"/>
        </w:rPr>
        <w:t>禁止</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与投标人串通投标。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有下列情形之一的，属于</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人与投标人串通投标：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人在开标前开启投标文件并将有关信息泄露给其他投标人；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人直接或者间接向投标人泄露标底、评标委员会成员等信息；</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人明示或者暗示投标人压低或者抬高投标报价；</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人授意投标人撤换、修改投标文件；</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人明示或者暗示投标人为特定投标人中标提供方便；</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人与投标人为谋求特定投标人中标而采取的其他串通行为。</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51" w:name="_Toc509218758"/>
      <w:bookmarkStart w:id="252" w:name="_Toc277082600"/>
      <w:bookmarkStart w:id="253" w:name="_Toc287620733"/>
      <w:bookmarkStart w:id="254" w:name="_Toc430530483"/>
      <w:bookmarkStart w:id="255" w:name="_Toc287607794"/>
      <w:bookmarkStart w:id="256" w:name="_Toc224103365"/>
      <w:bookmarkStart w:id="257" w:name="_Toc200513174"/>
      <w:bookmarkStart w:id="258" w:name="_Toc21583"/>
      <w:r>
        <w:rPr>
          <w:rFonts w:hint="eastAsia" w:ascii="宋体" w:hAnsi="宋体" w:eastAsia="宋体" w:cs="宋体"/>
          <w:b w:val="0"/>
          <w:bCs/>
          <w:snapToGrid w:val="0"/>
          <w:color w:val="auto"/>
          <w:kern w:val="2"/>
          <w:sz w:val="21"/>
          <w:szCs w:val="21"/>
          <w:highlight w:val="none"/>
          <w:lang w:val="en-US" w:eastAsia="zh-CN" w:bidi="ar-SA"/>
        </w:rPr>
        <w:t>9.2  对投标人的纪律要求</w:t>
      </w:r>
      <w:bookmarkEnd w:id="251"/>
      <w:bookmarkEnd w:id="252"/>
      <w:bookmarkEnd w:id="253"/>
      <w:bookmarkEnd w:id="254"/>
      <w:bookmarkEnd w:id="255"/>
      <w:bookmarkEnd w:id="256"/>
      <w:bookmarkEnd w:id="257"/>
      <w:bookmarkEnd w:id="258"/>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投标人不得相互串通投标或者与</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串通投标，不得向</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或者评标委员会成员行贿谋取中标，不得以他人名义投标或者以其他方式弄虚作假骗取中标；投标人不得以任何方式干扰、影响评标工作。</w:t>
      </w:r>
      <w:r>
        <w:rPr>
          <w:rFonts w:hint="eastAsia" w:ascii="宋体" w:hAnsi="宋体" w:eastAsia="宋体" w:cs="宋体"/>
          <w:color w:val="auto"/>
          <w:sz w:val="21"/>
          <w:szCs w:val="21"/>
          <w:highlight w:val="none"/>
        </w:rPr>
        <w:t>有下列情形之一的，属于投标人相互串通投标：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（1）投标人之间协商投标报价等投标文件的实质性内容；</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（2）投标人之间约定中标人；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（3）投标人之间约定部分投标人放弃投标或者中标；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（4）属于同一集团、协会、商会等组织成员的投标人按照该组织要求协同投标；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（5）投标人之间为谋取中标或者排斥特定投标人而采取的其他联合行动。</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有下列情形之一的，视为投标人相互串通投标：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（1）不同投标人的投标文件由同一单位或者个人编制；</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（2）不同投标人委托同一单位或者个人办理投标事宜；</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（3）不同投标人的投标文件载明的项目管理成员为同一人；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（4）不同投标人的投标文件异常一致或者投标报价呈规律性差异；</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（5）不同投标人的投标文件相互混装；</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（6）不同投标人的投标保证金从同一单位或者个人的账户转出。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使用通过受让或者租借等方式获取的资格、资质证书投标的，属于以他人名义投标。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投标人有下列情形之一的，属于以其他方式弄虚作假的行为：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（一）使用伪造、变造的许可证件；</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（二）提供虚假的财务状况或者业绩；</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（三）提供虚假的项目负责人或者主要技术人员简历、劳动关系证明；</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（四）提供虚假的信用状况；</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（五）其他弄虚作假的行为。</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59" w:name="_Toc430530484"/>
      <w:bookmarkStart w:id="260" w:name="_Toc277082601"/>
      <w:bookmarkStart w:id="261" w:name="_Toc287607795"/>
      <w:bookmarkStart w:id="262" w:name="_Toc200513175"/>
      <w:bookmarkStart w:id="263" w:name="_Toc509218759"/>
      <w:bookmarkStart w:id="264" w:name="_Toc224103366"/>
      <w:bookmarkStart w:id="265" w:name="_Toc287620734"/>
      <w:bookmarkStart w:id="266" w:name="_Toc5201"/>
      <w:r>
        <w:rPr>
          <w:rFonts w:hint="eastAsia" w:ascii="宋体" w:hAnsi="宋体" w:eastAsia="宋体" w:cs="宋体"/>
          <w:b w:val="0"/>
          <w:bCs/>
          <w:snapToGrid w:val="0"/>
          <w:color w:val="auto"/>
          <w:kern w:val="2"/>
          <w:sz w:val="21"/>
          <w:szCs w:val="21"/>
          <w:highlight w:val="none"/>
          <w:lang w:val="en-US" w:eastAsia="zh-CN" w:bidi="ar-SA"/>
        </w:rPr>
        <w:t>9.3  对评标委员会成员的纪律要求</w:t>
      </w:r>
      <w:bookmarkEnd w:id="259"/>
      <w:bookmarkEnd w:id="260"/>
      <w:bookmarkEnd w:id="261"/>
      <w:bookmarkEnd w:id="262"/>
      <w:bookmarkEnd w:id="263"/>
      <w:bookmarkEnd w:id="264"/>
      <w:bookmarkEnd w:id="265"/>
      <w:bookmarkEnd w:id="266"/>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67" w:name="_Toc509218760"/>
      <w:bookmarkStart w:id="268" w:name="_Toc430530485"/>
      <w:bookmarkStart w:id="269" w:name="_Toc287607796"/>
      <w:bookmarkStart w:id="270" w:name="_Toc277082602"/>
      <w:bookmarkStart w:id="271" w:name="_Toc224103367"/>
      <w:bookmarkStart w:id="272" w:name="_Toc200513176"/>
      <w:bookmarkStart w:id="273" w:name="_Toc287620735"/>
      <w:bookmarkStart w:id="274" w:name="_Toc14409"/>
      <w:r>
        <w:rPr>
          <w:rFonts w:hint="eastAsia" w:ascii="宋体" w:hAnsi="宋体" w:eastAsia="宋体" w:cs="宋体"/>
          <w:b w:val="0"/>
          <w:bCs/>
          <w:snapToGrid w:val="0"/>
          <w:color w:val="auto"/>
          <w:kern w:val="2"/>
          <w:sz w:val="21"/>
          <w:szCs w:val="21"/>
          <w:highlight w:val="none"/>
          <w:lang w:val="en-US" w:eastAsia="zh-CN" w:bidi="ar-SA"/>
        </w:rPr>
        <w:t>9.4  对与评标活动有关的工作人员的纪律要求</w:t>
      </w:r>
      <w:bookmarkEnd w:id="267"/>
      <w:bookmarkEnd w:id="268"/>
      <w:bookmarkEnd w:id="269"/>
      <w:bookmarkEnd w:id="270"/>
      <w:bookmarkEnd w:id="271"/>
      <w:bookmarkEnd w:id="272"/>
      <w:bookmarkEnd w:id="273"/>
      <w:bookmarkEnd w:id="274"/>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75" w:name="_Toc287607797"/>
      <w:bookmarkStart w:id="276" w:name="_Toc430530486"/>
      <w:bookmarkStart w:id="277" w:name="_Toc224103368"/>
      <w:bookmarkStart w:id="278" w:name="_Toc287620736"/>
      <w:bookmarkStart w:id="279" w:name="_Toc200513177"/>
      <w:bookmarkStart w:id="280" w:name="_Toc277082603"/>
      <w:bookmarkStart w:id="281" w:name="_Toc509218761"/>
      <w:bookmarkStart w:id="282" w:name="_Toc8918"/>
      <w:r>
        <w:rPr>
          <w:rFonts w:hint="eastAsia" w:ascii="宋体" w:hAnsi="宋体" w:eastAsia="宋体" w:cs="宋体"/>
          <w:b w:val="0"/>
          <w:bCs/>
          <w:snapToGrid w:val="0"/>
          <w:color w:val="auto"/>
          <w:kern w:val="2"/>
          <w:sz w:val="21"/>
          <w:szCs w:val="21"/>
          <w:highlight w:val="none"/>
          <w:lang w:val="en-US" w:eastAsia="zh-CN" w:bidi="ar-SA"/>
        </w:rPr>
        <w:t>9.5  投诉</w:t>
      </w:r>
      <w:bookmarkEnd w:id="275"/>
      <w:bookmarkEnd w:id="276"/>
      <w:bookmarkEnd w:id="277"/>
      <w:bookmarkEnd w:id="278"/>
      <w:bookmarkEnd w:id="279"/>
      <w:bookmarkEnd w:id="280"/>
      <w:bookmarkEnd w:id="281"/>
      <w:bookmarkEnd w:id="282"/>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投标人和其他利害关系人认为本次招标活动违反法律、法规和规章规定的，有权向有关行政监督部门投诉。</w:t>
      </w:r>
    </w:p>
    <w:p>
      <w:pPr>
        <w:keepNext/>
        <w:keepLines/>
        <w:pageBreakBefore w:val="0"/>
        <w:widowControl w:val="0"/>
        <w:kinsoku/>
        <w:wordWrap/>
        <w:overflowPunct/>
        <w:topLinePunct w:val="0"/>
        <w:bidi w:val="0"/>
        <w:spacing w:before="0" w:after="0" w:line="360" w:lineRule="auto"/>
        <w:ind w:firstLine="420" w:firstLineChars="200"/>
        <w:jc w:val="both"/>
        <w:textAlignment w:val="auto"/>
        <w:outlineLvl w:val="9"/>
        <w:rPr>
          <w:rFonts w:hint="eastAsia" w:ascii="宋体" w:hAnsi="宋体" w:eastAsia="宋体" w:cs="宋体"/>
          <w:b w:val="0"/>
          <w:bCs/>
          <w:snapToGrid w:val="0"/>
          <w:color w:val="auto"/>
          <w:kern w:val="2"/>
          <w:sz w:val="21"/>
          <w:szCs w:val="21"/>
          <w:highlight w:val="none"/>
          <w:lang w:val="en-US" w:eastAsia="zh-CN" w:bidi="ar-SA"/>
        </w:rPr>
      </w:pPr>
      <w:bookmarkStart w:id="283" w:name="_Toc287620737"/>
      <w:bookmarkStart w:id="284" w:name="_Toc430530487"/>
      <w:bookmarkStart w:id="285" w:name="_Toc36043738"/>
      <w:bookmarkStart w:id="286" w:name="_Toc224103369"/>
      <w:bookmarkStart w:id="287" w:name="_Toc287607798"/>
      <w:bookmarkStart w:id="288" w:name="_Toc277082604"/>
      <w:bookmarkStart w:id="289" w:name="_Toc509218762"/>
      <w:bookmarkStart w:id="290" w:name="_Toc200513178"/>
      <w:r>
        <w:rPr>
          <w:rFonts w:hint="eastAsia" w:ascii="宋体" w:hAnsi="宋体" w:eastAsia="宋体" w:cs="宋体"/>
          <w:b w:val="0"/>
          <w:bCs/>
          <w:snapToGrid w:val="0"/>
          <w:color w:val="auto"/>
          <w:kern w:val="2"/>
          <w:sz w:val="21"/>
          <w:szCs w:val="21"/>
          <w:highlight w:val="none"/>
          <w:lang w:val="en-US" w:eastAsia="zh-CN" w:bidi="ar-SA"/>
        </w:rPr>
        <w:t>10. 需要补充的其他内容</w:t>
      </w:r>
      <w:bookmarkEnd w:id="283"/>
      <w:bookmarkEnd w:id="284"/>
      <w:bookmarkEnd w:id="285"/>
      <w:bookmarkEnd w:id="286"/>
      <w:bookmarkEnd w:id="287"/>
      <w:bookmarkEnd w:id="288"/>
      <w:bookmarkEnd w:id="289"/>
      <w:bookmarkEnd w:id="290"/>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需要补充的其他内容：见投标人须知前附表。</w:t>
      </w:r>
    </w:p>
    <w:p>
      <w:pPr>
        <w:spacing w:line="360" w:lineRule="auto"/>
        <w:ind w:firstLine="240" w:firstLineChars="100"/>
        <w:rPr>
          <w:rFonts w:ascii="宋体" w:hAnsi="宋体" w:eastAsia="宋体" w:cs="宋体"/>
          <w:color w:val="auto"/>
          <w:sz w:val="24"/>
          <w:highlight w:val="none"/>
        </w:rPr>
        <w:sectPr>
          <w:footerReference r:id="rId8" w:type="first"/>
          <w:footerReference r:id="rId7" w:type="default"/>
          <w:pgSz w:w="11906" w:h="16838"/>
          <w:pgMar w:top="1134" w:right="1418" w:bottom="1134" w:left="1418" w:header="851" w:footer="992" w:gutter="0"/>
          <w:cols w:space="720" w:num="1"/>
          <w:docGrid w:type="lines" w:linePitch="312" w:charSpace="0"/>
        </w:sectPr>
      </w:pPr>
    </w:p>
    <w:p>
      <w:pPr>
        <w:pStyle w:val="3"/>
        <w:spacing w:line="360" w:lineRule="auto"/>
        <w:jc w:val="center"/>
        <w:rPr>
          <w:rFonts w:ascii="宋体" w:hAnsi="宋体"/>
          <w:snapToGrid w:val="0"/>
          <w:color w:val="auto"/>
          <w:kern w:val="0"/>
          <w:highlight w:val="none"/>
        </w:rPr>
      </w:pPr>
      <w:bookmarkStart w:id="291" w:name="_Toc9376"/>
      <w:bookmarkStart w:id="292" w:name="_Toc6268"/>
      <w:bookmarkStart w:id="293" w:name="_Toc430530509"/>
      <w:bookmarkStart w:id="294" w:name="_Toc509218785"/>
      <w:bookmarkStart w:id="295" w:name="_Toc8427"/>
      <w:r>
        <w:rPr>
          <w:rFonts w:ascii="宋体" w:hAnsi="宋体"/>
          <w:snapToGrid w:val="0"/>
          <w:color w:val="auto"/>
          <w:kern w:val="0"/>
          <w:highlight w:val="none"/>
        </w:rPr>
        <w:t xml:space="preserve">第三章 </w:t>
      </w:r>
      <w:r>
        <w:rPr>
          <w:rFonts w:hint="eastAsia" w:ascii="宋体" w:hAnsi="宋体"/>
          <w:snapToGrid w:val="0"/>
          <w:color w:val="auto"/>
          <w:kern w:val="0"/>
          <w:highlight w:val="none"/>
        </w:rPr>
        <w:t xml:space="preserve"> </w:t>
      </w:r>
      <w:r>
        <w:rPr>
          <w:rFonts w:ascii="宋体" w:hAnsi="宋体"/>
          <w:snapToGrid w:val="0"/>
          <w:color w:val="auto"/>
          <w:kern w:val="0"/>
          <w:highlight w:val="none"/>
        </w:rPr>
        <w:t>评标办法（</w:t>
      </w:r>
      <w:r>
        <w:rPr>
          <w:rFonts w:hint="eastAsia" w:ascii="宋体" w:hAnsi="宋体"/>
          <w:snapToGrid w:val="0"/>
          <w:color w:val="auto"/>
          <w:kern w:val="0"/>
          <w:highlight w:val="none"/>
        </w:rPr>
        <w:t>经评审的最低投标价法</w:t>
      </w:r>
      <w:r>
        <w:rPr>
          <w:rFonts w:ascii="宋体" w:hAnsi="宋体"/>
          <w:snapToGrid w:val="0"/>
          <w:color w:val="auto"/>
          <w:kern w:val="0"/>
          <w:highlight w:val="none"/>
        </w:rPr>
        <w:t>）</w:t>
      </w:r>
      <w:bookmarkEnd w:id="291"/>
      <w:bookmarkEnd w:id="292"/>
    </w:p>
    <w:p>
      <w:pPr>
        <w:keepNext/>
        <w:keepLines/>
        <w:spacing w:before="100" w:after="100" w:line="360" w:lineRule="auto"/>
        <w:outlineLvl w:val="1"/>
        <w:rPr>
          <w:rFonts w:ascii="宋体" w:hAnsi="宋体"/>
          <w:b/>
          <w:color w:val="auto"/>
          <w:sz w:val="32"/>
          <w:szCs w:val="32"/>
          <w:highlight w:val="none"/>
        </w:rPr>
      </w:pPr>
      <w:bookmarkStart w:id="296" w:name="_Toc11669"/>
      <w:bookmarkStart w:id="297" w:name="_Toc17273"/>
      <w:r>
        <w:rPr>
          <w:rFonts w:hint="eastAsia" w:ascii="宋体" w:hAnsi="宋体"/>
          <w:b/>
          <w:color w:val="auto"/>
          <w:sz w:val="32"/>
          <w:szCs w:val="32"/>
          <w:highlight w:val="none"/>
        </w:rPr>
        <w:t>评标办法前附表</w:t>
      </w:r>
      <w:bookmarkEnd w:id="296"/>
      <w:bookmarkEnd w:id="297"/>
    </w:p>
    <w:p>
      <w:pPr>
        <w:spacing w:line="400" w:lineRule="exact"/>
        <w:ind w:firstLine="427" w:firstLineChars="196"/>
        <w:rPr>
          <w:rFonts w:ascii="宋体" w:hAnsi="宋体"/>
          <w:color w:val="auto"/>
          <w:spacing w:val="4"/>
          <w:kern w:val="0"/>
          <w:szCs w:val="21"/>
          <w:highlight w:val="none"/>
        </w:rPr>
      </w:pPr>
      <w:bookmarkStart w:id="298" w:name="_Toc13210726"/>
      <w:r>
        <w:rPr>
          <w:rFonts w:ascii="宋体" w:hAnsi="宋体"/>
          <w:color w:val="auto"/>
          <w:spacing w:val="4"/>
          <w:kern w:val="0"/>
          <w:szCs w:val="21"/>
          <w:highlight w:val="none"/>
        </w:rPr>
        <w:t>评标办法中的评审内容必须和投标人须知中的对应内容一致，若投标人须知中未作要求的内容，不得列入评标办法作为评定依据。</w:t>
      </w:r>
      <w:bookmarkEnd w:id="298"/>
    </w:p>
    <w:tbl>
      <w:tblPr>
        <w:tblStyle w:val="45"/>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pPr>
              <w:spacing w:line="360" w:lineRule="auto"/>
              <w:jc w:val="center"/>
              <w:rPr>
                <w:rFonts w:cs="宋体" w:asciiTheme="minorEastAsia" w:hAnsiTheme="minorEastAsia" w:eastAsiaTheme="minorEastAsia"/>
                <w:b/>
                <w:color w:val="auto"/>
                <w:kern w:val="0"/>
                <w:highlight w:val="none"/>
              </w:rPr>
            </w:pPr>
            <w:r>
              <w:rPr>
                <w:rFonts w:hint="eastAsia" w:cs="宋体" w:asciiTheme="minorEastAsia" w:hAnsiTheme="minorEastAsia" w:eastAsiaTheme="minorEastAsia"/>
                <w:b/>
                <w:color w:val="auto"/>
                <w:kern w:val="0"/>
                <w:highlight w:val="none"/>
              </w:rPr>
              <w:t>条款号</w:t>
            </w:r>
          </w:p>
        </w:tc>
        <w:tc>
          <w:tcPr>
            <w:tcW w:w="1560" w:type="dxa"/>
            <w:tcBorders>
              <w:left w:val="single" w:color="auto" w:sz="4" w:space="0"/>
            </w:tcBorders>
            <w:vAlign w:val="center"/>
          </w:tcPr>
          <w:p>
            <w:pPr>
              <w:spacing w:line="360" w:lineRule="auto"/>
              <w:jc w:val="center"/>
              <w:rPr>
                <w:rFonts w:cs="宋体" w:asciiTheme="minorEastAsia" w:hAnsiTheme="minorEastAsia" w:eastAsiaTheme="minorEastAsia"/>
                <w:b/>
                <w:color w:val="auto"/>
                <w:kern w:val="0"/>
                <w:highlight w:val="none"/>
              </w:rPr>
            </w:pPr>
            <w:r>
              <w:rPr>
                <w:rFonts w:hint="eastAsia" w:cs="宋体" w:asciiTheme="minorEastAsia" w:hAnsiTheme="minorEastAsia" w:eastAsiaTheme="minorEastAsia"/>
                <w:b/>
                <w:color w:val="auto"/>
                <w:kern w:val="0"/>
                <w:highlight w:val="none"/>
              </w:rPr>
              <w:t>评审因素</w:t>
            </w:r>
          </w:p>
        </w:tc>
        <w:tc>
          <w:tcPr>
            <w:tcW w:w="6882" w:type="dxa"/>
            <w:gridSpan w:val="2"/>
            <w:vAlign w:val="center"/>
          </w:tcPr>
          <w:p>
            <w:pPr>
              <w:spacing w:line="360" w:lineRule="auto"/>
              <w:jc w:val="center"/>
              <w:rPr>
                <w:rFonts w:cs="宋体" w:asciiTheme="minorEastAsia" w:hAnsiTheme="minorEastAsia" w:eastAsiaTheme="minorEastAsia"/>
                <w:b/>
                <w:color w:val="auto"/>
                <w:kern w:val="0"/>
                <w:highlight w:val="none"/>
              </w:rPr>
            </w:pPr>
            <w:r>
              <w:rPr>
                <w:rFonts w:hint="eastAsia" w:cs="宋体" w:asciiTheme="minorEastAsia" w:hAnsiTheme="minorEastAsia" w:eastAsiaTheme="minorEastAsia"/>
                <w:b/>
                <w:color w:val="auto"/>
                <w:kern w:val="0"/>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1243" w:type="dxa"/>
            <w:tcBorders>
              <w:right w:val="single" w:color="auto" w:sz="4" w:space="0"/>
            </w:tcBorders>
            <w:vAlign w:val="center"/>
          </w:tcPr>
          <w:p>
            <w:pPr>
              <w:pStyle w:val="86"/>
              <w:ind w:firstLine="42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w:t>
            </w:r>
          </w:p>
        </w:tc>
        <w:tc>
          <w:tcPr>
            <w:tcW w:w="1560" w:type="dxa"/>
            <w:tcBorders>
              <w:left w:val="single" w:color="auto" w:sz="4" w:space="0"/>
            </w:tcBorders>
            <w:vAlign w:val="center"/>
          </w:tcPr>
          <w:p>
            <w:pPr>
              <w:pStyle w:val="86"/>
              <w:ind w:firstLine="0" w:firstLineChars="0"/>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评标办法</w:t>
            </w:r>
          </w:p>
        </w:tc>
        <w:tc>
          <w:tcPr>
            <w:tcW w:w="6882" w:type="dxa"/>
            <w:gridSpan w:val="2"/>
            <w:vAlign w:val="center"/>
          </w:tcPr>
          <w:p>
            <w:pPr>
              <w:spacing w:line="360" w:lineRule="auto"/>
              <w:ind w:firstLine="427" w:firstLineChars="196"/>
              <w:rPr>
                <w:rFonts w:cs="宋体" w:asciiTheme="minorEastAsia" w:hAnsiTheme="minorEastAsia" w:eastAsiaTheme="minorEastAsia"/>
                <w:color w:val="auto"/>
                <w:spacing w:val="4"/>
                <w:kern w:val="0"/>
                <w:szCs w:val="21"/>
                <w:highlight w:val="none"/>
              </w:rPr>
            </w:pPr>
            <w:r>
              <w:rPr>
                <w:rFonts w:hint="eastAsia" w:cs="宋体" w:asciiTheme="minorEastAsia" w:hAnsiTheme="minorEastAsia" w:eastAsiaTheme="minorEastAsia"/>
                <w:color w:val="auto"/>
                <w:spacing w:val="4"/>
                <w:kern w:val="0"/>
                <w:szCs w:val="21"/>
                <w:highlight w:val="none"/>
              </w:rPr>
              <w:t>本次评标采用经评审的最低投标价法，评标委员会按照本章第2.1款进行报价排序，按照本章第2.2款进行符合性审查，符合性审查合格的投标人中按报价由低到高推荐中标候选人，或根据招标人授权直接确定中标人。若出现投标人投标报价相同的，以“投标人在红名单中优先”的原则排序，投标人均在红名单中或均不在红名单中的，由评标委员会按照</w:t>
            </w:r>
            <w:r>
              <w:rPr>
                <w:rFonts w:hint="eastAsia" w:cs="宋体" w:asciiTheme="minorEastAsia" w:hAnsiTheme="minorEastAsia" w:eastAsiaTheme="minorEastAsia"/>
                <w:color w:val="auto"/>
                <w:kern w:val="0"/>
                <w:highlight w:val="none"/>
                <w:u w:val="single"/>
                <w:lang w:val="en-US" w:eastAsia="zh-CN"/>
              </w:rPr>
              <w:t>2021年资产负债率由低到高</w:t>
            </w:r>
            <w:r>
              <w:rPr>
                <w:rFonts w:hint="eastAsia" w:cs="宋体" w:asciiTheme="minorEastAsia" w:hAnsiTheme="minorEastAsia" w:eastAsiaTheme="minorEastAsia"/>
                <w:color w:val="auto"/>
                <w:spacing w:val="4"/>
                <w:kern w:val="0"/>
                <w:szCs w:val="21"/>
                <w:highlight w:val="none"/>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2.1</w:t>
            </w:r>
          </w:p>
        </w:tc>
        <w:tc>
          <w:tcPr>
            <w:tcW w:w="1560" w:type="dxa"/>
            <w:tcBorders>
              <w:left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报价排序</w:t>
            </w:r>
          </w:p>
        </w:tc>
        <w:tc>
          <w:tcPr>
            <w:tcW w:w="6882" w:type="dxa"/>
            <w:gridSpan w:val="2"/>
            <w:tcBorders>
              <w:left w:val="single" w:color="auto" w:sz="4" w:space="0"/>
            </w:tcBorders>
            <w:vAlign w:val="center"/>
          </w:tcPr>
          <w:p>
            <w:pPr>
              <w:spacing w:line="360" w:lineRule="auto"/>
              <w:ind w:firstLine="420" w:firstLineChars="200"/>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对报价不高于最高限价的所有投标人的投标文件，按照报价由低到高的顺序排序。需技术方案评审的，由电子评标系统对技术方案进行自动随机编号。在投标函评审前，推送给评标委员会的投标文件不得显示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2.2</w:t>
            </w:r>
          </w:p>
        </w:tc>
        <w:tc>
          <w:tcPr>
            <w:tcW w:w="1560" w:type="dxa"/>
            <w:tcBorders>
              <w:left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符合性审查</w:t>
            </w:r>
          </w:p>
        </w:tc>
        <w:tc>
          <w:tcPr>
            <w:tcW w:w="6882" w:type="dxa"/>
            <w:gridSpan w:val="2"/>
            <w:tcBorders>
              <w:left w:val="single" w:color="auto" w:sz="4" w:space="0"/>
            </w:tcBorders>
            <w:vAlign w:val="center"/>
          </w:tcPr>
          <w:p>
            <w:pPr>
              <w:spacing w:line="360" w:lineRule="auto"/>
              <w:ind w:firstLine="420" w:firstLineChars="200"/>
              <w:jc w:val="left"/>
              <w:rPr>
                <w:color w:val="auto"/>
                <w:highlight w:val="none"/>
              </w:rPr>
            </w:pPr>
            <w:r>
              <w:rPr>
                <w:rFonts w:hint="eastAsia" w:cs="宋体" w:asciiTheme="minorEastAsia" w:hAnsiTheme="minorEastAsia" w:eastAsiaTheme="minorEastAsia"/>
                <w:color w:val="auto"/>
                <w:kern w:val="0"/>
                <w:highlight w:val="none"/>
              </w:rPr>
              <w:t>取报价排序前</w:t>
            </w:r>
            <w:r>
              <w:rPr>
                <w:rFonts w:hint="eastAsia" w:cs="宋体" w:asciiTheme="minorEastAsia" w:hAnsiTheme="minorEastAsia" w:eastAsiaTheme="minorEastAsia"/>
                <w:color w:val="auto"/>
                <w:kern w:val="0"/>
                <w:highlight w:val="none"/>
              </w:rPr>
              <w:sym w:font="Wingdings 2" w:char="F052"/>
            </w:r>
            <w:r>
              <w:rPr>
                <w:rFonts w:cs="宋体" w:asciiTheme="minorEastAsia" w:hAnsiTheme="minorEastAsia" w:eastAsiaTheme="minorEastAsia"/>
                <w:color w:val="auto"/>
                <w:kern w:val="0"/>
                <w:highlight w:val="none"/>
              </w:rPr>
              <w:t>7</w:t>
            </w:r>
            <w:r>
              <w:rPr>
                <w:rFonts w:hint="eastAsia" w:cs="宋体" w:asciiTheme="minorEastAsia" w:hAnsiTheme="minorEastAsia" w:eastAsiaTheme="minorEastAsia"/>
                <w:color w:val="auto"/>
                <w:kern w:val="0"/>
                <w:highlight w:val="none"/>
              </w:rPr>
              <w:t>名（若实际投标人数量小于勾选数量，</w:t>
            </w:r>
            <w:r>
              <w:rPr>
                <w:rFonts w:hint="eastAsia" w:cs="宋体" w:asciiTheme="minorEastAsia" w:hAnsiTheme="minorEastAsia" w:eastAsiaTheme="minorEastAsia"/>
                <w:color w:val="auto"/>
                <w:spacing w:val="4"/>
                <w:kern w:val="0"/>
                <w:szCs w:val="21"/>
                <w:highlight w:val="none"/>
              </w:rPr>
              <w:t>则全部纳入）进行符合性审查。符合性审查内容：技术方案评审、资格评审、形式评审、响应性评审、投标函部分及经济部分评审。符合性审查</w:t>
            </w:r>
            <w:r>
              <w:rPr>
                <w:rFonts w:hint="eastAsia" w:cs="宋体" w:asciiTheme="minorEastAsia" w:hAnsiTheme="minorEastAsia" w:eastAsiaTheme="minorEastAsia"/>
                <w:color w:val="auto"/>
                <w:kern w:val="0"/>
                <w:highlight w:val="none"/>
              </w:rPr>
              <w:t>合格的投标人中，报价最低的成为第一中标候选人，报价次低的成为第二中标候选人，依次类推。</w:t>
            </w:r>
            <w:r>
              <w:rPr>
                <w:rFonts w:hint="eastAsia"/>
                <w:color w:val="auto"/>
                <w:highlight w:val="none"/>
              </w:rPr>
              <w:t>[</w:t>
            </w:r>
            <w:r>
              <w:rPr>
                <w:rFonts w:ascii="Mongolian Baiti" w:hAnsi="Mongolian Baiti" w:cs="Mongolian Baiti"/>
                <w:color w:val="auto"/>
                <w:highlight w:val="none"/>
              </w:rPr>
              <w:t>提示：勾选技术方案评审的，符合性审查应首先进行技术方案评审，再按照资格、形式、响应性、投标函部分及</w:t>
            </w:r>
            <w:r>
              <w:rPr>
                <w:rFonts w:hint="eastAsia" w:ascii="Mongolian Baiti" w:hAnsi="Mongolian Baiti" w:cs="Mongolian Baiti"/>
                <w:color w:val="auto"/>
                <w:highlight w:val="none"/>
              </w:rPr>
              <w:t>经济</w:t>
            </w:r>
            <w:r>
              <w:rPr>
                <w:rFonts w:ascii="Mongolian Baiti" w:hAnsi="Mongolian Baiti" w:cs="Mongolian Baiti"/>
                <w:color w:val="auto"/>
                <w:highlight w:val="none"/>
              </w:rPr>
              <w:t>部分的顺序进行评审。]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243" w:type="dxa"/>
            <w:vMerge w:val="restart"/>
            <w:tcBorders>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2.2.1</w:t>
            </w:r>
          </w:p>
        </w:tc>
        <w:tc>
          <w:tcPr>
            <w:tcW w:w="1560" w:type="dxa"/>
            <w:vMerge w:val="restart"/>
            <w:tcBorders>
              <w:left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技术方案评审标准</w:t>
            </w:r>
          </w:p>
        </w:tc>
        <w:tc>
          <w:tcPr>
            <w:tcW w:w="2267" w:type="dxa"/>
            <w:tcBorders>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技术方案形式要求</w:t>
            </w:r>
          </w:p>
        </w:tc>
        <w:tc>
          <w:tcPr>
            <w:tcW w:w="4615" w:type="dxa"/>
            <w:tcBorders>
              <w:left w:val="single" w:color="auto" w:sz="4" w:space="0"/>
              <w:bottom w:val="single" w:color="auto" w:sz="4" w:space="0"/>
            </w:tcBorders>
            <w:vAlign w:val="center"/>
          </w:tcPr>
          <w:p>
            <w:pPr>
              <w:snapToGrid w:val="0"/>
              <w:spacing w:after="31" w:afterLines="10" w:line="360" w:lineRule="auto"/>
              <w:ind w:firstLine="420" w:firstLineChars="200"/>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是否符合第二章投标人须知前附表第3.7.5项（3）技术部分的要求：符合/不符合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243" w:type="dxa"/>
            <w:vMerge w:val="continue"/>
            <w:tcBorders>
              <w:right w:val="single" w:color="auto" w:sz="4" w:space="0"/>
            </w:tcBorders>
            <w:vAlign w:val="center"/>
          </w:tcPr>
          <w:p>
            <w:pPr>
              <w:spacing w:line="360" w:lineRule="auto"/>
              <w:jc w:val="center"/>
              <w:rPr>
                <w:rFonts w:cs="宋体" w:asciiTheme="minorEastAsia" w:hAnsiTheme="minorEastAsia" w:eastAsiaTheme="minorEastAsia"/>
                <w:color w:val="auto"/>
                <w:szCs w:val="21"/>
                <w:highlight w:val="none"/>
              </w:rPr>
            </w:pPr>
          </w:p>
        </w:tc>
        <w:tc>
          <w:tcPr>
            <w:tcW w:w="1560" w:type="dxa"/>
            <w:vMerge w:val="continue"/>
            <w:tcBorders>
              <w:left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2267" w:type="dxa"/>
            <w:tcBorders>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对工程施工重点、技术关键点的理解和认识</w:t>
            </w:r>
          </w:p>
        </w:tc>
        <w:tc>
          <w:tcPr>
            <w:tcW w:w="4615" w:type="dxa"/>
            <w:tcBorders>
              <w:left w:val="single" w:color="auto" w:sz="4" w:space="0"/>
            </w:tcBorders>
            <w:vAlign w:val="center"/>
          </w:tcPr>
          <w:p>
            <w:pPr>
              <w:snapToGrid w:val="0"/>
              <w:spacing w:after="31" w:afterLines="10" w:line="360" w:lineRule="auto"/>
              <w:ind w:firstLine="44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spacing w:val="5"/>
                <w:szCs w:val="21"/>
                <w:highlight w:val="none"/>
              </w:rPr>
              <w:t>投</w:t>
            </w:r>
            <w:r>
              <w:rPr>
                <w:rFonts w:hint="eastAsia" w:cs="宋体" w:asciiTheme="minorEastAsia" w:hAnsiTheme="minorEastAsia" w:eastAsiaTheme="minorEastAsia"/>
                <w:color w:val="auto"/>
                <w:spacing w:val="4"/>
                <w:szCs w:val="21"/>
                <w:highlight w:val="none"/>
              </w:rPr>
              <w:t>标人对现场环境和地形、周边情况、配合总包管理</w:t>
            </w:r>
            <w:r>
              <w:rPr>
                <w:rFonts w:hint="eastAsia" w:cs="宋体" w:asciiTheme="minorEastAsia" w:hAnsiTheme="minorEastAsia" w:eastAsiaTheme="minorEastAsia"/>
                <w:color w:val="auto"/>
                <w:spacing w:val="-6"/>
                <w:szCs w:val="21"/>
                <w:highlight w:val="none"/>
              </w:rPr>
              <w:t>等</w:t>
            </w:r>
            <w:r>
              <w:rPr>
                <w:rFonts w:hint="eastAsia" w:cs="宋体" w:asciiTheme="minorEastAsia" w:hAnsiTheme="minorEastAsia" w:eastAsiaTheme="minorEastAsia"/>
                <w:color w:val="auto"/>
                <w:spacing w:val="-3"/>
                <w:szCs w:val="21"/>
                <w:highlight w:val="none"/>
              </w:rPr>
              <w:t>有充分的了解</w:t>
            </w:r>
            <w:r>
              <w:rPr>
                <w:rFonts w:hint="eastAsia" w:cs="宋体" w:asciiTheme="minorEastAsia" w:hAnsiTheme="minorEastAsia" w:eastAsiaTheme="minorEastAsia"/>
                <w:color w:val="auto"/>
                <w:spacing w:val="-5"/>
                <w:szCs w:val="21"/>
                <w:highlight w:val="none"/>
              </w:rPr>
              <w:t>， 对本项目对工程施工重难点、</w:t>
            </w:r>
            <w:r>
              <w:rPr>
                <w:rFonts w:hint="eastAsia"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pacing w:val="-1"/>
                <w:szCs w:val="21"/>
                <w:highlight w:val="none"/>
              </w:rPr>
              <w:t>技术关键点的理解</w:t>
            </w:r>
            <w:r>
              <w:rPr>
                <w:rFonts w:hint="eastAsia" w:cs="宋体" w:asciiTheme="minorEastAsia" w:hAnsiTheme="minorEastAsia" w:eastAsiaTheme="minorEastAsia"/>
                <w:color w:val="auto"/>
                <w:szCs w:val="21"/>
                <w:highlight w:val="none"/>
              </w:rPr>
              <w:t>和认识符合实际情况</w:t>
            </w:r>
            <w:r>
              <w:rPr>
                <w:rFonts w:hint="eastAsia" w:cs="宋体" w:asciiTheme="minorEastAsia" w:hAnsiTheme="minorEastAsia" w:eastAsiaTheme="minorEastAsia"/>
                <w:color w:val="auto"/>
                <w:spacing w:val="5"/>
                <w:szCs w:val="21"/>
                <w:highlight w:val="none"/>
              </w:rPr>
              <w:t>。</w:t>
            </w:r>
            <w:r>
              <w:rPr>
                <w:rFonts w:hint="eastAsia" w:cs="宋体" w:asciiTheme="minorEastAsia" w:hAnsiTheme="minorEastAsia" w:eastAsiaTheme="minorEastAsia"/>
                <w:color w:val="auto"/>
                <w:spacing w:val="3"/>
                <w:szCs w:val="21"/>
                <w:highlight w:val="none"/>
              </w:rPr>
              <w:t>评标委员会对投标人提供的文</w:t>
            </w:r>
            <w:r>
              <w:rPr>
                <w:rFonts w:hint="eastAsia" w:cs="宋体" w:asciiTheme="minorEastAsia" w:hAnsiTheme="minorEastAsia" w:eastAsiaTheme="minorEastAsia"/>
                <w:color w:val="auto"/>
                <w:spacing w:val="6"/>
                <w:szCs w:val="21"/>
                <w:highlight w:val="none"/>
              </w:rPr>
              <w:t>字描述资</w:t>
            </w:r>
            <w:r>
              <w:rPr>
                <w:rFonts w:hint="eastAsia" w:cs="宋体" w:asciiTheme="minorEastAsia" w:hAnsiTheme="minorEastAsia" w:eastAsiaTheme="minorEastAsia"/>
                <w:color w:val="auto"/>
                <w:spacing w:val="4"/>
                <w:szCs w:val="21"/>
                <w:highlight w:val="none"/>
              </w:rPr>
              <w:t>料</w:t>
            </w:r>
            <w:r>
              <w:rPr>
                <w:rFonts w:hint="eastAsia" w:cs="宋体" w:asciiTheme="minorEastAsia" w:hAnsiTheme="minorEastAsia" w:eastAsiaTheme="minorEastAsia"/>
                <w:color w:val="auto"/>
                <w:spacing w:val="3"/>
                <w:szCs w:val="21"/>
                <w:highlight w:val="none"/>
              </w:rPr>
              <w:t>、现场踏勘照片和对工程施工</w:t>
            </w:r>
            <w:r>
              <w:rPr>
                <w:rFonts w:hint="eastAsia" w:cs="宋体" w:asciiTheme="minorEastAsia" w:hAnsiTheme="minorEastAsia" w:eastAsiaTheme="minorEastAsia"/>
                <w:color w:val="auto"/>
                <w:spacing w:val="16"/>
                <w:szCs w:val="21"/>
                <w:highlight w:val="none"/>
              </w:rPr>
              <w:t>重</w:t>
            </w:r>
            <w:r>
              <w:rPr>
                <w:rFonts w:hint="eastAsia" w:cs="宋体" w:asciiTheme="minorEastAsia" w:hAnsiTheme="minorEastAsia" w:eastAsiaTheme="minorEastAsia"/>
                <w:color w:val="auto"/>
                <w:spacing w:val="10"/>
                <w:szCs w:val="21"/>
                <w:highlight w:val="none"/>
              </w:rPr>
              <w:t>点、技术关键点的理解和认识进行综合</w:t>
            </w:r>
            <w:r>
              <w:rPr>
                <w:rFonts w:hint="eastAsia" w:cs="宋体" w:asciiTheme="minorEastAsia" w:hAnsiTheme="minorEastAsia" w:eastAsiaTheme="minorEastAsia"/>
                <w:color w:val="auto"/>
                <w:spacing w:val="-9"/>
                <w:szCs w:val="21"/>
                <w:highlight w:val="none"/>
              </w:rPr>
              <w:t>评</w:t>
            </w:r>
            <w:r>
              <w:rPr>
                <w:rFonts w:hint="eastAsia" w:cs="宋体" w:asciiTheme="minorEastAsia" w:hAnsiTheme="minorEastAsia" w:eastAsiaTheme="minorEastAsia"/>
                <w:color w:val="auto"/>
                <w:spacing w:val="-8"/>
                <w:szCs w:val="21"/>
                <w:highlight w:val="none"/>
              </w:rPr>
              <w:t>审。</w:t>
            </w:r>
            <w:r>
              <w:rPr>
                <w:rFonts w:hint="eastAsia" w:cs="宋体" w:asciiTheme="minorEastAsia" w:hAnsiTheme="minorEastAsia" w:eastAsiaTheme="minorEastAsia"/>
                <w:color w:val="auto"/>
                <w:kern w:val="0"/>
                <w:highlight w:val="none"/>
              </w:rPr>
              <w:t>综合评判是否满足本工程需求：满足/不满足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243" w:type="dxa"/>
            <w:vMerge w:val="continue"/>
            <w:tcBorders>
              <w:right w:val="single" w:color="auto" w:sz="4" w:space="0"/>
            </w:tcBorders>
            <w:vAlign w:val="center"/>
          </w:tcPr>
          <w:p>
            <w:pPr>
              <w:spacing w:line="360" w:lineRule="auto"/>
              <w:jc w:val="center"/>
              <w:rPr>
                <w:rFonts w:cs="宋体" w:asciiTheme="minorEastAsia" w:hAnsiTheme="minorEastAsia" w:eastAsiaTheme="minorEastAsia"/>
                <w:color w:val="auto"/>
                <w:szCs w:val="21"/>
                <w:highlight w:val="none"/>
              </w:rPr>
            </w:pPr>
          </w:p>
        </w:tc>
        <w:tc>
          <w:tcPr>
            <w:tcW w:w="1560" w:type="dxa"/>
            <w:vMerge w:val="continue"/>
            <w:tcBorders>
              <w:left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2267" w:type="dxa"/>
            <w:tcBorders>
              <w:left w:val="single" w:color="auto" w:sz="4" w:space="0"/>
              <w:bottom w:val="single" w:color="auto" w:sz="4" w:space="0"/>
              <w:right w:val="single" w:color="auto" w:sz="4" w:space="0"/>
            </w:tcBorders>
          </w:tcPr>
          <w:p>
            <w:pPr>
              <w:snapToGrid w:val="0"/>
              <w:spacing w:line="360" w:lineRule="auto"/>
              <w:jc w:val="center"/>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施工方案与技术措施</w:t>
            </w:r>
          </w:p>
        </w:tc>
        <w:tc>
          <w:tcPr>
            <w:tcW w:w="4615" w:type="dxa"/>
            <w:tcBorders>
              <w:left w:val="single" w:color="auto" w:sz="4" w:space="0"/>
            </w:tcBorders>
            <w:vAlign w:val="center"/>
          </w:tcPr>
          <w:p>
            <w:pPr>
              <w:snapToGrid w:val="0"/>
              <w:spacing w:after="31" w:afterLines="10" w:line="360" w:lineRule="auto"/>
              <w:ind w:firstLine="412"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spacing w:val="-2"/>
                <w:szCs w:val="21"/>
                <w:highlight w:val="none"/>
              </w:rPr>
              <w:t>提供本项目施工方法、技术、工艺及技术措施，各</w:t>
            </w:r>
            <w:r>
              <w:rPr>
                <w:rFonts w:hint="eastAsia" w:cs="宋体" w:asciiTheme="minorEastAsia" w:hAnsiTheme="minorEastAsia" w:eastAsiaTheme="minorEastAsia"/>
                <w:color w:val="auto"/>
                <w:spacing w:val="-1"/>
                <w:szCs w:val="21"/>
                <w:highlight w:val="none"/>
              </w:rPr>
              <w:t>单项(或分</w:t>
            </w:r>
            <w:r>
              <w:rPr>
                <w:rFonts w:hint="eastAsia" w:cs="宋体" w:asciiTheme="minorEastAsia" w:hAnsiTheme="minorEastAsia" w:eastAsiaTheme="minorEastAsia"/>
                <w:color w:val="auto"/>
                <w:spacing w:val="15"/>
                <w:szCs w:val="21"/>
                <w:highlight w:val="none"/>
              </w:rPr>
              <w:t>部分</w:t>
            </w:r>
            <w:r>
              <w:rPr>
                <w:rFonts w:hint="eastAsia" w:cs="宋体" w:asciiTheme="minorEastAsia" w:hAnsiTheme="minorEastAsia" w:eastAsiaTheme="minorEastAsia"/>
                <w:color w:val="auto"/>
                <w:spacing w:val="9"/>
                <w:szCs w:val="21"/>
                <w:highlight w:val="none"/>
              </w:rPr>
              <w:t>项) 工程所采用的施工方案、程序和</w:t>
            </w:r>
            <w:r>
              <w:rPr>
                <w:rFonts w:hint="eastAsia" w:cs="宋体" w:asciiTheme="minorEastAsia" w:hAnsiTheme="minorEastAsia" w:eastAsiaTheme="minorEastAsia"/>
                <w:color w:val="auto"/>
                <w:spacing w:val="-2"/>
                <w:szCs w:val="21"/>
                <w:highlight w:val="none"/>
              </w:rPr>
              <w:t>措施，既要保证工程质量和安</w:t>
            </w:r>
            <w:r>
              <w:rPr>
                <w:rFonts w:hint="eastAsia" w:cs="宋体" w:asciiTheme="minorEastAsia" w:hAnsiTheme="minorEastAsia" w:eastAsiaTheme="minorEastAsia"/>
                <w:color w:val="auto"/>
                <w:spacing w:val="-1"/>
                <w:szCs w:val="21"/>
                <w:highlight w:val="none"/>
              </w:rPr>
              <w:t>全 ，又能减</w:t>
            </w:r>
            <w:r>
              <w:rPr>
                <w:rFonts w:hint="eastAsia" w:cs="宋体" w:asciiTheme="minorEastAsia" w:hAnsiTheme="minorEastAsia" w:eastAsiaTheme="minorEastAsia"/>
                <w:color w:val="auto"/>
                <w:spacing w:val="10"/>
                <w:szCs w:val="21"/>
                <w:highlight w:val="none"/>
              </w:rPr>
              <w:t>少干扰加快施工进度。评标委员会对施</w:t>
            </w:r>
            <w:r>
              <w:rPr>
                <w:rFonts w:hint="eastAsia" w:cs="宋体" w:asciiTheme="minorEastAsia" w:hAnsiTheme="minorEastAsia" w:eastAsiaTheme="minorEastAsia"/>
                <w:color w:val="auto"/>
                <w:spacing w:val="7"/>
                <w:szCs w:val="21"/>
                <w:highlight w:val="none"/>
              </w:rPr>
              <w:t>工</w:t>
            </w:r>
            <w:r>
              <w:rPr>
                <w:rFonts w:hint="eastAsia" w:cs="宋体" w:asciiTheme="minorEastAsia" w:hAnsiTheme="minorEastAsia" w:eastAsiaTheme="minorEastAsia"/>
                <w:color w:val="auto"/>
                <w:spacing w:val="-2"/>
                <w:szCs w:val="21"/>
                <w:highlight w:val="none"/>
              </w:rPr>
              <w:t>方案与技术措施</w:t>
            </w:r>
            <w:r>
              <w:rPr>
                <w:rFonts w:hint="eastAsia" w:cs="宋体" w:asciiTheme="minorEastAsia" w:hAnsiTheme="minorEastAsia" w:eastAsiaTheme="minorEastAsia"/>
                <w:color w:val="auto"/>
                <w:spacing w:val="-1"/>
                <w:szCs w:val="21"/>
                <w:highlight w:val="none"/>
              </w:rPr>
              <w:t>进行综合评审。</w:t>
            </w:r>
            <w:r>
              <w:rPr>
                <w:rFonts w:hint="eastAsia" w:cs="宋体" w:asciiTheme="minorEastAsia" w:hAnsiTheme="minorEastAsia" w:eastAsiaTheme="minorEastAsia"/>
                <w:color w:val="auto"/>
                <w:kern w:val="0"/>
                <w:highlight w:val="none"/>
              </w:rPr>
              <w:t>综合评判是否满足本工程需求：满足/不满足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243" w:type="dxa"/>
            <w:vMerge w:val="continue"/>
            <w:tcBorders>
              <w:right w:val="single" w:color="auto" w:sz="4" w:space="0"/>
            </w:tcBorders>
            <w:vAlign w:val="center"/>
          </w:tcPr>
          <w:p>
            <w:pPr>
              <w:spacing w:line="360" w:lineRule="auto"/>
              <w:jc w:val="center"/>
              <w:rPr>
                <w:rFonts w:cs="宋体" w:asciiTheme="minorEastAsia" w:hAnsiTheme="minorEastAsia" w:eastAsiaTheme="minorEastAsia"/>
                <w:color w:val="auto"/>
                <w:szCs w:val="21"/>
                <w:highlight w:val="none"/>
              </w:rPr>
            </w:pPr>
          </w:p>
        </w:tc>
        <w:tc>
          <w:tcPr>
            <w:tcW w:w="1560" w:type="dxa"/>
            <w:vMerge w:val="continue"/>
            <w:tcBorders>
              <w:left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2267" w:type="dxa"/>
            <w:tcBorders>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质量管理体系与措施</w:t>
            </w:r>
          </w:p>
        </w:tc>
        <w:tc>
          <w:tcPr>
            <w:tcW w:w="4615" w:type="dxa"/>
            <w:tcBorders>
              <w:left w:val="single" w:color="auto" w:sz="4" w:space="0"/>
            </w:tcBorders>
            <w:vAlign w:val="center"/>
          </w:tcPr>
          <w:p>
            <w:pPr>
              <w:snapToGrid w:val="0"/>
              <w:spacing w:after="31" w:afterLines="10" w:line="360" w:lineRule="auto"/>
              <w:ind w:firstLine="388"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spacing w:val="-8"/>
                <w:szCs w:val="21"/>
                <w:highlight w:val="none"/>
              </w:rPr>
              <w:t>明确具体可行的质量管理制度；施工</w:t>
            </w:r>
            <w:r>
              <w:rPr>
                <w:rFonts w:hint="eastAsia" w:cs="宋体" w:asciiTheme="minorEastAsia" w:hAnsiTheme="minorEastAsia" w:eastAsiaTheme="minorEastAsia"/>
                <w:color w:val="auto"/>
                <w:spacing w:val="-5"/>
                <w:szCs w:val="21"/>
                <w:highlight w:val="none"/>
              </w:rPr>
              <w:t>质</w:t>
            </w:r>
            <w:r>
              <w:rPr>
                <w:rFonts w:hint="eastAsia" w:cs="宋体" w:asciiTheme="minorEastAsia" w:hAnsiTheme="minorEastAsia" w:eastAsiaTheme="minorEastAsia"/>
                <w:color w:val="auto"/>
                <w:spacing w:val="-6"/>
                <w:szCs w:val="21"/>
                <w:highlight w:val="none"/>
              </w:rPr>
              <w:t>量保证体系和质量检查监督机构健全，并有</w:t>
            </w:r>
            <w:r>
              <w:rPr>
                <w:rFonts w:hint="eastAsia" w:cs="宋体" w:asciiTheme="minorEastAsia" w:hAnsiTheme="minorEastAsia" w:eastAsiaTheme="minorEastAsia"/>
                <w:color w:val="auto"/>
                <w:spacing w:val="-1"/>
                <w:szCs w:val="21"/>
                <w:highlight w:val="none"/>
              </w:rPr>
              <w:t>有效的控制措施和手段。评标委员</w:t>
            </w:r>
            <w:r>
              <w:rPr>
                <w:rFonts w:hint="eastAsia" w:cs="宋体" w:asciiTheme="minorEastAsia" w:hAnsiTheme="minorEastAsia" w:eastAsiaTheme="minorEastAsia"/>
                <w:color w:val="auto"/>
                <w:szCs w:val="21"/>
                <w:highlight w:val="none"/>
              </w:rPr>
              <w:t>会对技术</w:t>
            </w:r>
            <w:r>
              <w:rPr>
                <w:rFonts w:hint="eastAsia" w:cs="宋体" w:asciiTheme="minorEastAsia" w:hAnsiTheme="minorEastAsia" w:eastAsiaTheme="minorEastAsia"/>
                <w:color w:val="auto"/>
                <w:spacing w:val="-2"/>
                <w:szCs w:val="21"/>
                <w:highlight w:val="none"/>
              </w:rPr>
              <w:t>方案中质量保证体系进行综合评审。</w:t>
            </w:r>
            <w:r>
              <w:rPr>
                <w:rFonts w:hint="eastAsia" w:cs="宋体" w:asciiTheme="minorEastAsia" w:hAnsiTheme="minorEastAsia" w:eastAsiaTheme="minorEastAsia"/>
                <w:color w:val="auto"/>
                <w:kern w:val="0"/>
                <w:highlight w:val="none"/>
              </w:rPr>
              <w:t>综合评判是否满足本工程需求：满足/不满足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243" w:type="dxa"/>
            <w:vMerge w:val="continue"/>
            <w:tcBorders>
              <w:right w:val="single" w:color="auto" w:sz="4" w:space="0"/>
            </w:tcBorders>
            <w:vAlign w:val="center"/>
          </w:tcPr>
          <w:p>
            <w:pPr>
              <w:spacing w:line="360" w:lineRule="auto"/>
              <w:jc w:val="center"/>
              <w:rPr>
                <w:rFonts w:cs="宋体" w:asciiTheme="minorEastAsia" w:hAnsiTheme="minorEastAsia" w:eastAsiaTheme="minorEastAsia"/>
                <w:color w:val="auto"/>
                <w:szCs w:val="21"/>
                <w:highlight w:val="none"/>
              </w:rPr>
            </w:pPr>
          </w:p>
        </w:tc>
        <w:tc>
          <w:tcPr>
            <w:tcW w:w="1560" w:type="dxa"/>
            <w:vMerge w:val="continue"/>
            <w:tcBorders>
              <w:left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2267" w:type="dxa"/>
            <w:tcBorders>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安全管理体系与措施</w:t>
            </w:r>
          </w:p>
        </w:tc>
        <w:tc>
          <w:tcPr>
            <w:tcW w:w="4615" w:type="dxa"/>
            <w:tcBorders>
              <w:left w:val="single" w:color="auto" w:sz="4" w:space="0"/>
            </w:tcBorders>
            <w:vAlign w:val="center"/>
          </w:tcPr>
          <w:p>
            <w:pPr>
              <w:snapToGrid w:val="0"/>
              <w:spacing w:after="31" w:afterLines="10" w:line="360" w:lineRule="auto"/>
              <w:ind w:firstLine="412"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spacing w:val="-2"/>
                <w:szCs w:val="21"/>
                <w:highlight w:val="none"/>
              </w:rPr>
              <w:t>项目安全管理</w:t>
            </w:r>
            <w:r>
              <w:rPr>
                <w:rFonts w:hint="eastAsia" w:cs="宋体" w:asciiTheme="minorEastAsia" w:hAnsiTheme="minorEastAsia" w:eastAsiaTheme="minorEastAsia"/>
                <w:color w:val="auto"/>
                <w:spacing w:val="-1"/>
                <w:szCs w:val="21"/>
                <w:highlight w:val="none"/>
              </w:rPr>
              <w:t>制度健全，建立了施工安</w:t>
            </w:r>
            <w:r>
              <w:rPr>
                <w:rFonts w:hint="eastAsia" w:cs="宋体" w:asciiTheme="minorEastAsia" w:hAnsiTheme="minorEastAsia" w:eastAsiaTheme="minorEastAsia"/>
                <w:color w:val="auto"/>
                <w:spacing w:val="-7"/>
                <w:szCs w:val="21"/>
                <w:highlight w:val="none"/>
              </w:rPr>
              <w:t>全</w:t>
            </w:r>
            <w:r>
              <w:rPr>
                <w:rFonts w:hint="eastAsia" w:cs="宋体" w:asciiTheme="minorEastAsia" w:hAnsiTheme="minorEastAsia" w:eastAsiaTheme="minorEastAsia"/>
                <w:color w:val="auto"/>
                <w:spacing w:val="-6"/>
                <w:szCs w:val="21"/>
                <w:highlight w:val="none"/>
              </w:rPr>
              <w:t>保障体系，施工现场管理人员安全生产职</w:t>
            </w:r>
            <w:r>
              <w:rPr>
                <w:rFonts w:hint="eastAsia" w:cs="宋体" w:asciiTheme="minorEastAsia" w:hAnsiTheme="minorEastAsia" w:eastAsiaTheme="minorEastAsia"/>
                <w:color w:val="auto"/>
                <w:spacing w:val="-2"/>
                <w:szCs w:val="21"/>
                <w:highlight w:val="none"/>
              </w:rPr>
              <w:t>责明确、施工安全保证目标明</w:t>
            </w:r>
            <w:r>
              <w:rPr>
                <w:rFonts w:hint="eastAsia" w:cs="宋体" w:asciiTheme="minorEastAsia" w:hAnsiTheme="minorEastAsia" w:eastAsiaTheme="minorEastAsia"/>
                <w:color w:val="auto"/>
                <w:spacing w:val="-1"/>
                <w:szCs w:val="21"/>
                <w:highlight w:val="none"/>
              </w:rPr>
              <w:t>确，针对工程</w:t>
            </w:r>
            <w:r>
              <w:rPr>
                <w:rFonts w:hint="eastAsia" w:cs="宋体" w:asciiTheme="minorEastAsia" w:hAnsiTheme="minorEastAsia" w:eastAsiaTheme="minorEastAsia"/>
                <w:color w:val="auto"/>
                <w:spacing w:val="-7"/>
                <w:szCs w:val="21"/>
                <w:highlight w:val="none"/>
              </w:rPr>
              <w:t>特点、周边环境、总包管理和施工工艺， 确定危险源</w:t>
            </w:r>
            <w:r>
              <w:rPr>
                <w:rFonts w:hint="eastAsia" w:cs="宋体" w:asciiTheme="minorEastAsia" w:hAnsiTheme="minorEastAsia" w:eastAsiaTheme="minorEastAsia"/>
                <w:color w:val="auto"/>
                <w:spacing w:val="-4"/>
                <w:szCs w:val="21"/>
                <w:highlight w:val="none"/>
              </w:rPr>
              <w:t>并</w:t>
            </w:r>
            <w:r>
              <w:rPr>
                <w:rFonts w:hint="eastAsia" w:cs="宋体" w:asciiTheme="minorEastAsia" w:hAnsiTheme="minorEastAsia" w:eastAsiaTheme="minorEastAsia"/>
                <w:color w:val="auto"/>
                <w:spacing w:val="-1"/>
                <w:szCs w:val="21"/>
                <w:highlight w:val="none"/>
              </w:rPr>
              <w:t>制定具体的保护措施，紧急情况下应急响应保障方案完</w:t>
            </w:r>
            <w:r>
              <w:rPr>
                <w:rFonts w:hint="eastAsia" w:cs="宋体" w:asciiTheme="minorEastAsia" w:hAnsiTheme="minorEastAsia" w:eastAsiaTheme="minorEastAsia"/>
                <w:color w:val="auto"/>
                <w:szCs w:val="21"/>
                <w:highlight w:val="none"/>
              </w:rPr>
              <w:t>整</w:t>
            </w:r>
            <w:r>
              <w:rPr>
                <w:rFonts w:hint="eastAsia" w:cs="宋体" w:asciiTheme="minorEastAsia" w:hAnsiTheme="minorEastAsia" w:eastAsiaTheme="minorEastAsia"/>
                <w:color w:val="auto"/>
                <w:spacing w:val="-3"/>
                <w:szCs w:val="21"/>
                <w:highlight w:val="none"/>
              </w:rPr>
              <w:t>。</w:t>
            </w:r>
            <w:r>
              <w:rPr>
                <w:rFonts w:hint="eastAsia" w:cs="宋体" w:asciiTheme="minorEastAsia" w:hAnsiTheme="minorEastAsia" w:eastAsiaTheme="minorEastAsia"/>
                <w:color w:val="auto"/>
                <w:kern w:val="0"/>
                <w:highlight w:val="none"/>
              </w:rPr>
              <w:t>评标委员会对技术方案中施工安全管理体系与措施进行综合性评审，综合评判是否满足本工程需求：满足/不满足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243" w:type="dxa"/>
            <w:vMerge w:val="continue"/>
            <w:tcBorders>
              <w:right w:val="single" w:color="auto" w:sz="4" w:space="0"/>
            </w:tcBorders>
            <w:vAlign w:val="center"/>
          </w:tcPr>
          <w:p>
            <w:pPr>
              <w:spacing w:line="360" w:lineRule="auto"/>
              <w:jc w:val="center"/>
              <w:rPr>
                <w:rFonts w:cs="宋体" w:asciiTheme="minorEastAsia" w:hAnsiTheme="minorEastAsia" w:eastAsiaTheme="minorEastAsia"/>
                <w:color w:val="auto"/>
                <w:szCs w:val="21"/>
                <w:highlight w:val="none"/>
              </w:rPr>
            </w:pPr>
          </w:p>
        </w:tc>
        <w:tc>
          <w:tcPr>
            <w:tcW w:w="1560" w:type="dxa"/>
            <w:vMerge w:val="continue"/>
            <w:tcBorders>
              <w:left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2267" w:type="dxa"/>
            <w:tcBorders>
              <w:left w:val="single" w:color="auto" w:sz="4" w:space="0"/>
              <w:bottom w:val="single" w:color="auto" w:sz="4" w:space="0"/>
              <w:right w:val="single" w:color="auto" w:sz="4" w:space="0"/>
            </w:tcBorders>
          </w:tcPr>
          <w:p>
            <w:pPr>
              <w:snapToGrid w:val="0"/>
              <w:spacing w:line="360" w:lineRule="auto"/>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环境保护管理体系措施</w:t>
            </w:r>
          </w:p>
        </w:tc>
        <w:tc>
          <w:tcPr>
            <w:tcW w:w="4615" w:type="dxa"/>
            <w:tcBorders>
              <w:left w:val="single" w:color="auto" w:sz="4" w:space="0"/>
            </w:tcBorders>
            <w:vAlign w:val="center"/>
          </w:tcPr>
          <w:p>
            <w:pPr>
              <w:snapToGrid w:val="0"/>
              <w:spacing w:after="31" w:afterLines="10" w:line="360" w:lineRule="auto"/>
              <w:ind w:firstLine="392"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spacing w:val="-7"/>
                <w:szCs w:val="21"/>
                <w:highlight w:val="none"/>
              </w:rPr>
              <w:t>环境保护管理制度全面可行，评标委</w:t>
            </w:r>
            <w:r>
              <w:rPr>
                <w:rFonts w:hint="eastAsia" w:cs="宋体" w:asciiTheme="minorEastAsia" w:hAnsiTheme="minorEastAsia" w:eastAsiaTheme="minorEastAsia"/>
                <w:color w:val="auto"/>
                <w:spacing w:val="-5"/>
                <w:szCs w:val="21"/>
                <w:highlight w:val="none"/>
              </w:rPr>
              <w:t>员</w:t>
            </w:r>
            <w:r>
              <w:rPr>
                <w:rFonts w:hint="eastAsia" w:cs="宋体" w:asciiTheme="minorEastAsia" w:hAnsiTheme="minorEastAsia" w:eastAsiaTheme="minorEastAsia"/>
                <w:color w:val="auto"/>
                <w:spacing w:val="-2"/>
                <w:szCs w:val="21"/>
                <w:highlight w:val="none"/>
              </w:rPr>
              <w:t>会对技术方案中环境保</w:t>
            </w:r>
            <w:r>
              <w:rPr>
                <w:rFonts w:hint="eastAsia" w:cs="宋体" w:asciiTheme="minorEastAsia" w:hAnsiTheme="minorEastAsia" w:eastAsiaTheme="minorEastAsia"/>
                <w:color w:val="auto"/>
                <w:spacing w:val="-1"/>
                <w:szCs w:val="21"/>
                <w:highlight w:val="none"/>
              </w:rPr>
              <w:t>护管理体系的方案、</w:t>
            </w:r>
            <w:r>
              <w:rPr>
                <w:rFonts w:hint="eastAsia" w:cs="宋体" w:asciiTheme="minorEastAsia" w:hAnsiTheme="minorEastAsia" w:eastAsiaTheme="minorEastAsia"/>
                <w:color w:val="auto"/>
                <w:spacing w:val="-2"/>
                <w:szCs w:val="21"/>
                <w:highlight w:val="none"/>
              </w:rPr>
              <w:t>措施</w:t>
            </w:r>
            <w:r>
              <w:rPr>
                <w:rFonts w:hint="eastAsia" w:cs="宋体" w:asciiTheme="minorEastAsia" w:hAnsiTheme="minorEastAsia" w:eastAsiaTheme="minorEastAsia"/>
                <w:color w:val="auto"/>
                <w:spacing w:val="-1"/>
                <w:szCs w:val="21"/>
                <w:highlight w:val="none"/>
              </w:rPr>
              <w:t>进行</w:t>
            </w:r>
            <w:r>
              <w:rPr>
                <w:rFonts w:hint="eastAsia" w:cs="宋体" w:asciiTheme="minorEastAsia" w:hAnsiTheme="minorEastAsia" w:eastAsiaTheme="minorEastAsia"/>
                <w:color w:val="auto"/>
                <w:spacing w:val="-8"/>
                <w:szCs w:val="21"/>
                <w:highlight w:val="none"/>
              </w:rPr>
              <w:t>综</w:t>
            </w:r>
            <w:r>
              <w:rPr>
                <w:rFonts w:hint="eastAsia" w:cs="宋体" w:asciiTheme="minorEastAsia" w:hAnsiTheme="minorEastAsia" w:eastAsiaTheme="minorEastAsia"/>
                <w:color w:val="auto"/>
                <w:spacing w:val="-6"/>
                <w:szCs w:val="21"/>
                <w:highlight w:val="none"/>
              </w:rPr>
              <w:t>合评审。</w:t>
            </w:r>
            <w:r>
              <w:rPr>
                <w:rFonts w:hint="eastAsia" w:cs="宋体" w:asciiTheme="minorEastAsia" w:hAnsiTheme="minorEastAsia" w:eastAsiaTheme="minorEastAsia"/>
                <w:color w:val="auto"/>
                <w:kern w:val="0"/>
                <w:highlight w:val="none"/>
              </w:rPr>
              <w:t>，综合评判是否满足本工程需求：满足/不满足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243" w:type="dxa"/>
            <w:vMerge w:val="continue"/>
            <w:tcBorders>
              <w:right w:val="single" w:color="auto" w:sz="4" w:space="0"/>
            </w:tcBorders>
            <w:vAlign w:val="center"/>
          </w:tcPr>
          <w:p>
            <w:pPr>
              <w:spacing w:line="360" w:lineRule="auto"/>
              <w:jc w:val="center"/>
              <w:rPr>
                <w:rFonts w:cs="宋体" w:asciiTheme="minorEastAsia" w:hAnsiTheme="minorEastAsia" w:eastAsiaTheme="minorEastAsia"/>
                <w:color w:val="auto"/>
                <w:szCs w:val="21"/>
                <w:highlight w:val="none"/>
              </w:rPr>
            </w:pPr>
          </w:p>
        </w:tc>
        <w:tc>
          <w:tcPr>
            <w:tcW w:w="1560" w:type="dxa"/>
            <w:vMerge w:val="continue"/>
            <w:tcBorders>
              <w:left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2267" w:type="dxa"/>
            <w:tcBorders>
              <w:left w:val="single" w:color="auto" w:sz="4" w:space="0"/>
              <w:bottom w:val="single" w:color="auto" w:sz="4" w:space="0"/>
              <w:right w:val="single" w:color="auto" w:sz="4" w:space="0"/>
            </w:tcBorders>
          </w:tcPr>
          <w:p>
            <w:pPr>
              <w:snapToGrid w:val="0"/>
              <w:spacing w:line="360" w:lineRule="auto"/>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工程进度计划与措施</w:t>
            </w:r>
          </w:p>
        </w:tc>
        <w:tc>
          <w:tcPr>
            <w:tcW w:w="4615" w:type="dxa"/>
            <w:tcBorders>
              <w:left w:val="single" w:color="auto" w:sz="4" w:space="0"/>
            </w:tcBorders>
            <w:vAlign w:val="center"/>
          </w:tcPr>
          <w:p>
            <w:pPr>
              <w:spacing w:before="140" w:line="360" w:lineRule="auto"/>
              <w:ind w:right="65"/>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spacing w:val="-12"/>
                <w:szCs w:val="21"/>
                <w:highlight w:val="none"/>
              </w:rPr>
              <w:t>提供</w:t>
            </w:r>
            <w:r>
              <w:rPr>
                <w:rFonts w:hint="eastAsia" w:cs="宋体" w:asciiTheme="minorEastAsia" w:hAnsiTheme="minorEastAsia" w:eastAsiaTheme="minorEastAsia"/>
                <w:color w:val="auto"/>
                <w:spacing w:val="-8"/>
                <w:szCs w:val="21"/>
                <w:highlight w:val="none"/>
              </w:rPr>
              <w:t>工</w:t>
            </w:r>
            <w:r>
              <w:rPr>
                <w:rFonts w:hint="eastAsia" w:cs="宋体" w:asciiTheme="minorEastAsia" w:hAnsiTheme="minorEastAsia" w:eastAsiaTheme="minorEastAsia"/>
                <w:color w:val="auto"/>
                <w:spacing w:val="-6"/>
                <w:szCs w:val="21"/>
                <w:highlight w:val="none"/>
              </w:rPr>
              <w:t>期保障具体措施； 评标委员会对技术方案中总计划和控制性</w:t>
            </w:r>
            <w:r>
              <w:rPr>
                <w:rFonts w:hint="eastAsia" w:cs="宋体" w:asciiTheme="minorEastAsia" w:hAnsiTheme="minorEastAsia" w:eastAsiaTheme="minorEastAsia"/>
                <w:color w:val="auto"/>
                <w:spacing w:val="11"/>
                <w:szCs w:val="21"/>
                <w:highlight w:val="none"/>
              </w:rPr>
              <w:t>工期是否满足</w:t>
            </w:r>
            <w:r>
              <w:rPr>
                <w:rFonts w:hint="eastAsia" w:cs="宋体" w:asciiTheme="minorEastAsia" w:hAnsiTheme="minorEastAsia" w:eastAsiaTheme="minorEastAsia"/>
                <w:color w:val="auto"/>
                <w:spacing w:val="-1"/>
                <w:szCs w:val="21"/>
                <w:highlight w:val="none"/>
              </w:rPr>
              <w:t>招标文件要求，各关键节点的工期是否切</w:t>
            </w:r>
            <w:r>
              <w:rPr>
                <w:rFonts w:hint="eastAsia" w:cs="宋体" w:asciiTheme="minorEastAsia" w:hAnsiTheme="minorEastAsia" w:eastAsiaTheme="minorEastAsia"/>
                <w:color w:val="auto"/>
                <w:szCs w:val="21"/>
                <w:highlight w:val="none"/>
              </w:rPr>
              <w:t>实</w:t>
            </w:r>
            <w:r>
              <w:rPr>
                <w:rFonts w:hint="eastAsia" w:cs="宋体" w:asciiTheme="minorEastAsia" w:hAnsiTheme="minorEastAsia" w:eastAsiaTheme="minorEastAsia"/>
                <w:color w:val="auto"/>
                <w:spacing w:val="-2"/>
                <w:szCs w:val="21"/>
                <w:highlight w:val="none"/>
              </w:rPr>
              <w:t>可行，保证工期的措施是否切实</w:t>
            </w:r>
            <w:r>
              <w:rPr>
                <w:rFonts w:hint="eastAsia" w:cs="宋体" w:asciiTheme="minorEastAsia" w:hAnsiTheme="minorEastAsia" w:eastAsiaTheme="minorEastAsia"/>
                <w:color w:val="auto"/>
                <w:spacing w:val="-1"/>
                <w:szCs w:val="21"/>
                <w:highlight w:val="none"/>
              </w:rPr>
              <w:t>可行。施工</w:t>
            </w:r>
            <w:r>
              <w:rPr>
                <w:rFonts w:hint="eastAsia" w:cs="宋体" w:asciiTheme="minorEastAsia" w:hAnsiTheme="minorEastAsia" w:eastAsiaTheme="minorEastAsia"/>
                <w:color w:val="auto"/>
                <w:spacing w:val="6"/>
                <w:szCs w:val="21"/>
                <w:highlight w:val="none"/>
              </w:rPr>
              <w:t>总体进度</w:t>
            </w:r>
            <w:r>
              <w:rPr>
                <w:rFonts w:hint="eastAsia" w:cs="宋体" w:asciiTheme="minorEastAsia" w:hAnsiTheme="minorEastAsia" w:eastAsiaTheme="minorEastAsia"/>
                <w:color w:val="auto"/>
                <w:spacing w:val="4"/>
                <w:szCs w:val="21"/>
                <w:highlight w:val="none"/>
              </w:rPr>
              <w:t>计</w:t>
            </w:r>
            <w:r>
              <w:rPr>
                <w:rFonts w:hint="eastAsia" w:cs="宋体" w:asciiTheme="minorEastAsia" w:hAnsiTheme="minorEastAsia" w:eastAsiaTheme="minorEastAsia"/>
                <w:color w:val="auto"/>
                <w:spacing w:val="3"/>
                <w:szCs w:val="21"/>
                <w:highlight w:val="none"/>
              </w:rPr>
              <w:t>划(附施工进度网络图)是否符合要求，控制性项目是否安排得当，</w:t>
            </w:r>
            <w:r>
              <w:rPr>
                <w:rFonts w:hint="eastAsia" w:cs="宋体" w:asciiTheme="minorEastAsia" w:hAnsiTheme="minorEastAsia" w:eastAsiaTheme="minorEastAsia"/>
                <w:color w:val="auto"/>
                <w:spacing w:val="-10"/>
                <w:szCs w:val="21"/>
                <w:highlight w:val="none"/>
              </w:rPr>
              <w:t>工</w:t>
            </w:r>
            <w:r>
              <w:rPr>
                <w:rFonts w:hint="eastAsia" w:cs="宋体" w:asciiTheme="minorEastAsia" w:hAnsiTheme="minorEastAsia" w:eastAsiaTheme="minorEastAsia"/>
                <w:color w:val="auto"/>
                <w:spacing w:val="-6"/>
                <w:szCs w:val="21"/>
                <w:highlight w:val="none"/>
              </w:rPr>
              <w:t>程进度补救措施是否可行，</w:t>
            </w:r>
            <w:r>
              <w:rPr>
                <w:rFonts w:hint="eastAsia" w:cs="宋体" w:asciiTheme="minorEastAsia" w:hAnsiTheme="minorEastAsia" w:eastAsiaTheme="minorEastAsia"/>
                <w:color w:val="auto"/>
                <w:spacing w:val="-1"/>
                <w:szCs w:val="21"/>
                <w:highlight w:val="none"/>
              </w:rPr>
              <w:t>是否制定</w:t>
            </w:r>
            <w:r>
              <w:rPr>
                <w:rFonts w:hint="eastAsia" w:cs="宋体" w:asciiTheme="minorEastAsia" w:hAnsiTheme="minorEastAsia" w:eastAsiaTheme="minorEastAsia"/>
                <w:color w:val="auto"/>
                <w:szCs w:val="21"/>
                <w:highlight w:val="none"/>
              </w:rPr>
              <w:t>可</w:t>
            </w:r>
            <w:r>
              <w:rPr>
                <w:rFonts w:hint="eastAsia" w:cs="宋体" w:asciiTheme="minorEastAsia" w:hAnsiTheme="minorEastAsia" w:eastAsiaTheme="minorEastAsia"/>
                <w:color w:val="auto"/>
                <w:spacing w:val="-1"/>
                <w:szCs w:val="21"/>
                <w:highlight w:val="none"/>
              </w:rPr>
              <w:t>行的赶工措施</w:t>
            </w:r>
            <w:r>
              <w:rPr>
                <w:rFonts w:hint="eastAsia" w:cs="宋体" w:asciiTheme="minorEastAsia" w:hAnsiTheme="minorEastAsia" w:eastAsiaTheme="minorEastAsia"/>
                <w:color w:val="auto"/>
                <w:spacing w:val="-3"/>
                <w:szCs w:val="21"/>
                <w:highlight w:val="none"/>
              </w:rPr>
              <w:t>进行综合评审。</w:t>
            </w:r>
            <w:r>
              <w:rPr>
                <w:rFonts w:hint="eastAsia" w:cs="宋体" w:asciiTheme="minorEastAsia" w:hAnsiTheme="minorEastAsia" w:eastAsiaTheme="minorEastAsia"/>
                <w:color w:val="auto"/>
                <w:kern w:val="0"/>
                <w:highlight w:val="none"/>
              </w:rPr>
              <w:t>综合评判是否满足本工程需求：满足/不满足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243" w:type="dxa"/>
            <w:vMerge w:val="continue"/>
            <w:tcBorders>
              <w:right w:val="single" w:color="auto" w:sz="4" w:space="0"/>
            </w:tcBorders>
            <w:vAlign w:val="center"/>
          </w:tcPr>
          <w:p>
            <w:pPr>
              <w:spacing w:line="360" w:lineRule="auto"/>
              <w:jc w:val="center"/>
              <w:rPr>
                <w:rFonts w:cs="宋体" w:asciiTheme="minorEastAsia" w:hAnsiTheme="minorEastAsia" w:eastAsiaTheme="minorEastAsia"/>
                <w:color w:val="auto"/>
                <w:szCs w:val="21"/>
                <w:highlight w:val="none"/>
              </w:rPr>
            </w:pPr>
          </w:p>
        </w:tc>
        <w:tc>
          <w:tcPr>
            <w:tcW w:w="1560" w:type="dxa"/>
            <w:vMerge w:val="continue"/>
            <w:tcBorders>
              <w:left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2267" w:type="dxa"/>
            <w:tcBorders>
              <w:left w:val="single" w:color="auto" w:sz="4" w:space="0"/>
              <w:bottom w:val="single" w:color="auto" w:sz="4" w:space="0"/>
              <w:right w:val="single" w:color="auto" w:sz="4" w:space="0"/>
            </w:tcBorders>
          </w:tcPr>
          <w:p>
            <w:pPr>
              <w:snapToGrid w:val="0"/>
              <w:spacing w:line="360" w:lineRule="auto"/>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资源配备计划</w:t>
            </w:r>
          </w:p>
        </w:tc>
        <w:tc>
          <w:tcPr>
            <w:tcW w:w="4615" w:type="dxa"/>
            <w:tcBorders>
              <w:left w:val="single" w:color="auto" w:sz="4" w:space="0"/>
            </w:tcBorders>
            <w:vAlign w:val="center"/>
          </w:tcPr>
          <w:p>
            <w:pPr>
              <w:snapToGrid w:val="0"/>
              <w:spacing w:after="31" w:afterLines="10" w:line="360" w:lineRule="auto"/>
              <w:ind w:firstLine="416"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spacing w:val="-1"/>
                <w:szCs w:val="21"/>
                <w:highlight w:val="none"/>
              </w:rPr>
              <w:t>针对技术</w:t>
            </w:r>
            <w:r>
              <w:rPr>
                <w:rFonts w:hint="eastAsia" w:cs="宋体" w:asciiTheme="minorEastAsia" w:hAnsiTheme="minorEastAsia" w:eastAsiaTheme="minorEastAsia"/>
                <w:color w:val="auto"/>
                <w:szCs w:val="21"/>
                <w:highlight w:val="none"/>
              </w:rPr>
              <w:t>方案中拟投入本工程施工的机具</w:t>
            </w:r>
            <w:r>
              <w:rPr>
                <w:rFonts w:hint="eastAsia" w:cs="宋体" w:asciiTheme="minorEastAsia" w:hAnsiTheme="minorEastAsia" w:eastAsiaTheme="minorEastAsia"/>
                <w:color w:val="auto"/>
                <w:spacing w:val="-1"/>
                <w:szCs w:val="21"/>
                <w:highlight w:val="none"/>
              </w:rPr>
              <w:t>和设备、拟</w:t>
            </w:r>
            <w:r>
              <w:rPr>
                <w:rFonts w:hint="eastAsia" w:cs="宋体" w:asciiTheme="minorEastAsia" w:hAnsiTheme="minorEastAsia" w:eastAsiaTheme="minorEastAsia"/>
                <w:color w:val="auto"/>
                <w:szCs w:val="21"/>
                <w:highlight w:val="none"/>
              </w:rPr>
              <w:t>配备试验和检测仪器设备、劳</w:t>
            </w:r>
            <w:r>
              <w:rPr>
                <w:rFonts w:hint="eastAsia" w:cs="宋体" w:asciiTheme="minorEastAsia" w:hAnsiTheme="minorEastAsia" w:eastAsiaTheme="minorEastAsia"/>
                <w:color w:val="auto"/>
                <w:spacing w:val="-1"/>
                <w:szCs w:val="21"/>
                <w:highlight w:val="none"/>
              </w:rPr>
              <w:t>动力计划 (以图表形式明确) ，材料</w:t>
            </w:r>
            <w:r>
              <w:rPr>
                <w:rFonts w:hint="eastAsia" w:cs="宋体" w:asciiTheme="minorEastAsia" w:hAnsiTheme="minorEastAsia" w:eastAsiaTheme="minorEastAsia"/>
                <w:color w:val="auto"/>
                <w:szCs w:val="21"/>
                <w:highlight w:val="none"/>
              </w:rPr>
              <w:t>和资</w:t>
            </w:r>
            <w:r>
              <w:rPr>
                <w:rFonts w:hint="eastAsia" w:cs="宋体" w:asciiTheme="minorEastAsia" w:hAnsiTheme="minorEastAsia" w:eastAsiaTheme="minorEastAsia"/>
                <w:color w:val="auto"/>
                <w:spacing w:val="-1"/>
                <w:szCs w:val="21"/>
                <w:highlight w:val="none"/>
              </w:rPr>
              <w:t>金保证</w:t>
            </w:r>
            <w:r>
              <w:rPr>
                <w:rFonts w:hint="eastAsia" w:cs="宋体" w:asciiTheme="minorEastAsia" w:hAnsiTheme="minorEastAsia" w:eastAsiaTheme="minorEastAsia"/>
                <w:color w:val="auto"/>
                <w:szCs w:val="21"/>
                <w:highlight w:val="none"/>
              </w:rPr>
              <w:t>措施等是否满足施工需要等情况，</w:t>
            </w:r>
            <w:r>
              <w:rPr>
                <w:rFonts w:hint="eastAsia" w:cs="宋体" w:asciiTheme="minorEastAsia" w:hAnsiTheme="minorEastAsia" w:eastAsiaTheme="minorEastAsia"/>
                <w:color w:val="auto"/>
                <w:spacing w:val="-4"/>
                <w:szCs w:val="21"/>
                <w:highlight w:val="none"/>
              </w:rPr>
              <w:t>评标委</w:t>
            </w:r>
            <w:r>
              <w:rPr>
                <w:rFonts w:hint="eastAsia" w:cs="宋体" w:asciiTheme="minorEastAsia" w:hAnsiTheme="minorEastAsia" w:eastAsiaTheme="minorEastAsia"/>
                <w:color w:val="auto"/>
                <w:spacing w:val="-2"/>
                <w:szCs w:val="21"/>
                <w:highlight w:val="none"/>
              </w:rPr>
              <w:t>员会进行综合评审。</w:t>
            </w:r>
            <w:r>
              <w:rPr>
                <w:rFonts w:hint="eastAsia" w:cs="宋体" w:asciiTheme="minorEastAsia" w:hAnsiTheme="minorEastAsia" w:eastAsiaTheme="minorEastAsia"/>
                <w:color w:val="auto"/>
                <w:kern w:val="0"/>
                <w:highlight w:val="none"/>
              </w:rPr>
              <w:t>综合评判是否满足本工程需求：满足/不满足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243" w:type="dxa"/>
            <w:vMerge w:val="continue"/>
            <w:tcBorders>
              <w:right w:val="single" w:color="auto" w:sz="4" w:space="0"/>
            </w:tcBorders>
            <w:vAlign w:val="center"/>
          </w:tcPr>
          <w:p>
            <w:pPr>
              <w:spacing w:line="360" w:lineRule="auto"/>
              <w:jc w:val="center"/>
              <w:rPr>
                <w:rFonts w:cs="宋体" w:asciiTheme="minorEastAsia" w:hAnsiTheme="minorEastAsia" w:eastAsiaTheme="minorEastAsia"/>
                <w:color w:val="auto"/>
                <w:szCs w:val="21"/>
                <w:highlight w:val="none"/>
              </w:rPr>
            </w:pPr>
          </w:p>
        </w:tc>
        <w:tc>
          <w:tcPr>
            <w:tcW w:w="1560" w:type="dxa"/>
            <w:vMerge w:val="continue"/>
            <w:tcBorders>
              <w:left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2267" w:type="dxa"/>
            <w:tcBorders>
              <w:left w:val="single" w:color="auto" w:sz="4" w:space="0"/>
              <w:bottom w:val="single" w:color="auto" w:sz="4" w:space="0"/>
              <w:right w:val="single" w:color="auto" w:sz="4" w:space="0"/>
            </w:tcBorders>
          </w:tcPr>
          <w:p>
            <w:pPr>
              <w:snapToGrid w:val="0"/>
              <w:spacing w:line="360" w:lineRule="auto"/>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危大工程清单安全管理措施</w:t>
            </w:r>
          </w:p>
        </w:tc>
        <w:tc>
          <w:tcPr>
            <w:tcW w:w="4615" w:type="dxa"/>
            <w:tcBorders>
              <w:left w:val="single" w:color="auto" w:sz="4" w:space="0"/>
            </w:tcBorders>
            <w:vAlign w:val="center"/>
          </w:tcPr>
          <w:p>
            <w:pPr>
              <w:snapToGrid w:val="0"/>
              <w:spacing w:after="31" w:afterLines="10" w:line="360" w:lineRule="auto"/>
              <w:ind w:firstLine="404"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spacing w:val="-4"/>
                <w:szCs w:val="21"/>
                <w:highlight w:val="none"/>
              </w:rPr>
              <w:t>投</w:t>
            </w:r>
            <w:r>
              <w:rPr>
                <w:rFonts w:hint="eastAsia" w:cs="宋体" w:asciiTheme="minorEastAsia" w:hAnsiTheme="minorEastAsia" w:eastAsiaTheme="minorEastAsia"/>
                <w:color w:val="auto"/>
                <w:spacing w:val="-3"/>
                <w:szCs w:val="21"/>
                <w:highlight w:val="none"/>
              </w:rPr>
              <w:t>标人对本项目危大工程清单环境、地</w:t>
            </w:r>
            <w:r>
              <w:rPr>
                <w:rFonts w:hint="eastAsia" w:cs="宋体" w:asciiTheme="minorEastAsia" w:hAnsiTheme="minorEastAsia" w:eastAsiaTheme="minorEastAsia"/>
                <w:color w:val="auto"/>
                <w:spacing w:val="10"/>
                <w:szCs w:val="21"/>
                <w:highlight w:val="none"/>
              </w:rPr>
              <w:t>形和位置等具体情况充分了解，针对本</w:t>
            </w:r>
            <w:r>
              <w:rPr>
                <w:rFonts w:hint="eastAsia" w:cs="宋体" w:asciiTheme="minorEastAsia" w:hAnsiTheme="minorEastAsia" w:eastAsiaTheme="minorEastAsia"/>
                <w:color w:val="auto"/>
                <w:spacing w:val="7"/>
                <w:szCs w:val="21"/>
                <w:highlight w:val="none"/>
              </w:rPr>
              <w:t>项</w:t>
            </w:r>
            <w:r>
              <w:rPr>
                <w:rFonts w:hint="eastAsia" w:cs="宋体" w:asciiTheme="minorEastAsia" w:hAnsiTheme="minorEastAsia" w:eastAsiaTheme="minorEastAsia"/>
                <w:color w:val="auto"/>
                <w:spacing w:val="-1"/>
                <w:szCs w:val="21"/>
                <w:highlight w:val="none"/>
              </w:rPr>
              <w:t>目危大工程清单安全管理措施是</w:t>
            </w:r>
            <w:r>
              <w:rPr>
                <w:rFonts w:hint="eastAsia" w:cs="宋体" w:asciiTheme="minorEastAsia" w:hAnsiTheme="minorEastAsia" w:eastAsiaTheme="minorEastAsia"/>
                <w:color w:val="auto"/>
                <w:szCs w:val="21"/>
                <w:highlight w:val="none"/>
              </w:rPr>
              <w:t>否健全、措</w:t>
            </w:r>
            <w:r>
              <w:rPr>
                <w:rFonts w:hint="eastAsia" w:cs="宋体" w:asciiTheme="minorEastAsia" w:hAnsiTheme="minorEastAsia" w:eastAsiaTheme="minorEastAsia"/>
                <w:color w:val="auto"/>
                <w:spacing w:val="-1"/>
                <w:szCs w:val="21"/>
                <w:highlight w:val="none"/>
              </w:rPr>
              <w:t>施是否可行。紧急情况下应急响应保</w:t>
            </w:r>
            <w:r>
              <w:rPr>
                <w:rFonts w:hint="eastAsia" w:cs="宋体" w:asciiTheme="minorEastAsia" w:hAnsiTheme="minorEastAsia" w:eastAsiaTheme="minorEastAsia"/>
                <w:color w:val="auto"/>
                <w:szCs w:val="21"/>
                <w:highlight w:val="none"/>
              </w:rPr>
              <w:t>障方案</w:t>
            </w:r>
            <w:r>
              <w:rPr>
                <w:rFonts w:hint="eastAsia" w:cs="宋体" w:asciiTheme="minorEastAsia" w:hAnsiTheme="minorEastAsia" w:eastAsiaTheme="minorEastAsia"/>
                <w:color w:val="auto"/>
                <w:spacing w:val="-1"/>
                <w:szCs w:val="21"/>
                <w:highlight w:val="none"/>
              </w:rPr>
              <w:t>完整性，评标委员会进</w:t>
            </w:r>
            <w:r>
              <w:rPr>
                <w:rFonts w:hint="eastAsia" w:cs="宋体" w:asciiTheme="minorEastAsia" w:hAnsiTheme="minorEastAsia" w:eastAsiaTheme="minorEastAsia"/>
                <w:color w:val="auto"/>
                <w:szCs w:val="21"/>
                <w:highlight w:val="none"/>
              </w:rPr>
              <w:t>行综合评</w:t>
            </w:r>
            <w:r>
              <w:rPr>
                <w:rFonts w:hint="eastAsia" w:cs="宋体" w:asciiTheme="minorEastAsia" w:hAnsiTheme="minorEastAsia" w:eastAsiaTheme="minorEastAsia"/>
                <w:color w:val="auto"/>
                <w:spacing w:val="-13"/>
                <w:szCs w:val="21"/>
                <w:highlight w:val="none"/>
              </w:rPr>
              <w:t>审</w:t>
            </w:r>
            <w:r>
              <w:rPr>
                <w:rFonts w:hint="eastAsia" w:cs="宋体" w:asciiTheme="minorEastAsia" w:hAnsiTheme="minorEastAsia" w:eastAsiaTheme="minorEastAsia"/>
                <w:color w:val="auto"/>
                <w:spacing w:val="-12"/>
                <w:szCs w:val="21"/>
                <w:highlight w:val="none"/>
              </w:rPr>
              <w:t>。</w:t>
            </w:r>
            <w:r>
              <w:rPr>
                <w:rFonts w:hint="eastAsia" w:cs="宋体" w:asciiTheme="minorEastAsia" w:hAnsiTheme="minorEastAsia" w:eastAsiaTheme="minorEastAsia"/>
                <w:color w:val="auto"/>
                <w:kern w:val="0"/>
                <w:highlight w:val="none"/>
              </w:rPr>
              <w:t>综合评判是否满足本工程需求：满足/不满足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pPr>
              <w:spacing w:line="360"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2.2.2</w:t>
            </w:r>
          </w:p>
        </w:tc>
        <w:tc>
          <w:tcPr>
            <w:tcW w:w="1560" w:type="dxa"/>
            <w:vMerge w:val="restart"/>
            <w:tcBorders>
              <w:left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资格评审标准</w:t>
            </w:r>
          </w:p>
        </w:tc>
        <w:tc>
          <w:tcPr>
            <w:tcW w:w="2267" w:type="dxa"/>
            <w:tcBorders>
              <w:top w:val="single" w:color="auto" w:sz="4" w:space="0"/>
              <w:left w:val="single" w:color="auto" w:sz="4" w:space="0"/>
              <w:right w:val="single" w:color="auto" w:sz="4" w:space="0"/>
            </w:tcBorders>
            <w:vAlign w:val="center"/>
          </w:tcPr>
          <w:p>
            <w:pPr>
              <w:snapToGrid w:val="0"/>
              <w:spacing w:line="360" w:lineRule="auto"/>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资质条件</w:t>
            </w:r>
          </w:p>
        </w:tc>
        <w:tc>
          <w:tcPr>
            <w:tcW w:w="4615" w:type="dxa"/>
            <w:tcBorders>
              <w:top w:val="single" w:color="auto" w:sz="4" w:space="0"/>
              <w:left w:val="single" w:color="auto" w:sz="4" w:space="0"/>
            </w:tcBorders>
            <w:vAlign w:val="center"/>
          </w:tcPr>
          <w:p>
            <w:pPr>
              <w:snapToGrid w:val="0"/>
              <w:spacing w:line="36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360" w:lineRule="auto"/>
              <w:jc w:val="center"/>
              <w:rPr>
                <w:rFonts w:cs="宋体" w:asciiTheme="minorEastAsia" w:hAnsiTheme="minorEastAsia" w:eastAsiaTheme="minorEastAsia"/>
                <w:color w:val="auto"/>
                <w:szCs w:val="21"/>
                <w:highlight w:val="none"/>
              </w:rPr>
            </w:pPr>
          </w:p>
        </w:tc>
        <w:tc>
          <w:tcPr>
            <w:tcW w:w="1560" w:type="dxa"/>
            <w:vMerge w:val="continue"/>
            <w:tcBorders>
              <w:left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360" w:lineRule="auto"/>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营业执照</w:t>
            </w:r>
          </w:p>
        </w:tc>
        <w:tc>
          <w:tcPr>
            <w:tcW w:w="4615" w:type="dxa"/>
            <w:tcBorders>
              <w:top w:val="single" w:color="auto" w:sz="4" w:space="0"/>
              <w:left w:val="single" w:color="auto" w:sz="4" w:space="0"/>
            </w:tcBorders>
            <w:vAlign w:val="center"/>
          </w:tcPr>
          <w:p>
            <w:pPr>
              <w:snapToGrid w:val="0"/>
              <w:spacing w:after="78" w:afterLines="25" w:line="36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360" w:lineRule="auto"/>
              <w:jc w:val="center"/>
              <w:rPr>
                <w:rFonts w:cs="宋体" w:asciiTheme="minorEastAsia" w:hAnsiTheme="minorEastAsia" w:eastAsiaTheme="minorEastAsia"/>
                <w:color w:val="auto"/>
                <w:szCs w:val="21"/>
                <w:highlight w:val="none"/>
              </w:rPr>
            </w:pPr>
          </w:p>
        </w:tc>
        <w:tc>
          <w:tcPr>
            <w:tcW w:w="1560" w:type="dxa"/>
            <w:vMerge w:val="continue"/>
            <w:tcBorders>
              <w:left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360" w:lineRule="auto"/>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安全生产条件</w:t>
            </w:r>
          </w:p>
        </w:tc>
        <w:tc>
          <w:tcPr>
            <w:tcW w:w="4615" w:type="dxa"/>
            <w:tcBorders>
              <w:top w:val="single" w:color="auto" w:sz="4" w:space="0"/>
              <w:left w:val="single" w:color="auto" w:sz="4" w:space="0"/>
            </w:tcBorders>
            <w:vAlign w:val="center"/>
          </w:tcPr>
          <w:p>
            <w:pPr>
              <w:snapToGrid w:val="0"/>
              <w:spacing w:line="36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360" w:lineRule="auto"/>
              <w:jc w:val="center"/>
              <w:rPr>
                <w:rFonts w:cs="宋体" w:asciiTheme="minorEastAsia" w:hAnsiTheme="minorEastAsia" w:eastAsiaTheme="minorEastAsia"/>
                <w:color w:val="auto"/>
                <w:szCs w:val="21"/>
                <w:highlight w:val="none"/>
              </w:rPr>
            </w:pPr>
          </w:p>
        </w:tc>
        <w:tc>
          <w:tcPr>
            <w:tcW w:w="1560" w:type="dxa"/>
            <w:vMerge w:val="continue"/>
            <w:tcBorders>
              <w:left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360" w:lineRule="auto"/>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财务要求</w:t>
            </w:r>
          </w:p>
        </w:tc>
        <w:tc>
          <w:tcPr>
            <w:tcW w:w="4615" w:type="dxa"/>
            <w:tcBorders>
              <w:top w:val="single" w:color="auto" w:sz="4" w:space="0"/>
              <w:left w:val="single" w:color="auto" w:sz="4" w:space="0"/>
            </w:tcBorders>
            <w:vAlign w:val="center"/>
          </w:tcPr>
          <w:p>
            <w:pPr>
              <w:snapToGrid w:val="0"/>
              <w:spacing w:line="36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360" w:lineRule="auto"/>
              <w:jc w:val="center"/>
              <w:rPr>
                <w:rFonts w:cs="宋体" w:asciiTheme="minorEastAsia" w:hAnsiTheme="minorEastAsia" w:eastAsiaTheme="minorEastAsia"/>
                <w:color w:val="auto"/>
                <w:szCs w:val="21"/>
                <w:highlight w:val="none"/>
              </w:rPr>
            </w:pPr>
          </w:p>
        </w:tc>
        <w:tc>
          <w:tcPr>
            <w:tcW w:w="1560" w:type="dxa"/>
            <w:vMerge w:val="continue"/>
            <w:tcBorders>
              <w:left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360" w:lineRule="auto"/>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业绩要求</w:t>
            </w:r>
          </w:p>
        </w:tc>
        <w:tc>
          <w:tcPr>
            <w:tcW w:w="4615" w:type="dxa"/>
            <w:tcBorders>
              <w:top w:val="single" w:color="auto" w:sz="4" w:space="0"/>
              <w:left w:val="single" w:color="auto" w:sz="4" w:space="0"/>
            </w:tcBorders>
            <w:vAlign w:val="center"/>
          </w:tcPr>
          <w:p>
            <w:pPr>
              <w:snapToGrid w:val="0"/>
              <w:spacing w:line="36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360" w:lineRule="auto"/>
              <w:jc w:val="center"/>
              <w:rPr>
                <w:rFonts w:cs="宋体" w:asciiTheme="minorEastAsia" w:hAnsiTheme="minorEastAsia" w:eastAsiaTheme="minorEastAsia"/>
                <w:color w:val="auto"/>
                <w:szCs w:val="21"/>
                <w:highlight w:val="none"/>
              </w:rPr>
            </w:pPr>
          </w:p>
        </w:tc>
        <w:tc>
          <w:tcPr>
            <w:tcW w:w="1560" w:type="dxa"/>
            <w:vMerge w:val="continue"/>
            <w:tcBorders>
              <w:left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360" w:lineRule="auto"/>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szCs w:val="21"/>
                <w:highlight w:val="none"/>
              </w:rPr>
              <w:t>投标截止日投标资格情况</w:t>
            </w:r>
          </w:p>
        </w:tc>
        <w:tc>
          <w:tcPr>
            <w:tcW w:w="4615" w:type="dxa"/>
            <w:tcBorders>
              <w:top w:val="single" w:color="auto" w:sz="4" w:space="0"/>
              <w:left w:val="single" w:color="auto" w:sz="4" w:space="0"/>
            </w:tcBorders>
            <w:vAlign w:val="center"/>
          </w:tcPr>
          <w:p>
            <w:pPr>
              <w:snapToGrid w:val="0"/>
              <w:spacing w:line="36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360" w:lineRule="auto"/>
              <w:jc w:val="center"/>
              <w:rPr>
                <w:rFonts w:cs="宋体" w:asciiTheme="minorEastAsia" w:hAnsiTheme="minorEastAsia" w:eastAsiaTheme="minorEastAsia"/>
                <w:color w:val="auto"/>
                <w:szCs w:val="21"/>
                <w:highlight w:val="none"/>
              </w:rPr>
            </w:pPr>
          </w:p>
        </w:tc>
        <w:tc>
          <w:tcPr>
            <w:tcW w:w="1560" w:type="dxa"/>
            <w:vMerge w:val="continue"/>
            <w:tcBorders>
              <w:left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360" w:lineRule="auto"/>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项目经理资格要求</w:t>
            </w:r>
          </w:p>
        </w:tc>
        <w:tc>
          <w:tcPr>
            <w:tcW w:w="4615" w:type="dxa"/>
            <w:tcBorders>
              <w:top w:val="single" w:color="auto" w:sz="4" w:space="0"/>
              <w:left w:val="single" w:color="auto" w:sz="4" w:space="0"/>
            </w:tcBorders>
            <w:vAlign w:val="center"/>
          </w:tcPr>
          <w:p>
            <w:pPr>
              <w:snapToGrid w:val="0"/>
              <w:spacing w:line="36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360" w:lineRule="auto"/>
              <w:jc w:val="center"/>
              <w:rPr>
                <w:rFonts w:cs="宋体" w:asciiTheme="minorEastAsia" w:hAnsiTheme="minorEastAsia" w:eastAsiaTheme="minorEastAsia"/>
                <w:color w:val="auto"/>
                <w:szCs w:val="21"/>
                <w:highlight w:val="none"/>
              </w:rPr>
            </w:pPr>
          </w:p>
        </w:tc>
        <w:tc>
          <w:tcPr>
            <w:tcW w:w="1560" w:type="dxa"/>
            <w:vMerge w:val="continue"/>
            <w:tcBorders>
              <w:left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360" w:lineRule="auto"/>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其他要求</w:t>
            </w:r>
          </w:p>
        </w:tc>
        <w:tc>
          <w:tcPr>
            <w:tcW w:w="4615" w:type="dxa"/>
            <w:tcBorders>
              <w:top w:val="single" w:color="auto" w:sz="4" w:space="0"/>
              <w:left w:val="single" w:color="auto" w:sz="4" w:space="0"/>
            </w:tcBorders>
            <w:vAlign w:val="center"/>
          </w:tcPr>
          <w:p>
            <w:pPr>
              <w:snapToGrid w:val="0"/>
              <w:spacing w:line="360" w:lineRule="auto"/>
              <w:ind w:firstLine="420" w:firstLineChars="200"/>
              <w:rPr>
                <w:rFonts w:cs="宋体" w:asciiTheme="minorEastAsia" w:hAnsiTheme="minorEastAsia" w:eastAsiaTheme="minorEastAsia"/>
                <w:color w:val="auto"/>
                <w:kern w:val="0"/>
                <w:highlight w:val="none"/>
                <w:u w:val="single"/>
              </w:rPr>
            </w:pPr>
            <w:r>
              <w:rPr>
                <w:rFonts w:hint="eastAsia" w:cs="宋体" w:asciiTheme="minorEastAsia" w:hAnsiTheme="minorEastAsia" w:eastAsiaTheme="minorEastAsia"/>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2.2.3</w:t>
            </w:r>
          </w:p>
        </w:tc>
        <w:tc>
          <w:tcPr>
            <w:tcW w:w="1560" w:type="dxa"/>
            <w:vMerge w:val="restart"/>
            <w:tcBorders>
              <w:lef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形式评审标准</w:t>
            </w:r>
          </w:p>
        </w:tc>
        <w:tc>
          <w:tcPr>
            <w:tcW w:w="2267" w:type="dxa"/>
            <w:tcBorders>
              <w:right w:val="single" w:color="auto" w:sz="4" w:space="0"/>
            </w:tcBorders>
            <w:vAlign w:val="center"/>
          </w:tcPr>
          <w:p>
            <w:pPr>
              <w:spacing w:line="360" w:lineRule="auto"/>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投标人名称</w:t>
            </w:r>
          </w:p>
        </w:tc>
        <w:tc>
          <w:tcPr>
            <w:tcW w:w="4615" w:type="dxa"/>
            <w:tcBorders>
              <w:left w:val="single" w:color="auto" w:sz="4" w:space="0"/>
            </w:tcBorders>
            <w:vAlign w:val="center"/>
          </w:tcPr>
          <w:p>
            <w:pPr>
              <w:snapToGrid w:val="0"/>
              <w:spacing w:line="36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与营业执照、资质证书、安全生产许可证一致，依法变更名称的应提交相应证明材料。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360" w:lineRule="auto"/>
              <w:jc w:val="center"/>
              <w:rPr>
                <w:rFonts w:cs="宋体" w:asciiTheme="minorEastAsia" w:hAnsiTheme="minorEastAsia" w:eastAsiaTheme="minorEastAsia"/>
                <w:b/>
                <w:color w:val="auto"/>
                <w:kern w:val="0"/>
                <w:highlight w:val="none"/>
              </w:rPr>
            </w:pPr>
          </w:p>
        </w:tc>
        <w:tc>
          <w:tcPr>
            <w:tcW w:w="1560" w:type="dxa"/>
            <w:vMerge w:val="continue"/>
            <w:tcBorders>
              <w:left w:val="single" w:color="auto" w:sz="4" w:space="0"/>
            </w:tcBorders>
            <w:vAlign w:val="center"/>
          </w:tcPr>
          <w:p>
            <w:pPr>
              <w:spacing w:line="360" w:lineRule="auto"/>
              <w:jc w:val="center"/>
              <w:rPr>
                <w:rFonts w:cs="宋体" w:asciiTheme="minorEastAsia" w:hAnsiTheme="minorEastAsia" w:eastAsiaTheme="minorEastAsia"/>
                <w:b/>
                <w:color w:val="auto"/>
                <w:kern w:val="0"/>
                <w:highlight w:val="none"/>
              </w:rPr>
            </w:pPr>
          </w:p>
        </w:tc>
        <w:tc>
          <w:tcPr>
            <w:tcW w:w="2267" w:type="dxa"/>
            <w:tcBorders>
              <w:right w:val="single" w:color="auto" w:sz="4" w:space="0"/>
            </w:tcBorders>
            <w:vAlign w:val="center"/>
          </w:tcPr>
          <w:p>
            <w:pPr>
              <w:spacing w:line="360" w:lineRule="auto"/>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投标文件格式</w:t>
            </w:r>
          </w:p>
        </w:tc>
        <w:tc>
          <w:tcPr>
            <w:tcW w:w="4615" w:type="dxa"/>
            <w:tcBorders>
              <w:left w:val="single" w:color="auto" w:sz="4" w:space="0"/>
            </w:tcBorders>
            <w:vAlign w:val="center"/>
          </w:tcPr>
          <w:p>
            <w:pPr>
              <w:snapToGrid w:val="0"/>
              <w:spacing w:line="360" w:lineRule="auto"/>
              <w:ind w:firstLine="380" w:firstLineChars="181"/>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符合第二章“投标人须知”第3.7款的要求（不含投标函部分）。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360" w:lineRule="auto"/>
              <w:jc w:val="center"/>
              <w:rPr>
                <w:rFonts w:cs="宋体" w:asciiTheme="minorEastAsia" w:hAnsiTheme="minorEastAsia" w:eastAsiaTheme="minorEastAsia"/>
                <w:b/>
                <w:color w:val="auto"/>
                <w:kern w:val="0"/>
                <w:highlight w:val="none"/>
              </w:rPr>
            </w:pPr>
          </w:p>
        </w:tc>
        <w:tc>
          <w:tcPr>
            <w:tcW w:w="1560" w:type="dxa"/>
            <w:vMerge w:val="continue"/>
            <w:tcBorders>
              <w:left w:val="single" w:color="auto" w:sz="4" w:space="0"/>
            </w:tcBorders>
            <w:vAlign w:val="center"/>
          </w:tcPr>
          <w:p>
            <w:pPr>
              <w:spacing w:line="360" w:lineRule="auto"/>
              <w:jc w:val="center"/>
              <w:rPr>
                <w:rFonts w:cs="宋体" w:asciiTheme="minorEastAsia" w:hAnsiTheme="minorEastAsia" w:eastAsiaTheme="minorEastAsia"/>
                <w:b/>
                <w:color w:val="auto"/>
                <w:kern w:val="0"/>
                <w:highlight w:val="none"/>
              </w:rPr>
            </w:pPr>
          </w:p>
        </w:tc>
        <w:tc>
          <w:tcPr>
            <w:tcW w:w="2267" w:type="dxa"/>
            <w:tcBorders>
              <w:right w:val="single" w:color="auto" w:sz="4" w:space="0"/>
            </w:tcBorders>
            <w:vAlign w:val="center"/>
          </w:tcPr>
          <w:p>
            <w:pPr>
              <w:spacing w:line="360" w:lineRule="auto"/>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投标文件的签署</w:t>
            </w:r>
          </w:p>
        </w:tc>
        <w:tc>
          <w:tcPr>
            <w:tcW w:w="4615" w:type="dxa"/>
            <w:tcBorders>
              <w:left w:val="single" w:color="auto" w:sz="4" w:space="0"/>
            </w:tcBorders>
            <w:vAlign w:val="center"/>
          </w:tcPr>
          <w:p>
            <w:pPr>
              <w:autoSpaceDE w:val="0"/>
              <w:autoSpaceDN w:val="0"/>
              <w:adjustRightInd w:val="0"/>
              <w:snapToGrid w:val="0"/>
              <w:spacing w:line="36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第八章 投标文件格式（不含投标函部分）要求法定代表人或其委托代理人签名（或盖章）的须齐全，</w:t>
            </w:r>
            <w:r>
              <w:rPr>
                <w:rFonts w:hint="eastAsia" w:cs="宋体" w:asciiTheme="minorEastAsia" w:hAnsiTheme="minorEastAsia" w:eastAsiaTheme="minorEastAsia"/>
                <w:color w:val="auto"/>
                <w:szCs w:val="21"/>
                <w:highlight w:val="none"/>
              </w:rPr>
              <w:t>要求签名的，</w:t>
            </w:r>
            <w:r>
              <w:rPr>
                <w:rFonts w:hint="eastAsia" w:cs="宋体" w:asciiTheme="minorEastAsia" w:hAnsiTheme="minorEastAsia" w:eastAsiaTheme="minorEastAsia"/>
                <w:color w:val="auto"/>
                <w:kern w:val="0"/>
                <w:highlight w:val="none"/>
              </w:rPr>
              <w:t>签名采用手写签名或签章或加盖CA数字证书均可。</w:t>
            </w:r>
          </w:p>
          <w:p>
            <w:pPr>
              <w:autoSpaceDE w:val="0"/>
              <w:autoSpaceDN w:val="0"/>
              <w:adjustRightInd w:val="0"/>
              <w:snapToGrid w:val="0"/>
              <w:spacing w:line="36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第八章 投标文件格式（不含投标函部分）要求加盖单位法人章的，应使用 CA 数字证书加盖投标人的单位电子印章。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360" w:lineRule="auto"/>
              <w:jc w:val="center"/>
              <w:rPr>
                <w:rFonts w:cs="宋体" w:asciiTheme="minorEastAsia" w:hAnsiTheme="minorEastAsia" w:eastAsiaTheme="minorEastAsia"/>
                <w:b/>
                <w:color w:val="auto"/>
                <w:kern w:val="0"/>
                <w:highlight w:val="none"/>
              </w:rPr>
            </w:pPr>
          </w:p>
        </w:tc>
        <w:tc>
          <w:tcPr>
            <w:tcW w:w="1560" w:type="dxa"/>
            <w:vMerge w:val="continue"/>
            <w:tcBorders>
              <w:left w:val="single" w:color="auto" w:sz="4" w:space="0"/>
            </w:tcBorders>
            <w:vAlign w:val="center"/>
          </w:tcPr>
          <w:p>
            <w:pPr>
              <w:spacing w:line="360" w:lineRule="auto"/>
              <w:jc w:val="center"/>
              <w:rPr>
                <w:rFonts w:cs="宋体" w:asciiTheme="minorEastAsia" w:hAnsiTheme="minorEastAsia" w:eastAsiaTheme="minorEastAsia"/>
                <w:b/>
                <w:color w:val="auto"/>
                <w:kern w:val="0"/>
                <w:highlight w:val="none"/>
              </w:rPr>
            </w:pPr>
          </w:p>
        </w:tc>
        <w:tc>
          <w:tcPr>
            <w:tcW w:w="2267" w:type="dxa"/>
            <w:tcBorders>
              <w:right w:val="single" w:color="auto" w:sz="4" w:space="0"/>
            </w:tcBorders>
            <w:vAlign w:val="center"/>
          </w:tcPr>
          <w:p>
            <w:pPr>
              <w:spacing w:line="360" w:lineRule="auto"/>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委托代理人</w:t>
            </w:r>
          </w:p>
        </w:tc>
        <w:tc>
          <w:tcPr>
            <w:tcW w:w="4615" w:type="dxa"/>
            <w:tcBorders>
              <w:left w:val="single" w:color="auto" w:sz="4" w:space="0"/>
            </w:tcBorders>
            <w:vAlign w:val="center"/>
          </w:tcPr>
          <w:p>
            <w:pPr>
              <w:snapToGrid w:val="0"/>
              <w:spacing w:after="78" w:afterLines="25" w:line="36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投标人法定代表人的委托代理人有法定代表人签署的授权委托书和投标人为其缴纳的养老保险。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2.2.4</w:t>
            </w:r>
          </w:p>
        </w:tc>
        <w:tc>
          <w:tcPr>
            <w:tcW w:w="1560" w:type="dxa"/>
            <w:vMerge w:val="restart"/>
            <w:tcBorders>
              <w:top w:val="single" w:color="auto" w:sz="4" w:space="0"/>
              <w:lef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响应性评审标准</w:t>
            </w:r>
          </w:p>
        </w:tc>
        <w:tc>
          <w:tcPr>
            <w:tcW w:w="2267" w:type="dxa"/>
            <w:tcBorders>
              <w:right w:val="single" w:color="auto" w:sz="4" w:space="0"/>
            </w:tcBorders>
            <w:vAlign w:val="center"/>
          </w:tcPr>
          <w:p>
            <w:pPr>
              <w:snapToGrid w:val="0"/>
              <w:spacing w:line="360" w:lineRule="auto"/>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投标内容</w:t>
            </w:r>
          </w:p>
        </w:tc>
        <w:tc>
          <w:tcPr>
            <w:tcW w:w="4615" w:type="dxa"/>
            <w:tcBorders>
              <w:left w:val="single" w:color="auto" w:sz="4" w:space="0"/>
            </w:tcBorders>
            <w:vAlign w:val="center"/>
          </w:tcPr>
          <w:p>
            <w:pPr>
              <w:snapToGrid w:val="0"/>
              <w:spacing w:line="36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1560" w:type="dxa"/>
            <w:vMerge w:val="continue"/>
            <w:tcBorders>
              <w:lef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2267" w:type="dxa"/>
            <w:tcBorders>
              <w:right w:val="single" w:color="auto" w:sz="4" w:space="0"/>
            </w:tcBorders>
            <w:vAlign w:val="center"/>
          </w:tcPr>
          <w:p>
            <w:pPr>
              <w:spacing w:line="360" w:lineRule="auto"/>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投标保证金</w:t>
            </w:r>
          </w:p>
        </w:tc>
        <w:tc>
          <w:tcPr>
            <w:tcW w:w="4615" w:type="dxa"/>
            <w:tcBorders>
              <w:left w:val="single" w:color="auto" w:sz="4" w:space="0"/>
            </w:tcBorders>
            <w:vAlign w:val="center"/>
          </w:tcPr>
          <w:p>
            <w:pPr>
              <w:tabs>
                <w:tab w:val="left" w:pos="611"/>
                <w:tab w:val="left" w:pos="669"/>
              </w:tabs>
              <w:snapToGrid w:val="0"/>
              <w:spacing w:line="36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符合第二章“投标人须知前附表”第3.4款规定。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1560" w:type="dxa"/>
            <w:vMerge w:val="continue"/>
            <w:tcBorders>
              <w:lef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2267" w:type="dxa"/>
            <w:tcBorders>
              <w:right w:val="single" w:color="auto" w:sz="4" w:space="0"/>
            </w:tcBorders>
            <w:vAlign w:val="center"/>
          </w:tcPr>
          <w:p>
            <w:pPr>
              <w:snapToGrid w:val="0"/>
              <w:spacing w:line="360" w:lineRule="auto"/>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权利义务</w:t>
            </w:r>
          </w:p>
        </w:tc>
        <w:tc>
          <w:tcPr>
            <w:tcW w:w="4615" w:type="dxa"/>
            <w:tcBorders>
              <w:left w:val="single" w:color="auto" w:sz="4" w:space="0"/>
            </w:tcBorders>
            <w:vAlign w:val="center"/>
          </w:tcPr>
          <w:p>
            <w:pPr>
              <w:snapToGrid w:val="0"/>
              <w:spacing w:after="31" w:afterLines="10" w:line="36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符合第四章“合同条款及格式”规定，投标文件不应附有招标人不能接受的条件。（由投标人承诺，承诺书格式详见第八章投标文件格式。）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1560" w:type="dxa"/>
            <w:vMerge w:val="continue"/>
            <w:tcBorders>
              <w:lef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2267" w:type="dxa"/>
            <w:tcBorders>
              <w:right w:val="single" w:color="auto" w:sz="4" w:space="0"/>
            </w:tcBorders>
            <w:vAlign w:val="center"/>
          </w:tcPr>
          <w:p>
            <w:pPr>
              <w:snapToGrid w:val="0"/>
              <w:spacing w:line="360" w:lineRule="auto"/>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技术标准和要求</w:t>
            </w:r>
          </w:p>
        </w:tc>
        <w:tc>
          <w:tcPr>
            <w:tcW w:w="4615" w:type="dxa"/>
            <w:tcBorders>
              <w:left w:val="single" w:color="auto" w:sz="4" w:space="0"/>
            </w:tcBorders>
            <w:vAlign w:val="center"/>
          </w:tcPr>
          <w:p>
            <w:pPr>
              <w:snapToGrid w:val="0"/>
              <w:spacing w:after="31" w:afterLines="10" w:line="36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符合第七章“技术标准和要求”规定。（由投标人承诺，承诺书格式详见第八章投标文件格式。）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1560" w:type="dxa"/>
            <w:vMerge w:val="continue"/>
            <w:tcBorders>
              <w:left w:val="single" w:color="auto" w:sz="4" w:space="0"/>
              <w:bottom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2267" w:type="dxa"/>
            <w:tcBorders>
              <w:right w:val="single" w:color="auto" w:sz="4" w:space="0"/>
            </w:tcBorders>
            <w:vAlign w:val="center"/>
          </w:tcPr>
          <w:p>
            <w:pPr>
              <w:snapToGrid w:val="0"/>
              <w:spacing w:line="360" w:lineRule="auto"/>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实质性要求</w:t>
            </w:r>
          </w:p>
        </w:tc>
        <w:tc>
          <w:tcPr>
            <w:tcW w:w="4615" w:type="dxa"/>
            <w:tcBorders>
              <w:left w:val="single" w:color="auto" w:sz="4" w:space="0"/>
            </w:tcBorders>
            <w:vAlign w:val="center"/>
          </w:tcPr>
          <w:p>
            <w:pPr>
              <w:snapToGrid w:val="0"/>
              <w:spacing w:after="31" w:afterLines="10" w:line="36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符合第二章“投标人须知”第1.4.3项规定。</w:t>
            </w:r>
          </w:p>
          <w:p>
            <w:pPr>
              <w:snapToGrid w:val="0"/>
              <w:spacing w:after="31" w:afterLines="10" w:line="36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本次投标不得有串通投标、弄虚作假等其他违反招投标相关法律、法规行为。</w:t>
            </w:r>
          </w:p>
          <w:p>
            <w:pPr>
              <w:snapToGrid w:val="0"/>
              <w:spacing w:after="31" w:afterLines="10" w:line="36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2.2.5</w:t>
            </w:r>
          </w:p>
        </w:tc>
        <w:tc>
          <w:tcPr>
            <w:tcW w:w="1560" w:type="dxa"/>
            <w:vMerge w:val="restart"/>
            <w:tcBorders>
              <w:top w:val="single" w:color="auto" w:sz="4" w:space="0"/>
              <w:lef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投标函部分及经济部分评审标准</w:t>
            </w:r>
          </w:p>
        </w:tc>
        <w:tc>
          <w:tcPr>
            <w:tcW w:w="2267" w:type="dxa"/>
            <w:tcBorders>
              <w:right w:val="single" w:color="auto" w:sz="4" w:space="0"/>
            </w:tcBorders>
            <w:vAlign w:val="center"/>
          </w:tcPr>
          <w:p>
            <w:pPr>
              <w:snapToGrid w:val="0"/>
              <w:spacing w:line="360" w:lineRule="auto"/>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投标函部分的签名盖章</w:t>
            </w:r>
          </w:p>
        </w:tc>
        <w:tc>
          <w:tcPr>
            <w:tcW w:w="4615" w:type="dxa"/>
            <w:tcBorders>
              <w:left w:val="single" w:color="auto" w:sz="4" w:space="0"/>
            </w:tcBorders>
            <w:vAlign w:val="center"/>
          </w:tcPr>
          <w:p>
            <w:pPr>
              <w:snapToGrid w:val="0"/>
              <w:spacing w:after="31" w:afterLines="10" w:line="36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投标函部分的格式要求法定代表人或其委托代理人签名（或盖章）的须齐全，</w:t>
            </w:r>
            <w:r>
              <w:rPr>
                <w:rFonts w:hint="eastAsia" w:cs="宋体" w:asciiTheme="minorEastAsia" w:hAnsiTheme="minorEastAsia" w:eastAsiaTheme="minorEastAsia"/>
                <w:color w:val="auto"/>
                <w:szCs w:val="21"/>
                <w:highlight w:val="none"/>
              </w:rPr>
              <w:t>要求签名的，</w:t>
            </w:r>
            <w:r>
              <w:rPr>
                <w:rFonts w:hint="eastAsia" w:cs="宋体" w:asciiTheme="minorEastAsia" w:hAnsiTheme="minorEastAsia" w:eastAsiaTheme="minorEastAsia"/>
                <w:color w:val="auto"/>
                <w:kern w:val="0"/>
                <w:highlight w:val="none"/>
              </w:rPr>
              <w:t>签名采用手写签名或签章或加盖CA数字证书均可，要求加盖单位法人章的，应使用 CA 数字证书加盖投标人的单位电子印章。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1560" w:type="dxa"/>
            <w:vMerge w:val="continue"/>
            <w:tcBorders>
              <w:lef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2267" w:type="dxa"/>
            <w:tcBorders>
              <w:right w:val="single" w:color="auto" w:sz="4" w:space="0"/>
            </w:tcBorders>
            <w:vAlign w:val="center"/>
          </w:tcPr>
          <w:p>
            <w:pPr>
              <w:snapToGrid w:val="0"/>
              <w:spacing w:line="360" w:lineRule="auto"/>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工期</w:t>
            </w:r>
          </w:p>
        </w:tc>
        <w:tc>
          <w:tcPr>
            <w:tcW w:w="4615" w:type="dxa"/>
            <w:tcBorders>
              <w:left w:val="single" w:color="auto" w:sz="4" w:space="0"/>
            </w:tcBorders>
            <w:vAlign w:val="center"/>
          </w:tcPr>
          <w:p>
            <w:pPr>
              <w:snapToGrid w:val="0"/>
              <w:spacing w:after="31" w:afterLines="10" w:line="360" w:lineRule="auto"/>
              <w:ind w:firstLine="420" w:firstLineChars="200"/>
              <w:rPr>
                <w:rFonts w:hint="eastAsia" w:cs="宋体" w:asciiTheme="minorEastAsia" w:hAnsiTheme="minorEastAsia" w:eastAsiaTheme="minorEastAsia"/>
                <w:color w:val="auto"/>
                <w:kern w:val="0"/>
                <w:highlight w:val="none"/>
                <w:lang w:eastAsia="zh-CN"/>
              </w:rPr>
            </w:pPr>
            <w:r>
              <w:rPr>
                <w:rFonts w:hint="eastAsia" w:cs="宋体" w:asciiTheme="minorEastAsia" w:hAnsiTheme="minorEastAsia" w:eastAsiaTheme="minorEastAsia"/>
                <w:color w:val="auto"/>
                <w:kern w:val="0"/>
                <w:highlight w:val="none"/>
              </w:rPr>
              <w:t>符合第二章“投标人须知”第1.3.</w:t>
            </w:r>
            <w:r>
              <w:rPr>
                <w:rFonts w:hint="eastAsia" w:cs="宋体" w:asciiTheme="minorEastAsia" w:hAnsiTheme="minorEastAsia" w:eastAsiaTheme="minorEastAsia"/>
                <w:color w:val="auto"/>
                <w:kern w:val="0"/>
                <w:highlight w:val="none"/>
                <w:lang w:val="en-US" w:eastAsia="zh-CN"/>
              </w:rPr>
              <w:t>2</w:t>
            </w:r>
            <w:r>
              <w:rPr>
                <w:rFonts w:hint="eastAsia" w:cs="宋体" w:asciiTheme="minorEastAsia" w:hAnsiTheme="minorEastAsia" w:eastAsiaTheme="minorEastAsia"/>
                <w:color w:val="auto"/>
                <w:kern w:val="0"/>
                <w:highlight w:val="none"/>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1560" w:type="dxa"/>
            <w:vMerge w:val="continue"/>
            <w:tcBorders>
              <w:lef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2267" w:type="dxa"/>
            <w:tcBorders>
              <w:right w:val="single" w:color="auto" w:sz="4" w:space="0"/>
            </w:tcBorders>
            <w:vAlign w:val="center"/>
          </w:tcPr>
          <w:p>
            <w:pPr>
              <w:snapToGrid w:val="0"/>
              <w:spacing w:line="360" w:lineRule="auto"/>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工程质量</w:t>
            </w:r>
          </w:p>
        </w:tc>
        <w:tc>
          <w:tcPr>
            <w:tcW w:w="4615" w:type="dxa"/>
            <w:tcBorders>
              <w:left w:val="single" w:color="auto" w:sz="4" w:space="0"/>
            </w:tcBorders>
            <w:vAlign w:val="center"/>
          </w:tcPr>
          <w:p>
            <w:pPr>
              <w:snapToGrid w:val="0"/>
              <w:spacing w:after="31" w:afterLines="10" w:line="36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符合第二章“投标人须知”第1.3.3项规定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1560" w:type="dxa"/>
            <w:vMerge w:val="continue"/>
            <w:tcBorders>
              <w:lef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2267" w:type="dxa"/>
            <w:tcBorders>
              <w:right w:val="single" w:color="auto" w:sz="4" w:space="0"/>
            </w:tcBorders>
            <w:vAlign w:val="center"/>
          </w:tcPr>
          <w:p>
            <w:pPr>
              <w:snapToGrid w:val="0"/>
              <w:spacing w:line="360" w:lineRule="auto"/>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投标有效期</w:t>
            </w:r>
          </w:p>
        </w:tc>
        <w:tc>
          <w:tcPr>
            <w:tcW w:w="4615" w:type="dxa"/>
            <w:tcBorders>
              <w:left w:val="single" w:color="auto" w:sz="4" w:space="0"/>
            </w:tcBorders>
            <w:vAlign w:val="center"/>
          </w:tcPr>
          <w:p>
            <w:pPr>
              <w:snapToGrid w:val="0"/>
              <w:spacing w:after="31" w:afterLines="10" w:line="36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1560" w:type="dxa"/>
            <w:vMerge w:val="continue"/>
            <w:tcBorders>
              <w:lef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2267" w:type="dxa"/>
            <w:tcBorders>
              <w:right w:val="single" w:color="auto" w:sz="4" w:space="0"/>
            </w:tcBorders>
            <w:vAlign w:val="center"/>
          </w:tcPr>
          <w:p>
            <w:pPr>
              <w:snapToGrid w:val="0"/>
              <w:spacing w:line="360" w:lineRule="auto"/>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投标总报价</w:t>
            </w:r>
          </w:p>
        </w:tc>
        <w:tc>
          <w:tcPr>
            <w:tcW w:w="4615" w:type="dxa"/>
            <w:tcBorders>
              <w:left w:val="single" w:color="auto" w:sz="4" w:space="0"/>
            </w:tcBorders>
            <w:vAlign w:val="center"/>
          </w:tcPr>
          <w:p>
            <w:pPr>
              <w:snapToGrid w:val="0"/>
              <w:spacing w:after="31" w:afterLines="10" w:line="36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1.投标函中的总报价应与已标价工程量清单总报价一致，工程量清单总报价应与依据单价、工程数量、分部分项工程合价计算出的结果一致。</w:t>
            </w:r>
          </w:p>
          <w:p>
            <w:pPr>
              <w:snapToGrid w:val="0"/>
              <w:spacing w:after="31" w:afterLines="10" w:line="36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2.投标总报价不得高于招标人公布的投标总报价最高限价。</w:t>
            </w:r>
          </w:p>
          <w:p>
            <w:pPr>
              <w:snapToGrid w:val="0"/>
              <w:spacing w:after="31" w:afterLines="10" w:line="36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3.投标总报价低于最高限价85%的，投标人应在编制投标文件时，在投标函部分中递交低价风险担保提交承诺书。承诺书格式详见第八章投标文件格式。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1560" w:type="dxa"/>
            <w:vMerge w:val="continue"/>
            <w:tcBorders>
              <w:lef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2267" w:type="dxa"/>
            <w:tcBorders>
              <w:right w:val="single" w:color="auto" w:sz="4" w:space="0"/>
            </w:tcBorders>
            <w:vAlign w:val="center"/>
          </w:tcPr>
          <w:p>
            <w:pPr>
              <w:snapToGrid w:val="0"/>
              <w:spacing w:line="360" w:lineRule="auto"/>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暂定金额</w:t>
            </w:r>
          </w:p>
        </w:tc>
        <w:tc>
          <w:tcPr>
            <w:tcW w:w="4615" w:type="dxa"/>
            <w:tcBorders>
              <w:left w:val="single" w:color="auto" w:sz="4" w:space="0"/>
            </w:tcBorders>
            <w:vAlign w:val="center"/>
          </w:tcPr>
          <w:p>
            <w:pPr>
              <w:snapToGrid w:val="0"/>
              <w:spacing w:after="31" w:afterLines="10" w:line="36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暂列金额、暂估价、安全文明施工费等暂定金额必须按照招标文件给定的金额填报。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1560" w:type="dxa"/>
            <w:vMerge w:val="continue"/>
            <w:tcBorders>
              <w:lef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2267" w:type="dxa"/>
            <w:tcBorders>
              <w:right w:val="single" w:color="auto" w:sz="4" w:space="0"/>
            </w:tcBorders>
            <w:vAlign w:val="center"/>
          </w:tcPr>
          <w:p>
            <w:pPr>
              <w:snapToGrid w:val="0"/>
              <w:spacing w:line="360" w:lineRule="auto"/>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报价唯一</w:t>
            </w:r>
          </w:p>
        </w:tc>
        <w:tc>
          <w:tcPr>
            <w:tcW w:w="4615" w:type="dxa"/>
            <w:tcBorders>
              <w:left w:val="single" w:color="auto" w:sz="4" w:space="0"/>
            </w:tcBorders>
            <w:vAlign w:val="center"/>
          </w:tcPr>
          <w:p>
            <w:pPr>
              <w:snapToGrid w:val="0"/>
              <w:spacing w:after="31" w:afterLines="10" w:line="36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只能有一个有效报价。在招标文件没有规定的情况下，不得提交选择性报价。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1560" w:type="dxa"/>
            <w:vMerge w:val="continue"/>
            <w:tcBorders>
              <w:lef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2267" w:type="dxa"/>
            <w:tcBorders>
              <w:right w:val="single" w:color="auto" w:sz="4" w:space="0"/>
            </w:tcBorders>
            <w:vAlign w:val="center"/>
          </w:tcPr>
          <w:p>
            <w:pPr>
              <w:snapToGrid w:val="0"/>
              <w:spacing w:line="360" w:lineRule="auto"/>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已标价工程量清单</w:t>
            </w:r>
          </w:p>
        </w:tc>
        <w:tc>
          <w:tcPr>
            <w:tcW w:w="4615" w:type="dxa"/>
            <w:tcBorders>
              <w:left w:val="single" w:color="auto" w:sz="4" w:space="0"/>
            </w:tcBorders>
            <w:vAlign w:val="center"/>
          </w:tcPr>
          <w:p>
            <w:pPr>
              <w:spacing w:after="62" w:afterLines="20" w:line="36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1.投标人</w:t>
            </w:r>
            <w:r>
              <w:rPr>
                <w:rFonts w:hint="eastAsia" w:cs="宋体" w:asciiTheme="minorEastAsia" w:hAnsiTheme="minorEastAsia" w:eastAsiaTheme="minorEastAsia"/>
                <w:color w:val="auto"/>
                <w:szCs w:val="21"/>
                <w:highlight w:val="none"/>
              </w:rPr>
              <w:t>应当按招标工程量清单填报价格。项目编码、项目名称、项目特征、计量单位、工程量应当与招标工程量清单一致</w:t>
            </w:r>
            <w:r>
              <w:rPr>
                <w:rFonts w:hint="eastAsia" w:cs="宋体" w:asciiTheme="minorEastAsia" w:hAnsiTheme="minorEastAsia" w:eastAsiaTheme="minorEastAsia"/>
                <w:color w:val="auto"/>
                <w:kern w:val="0"/>
                <w:highlight w:val="none"/>
              </w:rPr>
              <w:t>。</w:t>
            </w:r>
          </w:p>
          <w:p>
            <w:pPr>
              <w:snapToGrid w:val="0"/>
              <w:spacing w:after="31" w:afterLines="10" w:line="36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2.每项清单综合单价报价不得高于每项清单综合单价最高限价。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1560" w:type="dxa"/>
            <w:vMerge w:val="continue"/>
            <w:tcBorders>
              <w:left w:val="single" w:color="auto" w:sz="4" w:space="0"/>
            </w:tcBorders>
            <w:vAlign w:val="center"/>
          </w:tcPr>
          <w:p>
            <w:pPr>
              <w:spacing w:line="360" w:lineRule="auto"/>
              <w:jc w:val="center"/>
              <w:rPr>
                <w:rFonts w:cs="宋体" w:asciiTheme="minorEastAsia" w:hAnsiTheme="minorEastAsia" w:eastAsiaTheme="minorEastAsia"/>
                <w:color w:val="auto"/>
                <w:kern w:val="0"/>
                <w:highlight w:val="none"/>
              </w:rPr>
            </w:pPr>
          </w:p>
        </w:tc>
        <w:tc>
          <w:tcPr>
            <w:tcW w:w="2267" w:type="dxa"/>
            <w:tcBorders>
              <w:right w:val="single" w:color="auto" w:sz="4" w:space="0"/>
            </w:tcBorders>
            <w:vAlign w:val="center"/>
          </w:tcPr>
          <w:p>
            <w:pPr>
              <w:snapToGrid w:val="0"/>
              <w:spacing w:line="360" w:lineRule="auto"/>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投标报价算术错误修正</w:t>
            </w:r>
          </w:p>
        </w:tc>
        <w:tc>
          <w:tcPr>
            <w:tcW w:w="4615" w:type="dxa"/>
            <w:tcBorders>
              <w:left w:val="single" w:color="auto" w:sz="4" w:space="0"/>
            </w:tcBorders>
            <w:vAlign w:val="center"/>
          </w:tcPr>
          <w:p>
            <w:pPr>
              <w:snapToGrid w:val="0"/>
              <w:spacing w:after="31" w:afterLines="10" w:line="360" w:lineRule="auto"/>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符合第三章“评标办法”第3.2.3项规定。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360"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w:t>
            </w:r>
          </w:p>
        </w:tc>
        <w:tc>
          <w:tcPr>
            <w:tcW w:w="1560" w:type="dxa"/>
            <w:tcBorders>
              <w:left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评标程序</w:t>
            </w:r>
          </w:p>
        </w:tc>
        <w:tc>
          <w:tcPr>
            <w:tcW w:w="6882" w:type="dxa"/>
            <w:gridSpan w:val="2"/>
            <w:tcBorders>
              <w:left w:val="single" w:color="auto" w:sz="4" w:space="0"/>
            </w:tcBorders>
            <w:vAlign w:val="center"/>
          </w:tcPr>
          <w:p>
            <w:pPr>
              <w:spacing w:after="31" w:afterLines="10"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对报价不高于最高限价的所有投标人的投标文件，按照报价由低到高的顺序排序。需技术方案评审的，由电子评标系统对技术方案进行自动随机编号。在投标函部分及经济部分评审前，推送给评标委员会的投标文件不得显示排序。</w:t>
            </w:r>
          </w:p>
          <w:p>
            <w:pPr>
              <w:spacing w:after="31" w:afterLines="10"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2.根据本章第2.2款约定进行符合性审查</w:t>
            </w:r>
            <w:r>
              <w:rPr>
                <w:rFonts w:hint="eastAsia" w:cs="宋体" w:asciiTheme="minorEastAsia" w:hAnsiTheme="minorEastAsia" w:eastAsiaTheme="minorEastAsia"/>
                <w:color w:val="auto"/>
                <w:spacing w:val="4"/>
                <w:kern w:val="0"/>
                <w:szCs w:val="21"/>
                <w:highlight w:val="none"/>
              </w:rPr>
              <w:t>。符合性审查</w:t>
            </w:r>
            <w:r>
              <w:rPr>
                <w:rFonts w:hint="eastAsia" w:cs="宋体" w:asciiTheme="minorEastAsia" w:hAnsiTheme="minorEastAsia" w:eastAsiaTheme="minorEastAsia"/>
                <w:color w:val="auto"/>
                <w:kern w:val="0"/>
                <w:szCs w:val="21"/>
                <w:highlight w:val="none"/>
              </w:rPr>
              <w:t>合格的投标人中，报价最低的成为第一中标候选人，报价次低的成为第二中标候选人，依次类推。</w:t>
            </w:r>
          </w:p>
          <w:p>
            <w:pPr>
              <w:spacing w:after="31" w:afterLines="10"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w:t>
            </w:r>
            <w:r>
              <w:rPr>
                <w:rFonts w:hint="eastAsia" w:cs="宋体" w:asciiTheme="minorEastAsia" w:hAnsiTheme="minorEastAsia" w:eastAsiaTheme="minorEastAsia"/>
                <w:color w:val="auto"/>
                <w:spacing w:val="4"/>
                <w:kern w:val="0"/>
                <w:szCs w:val="21"/>
                <w:highlight w:val="none"/>
              </w:rPr>
              <w:t>若上述程序未能评出三名中标候选人</w:t>
            </w:r>
            <w:r>
              <w:rPr>
                <w:rFonts w:hint="eastAsia" w:cs="宋体" w:asciiTheme="minorEastAsia" w:hAnsiTheme="minorEastAsia" w:eastAsiaTheme="minorEastAsia"/>
                <w:color w:val="auto"/>
                <w:kern w:val="0"/>
                <w:szCs w:val="21"/>
                <w:highlight w:val="none"/>
              </w:rPr>
              <w:t>，则评标委员会对剩余投标文件继续按上述第2条进行评审，直至评出三名中标候选人，或者评审完所有投标文件。</w:t>
            </w:r>
          </w:p>
          <w:p>
            <w:pPr>
              <w:spacing w:after="31" w:afterLines="10"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kern w:val="0"/>
                <w:szCs w:val="21"/>
                <w:highlight w:val="none"/>
              </w:rPr>
              <w:t>因评标委员会作否决投标处理，导致有效投标人不足三个的，评标委员会应当否决所有投标。但是有效投标人的经济、技术等指标仍然具有市场竞争力，并满足招标文件要求的，评标委员会可以继续评标并确定中标候选人。</w:t>
            </w:r>
          </w:p>
          <w:p>
            <w:pPr>
              <w:spacing w:after="31" w:afterLines="10"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注：若出现投标人投标报价相同的，以“投标人在红名单中优先”的原则排序</w:t>
            </w:r>
            <w:r>
              <w:rPr>
                <w:rFonts w:hint="eastAsia" w:cs="宋体" w:asciiTheme="minorEastAsia" w:hAnsiTheme="minorEastAsia" w:eastAsiaTheme="minorEastAsia"/>
                <w:color w:val="auto"/>
                <w:spacing w:val="4"/>
                <w:kern w:val="0"/>
                <w:szCs w:val="21"/>
                <w:highlight w:val="none"/>
              </w:rPr>
              <w:t>，</w:t>
            </w:r>
            <w:r>
              <w:rPr>
                <w:rFonts w:hint="eastAsia" w:cs="宋体" w:asciiTheme="minorEastAsia" w:hAnsiTheme="minorEastAsia" w:eastAsiaTheme="minorEastAsia"/>
                <w:color w:val="auto"/>
                <w:kern w:val="0"/>
                <w:szCs w:val="21"/>
                <w:highlight w:val="none"/>
              </w:rPr>
              <w:t>投标人均在红名单中</w:t>
            </w:r>
            <w:r>
              <w:rPr>
                <w:rFonts w:hint="eastAsia" w:cs="宋体" w:asciiTheme="minorEastAsia" w:hAnsiTheme="minorEastAsia" w:eastAsiaTheme="minorEastAsia"/>
                <w:color w:val="auto"/>
                <w:spacing w:val="4"/>
                <w:kern w:val="0"/>
                <w:szCs w:val="21"/>
                <w:highlight w:val="none"/>
              </w:rPr>
              <w:t>或均不在红名单中的，由评标委员会按照</w:t>
            </w:r>
            <w:r>
              <w:rPr>
                <w:rFonts w:hint="eastAsia" w:cs="宋体" w:asciiTheme="minorEastAsia" w:hAnsiTheme="minorEastAsia" w:eastAsiaTheme="minorEastAsia"/>
                <w:color w:val="auto"/>
                <w:kern w:val="0"/>
                <w:highlight w:val="none"/>
                <w:u w:val="single"/>
                <w:lang w:val="en-US" w:eastAsia="zh-CN"/>
              </w:rPr>
              <w:t>2021年资产负债率由低到高</w:t>
            </w:r>
            <w:r>
              <w:rPr>
                <w:rFonts w:hint="eastAsia" w:cs="宋体" w:asciiTheme="minorEastAsia" w:hAnsiTheme="minorEastAsia" w:eastAsiaTheme="minorEastAsia"/>
                <w:color w:val="auto"/>
                <w:spacing w:val="4"/>
                <w:kern w:val="0"/>
                <w:szCs w:val="21"/>
                <w:highlight w:val="none"/>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360"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3.4</w:t>
            </w:r>
          </w:p>
        </w:tc>
        <w:tc>
          <w:tcPr>
            <w:tcW w:w="1560" w:type="dxa"/>
            <w:tcBorders>
              <w:left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评标结果</w:t>
            </w:r>
          </w:p>
        </w:tc>
        <w:tc>
          <w:tcPr>
            <w:tcW w:w="6882" w:type="dxa"/>
            <w:gridSpan w:val="2"/>
            <w:tcBorders>
              <w:left w:val="single" w:color="auto" w:sz="4" w:space="0"/>
            </w:tcBorders>
            <w:vAlign w:val="center"/>
          </w:tcPr>
          <w:p>
            <w:pPr>
              <w:autoSpaceDE w:val="0"/>
              <w:autoSpaceDN w:val="0"/>
              <w:adjustRightInd w:val="0"/>
              <w:snapToGrid w:val="0"/>
              <w:spacing w:line="360" w:lineRule="auto"/>
              <w:ind w:firstLine="42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w:t>
            </w:r>
            <w:r>
              <w:rPr>
                <w:rFonts w:hint="eastAsia" w:cs="宋体" w:asciiTheme="minorEastAsia" w:hAnsiTheme="minorEastAsia" w:eastAsiaTheme="minorEastAsia"/>
                <w:color w:val="auto"/>
                <w:spacing w:val="-1"/>
                <w:kern w:val="0"/>
                <w:szCs w:val="21"/>
                <w:highlight w:val="none"/>
              </w:rPr>
              <w:t>4</w:t>
            </w:r>
            <w:r>
              <w:rPr>
                <w:rFonts w:hint="eastAsia" w:cs="宋体" w:asciiTheme="minorEastAsia" w:hAnsiTheme="minorEastAsia" w:eastAsiaTheme="minorEastAsia"/>
                <w:color w:val="auto"/>
                <w:kern w:val="0"/>
                <w:szCs w:val="21"/>
                <w:highlight w:val="none"/>
              </w:rPr>
              <w:t>.1 除第二章“投标</w:t>
            </w:r>
            <w:r>
              <w:rPr>
                <w:rFonts w:hint="eastAsia" w:cs="宋体" w:asciiTheme="minorEastAsia" w:hAnsiTheme="minorEastAsia" w:eastAsiaTheme="minorEastAsia"/>
                <w:color w:val="auto"/>
                <w:spacing w:val="1"/>
                <w:kern w:val="0"/>
                <w:szCs w:val="21"/>
                <w:highlight w:val="none"/>
              </w:rPr>
              <w:t>人</w:t>
            </w:r>
            <w:r>
              <w:rPr>
                <w:rFonts w:hint="eastAsia" w:cs="宋体" w:asciiTheme="minorEastAsia" w:hAnsiTheme="minorEastAsia" w:eastAsiaTheme="minorEastAsia"/>
                <w:color w:val="auto"/>
                <w:kern w:val="0"/>
                <w:szCs w:val="21"/>
                <w:highlight w:val="none"/>
              </w:rPr>
              <w:t>须知”前</w:t>
            </w:r>
            <w:r>
              <w:rPr>
                <w:rFonts w:hint="eastAsia" w:cs="宋体" w:asciiTheme="minorEastAsia" w:hAnsiTheme="minorEastAsia" w:eastAsiaTheme="minorEastAsia"/>
                <w:color w:val="auto"/>
                <w:spacing w:val="1"/>
                <w:kern w:val="0"/>
                <w:szCs w:val="21"/>
                <w:highlight w:val="none"/>
              </w:rPr>
              <w:t>附</w:t>
            </w:r>
            <w:r>
              <w:rPr>
                <w:rFonts w:hint="eastAsia" w:cs="宋体" w:asciiTheme="minorEastAsia" w:hAnsiTheme="minorEastAsia" w:eastAsiaTheme="minorEastAsia"/>
                <w:color w:val="auto"/>
                <w:kern w:val="0"/>
                <w:szCs w:val="21"/>
                <w:highlight w:val="none"/>
              </w:rPr>
              <w:t>表授权直</w:t>
            </w:r>
            <w:r>
              <w:rPr>
                <w:rFonts w:hint="eastAsia" w:cs="宋体" w:asciiTheme="minorEastAsia" w:hAnsiTheme="minorEastAsia" w:eastAsiaTheme="minorEastAsia"/>
                <w:color w:val="auto"/>
                <w:spacing w:val="1"/>
                <w:kern w:val="0"/>
                <w:szCs w:val="21"/>
                <w:highlight w:val="none"/>
              </w:rPr>
              <w:t>接</w:t>
            </w:r>
            <w:r>
              <w:rPr>
                <w:rFonts w:hint="eastAsia" w:cs="宋体" w:asciiTheme="minorEastAsia" w:hAnsiTheme="minorEastAsia" w:eastAsiaTheme="minorEastAsia"/>
                <w:color w:val="auto"/>
                <w:kern w:val="0"/>
                <w:szCs w:val="21"/>
                <w:highlight w:val="none"/>
              </w:rPr>
              <w:t>确定中标</w:t>
            </w:r>
            <w:r>
              <w:rPr>
                <w:rFonts w:hint="eastAsia" w:cs="宋体" w:asciiTheme="minorEastAsia" w:hAnsiTheme="minorEastAsia" w:eastAsiaTheme="minorEastAsia"/>
                <w:color w:val="auto"/>
                <w:spacing w:val="1"/>
                <w:kern w:val="0"/>
                <w:szCs w:val="21"/>
                <w:highlight w:val="none"/>
              </w:rPr>
              <w:t>人</w:t>
            </w:r>
            <w:r>
              <w:rPr>
                <w:rFonts w:hint="eastAsia" w:cs="宋体" w:asciiTheme="minorEastAsia" w:hAnsiTheme="minorEastAsia" w:eastAsiaTheme="minorEastAsia"/>
                <w:color w:val="auto"/>
                <w:kern w:val="0"/>
                <w:szCs w:val="21"/>
                <w:highlight w:val="none"/>
              </w:rPr>
              <w:t>外，评标</w:t>
            </w:r>
            <w:r>
              <w:rPr>
                <w:rFonts w:hint="eastAsia" w:cs="宋体" w:asciiTheme="minorEastAsia" w:hAnsiTheme="minorEastAsia" w:eastAsiaTheme="minorEastAsia"/>
                <w:color w:val="auto"/>
                <w:spacing w:val="1"/>
                <w:kern w:val="0"/>
                <w:szCs w:val="21"/>
                <w:highlight w:val="none"/>
              </w:rPr>
              <w:t>委</w:t>
            </w:r>
            <w:r>
              <w:rPr>
                <w:rFonts w:hint="eastAsia" w:cs="宋体" w:asciiTheme="minorEastAsia" w:hAnsiTheme="minorEastAsia" w:eastAsiaTheme="minorEastAsia"/>
                <w:color w:val="auto"/>
                <w:kern w:val="0"/>
                <w:szCs w:val="21"/>
                <w:highlight w:val="none"/>
              </w:rPr>
              <w:t>员会按经评审的最低投标价法推荐中标候选人。</w:t>
            </w:r>
          </w:p>
          <w:p>
            <w:pPr>
              <w:spacing w:line="360" w:lineRule="auto"/>
              <w:ind w:firstLine="424"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spacing w:val="1"/>
                <w:kern w:val="0"/>
                <w:szCs w:val="21"/>
                <w:highlight w:val="none"/>
              </w:rPr>
              <w:t>3</w:t>
            </w:r>
            <w:r>
              <w:rPr>
                <w:rFonts w:hint="eastAsia" w:cs="宋体" w:asciiTheme="minorEastAsia" w:hAnsiTheme="minorEastAsia" w:eastAsiaTheme="minorEastAsia"/>
                <w:color w:val="auto"/>
                <w:kern w:val="0"/>
                <w:szCs w:val="21"/>
                <w:highlight w:val="none"/>
              </w:rPr>
              <w:t>.4.2 评标</w:t>
            </w:r>
            <w:r>
              <w:rPr>
                <w:rFonts w:hint="eastAsia" w:cs="宋体" w:asciiTheme="minorEastAsia" w:hAnsiTheme="minorEastAsia" w:eastAsiaTheme="minorEastAsia"/>
                <w:color w:val="auto"/>
                <w:spacing w:val="-1"/>
                <w:kern w:val="0"/>
                <w:szCs w:val="21"/>
                <w:highlight w:val="none"/>
              </w:rPr>
              <w:t>委</w:t>
            </w:r>
            <w:r>
              <w:rPr>
                <w:rFonts w:hint="eastAsia" w:cs="宋体" w:asciiTheme="minorEastAsia" w:hAnsiTheme="minorEastAsia" w:eastAsiaTheme="minorEastAsia"/>
                <w:color w:val="auto"/>
                <w:kern w:val="0"/>
                <w:szCs w:val="21"/>
                <w:highlight w:val="none"/>
              </w:rPr>
              <w:t>员会完成评标后，应当向招标人提交书面评标报告。</w:t>
            </w:r>
          </w:p>
        </w:tc>
      </w:tr>
    </w:tbl>
    <w:p>
      <w:pPr>
        <w:pStyle w:val="4"/>
        <w:spacing w:before="0" w:after="0" w:line="360" w:lineRule="auto"/>
        <w:rPr>
          <w:rFonts w:ascii="宋体" w:hAnsi="宋体"/>
          <w:bCs w:val="0"/>
          <w:snapToGrid w:val="0"/>
          <w:color w:val="auto"/>
          <w:highlight w:val="none"/>
        </w:rPr>
      </w:pPr>
      <w:r>
        <w:rPr>
          <w:rFonts w:ascii="宋体" w:hAnsi="宋体"/>
          <w:bCs w:val="0"/>
          <w:snapToGrid w:val="0"/>
          <w:color w:val="auto"/>
          <w:highlight w:val="none"/>
        </w:rPr>
        <w:br w:type="page"/>
      </w:r>
      <w:bookmarkStart w:id="299" w:name="_Toc31650"/>
      <w:bookmarkStart w:id="300" w:name="_Toc2652"/>
      <w:r>
        <w:rPr>
          <w:rFonts w:ascii="宋体" w:hAnsi="宋体"/>
          <w:b w:val="0"/>
          <w:snapToGrid w:val="0"/>
          <w:color w:val="auto"/>
          <w:highlight w:val="none"/>
        </w:rPr>
        <w:t>1.  评标方法</w:t>
      </w:r>
      <w:bookmarkEnd w:id="299"/>
      <w:bookmarkEnd w:id="300"/>
    </w:p>
    <w:p>
      <w:pPr>
        <w:spacing w:line="360" w:lineRule="auto"/>
        <w:ind w:firstLine="420" w:firstLineChars="200"/>
        <w:rPr>
          <w:rFonts w:ascii="宋体" w:hAnsi="宋体"/>
          <w:color w:val="auto"/>
          <w:highlight w:val="none"/>
        </w:rPr>
      </w:pPr>
      <w:r>
        <w:rPr>
          <w:rFonts w:hint="eastAsia" w:ascii="宋体" w:hAnsi="宋体"/>
          <w:color w:val="auto"/>
          <w:highlight w:val="none"/>
        </w:rPr>
        <w:t>本次评标采用经评审的最低投标价法，评标委员会按照本章第2.1款进行报价排序，按照本章第2.2款进行符合性审查，符合性审查合格的投标人中按报价由低到高推荐中标候选人，或根据招标人授权直接确定中标人。若出现投标人投标报价相同的，以评标办法前附表约定的原则确定排序。</w:t>
      </w:r>
    </w:p>
    <w:p>
      <w:pPr>
        <w:pStyle w:val="4"/>
        <w:spacing w:before="0" w:after="0" w:line="360" w:lineRule="auto"/>
        <w:rPr>
          <w:rFonts w:ascii="宋体" w:hAnsi="宋体"/>
          <w:b w:val="0"/>
          <w:snapToGrid w:val="0"/>
          <w:color w:val="auto"/>
          <w:highlight w:val="none"/>
        </w:rPr>
      </w:pPr>
      <w:bookmarkStart w:id="301" w:name="_Toc21235"/>
      <w:bookmarkStart w:id="302" w:name="_Toc25920"/>
      <w:r>
        <w:rPr>
          <w:rFonts w:ascii="宋体" w:hAnsi="宋体"/>
          <w:b w:val="0"/>
          <w:snapToGrid w:val="0"/>
          <w:color w:val="auto"/>
          <w:highlight w:val="none"/>
        </w:rPr>
        <w:t>2.  评审标准</w:t>
      </w:r>
      <w:bookmarkEnd w:id="301"/>
      <w:bookmarkEnd w:id="302"/>
    </w:p>
    <w:p>
      <w:pPr>
        <w:pStyle w:val="5"/>
        <w:spacing w:before="0" w:after="0" w:line="360" w:lineRule="auto"/>
        <w:rPr>
          <w:rFonts w:ascii="宋体" w:hAnsi="宋体" w:cs="宋体"/>
          <w:color w:val="auto"/>
          <w:sz w:val="21"/>
          <w:szCs w:val="21"/>
          <w:highlight w:val="none"/>
        </w:rPr>
      </w:pPr>
      <w:bookmarkStart w:id="303" w:name="_Toc21454"/>
      <w:bookmarkStart w:id="304" w:name="_Toc28827"/>
      <w:r>
        <w:rPr>
          <w:rFonts w:ascii="宋体" w:hAnsi="宋体" w:cs="宋体"/>
          <w:color w:val="auto"/>
          <w:sz w:val="21"/>
          <w:szCs w:val="21"/>
          <w:highlight w:val="none"/>
        </w:rPr>
        <w:t>2.1</w:t>
      </w:r>
      <w:r>
        <w:rPr>
          <w:rFonts w:hint="eastAsia" w:ascii="宋体" w:hAnsi="宋体" w:cs="宋体"/>
          <w:color w:val="auto"/>
          <w:sz w:val="21"/>
          <w:szCs w:val="21"/>
          <w:highlight w:val="none"/>
        </w:rPr>
        <w:t>报价</w:t>
      </w:r>
      <w:r>
        <w:rPr>
          <w:rFonts w:ascii="宋体" w:hAnsi="宋体" w:cs="宋体"/>
          <w:color w:val="auto"/>
          <w:sz w:val="21"/>
          <w:szCs w:val="21"/>
          <w:highlight w:val="none"/>
        </w:rPr>
        <w:t>排序</w:t>
      </w:r>
      <w:r>
        <w:rPr>
          <w:rFonts w:hint="eastAsia" w:ascii="宋体" w:hAnsi="宋体" w:cs="宋体"/>
          <w:color w:val="auto"/>
          <w:sz w:val="21"/>
          <w:szCs w:val="21"/>
          <w:highlight w:val="none"/>
        </w:rPr>
        <w:t>标准</w:t>
      </w:r>
      <w:bookmarkEnd w:id="303"/>
      <w:bookmarkEnd w:id="304"/>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见评标办法前附表。</w:t>
      </w:r>
    </w:p>
    <w:p>
      <w:pPr>
        <w:pStyle w:val="5"/>
        <w:spacing w:before="0" w:after="0" w:line="360" w:lineRule="auto"/>
        <w:rPr>
          <w:rFonts w:ascii="宋体" w:hAnsi="宋体" w:cs="宋体"/>
          <w:color w:val="auto"/>
          <w:sz w:val="21"/>
          <w:szCs w:val="21"/>
          <w:highlight w:val="none"/>
        </w:rPr>
      </w:pPr>
      <w:bookmarkStart w:id="305" w:name="_Toc27208"/>
      <w:bookmarkStart w:id="306" w:name="_Toc4528"/>
      <w:r>
        <w:rPr>
          <w:rFonts w:ascii="宋体" w:hAnsi="宋体" w:cs="宋体"/>
          <w:color w:val="auto"/>
          <w:sz w:val="21"/>
          <w:szCs w:val="21"/>
          <w:highlight w:val="none"/>
        </w:rPr>
        <w:t>2.</w:t>
      </w:r>
      <w:r>
        <w:rPr>
          <w:rFonts w:hint="eastAsia" w:ascii="宋体" w:hAnsi="宋体" w:cs="宋体"/>
          <w:color w:val="auto"/>
          <w:sz w:val="21"/>
          <w:szCs w:val="21"/>
          <w:highlight w:val="none"/>
        </w:rPr>
        <w:t>2符合性审查标准</w:t>
      </w:r>
      <w:bookmarkEnd w:id="305"/>
      <w:bookmarkEnd w:id="306"/>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按评标办法前附表约定的投标单位报价排序数量进行符合性审查</w:t>
      </w:r>
      <w:r>
        <w:rPr>
          <w:rFonts w:hint="eastAsia" w:ascii="宋体" w:hAnsi="宋体"/>
          <w:color w:val="auto"/>
          <w:spacing w:val="4"/>
          <w:kern w:val="0"/>
          <w:szCs w:val="21"/>
          <w:highlight w:val="none"/>
        </w:rPr>
        <w:t>。符合性审查内容：技术方案评审、资格评审、形式评审、响应性、投标函部分及经济部分评审</w:t>
      </w:r>
      <w:r>
        <w:rPr>
          <w:rFonts w:hint="eastAsia" w:ascii="宋体" w:hAnsi="宋体" w:cs="宋体"/>
          <w:color w:val="auto"/>
          <w:szCs w:val="21"/>
          <w:highlight w:val="none"/>
        </w:rPr>
        <w:t>。</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  技术方案评审标准：见评标办法前附表。</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2  资格评审标准：见评标办法前附表。</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3  形式评审标准：见评标办法前附表。</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4  响应性评审标准：见评标办法前附表。</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2.2.5  投标函部分及经济部分评审标准：见评标办法前附表。</w:t>
      </w:r>
    </w:p>
    <w:p>
      <w:pPr>
        <w:pStyle w:val="4"/>
        <w:spacing w:before="0" w:after="0" w:line="360" w:lineRule="auto"/>
        <w:rPr>
          <w:rFonts w:ascii="宋体" w:hAnsi="宋体"/>
          <w:b w:val="0"/>
          <w:snapToGrid w:val="0"/>
          <w:color w:val="auto"/>
          <w:highlight w:val="none"/>
        </w:rPr>
      </w:pPr>
      <w:bookmarkStart w:id="307" w:name="_Toc4970"/>
      <w:bookmarkStart w:id="308" w:name="_Toc21325"/>
      <w:r>
        <w:rPr>
          <w:rFonts w:ascii="宋体" w:hAnsi="宋体"/>
          <w:b w:val="0"/>
          <w:snapToGrid w:val="0"/>
          <w:color w:val="auto"/>
          <w:highlight w:val="none"/>
        </w:rPr>
        <w:t>3.  评标程序</w:t>
      </w:r>
      <w:bookmarkEnd w:id="307"/>
      <w:bookmarkEnd w:id="308"/>
    </w:p>
    <w:p>
      <w:pPr>
        <w:pStyle w:val="5"/>
        <w:spacing w:before="0" w:after="0" w:line="360" w:lineRule="auto"/>
        <w:rPr>
          <w:rFonts w:ascii="宋体" w:hAnsi="宋体" w:cs="宋体"/>
          <w:color w:val="auto"/>
          <w:sz w:val="21"/>
          <w:szCs w:val="21"/>
          <w:highlight w:val="none"/>
        </w:rPr>
      </w:pPr>
      <w:bookmarkStart w:id="309" w:name="_Toc27457"/>
      <w:bookmarkStart w:id="310" w:name="_Toc18325"/>
      <w:r>
        <w:rPr>
          <w:rFonts w:ascii="宋体" w:hAnsi="宋体" w:cs="宋体"/>
          <w:color w:val="auto"/>
          <w:sz w:val="21"/>
          <w:szCs w:val="21"/>
          <w:highlight w:val="none"/>
        </w:rPr>
        <w:t>3.1</w:t>
      </w:r>
      <w:r>
        <w:rPr>
          <w:rFonts w:hint="eastAsia" w:ascii="宋体" w:hAnsi="宋体" w:cs="宋体"/>
          <w:color w:val="auto"/>
          <w:sz w:val="21"/>
          <w:szCs w:val="21"/>
          <w:highlight w:val="none"/>
        </w:rPr>
        <w:t>报价排序</w:t>
      </w:r>
      <w:bookmarkEnd w:id="309"/>
      <w:bookmarkEnd w:id="310"/>
    </w:p>
    <w:p>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对报价不高于最高限价的所有投标人的投标文件，按照报价由低到高的顺序排序。需技术方案评审的，由电子评标系统对技术方案进行自动随机编号。在投标函部分及经济部分评审前，推送给评标委员会的投标文件不得显示排序。</w:t>
      </w:r>
    </w:p>
    <w:p>
      <w:pPr>
        <w:pStyle w:val="5"/>
        <w:spacing w:before="0" w:after="0" w:line="360" w:lineRule="auto"/>
        <w:rPr>
          <w:rFonts w:ascii="宋体" w:hAnsi="宋体" w:cs="宋体"/>
          <w:color w:val="auto"/>
          <w:sz w:val="21"/>
          <w:szCs w:val="21"/>
          <w:highlight w:val="none"/>
        </w:rPr>
      </w:pPr>
      <w:bookmarkStart w:id="311" w:name="_Toc24378"/>
      <w:bookmarkStart w:id="312" w:name="_Toc31571"/>
      <w:r>
        <w:rPr>
          <w:rFonts w:ascii="宋体" w:hAnsi="宋体" w:cs="宋体"/>
          <w:color w:val="auto"/>
          <w:sz w:val="21"/>
          <w:szCs w:val="21"/>
          <w:highlight w:val="none"/>
        </w:rPr>
        <w:t>3.</w:t>
      </w:r>
      <w:r>
        <w:rPr>
          <w:rFonts w:hint="eastAsia" w:ascii="宋体" w:hAnsi="宋体" w:cs="宋体"/>
          <w:color w:val="auto"/>
          <w:sz w:val="21"/>
          <w:szCs w:val="21"/>
          <w:highlight w:val="none"/>
        </w:rPr>
        <w:t>2符合性审查</w:t>
      </w:r>
      <w:bookmarkEnd w:id="311"/>
      <w:bookmarkEnd w:id="312"/>
    </w:p>
    <w:p>
      <w:pPr>
        <w:spacing w:line="360" w:lineRule="auto"/>
        <w:ind w:firstLine="413" w:firstLineChars="197"/>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.1评标委员会依据本章第2.</w:t>
      </w:r>
      <w:r>
        <w:rPr>
          <w:rFonts w:hint="eastAsia" w:ascii="宋体" w:hAnsi="宋体" w:cs="宋体"/>
          <w:color w:val="auto"/>
          <w:szCs w:val="21"/>
          <w:highlight w:val="none"/>
        </w:rPr>
        <w:t>2</w:t>
      </w:r>
      <w:r>
        <w:rPr>
          <w:rFonts w:ascii="宋体" w:hAnsi="宋体" w:cs="宋体"/>
          <w:color w:val="auto"/>
          <w:szCs w:val="21"/>
          <w:highlight w:val="none"/>
        </w:rPr>
        <w:t xml:space="preserve"> </w:t>
      </w:r>
      <w:r>
        <w:rPr>
          <w:rFonts w:hint="eastAsia" w:ascii="宋体" w:hAnsi="宋体" w:cs="宋体"/>
          <w:color w:val="auto"/>
          <w:szCs w:val="21"/>
          <w:highlight w:val="none"/>
        </w:rPr>
        <w:t>款规定的标准对投标文件进行符合性审查。符合性审查顺序：技术方案评审、资格评审、形式评审、响应性、投标函部分及经济部分评审。</w:t>
      </w:r>
    </w:p>
    <w:p>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勾选技术方案评审的，符合性审查应首先进行技术方案审查，再按照资格、形式、响应性、投标函部分及经济部分的顺序进行评审。有一项不符合评审标准的，作否决投标处理。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.2 投标人有以下情形之一的，</w:t>
      </w:r>
      <w:r>
        <w:rPr>
          <w:rFonts w:hint="eastAsia" w:ascii="宋体" w:hAnsi="宋体" w:cs="宋体"/>
          <w:color w:val="auto"/>
          <w:szCs w:val="21"/>
          <w:highlight w:val="none"/>
        </w:rPr>
        <w:t>其投标文件将被否决：</w:t>
      </w:r>
    </w:p>
    <w:p>
      <w:pPr>
        <w:spacing w:line="360" w:lineRule="auto"/>
        <w:ind w:firstLine="405" w:firstLineChars="193"/>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）第二章“投标人须知”第1.4.3 </w:t>
      </w:r>
      <w:r>
        <w:rPr>
          <w:rFonts w:hint="eastAsia" w:ascii="宋体" w:hAnsi="宋体" w:cs="宋体"/>
          <w:color w:val="auto"/>
          <w:szCs w:val="21"/>
          <w:highlight w:val="none"/>
        </w:rPr>
        <w:t>项</w:t>
      </w:r>
      <w:r>
        <w:rPr>
          <w:rFonts w:ascii="宋体" w:hAnsi="宋体" w:cs="宋体"/>
          <w:color w:val="auto"/>
          <w:szCs w:val="21"/>
          <w:highlight w:val="none"/>
        </w:rPr>
        <w:t>规定的任何一种情形的；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本次投标有串通投标、弄虚作假等其他违反招投标相关法律、法规行为的；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（3）拒绝按评标委员会要求澄清、说明或补正的。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3.2.3 投标报价有算术错误的，评标委员会按以下原则对投标报价进行修正，修正的价格经投标人书面确认后具有约束力，修正原则如下：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（1）投标文件中的大写金额与小写金额不一致的，以大写金额为准；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（2）投标函中的总报价与已标价工程量清单总报价不一致，</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工程量清单总报价与依据单价、工程数量、分部分项工程合价计算出的结果不一致的，由评标委员会作否决投标处理。</w:t>
      </w:r>
    </w:p>
    <w:p>
      <w:pPr>
        <w:pStyle w:val="5"/>
        <w:spacing w:before="0" w:after="0" w:line="360" w:lineRule="auto"/>
        <w:rPr>
          <w:rFonts w:ascii="宋体" w:hAnsi="宋体" w:cs="宋体"/>
          <w:color w:val="auto"/>
          <w:sz w:val="21"/>
          <w:szCs w:val="21"/>
          <w:highlight w:val="none"/>
        </w:rPr>
      </w:pPr>
      <w:bookmarkStart w:id="313" w:name="_Toc28998"/>
      <w:bookmarkStart w:id="314" w:name="_Toc14984"/>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投标文件的澄清和补正</w:t>
      </w:r>
      <w:bookmarkEnd w:id="313"/>
      <w:bookmarkEnd w:id="314"/>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.1 </w:t>
      </w:r>
      <w:r>
        <w:rPr>
          <w:rFonts w:hint="eastAsia" w:ascii="宋体" w:hAnsi="宋体" w:cs="宋体"/>
          <w:color w:val="auto"/>
          <w:szCs w:val="21"/>
          <w:highlight w:val="none"/>
        </w:rPr>
        <w:t>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.2 </w:t>
      </w:r>
      <w:r>
        <w:rPr>
          <w:rFonts w:hint="eastAsia" w:ascii="宋体" w:hAnsi="宋体" w:cs="宋体"/>
          <w:color w:val="auto"/>
          <w:szCs w:val="21"/>
          <w:highlight w:val="none"/>
        </w:rPr>
        <w:t>澄清、说明和补正不得改变投标文件的实质性内容（算术性错误修正的除外）。投标人的书面澄清、说明和补正属于投标文件的组成部分。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.3 </w:t>
      </w:r>
      <w:r>
        <w:rPr>
          <w:rFonts w:hint="eastAsia" w:ascii="宋体" w:hAnsi="宋体" w:cs="宋体"/>
          <w:color w:val="auto"/>
          <w:szCs w:val="21"/>
          <w:highlight w:val="none"/>
        </w:rPr>
        <w:t>评标委员会对投标人提交的澄清、说明或补正有疑问的，可以要求投标人进一步澄清、说明或补正，直至满足评标委员会的要求。</w:t>
      </w:r>
    </w:p>
    <w:p>
      <w:pPr>
        <w:pStyle w:val="5"/>
        <w:spacing w:before="0" w:after="0" w:line="360" w:lineRule="auto"/>
        <w:rPr>
          <w:rFonts w:ascii="宋体" w:hAnsi="宋体" w:cs="宋体"/>
          <w:color w:val="auto"/>
          <w:sz w:val="21"/>
          <w:szCs w:val="21"/>
          <w:highlight w:val="none"/>
        </w:rPr>
      </w:pPr>
      <w:bookmarkStart w:id="315" w:name="_Toc484465184"/>
      <w:bookmarkStart w:id="316" w:name="_Toc4075"/>
      <w:bookmarkStart w:id="317" w:name="_Toc479262406"/>
      <w:bookmarkStart w:id="318" w:name="_Toc2312"/>
      <w:r>
        <w:rPr>
          <w:rFonts w:ascii="宋体" w:hAnsi="宋体" w:cs="宋体"/>
          <w:color w:val="auto"/>
          <w:sz w:val="21"/>
          <w:szCs w:val="21"/>
          <w:highlight w:val="none"/>
        </w:rPr>
        <w:t>3.</w:t>
      </w:r>
      <w:r>
        <w:rPr>
          <w:rFonts w:hint="eastAsia" w:ascii="宋体" w:hAnsi="宋体" w:cs="宋体"/>
          <w:color w:val="auto"/>
          <w:sz w:val="21"/>
          <w:szCs w:val="21"/>
          <w:highlight w:val="none"/>
        </w:rPr>
        <w:t>4</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评标结果</w:t>
      </w:r>
      <w:bookmarkEnd w:id="315"/>
      <w:bookmarkEnd w:id="316"/>
      <w:bookmarkEnd w:id="317"/>
      <w:bookmarkEnd w:id="318"/>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 xml:space="preserve"> 除第二章“投标人须知”前附表授权直接确定中标人外，评标委员会按经评审的最低投标价法推荐中标候选人。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 xml:space="preserve"> 评标委员会完成评标后，应当向招标人提交书面评标报告和中标候选人名单。</w:t>
      </w:r>
    </w:p>
    <w:p>
      <w:pPr>
        <w:pStyle w:val="33"/>
        <w:spacing w:line="360" w:lineRule="auto"/>
        <w:rPr>
          <w:rFonts w:ascii="宋体" w:hAnsi="宋体"/>
          <w:b/>
          <w:color w:val="auto"/>
          <w:sz w:val="28"/>
          <w:szCs w:val="28"/>
          <w:highlight w:val="none"/>
          <w:u w:val="none"/>
          <w:lang w:eastAsia="zh-CN"/>
        </w:rPr>
      </w:pPr>
      <w:r>
        <w:rPr>
          <w:rFonts w:ascii="宋体" w:hAnsi="宋体" w:cs="宋体"/>
          <w:color w:val="auto"/>
          <w:szCs w:val="21"/>
          <w:highlight w:val="none"/>
          <w:lang w:eastAsia="zh-CN"/>
        </w:rPr>
        <w:br w:type="page"/>
      </w:r>
      <w:r>
        <w:rPr>
          <w:rFonts w:ascii="宋体" w:hAnsi="宋体"/>
          <w:b/>
          <w:color w:val="auto"/>
          <w:sz w:val="28"/>
          <w:szCs w:val="28"/>
          <w:highlight w:val="none"/>
          <w:u w:val="none"/>
          <w:lang w:eastAsia="zh-CN"/>
        </w:rPr>
        <w:t>附件A：</w:t>
      </w:r>
      <w:r>
        <w:rPr>
          <w:rFonts w:hint="eastAsia" w:ascii="宋体" w:hAnsi="宋体"/>
          <w:b/>
          <w:color w:val="auto"/>
          <w:sz w:val="28"/>
          <w:szCs w:val="28"/>
          <w:highlight w:val="none"/>
          <w:u w:val="none"/>
          <w:lang w:eastAsia="zh-CN"/>
        </w:rPr>
        <w:t>经评审的最低投标价法</w:t>
      </w:r>
      <w:r>
        <w:rPr>
          <w:rFonts w:ascii="宋体" w:hAnsi="宋体"/>
          <w:b/>
          <w:color w:val="auto"/>
          <w:sz w:val="28"/>
          <w:szCs w:val="28"/>
          <w:highlight w:val="none"/>
          <w:u w:val="none"/>
          <w:lang w:eastAsia="zh-CN"/>
        </w:rPr>
        <w:t>否决投标情况一览表</w:t>
      </w:r>
    </w:p>
    <w:p>
      <w:pPr>
        <w:pStyle w:val="33"/>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投标文件存在本一览表下列情形之一的，投标文件视为重大偏差并作否决投标处理，否则，评标委员会不得视为重大偏差而否决投标人的投标文件</w:t>
      </w:r>
      <w:r>
        <w:rPr>
          <w:rFonts w:ascii="宋体" w:hAnsi="宋体"/>
          <w:color w:val="auto"/>
          <w:sz w:val="21"/>
          <w:szCs w:val="21"/>
          <w:highlight w:val="none"/>
          <w:u w:val="none"/>
          <w:lang w:eastAsia="zh-CN"/>
        </w:rPr>
        <w:t>。</w:t>
      </w:r>
    </w:p>
    <w:tbl>
      <w:tblPr>
        <w:tblStyle w:val="45"/>
        <w:tblW w:w="880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1515"/>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章节号</w:t>
            </w:r>
          </w:p>
        </w:tc>
        <w:tc>
          <w:tcPr>
            <w:tcW w:w="1515"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6333"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第三章</w:t>
            </w:r>
          </w:p>
        </w:tc>
        <w:tc>
          <w:tcPr>
            <w:tcW w:w="1515" w:type="dxa"/>
            <w:tcBorders>
              <w:bottom w:val="single" w:color="auto" w:sz="4"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技术方案评审</w:t>
            </w:r>
          </w:p>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A-1投标人的技术方案综合性评审不合格，由评标委员会作否决投标处理。</w:t>
            </w:r>
            <w:r>
              <w:rPr>
                <w:rFonts w:hint="eastAsia" w:ascii="宋体" w:hAnsi="宋体"/>
                <w:color w:val="auto"/>
                <w:szCs w:val="21"/>
                <w:highlight w:val="none"/>
                <w:lang w:val="en-US" w:eastAsia="zh-CN"/>
              </w:rPr>
              <w:t>技术方案采用暗标评审时，其形式应符合</w:t>
            </w:r>
            <w:r>
              <w:rPr>
                <w:rFonts w:hint="eastAsia" w:ascii="宋体" w:hAnsi="宋体"/>
                <w:color w:val="auto"/>
                <w:szCs w:val="21"/>
                <w:highlight w:val="none"/>
              </w:rPr>
              <w:t>第二章投标人须知前附表第3.7.5项（3）技术部分</w:t>
            </w:r>
            <w:r>
              <w:rPr>
                <w:rFonts w:hint="eastAsia" w:ascii="宋体" w:hAnsi="宋体"/>
                <w:color w:val="auto"/>
                <w:szCs w:val="21"/>
                <w:highlight w:val="none"/>
                <w:lang w:val="en-US" w:eastAsia="zh-CN"/>
              </w:rPr>
              <w:t>的</w:t>
            </w:r>
            <w:r>
              <w:rPr>
                <w:rFonts w:hint="eastAsia" w:ascii="宋体" w:hAnsi="宋体"/>
                <w:color w:val="auto"/>
                <w:szCs w:val="21"/>
                <w:highlight w:val="none"/>
              </w:rPr>
              <w:t>要求</w:t>
            </w:r>
            <w:r>
              <w:rPr>
                <w:rFonts w:hint="eastAsia" w:ascii="宋体" w:hAnsi="宋体"/>
                <w:color w:val="auto"/>
                <w:szCs w:val="21"/>
                <w:highlight w:val="none"/>
                <w:lang w:eastAsia="zh-CN"/>
              </w:rPr>
              <w:t>，</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color w:val="auto"/>
                <w:szCs w:val="21"/>
                <w:highlight w:val="none"/>
              </w:rPr>
            </w:pPr>
          </w:p>
        </w:tc>
        <w:tc>
          <w:tcPr>
            <w:tcW w:w="1515" w:type="dxa"/>
            <w:vMerge w:val="restart"/>
            <w:tcBorders>
              <w:top w:val="single" w:color="auto" w:sz="4"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A-2投标人的资质条件、营业执照及安全生产条件须满足投标人须知前附表第1.4.1项的要求，否则由评标委员会作否决投标处理。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color w:val="auto"/>
                <w:szCs w:val="21"/>
                <w:highlight w:val="none"/>
              </w:rPr>
            </w:pPr>
          </w:p>
        </w:tc>
        <w:tc>
          <w:tcPr>
            <w:tcW w:w="1515"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A-3投标人的财务须满足投标人须知前附表第1.4.1项的要求，否则由评标委员会作否决投标处理。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color w:val="auto"/>
                <w:szCs w:val="21"/>
                <w:highlight w:val="none"/>
              </w:rPr>
            </w:pPr>
          </w:p>
        </w:tc>
        <w:tc>
          <w:tcPr>
            <w:tcW w:w="1515"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A-4投标人的业绩须满足投标人须知前附表第1.4.1项的要求，否则由评标委员会作否决投标处理。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color w:val="auto"/>
                <w:szCs w:val="21"/>
                <w:highlight w:val="none"/>
              </w:rPr>
            </w:pPr>
          </w:p>
        </w:tc>
        <w:tc>
          <w:tcPr>
            <w:tcW w:w="1515"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A-5投标人的投标截止日投标资格情况须满足投标人须知前附表第1.4.1项的要求，否则由评标委员会作否决投标处理。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color w:val="auto"/>
                <w:szCs w:val="21"/>
                <w:highlight w:val="none"/>
              </w:rPr>
            </w:pPr>
          </w:p>
        </w:tc>
        <w:tc>
          <w:tcPr>
            <w:tcW w:w="1515"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A-6投标人的项目经理资格须满足投标人须知前附表第1.4.1项的要求，否则由评标委员会作否决投标处理。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color w:val="auto"/>
                <w:szCs w:val="21"/>
                <w:highlight w:val="none"/>
              </w:rPr>
            </w:pPr>
          </w:p>
        </w:tc>
        <w:tc>
          <w:tcPr>
            <w:tcW w:w="1515"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A-7投标人的其他要求须满足投标人须知前附表第1.4.1项的要求，否则由评标委员会作否决投标处理。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color w:val="auto"/>
                <w:szCs w:val="21"/>
                <w:highlight w:val="none"/>
              </w:rPr>
            </w:pPr>
          </w:p>
        </w:tc>
        <w:tc>
          <w:tcPr>
            <w:tcW w:w="1515"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A-8</w:t>
            </w:r>
            <w:r>
              <w:rPr>
                <w:rFonts w:hint="eastAsia" w:ascii="宋体" w:hAnsi="宋体"/>
                <w:color w:val="auto"/>
                <w:szCs w:val="21"/>
                <w:highlight w:val="none"/>
                <w:lang w:val="en-US"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auto"/>
                <w:szCs w:val="21"/>
                <w:highlight w:val="none"/>
              </w:rPr>
            </w:pPr>
          </w:p>
        </w:tc>
        <w:tc>
          <w:tcPr>
            <w:tcW w:w="1515"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A-9投标人名称必须与营业执照、资质证书、安全生产许可证一致，依法变更名称的应提交相应证明材料，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auto"/>
                <w:szCs w:val="21"/>
                <w:highlight w:val="none"/>
              </w:rPr>
            </w:pPr>
          </w:p>
        </w:tc>
        <w:tc>
          <w:tcPr>
            <w:tcW w:w="1515"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A-10投标文件格式（不含投标函部分）符合第二章“投标人须知”第3.7款的要求，否则由评标委员会作否决投标处理。</w:t>
            </w:r>
          </w:p>
          <w:p>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编制投标文件时不得对第八章“投标文件格式”的相应要素作实质性修改，否则</w:t>
            </w:r>
            <w:r>
              <w:rPr>
                <w:rFonts w:hint="eastAsia" w:ascii="宋体" w:hAnsi="宋体"/>
                <w:color w:val="auto"/>
                <w:szCs w:val="21"/>
                <w:highlight w:val="none"/>
              </w:rPr>
              <w:t>视为重大偏差，</w:t>
            </w:r>
            <w:r>
              <w:rPr>
                <w:rFonts w:hint="eastAsia" w:ascii="宋体" w:hAnsi="宋体"/>
                <w:color w:val="auto"/>
                <w:kern w:val="0"/>
                <w:szCs w:val="21"/>
                <w:highlight w:val="none"/>
              </w:rPr>
              <w:t>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auto"/>
                <w:szCs w:val="21"/>
                <w:highlight w:val="none"/>
              </w:rPr>
            </w:pPr>
          </w:p>
        </w:tc>
        <w:tc>
          <w:tcPr>
            <w:tcW w:w="1515"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A-11</w:t>
            </w:r>
            <w:r>
              <w:rPr>
                <w:rFonts w:hint="eastAsia" w:ascii="宋体" w:hAnsi="宋体"/>
                <w:color w:val="auto"/>
                <w:szCs w:val="21"/>
                <w:highlight w:val="none"/>
                <w:lang w:val="en-US"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auto"/>
                <w:szCs w:val="21"/>
                <w:highlight w:val="none"/>
              </w:rPr>
            </w:pPr>
          </w:p>
        </w:tc>
        <w:tc>
          <w:tcPr>
            <w:tcW w:w="1515"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A-12第八章 投标文件格式（不含投标函部分）要求法定代表人或其委托代理人签名（或盖章）的须齐全，</w:t>
            </w:r>
            <w:r>
              <w:rPr>
                <w:rFonts w:hint="eastAsia" w:ascii="宋体" w:hAnsi="宋体"/>
                <w:color w:val="auto"/>
                <w:szCs w:val="21"/>
                <w:highlight w:val="none"/>
                <w:lang w:val="en-US" w:eastAsia="zh-CN"/>
              </w:rPr>
              <w:t>要求签名的，</w:t>
            </w:r>
            <w:r>
              <w:rPr>
                <w:rFonts w:hint="eastAsia" w:ascii="宋体" w:hAnsi="宋体"/>
                <w:color w:val="auto"/>
                <w:kern w:val="0"/>
                <w:highlight w:val="none"/>
              </w:rPr>
              <w:t>签名采用手写签名或签章或加盖CA数字证书均可</w:t>
            </w:r>
            <w:r>
              <w:rPr>
                <w:rFonts w:hint="eastAsia" w:ascii="宋体" w:hAnsi="宋体"/>
                <w:color w:val="auto"/>
                <w:kern w:val="0"/>
                <w:highlight w:val="none"/>
                <w:lang w:eastAsia="zh-CN"/>
              </w:rPr>
              <w:t>，</w:t>
            </w:r>
            <w:r>
              <w:rPr>
                <w:rFonts w:hint="eastAsia" w:ascii="宋体" w:hAnsi="宋体"/>
                <w:color w:val="auto"/>
                <w:szCs w:val="21"/>
                <w:highlight w:val="none"/>
              </w:rPr>
              <w:t>否则由评标委员会作否决投标处理。</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第八章 投标文件格式（不含投标函部分）要求加盖单位法人章的，应使用 CA 数字证书加盖投标人的单位电子印章，否则由评标委员会作否决投标处理。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auto"/>
                <w:szCs w:val="21"/>
                <w:highlight w:val="none"/>
              </w:rPr>
            </w:pPr>
          </w:p>
        </w:tc>
        <w:tc>
          <w:tcPr>
            <w:tcW w:w="1515"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A-13投标人法定代表人的委托代理人有法定代表人签署的授权委托书和投标人为其缴纳的养老保险证明材料。否则由评标委员会作否决投标处理。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auto"/>
                <w:szCs w:val="21"/>
                <w:highlight w:val="none"/>
              </w:rPr>
            </w:pPr>
          </w:p>
        </w:tc>
        <w:tc>
          <w:tcPr>
            <w:tcW w:w="1515"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A-14投标内容符合第二章“投标人须知”第1.3.1项规定，否则由评标委员会作否决投标处理。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auto"/>
                <w:szCs w:val="21"/>
                <w:highlight w:val="none"/>
              </w:rPr>
            </w:pPr>
          </w:p>
        </w:tc>
        <w:tc>
          <w:tcPr>
            <w:tcW w:w="1515"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A-15投标人应按投标人须知前附表第3.4款规定递交投标保证金，并作为其投标文件的组成部分，否则由评标委员会作否决投标处理。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auto"/>
                <w:szCs w:val="21"/>
                <w:highlight w:val="none"/>
              </w:rPr>
            </w:pPr>
          </w:p>
        </w:tc>
        <w:tc>
          <w:tcPr>
            <w:tcW w:w="1515"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A-16符合第四章“合同条款及格式”规定，投标文件不应附有招标人不能接受的条件。否则由评标委员会作否决投标处理。（由投标人承诺，承诺书格式详见第八章投标文件格式。）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auto"/>
                <w:szCs w:val="21"/>
                <w:highlight w:val="none"/>
              </w:rPr>
            </w:pPr>
          </w:p>
        </w:tc>
        <w:tc>
          <w:tcPr>
            <w:tcW w:w="1515"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A-17符合第七章“技术标准和要求”规定。否则由评标委员会作否决投标处理（如有）。（由投标人承诺，承诺书格式详见第八章投标文件格式。）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auto"/>
                <w:szCs w:val="21"/>
                <w:highlight w:val="none"/>
              </w:rPr>
            </w:pPr>
          </w:p>
        </w:tc>
        <w:tc>
          <w:tcPr>
            <w:tcW w:w="1515"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A-18投标人有以下情形之一的，其投标文件由评标委员会</w:t>
            </w:r>
            <w:r>
              <w:rPr>
                <w:rFonts w:ascii="宋体" w:hAnsi="宋体"/>
                <w:color w:val="auto"/>
                <w:szCs w:val="21"/>
                <w:highlight w:val="none"/>
              </w:rPr>
              <w:t>作否决投标处理</w:t>
            </w:r>
            <w:r>
              <w:rPr>
                <w:rFonts w:hint="eastAsia" w:ascii="宋体" w:hAnsi="宋体"/>
                <w:color w:val="auto"/>
                <w:szCs w:val="21"/>
                <w:highlight w:val="none"/>
              </w:rPr>
              <w:t>：</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1.第二章“投标人须知”第1.4.3项规定的任何一种情形的；</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2.本次投标有串通投标、弄虚作假等违反招投标相关法律、法规的行为的；</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auto"/>
                <w:szCs w:val="21"/>
                <w:highlight w:val="none"/>
              </w:rPr>
            </w:pPr>
          </w:p>
        </w:tc>
        <w:tc>
          <w:tcPr>
            <w:tcW w:w="1515" w:type="dxa"/>
            <w:vMerge w:val="restart"/>
            <w:vAlign w:val="center"/>
          </w:tcPr>
          <w:p>
            <w:pPr>
              <w:spacing w:line="400" w:lineRule="exact"/>
              <w:jc w:val="center"/>
              <w:rPr>
                <w:rFonts w:ascii="宋体" w:hAnsi="宋体"/>
                <w:color w:val="auto"/>
                <w:szCs w:val="21"/>
                <w:highlight w:val="none"/>
              </w:rPr>
            </w:pPr>
            <w:r>
              <w:rPr>
                <w:rFonts w:ascii="宋体" w:hAnsi="宋体"/>
                <w:color w:val="auto"/>
                <w:szCs w:val="21"/>
                <w:highlight w:val="none"/>
              </w:rPr>
              <w:t>投标函部分及经济部分评审</w:t>
            </w: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A-19</w:t>
            </w:r>
            <w:r>
              <w:rPr>
                <w:rFonts w:hint="eastAsia" w:ascii="宋体" w:hAnsi="宋体" w:cs="宋体"/>
                <w:color w:val="auto"/>
                <w:kern w:val="0"/>
                <w:highlight w:val="none"/>
              </w:rPr>
              <w:t>投标函部分的格式要求法定代表人或其委托代理人签名（或盖章）的须齐全，</w:t>
            </w:r>
            <w:r>
              <w:rPr>
                <w:rFonts w:hint="eastAsia" w:ascii="宋体" w:hAnsi="宋体"/>
                <w:color w:val="auto"/>
                <w:szCs w:val="21"/>
                <w:highlight w:val="none"/>
                <w:lang w:val="en-US" w:eastAsia="zh-CN"/>
              </w:rPr>
              <w:t>要求签名的，</w:t>
            </w:r>
            <w:r>
              <w:rPr>
                <w:rFonts w:hint="eastAsia" w:ascii="宋体" w:hAnsi="宋体"/>
                <w:color w:val="auto"/>
                <w:kern w:val="0"/>
                <w:highlight w:val="none"/>
              </w:rPr>
              <w:t>签名采用手写签名或签章或加盖CA数字证书均可</w:t>
            </w:r>
            <w:r>
              <w:rPr>
                <w:rFonts w:hint="eastAsia" w:ascii="宋体" w:hAnsi="宋体"/>
                <w:color w:val="auto"/>
                <w:kern w:val="0"/>
                <w:highlight w:val="none"/>
                <w:lang w:eastAsia="zh-CN"/>
              </w:rPr>
              <w:t>，</w:t>
            </w:r>
            <w:r>
              <w:rPr>
                <w:rFonts w:hint="eastAsia" w:ascii="宋体" w:hAnsi="宋体" w:cs="宋体"/>
                <w:color w:val="auto"/>
                <w:kern w:val="0"/>
                <w:highlight w:val="none"/>
              </w:rPr>
              <w:t>要求加盖单位法人章的，应使用 CA 数字证书加盖投标人的单位电子印章</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auto"/>
                <w:szCs w:val="21"/>
                <w:highlight w:val="none"/>
              </w:rPr>
            </w:pPr>
          </w:p>
        </w:tc>
        <w:tc>
          <w:tcPr>
            <w:tcW w:w="1515"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0</w:t>
            </w:r>
            <w:r>
              <w:rPr>
                <w:rFonts w:hint="eastAsia" w:ascii="宋体" w:hAnsi="宋体"/>
                <w:color w:val="auto"/>
                <w:szCs w:val="21"/>
                <w:highlight w:val="none"/>
              </w:rPr>
              <w:t>工程质量符合第二章“投标人须知”第1.3.</w:t>
            </w:r>
            <w:r>
              <w:rPr>
                <w:rFonts w:hint="eastAsia" w:ascii="宋体" w:hAnsi="宋体"/>
                <w:color w:val="auto"/>
                <w:szCs w:val="21"/>
                <w:highlight w:val="none"/>
                <w:lang w:val="en-US" w:eastAsia="zh-CN"/>
              </w:rPr>
              <w:t>2</w:t>
            </w:r>
            <w:r>
              <w:rPr>
                <w:rFonts w:hint="eastAsia" w:ascii="宋体" w:hAnsi="宋体"/>
                <w:color w:val="auto"/>
                <w:szCs w:val="21"/>
                <w:highlight w:val="none"/>
              </w:rPr>
              <w:t>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auto"/>
                <w:szCs w:val="21"/>
                <w:highlight w:val="none"/>
              </w:rPr>
            </w:pPr>
          </w:p>
        </w:tc>
        <w:tc>
          <w:tcPr>
            <w:tcW w:w="1515"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A-21工程质量符合第二章“投标人须知”第1.3.3项规定，否则由评标委员会作否决投标处理。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auto"/>
                <w:szCs w:val="21"/>
                <w:highlight w:val="none"/>
              </w:rPr>
            </w:pPr>
          </w:p>
        </w:tc>
        <w:tc>
          <w:tcPr>
            <w:tcW w:w="1515"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A-22投标有效期符合第二章“投标人须知”第3.3.1项规定，否则由评标委员会作否决投标处理。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auto"/>
                <w:szCs w:val="21"/>
                <w:highlight w:val="none"/>
              </w:rPr>
            </w:pPr>
          </w:p>
        </w:tc>
        <w:tc>
          <w:tcPr>
            <w:tcW w:w="1515"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A-23投标函中的总报价与已标价工程量清单总报价</w:t>
            </w:r>
            <w:r>
              <w:rPr>
                <w:rFonts w:hint="eastAsia" w:ascii="宋体" w:hAnsi="宋体"/>
                <w:color w:val="auto"/>
                <w:szCs w:val="21"/>
                <w:highlight w:val="none"/>
                <w:lang w:val="en-US" w:eastAsia="zh-CN"/>
              </w:rPr>
              <w:t>不</w:t>
            </w:r>
            <w:r>
              <w:rPr>
                <w:rFonts w:hint="eastAsia" w:ascii="宋体" w:hAnsi="宋体"/>
                <w:color w:val="auto"/>
                <w:szCs w:val="21"/>
                <w:highlight w:val="none"/>
              </w:rPr>
              <w:t>一致</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或</w:t>
            </w:r>
            <w:r>
              <w:rPr>
                <w:rFonts w:hint="eastAsia" w:ascii="宋体" w:hAnsi="宋体"/>
                <w:color w:val="auto"/>
                <w:szCs w:val="21"/>
                <w:highlight w:val="none"/>
              </w:rPr>
              <w:t>工程量清单总报价与依据单价、工程数量、分部分项工程合价计算出的结果</w:t>
            </w:r>
            <w:r>
              <w:rPr>
                <w:rFonts w:hint="eastAsia" w:ascii="宋体" w:hAnsi="宋体"/>
                <w:color w:val="auto"/>
                <w:szCs w:val="21"/>
                <w:highlight w:val="none"/>
                <w:lang w:val="en-US" w:eastAsia="zh-CN"/>
              </w:rPr>
              <w:t>不</w:t>
            </w:r>
            <w:r>
              <w:rPr>
                <w:rFonts w:hint="eastAsia" w:ascii="宋体" w:hAnsi="宋体"/>
                <w:color w:val="auto"/>
                <w:szCs w:val="21"/>
                <w:highlight w:val="none"/>
              </w:rPr>
              <w:t>一致，由评标委员会作否决投标处理。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auto"/>
                <w:szCs w:val="21"/>
                <w:highlight w:val="none"/>
              </w:rPr>
            </w:pPr>
          </w:p>
        </w:tc>
        <w:tc>
          <w:tcPr>
            <w:tcW w:w="1515"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A-24 投标函中的总报价不得高于招标人公布的投标总报价最高限价，否则由评标委员会作否决投标处理。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auto"/>
                <w:szCs w:val="21"/>
                <w:highlight w:val="none"/>
              </w:rPr>
            </w:pPr>
          </w:p>
        </w:tc>
        <w:tc>
          <w:tcPr>
            <w:tcW w:w="1515"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A-25投标总报价低于最高限价85%的，投标人应在编制投标文件时，在投标函部分中递交低价风险担保提交承诺书。承诺书格式详见第八章投标文件格式,否则由评标委员会作否决投标处理。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auto"/>
                <w:szCs w:val="21"/>
                <w:highlight w:val="none"/>
              </w:rPr>
            </w:pPr>
          </w:p>
        </w:tc>
        <w:tc>
          <w:tcPr>
            <w:tcW w:w="1515"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A-26投标函中的安全文明施工费金额或</w:t>
            </w:r>
            <w:r>
              <w:rPr>
                <w:rFonts w:hint="eastAsia" w:ascii="宋体" w:hAnsi="宋体" w:cs="宋体"/>
                <w:color w:val="auto"/>
                <w:kern w:val="0"/>
                <w:highlight w:val="none"/>
                <w:lang w:val="en-US" w:eastAsia="zh-CN"/>
              </w:rPr>
              <w:t>已标价工程量清单中</w:t>
            </w:r>
            <w:r>
              <w:rPr>
                <w:rFonts w:hint="eastAsia" w:ascii="宋体" w:hAnsi="宋体"/>
                <w:color w:val="auto"/>
                <w:szCs w:val="21"/>
                <w:highlight w:val="none"/>
              </w:rPr>
              <w:t>安全文明施工费的汇总金额未按照招标人给出的暂定金额填报的，由评标委员会作否决投标处理。</w:t>
            </w:r>
            <w:r>
              <w:rPr>
                <w:rFonts w:hint="eastAsia" w:ascii="宋体" w:hAnsi="宋体"/>
                <w:color w:val="auto"/>
                <w:szCs w:val="21"/>
                <w:highlight w:val="none"/>
                <w:lang w:val="en-US" w:eastAsia="zh-CN"/>
              </w:rPr>
              <w:t>暂列金额、暂估价等暂定金额</w:t>
            </w:r>
            <w:r>
              <w:rPr>
                <w:rFonts w:hint="eastAsia" w:ascii="宋体" w:hAnsi="宋体"/>
                <w:color w:val="auto"/>
                <w:szCs w:val="21"/>
                <w:highlight w:val="none"/>
              </w:rPr>
              <w:t>未按照招标人给出的暂定金额填报的</w:t>
            </w:r>
            <w:r>
              <w:rPr>
                <w:rFonts w:hint="eastAsia" w:ascii="宋体" w:hAnsi="宋体"/>
                <w:color w:val="auto"/>
                <w:szCs w:val="21"/>
                <w:highlight w:val="none"/>
                <w:lang w:eastAsia="zh-CN"/>
              </w:rPr>
              <w:t>，</w:t>
            </w:r>
            <w:r>
              <w:rPr>
                <w:rFonts w:hint="eastAsia" w:ascii="宋体" w:hAnsi="宋体"/>
                <w:color w:val="auto"/>
                <w:szCs w:val="21"/>
                <w:highlight w:val="none"/>
              </w:rPr>
              <w:t>由评标委员会作否决投标处理</w:t>
            </w:r>
            <w:r>
              <w:rPr>
                <w:rFonts w:hint="eastAsia" w:ascii="宋体" w:hAnsi="宋体"/>
                <w:color w:val="auto"/>
                <w:szCs w:val="21"/>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auto"/>
                <w:szCs w:val="21"/>
                <w:highlight w:val="none"/>
              </w:rPr>
            </w:pPr>
          </w:p>
        </w:tc>
        <w:tc>
          <w:tcPr>
            <w:tcW w:w="1515"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A-27只能有一个有效报价。在招标文件没有规定的情况下，不得提交选择性报价，否则由评标委员会作否决投标处理。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auto"/>
                <w:szCs w:val="21"/>
                <w:highlight w:val="none"/>
              </w:rPr>
            </w:pPr>
          </w:p>
        </w:tc>
        <w:tc>
          <w:tcPr>
            <w:tcW w:w="1515"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A-28投标人必须按招标工程量清单填报价格。项目编码、项目名称、项目特征、计量单位、工程量必须与招标工程量清单一致。否则交由评标委员会作否决投标处理。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auto"/>
                <w:szCs w:val="21"/>
                <w:highlight w:val="none"/>
              </w:rPr>
            </w:pPr>
          </w:p>
        </w:tc>
        <w:tc>
          <w:tcPr>
            <w:tcW w:w="1515"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29</w:t>
            </w:r>
            <w:r>
              <w:rPr>
                <w:rFonts w:hint="eastAsia" w:ascii="宋体" w:hAnsi="宋体"/>
                <w:color w:val="auto"/>
                <w:szCs w:val="21"/>
                <w:highlight w:val="none"/>
              </w:rPr>
              <w:t>投标人的每项清单综合单价报价不得超过每项清单综合单价最高限价，否则由评标委员会作否决投标处理。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auto"/>
                <w:szCs w:val="21"/>
                <w:highlight w:val="none"/>
              </w:rPr>
            </w:pPr>
          </w:p>
        </w:tc>
        <w:tc>
          <w:tcPr>
            <w:tcW w:w="1515"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30</w:t>
            </w:r>
            <w:r>
              <w:rPr>
                <w:rFonts w:hint="eastAsia" w:ascii="宋体" w:hAnsi="宋体"/>
                <w:color w:val="auto"/>
                <w:szCs w:val="21"/>
                <w:highlight w:val="none"/>
              </w:rPr>
              <w:t>投标报价有算术错误的，按照第三章“评标办法”第3.2.3项规定执行，否则由评标委员会作否决投标处理。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Align w:val="center"/>
          </w:tcPr>
          <w:p>
            <w:pPr>
              <w:spacing w:line="400" w:lineRule="exact"/>
              <w:jc w:val="center"/>
              <w:rPr>
                <w:rFonts w:ascii="宋体" w:hAnsi="宋体"/>
                <w:color w:val="auto"/>
                <w:szCs w:val="21"/>
                <w:highlight w:val="none"/>
              </w:rPr>
            </w:pPr>
            <w:r>
              <w:rPr>
                <w:rFonts w:ascii="宋体" w:hAnsi="宋体"/>
                <w:color w:val="auto"/>
                <w:szCs w:val="21"/>
                <w:highlight w:val="none"/>
              </w:rPr>
              <w:t>其他</w:t>
            </w:r>
          </w:p>
        </w:tc>
        <w:tc>
          <w:tcPr>
            <w:tcW w:w="1515" w:type="dxa"/>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i/>
                <w:color w:val="auto"/>
                <w:szCs w:val="21"/>
                <w:highlight w:val="none"/>
              </w:rPr>
            </w:pPr>
            <w:r>
              <w:rPr>
                <w:rFonts w:hint="eastAsia" w:ascii="宋体" w:hAnsi="宋体"/>
                <w:i/>
                <w:color w:val="auto"/>
                <w:szCs w:val="21"/>
                <w:highlight w:val="none"/>
              </w:rPr>
              <w:t>[提示：招标人必须将所有否决投标条款集中罗列于此表，若无其他否决投标条款则在该条写无。]</w:t>
            </w:r>
          </w:p>
        </w:tc>
      </w:tr>
    </w:tbl>
    <w:p>
      <w:pPr>
        <w:pStyle w:val="33"/>
        <w:spacing w:line="360" w:lineRule="auto"/>
        <w:jc w:val="both"/>
        <w:rPr>
          <w:rFonts w:ascii="宋体" w:hAnsi="宋体"/>
          <w:color w:val="auto"/>
          <w:sz w:val="21"/>
          <w:szCs w:val="21"/>
          <w:highlight w:val="none"/>
          <w:u w:val="none"/>
          <w:lang w:eastAsia="zh-CN"/>
        </w:rPr>
      </w:pPr>
    </w:p>
    <w:p>
      <w:pPr>
        <w:rPr>
          <w:rFonts w:hint="eastAsia" w:ascii="宋体" w:hAnsi="宋体"/>
          <w:color w:val="auto"/>
          <w:kern w:val="0"/>
          <w:highlight w:val="none"/>
        </w:rPr>
      </w:pPr>
      <w:r>
        <w:rPr>
          <w:rFonts w:hint="eastAsia" w:ascii="宋体" w:hAnsi="宋体"/>
          <w:color w:val="auto"/>
          <w:kern w:val="0"/>
          <w:highlight w:val="none"/>
        </w:rPr>
        <w:br w:type="page"/>
      </w:r>
    </w:p>
    <w:p>
      <w:pPr>
        <w:pStyle w:val="3"/>
        <w:spacing w:line="360" w:lineRule="auto"/>
        <w:jc w:val="center"/>
        <w:rPr>
          <w:rFonts w:ascii="宋体" w:hAnsi="宋体"/>
          <w:color w:val="auto"/>
          <w:kern w:val="0"/>
          <w:highlight w:val="none"/>
        </w:rPr>
      </w:pPr>
      <w:bookmarkStart w:id="319" w:name="_Toc26330"/>
      <w:r>
        <w:rPr>
          <w:rFonts w:hint="eastAsia" w:ascii="宋体" w:hAnsi="宋体"/>
          <w:color w:val="auto"/>
          <w:kern w:val="0"/>
          <w:highlight w:val="none"/>
        </w:rPr>
        <w:t>第四章  合同条款及格式</w:t>
      </w:r>
      <w:bookmarkEnd w:id="293"/>
      <w:bookmarkEnd w:id="294"/>
      <w:bookmarkEnd w:id="295"/>
      <w:bookmarkEnd w:id="319"/>
    </w:p>
    <w:p>
      <w:pPr>
        <w:rPr>
          <w:rFonts w:ascii="宋体" w:hAnsi="宋体"/>
          <w:color w:val="auto"/>
          <w:sz w:val="44"/>
          <w:szCs w:val="44"/>
          <w:highlight w:val="none"/>
        </w:rPr>
      </w:pPr>
      <w:r>
        <w:rPr>
          <w:rFonts w:ascii="宋体" w:hAnsi="宋体"/>
          <w:color w:val="auto"/>
          <w:highlight w:val="none"/>
        </w:rPr>
        <w:br w:type="page"/>
      </w:r>
      <w:bookmarkStart w:id="320" w:name="_Toc351203480"/>
      <w:bookmarkStart w:id="321" w:name="_Toc296503025"/>
      <w:bookmarkStart w:id="322" w:name="_Toc296890982"/>
    </w:p>
    <w:p>
      <w:pPr>
        <w:pStyle w:val="5"/>
        <w:jc w:val="center"/>
        <w:rPr>
          <w:rFonts w:ascii="宋体" w:hAnsi="宋体"/>
          <w:b w:val="0"/>
          <w:color w:val="auto"/>
          <w:sz w:val="44"/>
          <w:szCs w:val="44"/>
          <w:highlight w:val="none"/>
        </w:rPr>
      </w:pPr>
      <w:bookmarkStart w:id="323" w:name="_Toc430530513"/>
      <w:bookmarkStart w:id="324" w:name="_Toc16194"/>
      <w:bookmarkStart w:id="325" w:name="_Toc509218843"/>
      <w:bookmarkStart w:id="326" w:name="_Toc287620797"/>
      <w:bookmarkStart w:id="327" w:name="_Toc287607855"/>
      <w:bookmarkStart w:id="328" w:name="_Toc534185822"/>
      <w:bookmarkStart w:id="329" w:name="_Toc30106"/>
      <w:r>
        <w:rPr>
          <w:rFonts w:hint="eastAsia" w:ascii="宋体" w:hAnsi="宋体"/>
          <w:color w:val="auto"/>
          <w:highlight w:val="none"/>
        </w:rPr>
        <w:br w:type="page"/>
      </w:r>
      <w:bookmarkStart w:id="330" w:name="_Toc30076"/>
      <w:bookmarkStart w:id="331" w:name="_Toc534185765"/>
      <w:bookmarkStart w:id="332" w:name="_Toc509218786"/>
      <w:bookmarkStart w:id="333" w:name="_Toc12845"/>
      <w:bookmarkStart w:id="334" w:name="_Toc351203494"/>
      <w:r>
        <w:rPr>
          <w:rFonts w:ascii="宋体" w:hAnsi="宋体"/>
          <w:color w:val="auto"/>
          <w:sz w:val="44"/>
          <w:szCs w:val="44"/>
          <w:highlight w:val="none"/>
        </w:rPr>
        <w:t>第一部分 合同协议书</w:t>
      </w:r>
      <w:bookmarkEnd w:id="330"/>
      <w:bookmarkEnd w:id="331"/>
      <w:bookmarkEnd w:id="332"/>
      <w:bookmarkEnd w:id="333"/>
    </w:p>
    <w:bookmarkEnd w:id="334"/>
    <w:p>
      <w:pPr>
        <w:snapToGrid w:val="0"/>
        <w:spacing w:line="600" w:lineRule="exact"/>
        <w:ind w:firstLine="480" w:firstLineChars="200"/>
        <w:rPr>
          <w:rFonts w:ascii="宋体" w:hAnsi="宋体"/>
          <w:color w:val="auto"/>
          <w:sz w:val="24"/>
          <w:highlight w:val="none"/>
        </w:rPr>
      </w:pPr>
      <w:bookmarkStart w:id="335" w:name="_Toc351203632"/>
    </w:p>
    <w:p>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重庆经开区投资集团有限公司           </w:t>
      </w:r>
    </w:p>
    <w:p>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pPr>
        <w:spacing w:line="360" w:lineRule="auto"/>
        <w:ind w:firstLine="420" w:firstLineChars="200"/>
        <w:rPr>
          <w:rFonts w:ascii="宋体" w:hAnsi="宋体"/>
          <w:b/>
          <w:color w:val="auto"/>
          <w:szCs w:val="21"/>
          <w:highlight w:val="none"/>
          <w:u w:val="single"/>
        </w:rPr>
      </w:pPr>
      <w:r>
        <w:rPr>
          <w:rFonts w:hint="eastAsia" w:ascii="宋体" w:hAnsi="宋体"/>
          <w:color w:val="auto"/>
          <w:szCs w:val="21"/>
          <w:highlight w:val="none"/>
        </w:rPr>
        <w:t>根据《中华人民共和国民法典》、《中华人民共和国建筑法》及有关法律、法规规定，遵循平等、自愿、公平和诚实信用的原则，双方就</w:t>
      </w:r>
      <w:r>
        <w:rPr>
          <w:rFonts w:hint="eastAsia" w:ascii="宋体" w:hAnsi="宋体"/>
          <w:color w:val="auto"/>
          <w:szCs w:val="21"/>
          <w:highlight w:val="none"/>
          <w:u w:val="single"/>
        </w:rPr>
        <w:t></w:t>
      </w:r>
      <w:r>
        <w:rPr>
          <w:rFonts w:ascii="宋体" w:hAnsi="宋体"/>
          <w:color w:val="auto"/>
          <w:szCs w:val="21"/>
          <w:highlight w:val="none"/>
          <w:u w:val="single"/>
        </w:rPr>
        <w:t>西计园区3、4、5、6号楼屋面防水整改</w:t>
      </w:r>
      <w:r>
        <w:rPr>
          <w:rFonts w:hint="eastAsia" w:ascii="宋体" w:hAnsi="宋体"/>
          <w:color w:val="auto"/>
          <w:szCs w:val="21"/>
          <w:highlight w:val="none"/>
        </w:rPr>
        <w:t>工程施工及有关事项协商一致，共同达成如下协议：</w:t>
      </w:r>
    </w:p>
    <w:p>
      <w:pPr>
        <w:pStyle w:val="6"/>
        <w:keepNext/>
        <w:keepLines/>
        <w:spacing w:before="120" w:after="120" w:line="360" w:lineRule="auto"/>
        <w:ind w:firstLine="422" w:firstLineChars="200"/>
        <w:jc w:val="both"/>
        <w:rPr>
          <w:rFonts w:hint="eastAsia" w:eastAsia="宋体"/>
          <w:color w:val="auto"/>
          <w:kern w:val="2"/>
          <w:sz w:val="21"/>
          <w:szCs w:val="21"/>
          <w:highlight w:val="none"/>
          <w:lang w:val="en-US" w:eastAsia="zh-CN"/>
        </w:rPr>
      </w:pPr>
      <w:bookmarkStart w:id="336" w:name="_Toc532377166"/>
      <w:bookmarkStart w:id="337" w:name="_Toc532375573"/>
      <w:bookmarkStart w:id="338" w:name="_Toc351203481"/>
      <w:r>
        <w:rPr>
          <w:rFonts w:hint="eastAsia"/>
          <w:color w:val="auto"/>
          <w:kern w:val="2"/>
          <w:sz w:val="21"/>
          <w:szCs w:val="21"/>
          <w:highlight w:val="none"/>
        </w:rPr>
        <w:t>一、工程概况</w:t>
      </w:r>
      <w:bookmarkEnd w:id="336"/>
      <w:bookmarkEnd w:id="337"/>
      <w:bookmarkEnd w:id="338"/>
      <w:r>
        <w:rPr>
          <w:rFonts w:hint="eastAsia"/>
          <w:color w:val="auto"/>
          <w:kern w:val="2"/>
          <w:sz w:val="21"/>
          <w:szCs w:val="21"/>
          <w:highlight w:val="none"/>
          <w:lang w:val="en-US" w:eastAsia="zh-CN"/>
        </w:rPr>
        <w:t xml:space="preserve"> </w:t>
      </w:r>
    </w:p>
    <w:p>
      <w:pPr>
        <w:snapToGrid w:val="0"/>
        <w:spacing w:line="360" w:lineRule="auto"/>
        <w:ind w:firstLine="420" w:firstLineChars="200"/>
        <w:rPr>
          <w:rFonts w:ascii="宋体" w:hAnsi="宋体"/>
          <w:color w:val="auto"/>
          <w:szCs w:val="21"/>
          <w:highlight w:val="none"/>
          <w:u w:val="single"/>
        </w:rPr>
      </w:pPr>
      <w:r>
        <w:rPr>
          <w:rFonts w:hint="eastAsia" w:ascii="宋体" w:hAnsi="宋体"/>
          <w:bCs/>
          <w:color w:val="auto"/>
          <w:szCs w:val="21"/>
          <w:highlight w:val="none"/>
        </w:rPr>
        <w:t>1.工程名称</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西计园区3、4、5、6号楼屋面防水整改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2.工程地点：</w:t>
      </w:r>
      <w:r>
        <w:rPr>
          <w:rFonts w:hint="eastAsia" w:ascii="宋体" w:hAnsi="宋体"/>
          <w:color w:val="auto"/>
          <w:szCs w:val="21"/>
          <w:highlight w:val="none"/>
          <w:u w:val="single"/>
        </w:rPr>
        <w:t xml:space="preserve">      重庆经开区</w:t>
      </w:r>
      <w:r>
        <w:rPr>
          <w:rFonts w:ascii="宋体" w:hAnsi="宋体"/>
          <w:color w:val="auto"/>
          <w:szCs w:val="21"/>
          <w:highlight w:val="none"/>
          <w:u w:val="single"/>
        </w:rPr>
        <w:t>西计园区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3.工程立项批准文号：</w:t>
      </w:r>
      <w:r>
        <w:rPr>
          <w:rFonts w:hint="eastAsia" w:ascii="宋体" w:hAnsi="宋体"/>
          <w:color w:val="auto"/>
          <w:szCs w:val="21"/>
          <w:highlight w:val="none"/>
          <w:u w:val="single"/>
        </w:rPr>
        <w:t xml:space="preserve">                        </w:t>
      </w:r>
      <w:r>
        <w:rPr>
          <w:rFonts w:hint="eastAsia" w:ascii="宋体" w:hAnsi="宋体"/>
          <w:bCs/>
          <w:color w:val="auto"/>
          <w:szCs w:val="21"/>
          <w:highlight w:val="none"/>
        </w:rPr>
        <w:t>。</w:t>
      </w:r>
    </w:p>
    <w:p>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4.资金来源：</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5.工程内容：</w:t>
      </w:r>
      <w:r>
        <w:rPr>
          <w:rFonts w:ascii="宋体" w:hAnsi="宋体"/>
          <w:color w:val="auto"/>
          <w:szCs w:val="21"/>
          <w:highlight w:val="none"/>
          <w:u w:val="single"/>
        </w:rPr>
        <w:t>防水</w:t>
      </w:r>
      <w:r>
        <w:rPr>
          <w:rFonts w:hint="eastAsia" w:ascii="宋体" w:hAnsi="宋体"/>
          <w:color w:val="auto"/>
          <w:szCs w:val="21"/>
          <w:highlight w:val="none"/>
          <w:u w:val="single"/>
        </w:rPr>
        <w:t>以及</w:t>
      </w:r>
      <w:r>
        <w:rPr>
          <w:rFonts w:ascii="宋体" w:hAnsi="宋体"/>
          <w:color w:val="auto"/>
          <w:szCs w:val="21"/>
          <w:highlight w:val="none"/>
          <w:u w:val="single"/>
        </w:rPr>
        <w:t>拆除及更换变形钢板天沟</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6.工程承包范围：</w:t>
      </w:r>
      <w:r>
        <w:rPr>
          <w:rFonts w:hint="eastAsia" w:ascii="宋体" w:hAnsi="宋体"/>
          <w:color w:val="auto"/>
          <w:szCs w:val="21"/>
          <w:highlight w:val="none"/>
          <w:u w:val="single"/>
        </w:rPr>
        <w:t></w:t>
      </w:r>
      <w:r>
        <w:rPr>
          <w:rFonts w:ascii="宋体" w:hAnsi="宋体"/>
          <w:color w:val="auto"/>
          <w:szCs w:val="21"/>
          <w:highlight w:val="none"/>
          <w:u w:val="single"/>
        </w:rPr>
        <w:t>防水总面积约1950平方米，包括3号厂房防水施工约1000平方米、4号厂房防水施工约800平方米、5号厂房防水施工约50平方米、6号厂房防水施工约100平方米；拆除及更换变形钢板天沟约264米</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20" w:after="120" w:line="360" w:lineRule="auto"/>
        <w:ind w:firstLine="422" w:firstLineChars="200"/>
        <w:jc w:val="both"/>
        <w:rPr>
          <w:color w:val="auto"/>
          <w:kern w:val="2"/>
          <w:sz w:val="21"/>
          <w:szCs w:val="21"/>
          <w:highlight w:val="none"/>
        </w:rPr>
      </w:pPr>
      <w:bookmarkStart w:id="339" w:name="_Toc532375574"/>
      <w:bookmarkStart w:id="340" w:name="_Toc532377167"/>
      <w:bookmarkStart w:id="341" w:name="_Toc351203482"/>
      <w:r>
        <w:rPr>
          <w:rFonts w:hint="eastAsia"/>
          <w:color w:val="auto"/>
          <w:kern w:val="2"/>
          <w:sz w:val="21"/>
          <w:szCs w:val="21"/>
          <w:highlight w:val="none"/>
        </w:rPr>
        <w:t>二、合同工期</w:t>
      </w:r>
      <w:bookmarkEnd w:id="339"/>
      <w:bookmarkEnd w:id="340"/>
      <w:bookmarkEnd w:id="341"/>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承包人竞选函中承诺的工期：</w:t>
      </w:r>
      <w:r>
        <w:rPr>
          <w:rFonts w:hint="eastAsia" w:ascii="宋体" w:hAnsi="宋体"/>
          <w:bCs/>
          <w:color w:val="auto"/>
          <w:szCs w:val="21"/>
          <w:highlight w:val="none"/>
          <w:u w:val="single"/>
        </w:rPr>
        <w:t>60日历天</w:t>
      </w:r>
      <w:r>
        <w:rPr>
          <w:rFonts w:ascii="宋体" w:hAnsi="宋体"/>
          <w:bCs/>
          <w:color w:val="auto"/>
          <w:szCs w:val="21"/>
          <w:highlight w:val="none"/>
        </w:rPr>
        <w:t>（从中标通知书发出之日起算，施工过程中若遇下雨则顺延）。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计划开工日期：</w:t>
      </w:r>
      <w:r>
        <w:rPr>
          <w:rFonts w:hint="eastAsia" w:ascii="宋体" w:hAnsi="宋体"/>
          <w:bCs/>
          <w:color w:val="auto"/>
          <w:szCs w:val="21"/>
          <w:highlight w:val="none"/>
          <w:u w:val="single"/>
        </w:rPr>
        <w:t xml:space="preserve">2023   </w:t>
      </w:r>
      <w:r>
        <w:rPr>
          <w:rFonts w:hint="eastAsia" w:ascii="宋体" w:hAnsi="宋体"/>
          <w:bCs/>
          <w:color w:val="auto"/>
          <w:szCs w:val="21"/>
          <w:highlight w:val="none"/>
        </w:rPr>
        <w:t>年</w:t>
      </w:r>
      <w:r>
        <w:rPr>
          <w:rFonts w:hint="eastAsia" w:ascii="宋体" w:hAnsi="宋体"/>
          <w:bCs/>
          <w:color w:val="auto"/>
          <w:szCs w:val="21"/>
          <w:highlight w:val="none"/>
          <w:u w:val="single"/>
        </w:rPr>
        <w:t>7</w:t>
      </w:r>
      <w:r>
        <w:rPr>
          <w:rFonts w:hint="eastAsia" w:ascii="宋体" w:hAnsi="宋体"/>
          <w:bCs/>
          <w:color w:val="auto"/>
          <w:szCs w:val="21"/>
          <w:highlight w:val="none"/>
        </w:rPr>
        <w:t>月</w:t>
      </w:r>
      <w:r>
        <w:rPr>
          <w:rFonts w:hint="eastAsia" w:ascii="宋体" w:hAnsi="宋体"/>
          <w:bCs/>
          <w:color w:val="auto"/>
          <w:szCs w:val="21"/>
          <w:highlight w:val="none"/>
          <w:u w:val="single"/>
        </w:rPr>
        <w:t></w:t>
      </w:r>
      <w:r>
        <w:rPr>
          <w:rFonts w:hint="eastAsia" w:ascii="宋体" w:hAnsi="宋体"/>
          <w:bCs/>
          <w:color w:val="auto"/>
          <w:szCs w:val="21"/>
          <w:highlight w:val="none"/>
        </w:rPr>
        <w:t>日，实际开工日期以监理工程师签发的工程开工通知明确的开工日期为准。</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计划竣工日期：</w:t>
      </w:r>
      <w:r>
        <w:rPr>
          <w:rFonts w:hint="eastAsia" w:ascii="宋体" w:hAnsi="宋体"/>
          <w:bCs/>
          <w:color w:val="auto"/>
          <w:szCs w:val="21"/>
          <w:highlight w:val="none"/>
          <w:u w:val="single"/>
        </w:rPr>
        <w:t xml:space="preserve">2023   </w:t>
      </w:r>
      <w:r>
        <w:rPr>
          <w:rFonts w:hint="eastAsia" w:ascii="宋体" w:hAnsi="宋体"/>
          <w:bCs/>
          <w:color w:val="auto"/>
          <w:szCs w:val="21"/>
          <w:highlight w:val="none"/>
        </w:rPr>
        <w:t>年</w:t>
      </w:r>
      <w:r>
        <w:rPr>
          <w:rFonts w:hint="eastAsia" w:ascii="宋体" w:hAnsi="宋体"/>
          <w:bCs/>
          <w:color w:val="auto"/>
          <w:szCs w:val="21"/>
          <w:highlight w:val="none"/>
          <w:u w:val="single"/>
        </w:rPr>
        <w:t>9</w:t>
      </w:r>
      <w:r>
        <w:rPr>
          <w:rFonts w:hint="eastAsia" w:ascii="宋体" w:hAnsi="宋体"/>
          <w:bCs/>
          <w:color w:val="auto"/>
          <w:szCs w:val="21"/>
          <w:highlight w:val="none"/>
        </w:rPr>
        <w:t>月</w:t>
      </w:r>
      <w:r>
        <w:rPr>
          <w:rFonts w:hint="eastAsia" w:ascii="宋体" w:hAnsi="宋体"/>
          <w:bCs/>
          <w:color w:val="auto"/>
          <w:szCs w:val="21"/>
          <w:highlight w:val="none"/>
          <w:u w:val="single"/>
        </w:rPr>
        <w:t></w:t>
      </w:r>
      <w:r>
        <w:rPr>
          <w:rFonts w:hint="eastAsia" w:ascii="宋体" w:hAnsi="宋体"/>
          <w:bCs/>
          <w:color w:val="auto"/>
          <w:szCs w:val="21"/>
          <w:highlight w:val="none"/>
        </w:rPr>
        <w:t>日，实际竣工日期以工程竣工验收合格之日为准。</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工期总日历天数</w:t>
      </w:r>
      <w:r>
        <w:rPr>
          <w:rFonts w:hint="eastAsia" w:ascii="宋体" w:hAnsi="宋体"/>
          <w:bCs/>
          <w:color w:val="auto"/>
          <w:szCs w:val="21"/>
          <w:highlight w:val="none"/>
          <w:u w:val="single"/>
        </w:rPr>
        <w:t>60</w:t>
      </w:r>
      <w:r>
        <w:rPr>
          <w:rFonts w:hint="eastAsia" w:ascii="宋体" w:hAnsi="宋体"/>
          <w:bCs/>
          <w:color w:val="auto"/>
          <w:szCs w:val="21"/>
          <w:highlight w:val="none"/>
        </w:rPr>
        <w:t>天。工期总日历天数与根据前述计划开竣工日期计算的工期天数不一</w:t>
      </w:r>
      <w:r>
        <w:rPr>
          <w:rFonts w:hint="eastAsia" w:ascii="宋体" w:hAnsi="宋体"/>
          <w:color w:val="auto"/>
          <w:szCs w:val="21"/>
          <w:highlight w:val="none"/>
        </w:rPr>
        <w:t>致的，以工期总日历天数为准。</w:t>
      </w:r>
    </w:p>
    <w:p>
      <w:pPr>
        <w:spacing w:line="6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质保期</w:t>
      </w:r>
      <w:r>
        <w:rPr>
          <w:rFonts w:ascii="宋体" w:hAnsi="宋体"/>
          <w:color w:val="auto"/>
          <w:szCs w:val="21"/>
          <w:highlight w:val="none"/>
        </w:rPr>
        <w:t>:约定为5</w:t>
      </w:r>
      <w:r>
        <w:rPr>
          <w:rFonts w:hint="eastAsia" w:ascii="宋体" w:hAnsi="宋体"/>
          <w:color w:val="auto"/>
          <w:szCs w:val="21"/>
          <w:highlight w:val="none"/>
        </w:rPr>
        <w:t>年</w:t>
      </w:r>
      <w:r>
        <w:rPr>
          <w:rFonts w:ascii="宋体" w:hAnsi="宋体"/>
          <w:color w:val="auto"/>
          <w:szCs w:val="21"/>
          <w:highlight w:val="none"/>
        </w:rPr>
        <w:t>，从竣工验收合格之日起计算。</w:t>
      </w:r>
    </w:p>
    <w:p>
      <w:pPr>
        <w:pStyle w:val="2"/>
        <w:rPr>
          <w:color w:val="auto"/>
          <w:highlight w:val="none"/>
        </w:rPr>
      </w:pPr>
    </w:p>
    <w:p>
      <w:pPr>
        <w:pStyle w:val="6"/>
        <w:keepNext/>
        <w:keepLines/>
        <w:spacing w:before="120" w:after="120" w:line="360" w:lineRule="auto"/>
        <w:ind w:firstLine="422" w:firstLineChars="200"/>
        <w:jc w:val="both"/>
        <w:rPr>
          <w:color w:val="auto"/>
          <w:kern w:val="2"/>
          <w:sz w:val="21"/>
          <w:szCs w:val="21"/>
          <w:highlight w:val="none"/>
        </w:rPr>
      </w:pPr>
      <w:bookmarkStart w:id="342" w:name="_Toc351203483"/>
      <w:bookmarkStart w:id="343" w:name="_Toc532375575"/>
      <w:bookmarkStart w:id="344" w:name="_Toc532377168"/>
      <w:r>
        <w:rPr>
          <w:rFonts w:hint="eastAsia"/>
          <w:color w:val="auto"/>
          <w:kern w:val="2"/>
          <w:sz w:val="21"/>
          <w:szCs w:val="21"/>
          <w:highlight w:val="none"/>
        </w:rPr>
        <w:t>三、质量标准</w:t>
      </w:r>
      <w:bookmarkEnd w:id="342"/>
      <w:bookmarkEnd w:id="343"/>
      <w:bookmarkEnd w:id="344"/>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工程质量符合强制性质量标准，</w:t>
      </w:r>
      <w:r>
        <w:rPr>
          <w:rFonts w:hint="eastAsia" w:ascii="宋体" w:hAnsi="宋体"/>
          <w:color w:val="auto"/>
          <w:szCs w:val="21"/>
          <w:highlight w:val="none"/>
          <w:u w:val="single"/>
        </w:rPr>
        <w:t>符合国家和重庆市现行有关施工质量验收规范和标准要求，并达到合格</w:t>
      </w:r>
      <w:r>
        <w:rPr>
          <w:rFonts w:hint="eastAsia" w:ascii="宋体" w:hAnsi="宋体"/>
          <w:color w:val="auto"/>
          <w:szCs w:val="21"/>
          <w:highlight w:val="none"/>
        </w:rPr>
        <w:t>标准。</w:t>
      </w:r>
    </w:p>
    <w:p>
      <w:pPr>
        <w:pStyle w:val="6"/>
        <w:keepNext/>
        <w:keepLines/>
        <w:spacing w:before="120" w:after="120" w:line="360" w:lineRule="auto"/>
        <w:ind w:firstLine="422" w:firstLineChars="200"/>
        <w:jc w:val="both"/>
        <w:rPr>
          <w:color w:val="auto"/>
          <w:kern w:val="2"/>
          <w:sz w:val="21"/>
          <w:szCs w:val="21"/>
          <w:highlight w:val="none"/>
        </w:rPr>
      </w:pPr>
      <w:bookmarkStart w:id="345" w:name="_Toc351203484"/>
      <w:bookmarkStart w:id="346" w:name="_Toc532375576"/>
      <w:bookmarkStart w:id="347" w:name="_Toc532377169"/>
      <w:r>
        <w:rPr>
          <w:rFonts w:hint="eastAsia"/>
          <w:color w:val="auto"/>
          <w:kern w:val="2"/>
          <w:sz w:val="21"/>
          <w:szCs w:val="21"/>
          <w:highlight w:val="none"/>
        </w:rPr>
        <w:t>四、签约合同价与合同价格形式</w:t>
      </w:r>
      <w:bookmarkEnd w:id="345"/>
      <w:bookmarkEnd w:id="346"/>
      <w:bookmarkEnd w:id="347"/>
      <w:r>
        <w:rPr>
          <w:rFonts w:hint="eastAsia"/>
          <w:color w:val="auto"/>
          <w:kern w:val="2"/>
          <w:sz w:val="21"/>
          <w:szCs w:val="21"/>
          <w:highlight w:val="none"/>
        </w:rPr>
        <w:tab/>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1.承包人竞选函中承诺的中标价为：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2.签约合同价为：</w:t>
      </w:r>
    </w:p>
    <w:p>
      <w:pPr>
        <w:spacing w:line="360" w:lineRule="auto"/>
        <w:ind w:firstLine="420" w:firstLineChars="200"/>
        <w:rPr>
          <w:rFonts w:eastAsia="方正仿宋_GBK"/>
          <w:color w:val="auto"/>
          <w:sz w:val="32"/>
          <w:szCs w:val="32"/>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            元），税率%。其中，不含税金额为人民币大写：整（小写：￥）；增值税金额为人民币大写:整（小写：￥）。如遇国家税率调整，本协议不含税金额保持不变，税率按照最新政策执行（价格已包含相应税款）。若在施工过程中发生不可预见的重大工程量增减，双方另行签订《补充协议》。</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其中：</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（1）安全文明施工费：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（2）材料和工程设备暂估价金额：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（3）专业工程暂估价金额：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（4）暂列金额：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（5）人工费（工资款）</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该项目实行人工费（工资款）与其他工程款分账管理，发包人将应付工程款中的人工费（工资款），以不低于已完成合同价款的</w:t>
      </w:r>
      <w:r>
        <w:rPr>
          <w:rFonts w:hint="eastAsia" w:ascii="宋体" w:hAnsi="宋体"/>
          <w:color w:val="auto"/>
          <w:szCs w:val="21"/>
          <w:highlight w:val="none"/>
          <w:u w:val="single"/>
        </w:rPr>
        <w:t xml:space="preserve"> 25% </w:t>
      </w:r>
      <w:r>
        <w:rPr>
          <w:rFonts w:hint="eastAsia" w:ascii="宋体" w:hAnsi="宋体"/>
          <w:color w:val="auto"/>
          <w:szCs w:val="21"/>
          <w:highlight w:val="none"/>
        </w:rPr>
        <w:t>，农民工工资单独支付至承包人设立的农民工工资专用账户。</w:t>
      </w:r>
    </w:p>
    <w:p>
      <w:pPr>
        <w:spacing w:line="360" w:lineRule="auto"/>
        <w:ind w:firstLine="420" w:firstLineChars="200"/>
        <w:rPr>
          <w:rFonts w:asciiTheme="minorEastAsia" w:hAnsiTheme="minorEastAsia" w:cstheme="minorEastAsia"/>
          <w:color w:val="auto"/>
          <w:sz w:val="28"/>
          <w:szCs w:val="28"/>
          <w:highlight w:val="none"/>
        </w:rPr>
      </w:pPr>
      <w:r>
        <w:rPr>
          <w:rFonts w:hint="eastAsia" w:ascii="宋体" w:hAnsi="宋体"/>
          <w:color w:val="auto"/>
          <w:szCs w:val="21"/>
          <w:highlight w:val="none"/>
        </w:rPr>
        <w:t>3.合同价格形式：签订合同后甲方支付总工程款的30%(￥元)给乙方作为工程预付款，全部施工完成后经甲方验收合格后一次性支付总工程款的70%(￥元)给乙方。甲方在</w:t>
      </w:r>
      <w:r>
        <w:rPr>
          <w:rFonts w:ascii="宋体" w:hAnsi="宋体"/>
          <w:color w:val="auto"/>
          <w:szCs w:val="21"/>
          <w:highlight w:val="none"/>
        </w:rPr>
        <w:t>收到乙方开具的增值税</w:t>
      </w:r>
      <w:r>
        <w:rPr>
          <w:rFonts w:hint="eastAsia" w:ascii="宋体" w:hAnsi="宋体"/>
          <w:color w:val="auto"/>
          <w:szCs w:val="21"/>
          <w:highlight w:val="none"/>
        </w:rPr>
        <w:t>专</w:t>
      </w:r>
      <w:r>
        <w:rPr>
          <w:rFonts w:ascii="宋体" w:hAnsi="宋体"/>
          <w:color w:val="auto"/>
          <w:szCs w:val="21"/>
          <w:highlight w:val="none"/>
        </w:rPr>
        <w:t>用发票后于</w:t>
      </w:r>
      <w:r>
        <w:rPr>
          <w:rFonts w:hint="eastAsia" w:ascii="宋体" w:hAnsi="宋体"/>
          <w:color w:val="auto"/>
          <w:szCs w:val="21"/>
          <w:highlight w:val="none"/>
        </w:rPr>
        <w:t>10个</w:t>
      </w:r>
      <w:r>
        <w:rPr>
          <w:rFonts w:ascii="宋体" w:hAnsi="宋体"/>
          <w:color w:val="auto"/>
          <w:szCs w:val="21"/>
          <w:highlight w:val="none"/>
        </w:rPr>
        <w:t>工作日内支付。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p>
    <w:p>
      <w:pPr>
        <w:pStyle w:val="6"/>
        <w:keepNext/>
        <w:keepLines/>
        <w:spacing w:before="120" w:after="120" w:line="360" w:lineRule="auto"/>
        <w:ind w:firstLine="422" w:firstLineChars="200"/>
        <w:jc w:val="both"/>
        <w:rPr>
          <w:color w:val="auto"/>
          <w:kern w:val="2"/>
          <w:sz w:val="21"/>
          <w:szCs w:val="21"/>
          <w:highlight w:val="none"/>
        </w:rPr>
      </w:pPr>
      <w:bookmarkStart w:id="348" w:name="_Toc351203485"/>
      <w:bookmarkStart w:id="349" w:name="_Toc532375577"/>
      <w:bookmarkStart w:id="350" w:name="_Toc532377170"/>
      <w:r>
        <w:rPr>
          <w:rFonts w:hint="eastAsia"/>
          <w:color w:val="auto"/>
          <w:kern w:val="2"/>
          <w:sz w:val="21"/>
          <w:szCs w:val="21"/>
          <w:highlight w:val="none"/>
        </w:rPr>
        <w:t>五、</w:t>
      </w:r>
      <w:bookmarkEnd w:id="348"/>
      <w:r>
        <w:rPr>
          <w:rFonts w:hint="eastAsia"/>
          <w:color w:val="auto"/>
          <w:kern w:val="2"/>
          <w:sz w:val="21"/>
          <w:szCs w:val="21"/>
          <w:highlight w:val="none"/>
        </w:rPr>
        <w:t>项目经理及技术负责人</w:t>
      </w:r>
      <w:bookmarkEnd w:id="349"/>
      <w:bookmarkEnd w:id="350"/>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承包人竞选文件中承诺的项目经理：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建造师</w:t>
      </w:r>
      <w:r>
        <w:rPr>
          <w:rFonts w:ascii="宋体" w:hAnsi="宋体"/>
          <w:color w:val="auto"/>
          <w:szCs w:val="21"/>
          <w:highlight w:val="none"/>
        </w:rPr>
        <w:t>注册证书号</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承包人竞选文件中承诺的技术负责人：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pStyle w:val="2"/>
        <w:spacing w:line="360" w:lineRule="auto"/>
        <w:rPr>
          <w:rFonts w:ascii="宋体" w:hAnsi="宋体"/>
          <w:color w:val="auto"/>
          <w:szCs w:val="21"/>
          <w:highlight w:val="none"/>
        </w:rPr>
      </w:pPr>
      <w:r>
        <w:rPr>
          <w:rFonts w:hint="eastAsia" w:ascii="宋体" w:hAnsi="宋体"/>
          <w:color w:val="auto"/>
          <w:szCs w:val="21"/>
          <w:highlight w:val="none"/>
        </w:rPr>
        <w:t xml:space="preserve">    证书名称</w:t>
      </w:r>
      <w:r>
        <w:rPr>
          <w:rFonts w:ascii="宋体" w:hAnsi="宋体"/>
          <w:color w:val="auto"/>
          <w:szCs w:val="21"/>
          <w:highlight w:val="none"/>
        </w:rPr>
        <w:t>及号码：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20" w:after="120" w:line="360" w:lineRule="auto"/>
        <w:ind w:firstLine="422" w:firstLineChars="200"/>
        <w:jc w:val="both"/>
        <w:rPr>
          <w:color w:val="auto"/>
          <w:kern w:val="2"/>
          <w:sz w:val="21"/>
          <w:szCs w:val="21"/>
          <w:highlight w:val="none"/>
        </w:rPr>
      </w:pPr>
      <w:bookmarkStart w:id="351" w:name="_Toc351203486"/>
      <w:bookmarkStart w:id="352" w:name="_Toc532377171"/>
      <w:bookmarkStart w:id="353" w:name="_Toc532375578"/>
      <w:r>
        <w:rPr>
          <w:rFonts w:hint="eastAsia"/>
          <w:color w:val="auto"/>
          <w:kern w:val="2"/>
          <w:sz w:val="21"/>
          <w:szCs w:val="21"/>
          <w:highlight w:val="none"/>
        </w:rPr>
        <w:t>六、合同文件构成</w:t>
      </w:r>
      <w:bookmarkEnd w:id="351"/>
      <w:bookmarkEnd w:id="352"/>
      <w:bookmarkEnd w:id="353"/>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合同由以下文件构成：</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（1）合同协议书；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（2）中标通知书；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（3）竞选函及竞选函附录；</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（4）专用合同条款及其附件；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（5）通用合同条款；</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（6）竞选文件（竞选函及竞选函附录除外）；</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（7）招标文件及修改文件；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（8）技术标准和要求；</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（9）图纸；</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（10）其他合同文件。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在合同订立、履行过程中形成的与合同有关的书面形式的文件均构成合同文件组成部分。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上述各项合同文件包括合同当事人就该项合同文件所作出的补充和修改，属于同一类内容的文件，应以最新签署的为准。专用合同条款及其附件须经合同当事人签名并盖章。</w:t>
      </w:r>
    </w:p>
    <w:p>
      <w:pPr>
        <w:pStyle w:val="6"/>
        <w:keepNext/>
        <w:keepLines/>
        <w:spacing w:before="120" w:after="120" w:line="360" w:lineRule="auto"/>
        <w:ind w:firstLine="422" w:firstLineChars="200"/>
        <w:jc w:val="both"/>
        <w:rPr>
          <w:color w:val="auto"/>
          <w:kern w:val="2"/>
          <w:sz w:val="21"/>
          <w:szCs w:val="21"/>
          <w:highlight w:val="none"/>
        </w:rPr>
      </w:pPr>
      <w:bookmarkStart w:id="354" w:name="_Toc532375579"/>
      <w:bookmarkStart w:id="355" w:name="_Toc351203487"/>
      <w:bookmarkStart w:id="356" w:name="_Toc532377172"/>
      <w:r>
        <w:rPr>
          <w:rFonts w:hint="eastAsia"/>
          <w:color w:val="auto"/>
          <w:kern w:val="2"/>
          <w:sz w:val="21"/>
          <w:szCs w:val="21"/>
          <w:highlight w:val="none"/>
        </w:rPr>
        <w:t>七、承诺</w:t>
      </w:r>
      <w:bookmarkEnd w:id="354"/>
      <w:bookmarkEnd w:id="355"/>
      <w:bookmarkEnd w:id="356"/>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1.发包人承诺按照法律规定履行项目审批手续、筹集工程建设资金并按照合同约定的期限和方式支付合同价款。</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3.发包人和承包人通过招投标形式签订合同的，双方理解并承诺不再就同一工程另行签订与合同实质性内容相背离的协议。</w:t>
      </w:r>
    </w:p>
    <w:p>
      <w:pPr>
        <w:pStyle w:val="6"/>
        <w:keepNext/>
        <w:keepLines/>
        <w:spacing w:before="120" w:after="120" w:line="360" w:lineRule="auto"/>
        <w:ind w:firstLine="422" w:firstLineChars="200"/>
        <w:jc w:val="both"/>
        <w:rPr>
          <w:color w:val="auto"/>
          <w:kern w:val="2"/>
          <w:sz w:val="21"/>
          <w:szCs w:val="21"/>
          <w:highlight w:val="none"/>
        </w:rPr>
      </w:pPr>
      <w:bookmarkStart w:id="357" w:name="_Toc351203488"/>
      <w:bookmarkStart w:id="358" w:name="_Toc532377173"/>
      <w:bookmarkStart w:id="359" w:name="_Toc532375580"/>
      <w:r>
        <w:rPr>
          <w:rFonts w:hint="eastAsia"/>
          <w:color w:val="auto"/>
          <w:kern w:val="2"/>
          <w:sz w:val="21"/>
          <w:szCs w:val="21"/>
          <w:highlight w:val="none"/>
        </w:rPr>
        <w:t>八、词语含义</w:t>
      </w:r>
      <w:bookmarkEnd w:id="357"/>
      <w:bookmarkEnd w:id="358"/>
      <w:bookmarkEnd w:id="359"/>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本协议书中词语含义与专用合同条款及通用合同条款中赋予的含义相同。</w:t>
      </w:r>
    </w:p>
    <w:p>
      <w:pPr>
        <w:pStyle w:val="6"/>
        <w:keepNext/>
        <w:keepLines/>
        <w:spacing w:before="120" w:after="120" w:line="360" w:lineRule="auto"/>
        <w:ind w:firstLine="422" w:firstLineChars="200"/>
        <w:jc w:val="both"/>
        <w:rPr>
          <w:color w:val="auto"/>
          <w:kern w:val="2"/>
          <w:sz w:val="21"/>
          <w:szCs w:val="21"/>
          <w:highlight w:val="none"/>
        </w:rPr>
      </w:pPr>
      <w:bookmarkStart w:id="360" w:name="_Toc532377174"/>
      <w:bookmarkStart w:id="361" w:name="_Toc532375581"/>
      <w:r>
        <w:rPr>
          <w:rFonts w:hint="eastAsia"/>
          <w:color w:val="auto"/>
          <w:kern w:val="2"/>
          <w:sz w:val="21"/>
          <w:szCs w:val="21"/>
          <w:highlight w:val="none"/>
        </w:rPr>
        <w:t>九、签订时间</w:t>
      </w:r>
      <w:bookmarkEnd w:id="360"/>
      <w:bookmarkEnd w:id="361"/>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合同于</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日签订</w:t>
      </w:r>
    </w:p>
    <w:p>
      <w:pPr>
        <w:pStyle w:val="6"/>
        <w:keepNext/>
        <w:keepLines/>
        <w:spacing w:before="120" w:after="120" w:line="360" w:lineRule="auto"/>
        <w:ind w:firstLine="422" w:firstLineChars="200"/>
        <w:jc w:val="both"/>
        <w:rPr>
          <w:color w:val="auto"/>
          <w:kern w:val="2"/>
          <w:sz w:val="21"/>
          <w:szCs w:val="21"/>
          <w:highlight w:val="none"/>
        </w:rPr>
      </w:pPr>
      <w:bookmarkStart w:id="362" w:name="_Toc351203489"/>
      <w:bookmarkStart w:id="363" w:name="_Toc532375582"/>
      <w:bookmarkStart w:id="364" w:name="_Toc532377175"/>
      <w:r>
        <w:rPr>
          <w:rFonts w:hint="eastAsia"/>
          <w:color w:val="auto"/>
          <w:kern w:val="2"/>
          <w:sz w:val="21"/>
          <w:szCs w:val="21"/>
          <w:highlight w:val="none"/>
        </w:rPr>
        <w:t>十、</w:t>
      </w:r>
      <w:bookmarkEnd w:id="362"/>
      <w:bookmarkStart w:id="365" w:name="_Toc351203490"/>
      <w:r>
        <w:rPr>
          <w:rFonts w:hint="eastAsia"/>
          <w:color w:val="auto"/>
          <w:kern w:val="2"/>
          <w:sz w:val="21"/>
          <w:szCs w:val="21"/>
          <w:highlight w:val="none"/>
        </w:rPr>
        <w:t>签订地点</w:t>
      </w:r>
      <w:bookmarkEnd w:id="363"/>
      <w:bookmarkEnd w:id="364"/>
      <w:bookmarkEnd w:id="365"/>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合同在</w:t>
      </w:r>
      <w:r>
        <w:rPr>
          <w:rFonts w:hint="eastAsia" w:ascii="宋体" w:hAnsi="宋体"/>
          <w:bCs/>
          <w:color w:val="auto"/>
          <w:szCs w:val="21"/>
          <w:highlight w:val="none"/>
          <w:u w:val="single"/>
        </w:rPr>
        <w:t xml:space="preserve">  重庆</w:t>
      </w:r>
      <w:r>
        <w:rPr>
          <w:rFonts w:ascii="宋体" w:hAnsi="宋体"/>
          <w:bCs/>
          <w:color w:val="auto"/>
          <w:szCs w:val="21"/>
          <w:highlight w:val="none"/>
          <w:u w:val="single"/>
        </w:rPr>
        <w:t>经开区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签订。</w:t>
      </w:r>
    </w:p>
    <w:p>
      <w:pPr>
        <w:pStyle w:val="6"/>
        <w:keepNext/>
        <w:keepLines/>
        <w:spacing w:before="120" w:after="120" w:line="360" w:lineRule="auto"/>
        <w:ind w:firstLine="422" w:firstLineChars="200"/>
        <w:jc w:val="both"/>
        <w:rPr>
          <w:color w:val="auto"/>
          <w:kern w:val="2"/>
          <w:sz w:val="21"/>
          <w:szCs w:val="21"/>
          <w:highlight w:val="none"/>
        </w:rPr>
      </w:pPr>
      <w:bookmarkStart w:id="366" w:name="_Toc532375583"/>
      <w:bookmarkStart w:id="367" w:name="_Toc351203491"/>
      <w:bookmarkStart w:id="368" w:name="_Toc532377176"/>
      <w:r>
        <w:rPr>
          <w:rFonts w:hint="eastAsia"/>
          <w:color w:val="auto"/>
          <w:kern w:val="2"/>
          <w:sz w:val="21"/>
          <w:szCs w:val="21"/>
          <w:highlight w:val="none"/>
        </w:rPr>
        <w:t>十一、补充协议</w:t>
      </w:r>
      <w:bookmarkEnd w:id="366"/>
      <w:bookmarkEnd w:id="367"/>
      <w:bookmarkEnd w:id="368"/>
    </w:p>
    <w:p>
      <w:pPr>
        <w:spacing w:line="360" w:lineRule="auto"/>
        <w:ind w:firstLine="420" w:firstLineChars="200"/>
        <w:rPr>
          <w:rFonts w:ascii="宋体" w:hAnsi="宋体"/>
          <w:b/>
          <w:bCs/>
          <w:color w:val="auto"/>
          <w:szCs w:val="21"/>
          <w:highlight w:val="none"/>
        </w:rPr>
      </w:pPr>
      <w:r>
        <w:rPr>
          <w:rFonts w:hint="eastAsia" w:ascii="宋体" w:hAnsi="宋体"/>
          <w:bCs/>
          <w:color w:val="auto"/>
          <w:szCs w:val="21"/>
          <w:highlight w:val="none"/>
        </w:rPr>
        <w:t>合同未尽事宜，合同当事人另行签订补充协议，补充协议是合同的组成部分。</w:t>
      </w:r>
    </w:p>
    <w:p>
      <w:pPr>
        <w:pStyle w:val="6"/>
        <w:keepNext/>
        <w:keepLines/>
        <w:spacing w:before="120" w:after="120" w:line="360" w:lineRule="auto"/>
        <w:ind w:firstLine="422" w:firstLineChars="200"/>
        <w:jc w:val="both"/>
        <w:rPr>
          <w:color w:val="auto"/>
          <w:kern w:val="2"/>
          <w:sz w:val="21"/>
          <w:szCs w:val="21"/>
          <w:highlight w:val="none"/>
        </w:rPr>
      </w:pPr>
      <w:bookmarkStart w:id="369" w:name="_Toc532377177"/>
      <w:bookmarkStart w:id="370" w:name="_Toc351203492"/>
      <w:bookmarkStart w:id="371" w:name="_Toc532375584"/>
      <w:r>
        <w:rPr>
          <w:rFonts w:hint="eastAsia"/>
          <w:color w:val="auto"/>
          <w:kern w:val="2"/>
          <w:sz w:val="21"/>
          <w:szCs w:val="21"/>
          <w:highlight w:val="none"/>
        </w:rPr>
        <w:t>十二、合同生效</w:t>
      </w:r>
      <w:bookmarkEnd w:id="369"/>
      <w:bookmarkEnd w:id="370"/>
      <w:bookmarkEnd w:id="371"/>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合同在以下条件全部满足之后生效：</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1.合同</w:t>
      </w:r>
      <w:r>
        <w:rPr>
          <w:rFonts w:hint="eastAsia" w:ascii="宋体" w:hAnsi="宋体"/>
          <w:color w:val="auto"/>
          <w:szCs w:val="21"/>
          <w:highlight w:val="none"/>
        </w:rPr>
        <w:t>经双方法定代表人或其委托代理人签名并加盖单位</w:t>
      </w:r>
      <w:r>
        <w:rPr>
          <w:rFonts w:hint="eastAsia" w:ascii="宋体" w:hAnsi="宋体"/>
          <w:snapToGrid w:val="0"/>
          <w:color w:val="auto"/>
          <w:kern w:val="0"/>
          <w:szCs w:val="21"/>
          <w:highlight w:val="none"/>
        </w:rPr>
        <w:t>公章或合同专用章</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2.采用保函形式递交履约担保的，承包人按合同约定向发包人提交履约担保后；</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20" w:after="120" w:line="360" w:lineRule="auto"/>
        <w:ind w:firstLine="422" w:firstLineChars="200"/>
        <w:jc w:val="both"/>
        <w:rPr>
          <w:color w:val="auto"/>
          <w:kern w:val="2"/>
          <w:sz w:val="21"/>
          <w:szCs w:val="21"/>
          <w:highlight w:val="none"/>
        </w:rPr>
      </w:pPr>
      <w:bookmarkStart w:id="372" w:name="_Toc351203493"/>
      <w:bookmarkStart w:id="373" w:name="_Toc532375585"/>
      <w:bookmarkStart w:id="374" w:name="_Toc532377178"/>
      <w:r>
        <w:rPr>
          <w:rFonts w:hint="eastAsia"/>
          <w:color w:val="auto"/>
          <w:kern w:val="2"/>
          <w:sz w:val="21"/>
          <w:szCs w:val="21"/>
          <w:highlight w:val="none"/>
        </w:rPr>
        <w:t>十三、合同份数</w:t>
      </w:r>
      <w:bookmarkEnd w:id="372"/>
      <w:bookmarkEnd w:id="373"/>
      <w:bookmarkEnd w:id="374"/>
    </w:p>
    <w:p>
      <w:pPr>
        <w:spacing w:line="360" w:lineRule="auto"/>
        <w:ind w:firstLine="420" w:firstLineChars="200"/>
        <w:rPr>
          <w:rFonts w:ascii="宋体" w:hAnsi="宋体"/>
          <w:bCs/>
          <w:color w:val="auto"/>
          <w:szCs w:val="21"/>
          <w:highlight w:val="none"/>
        </w:rPr>
      </w:pPr>
      <w:r>
        <w:rPr>
          <w:rFonts w:hint="eastAsia" w:ascii="宋体" w:hAnsi="宋体" w:cs="Microsoft Sans Serif"/>
          <w:bCs/>
          <w:color w:val="auto"/>
          <w:szCs w:val="21"/>
          <w:highlight w:val="none"/>
        </w:rPr>
        <w:t>合同一式</w:t>
      </w:r>
      <w:r>
        <w:rPr>
          <w:rFonts w:hint="eastAsia" w:ascii="宋体" w:hAnsi="宋体" w:cs="Microsoft Sans Serif"/>
          <w:bCs/>
          <w:color w:val="auto"/>
          <w:szCs w:val="21"/>
          <w:highlight w:val="none"/>
          <w:u w:val="single"/>
        </w:rPr>
        <w:t xml:space="preserve">   肆  </w:t>
      </w:r>
      <w:r>
        <w:rPr>
          <w:rFonts w:hint="eastAsia" w:ascii="宋体" w:hAnsi="宋体" w:cs="Microsoft Sans Serif"/>
          <w:bCs/>
          <w:color w:val="auto"/>
          <w:szCs w:val="21"/>
          <w:highlight w:val="none"/>
        </w:rPr>
        <w:t>份，其中正本</w:t>
      </w:r>
      <w:r>
        <w:rPr>
          <w:rFonts w:hint="eastAsia" w:ascii="宋体" w:hAnsi="宋体" w:cs="Microsoft Sans Serif"/>
          <w:bCs/>
          <w:color w:val="auto"/>
          <w:szCs w:val="21"/>
          <w:highlight w:val="none"/>
          <w:u w:val="single"/>
        </w:rPr>
        <w:t xml:space="preserve">  </w:t>
      </w:r>
      <w:r>
        <w:rPr>
          <w:rFonts w:ascii="宋体" w:hAnsi="宋体" w:cs="Microsoft Sans Serif"/>
          <w:bCs/>
          <w:color w:val="auto"/>
          <w:szCs w:val="21"/>
          <w:highlight w:val="none"/>
          <w:u w:val="single"/>
        </w:rPr>
        <w:t>4</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份，双方各持</w:t>
      </w:r>
      <w:r>
        <w:rPr>
          <w:rFonts w:hint="eastAsia" w:ascii="宋体" w:hAnsi="宋体" w:cs="Microsoft Sans Serif"/>
          <w:bCs/>
          <w:color w:val="auto"/>
          <w:szCs w:val="21"/>
          <w:highlight w:val="none"/>
          <w:u w:val="single"/>
        </w:rPr>
        <w:t xml:space="preserve">  </w:t>
      </w:r>
      <w:r>
        <w:rPr>
          <w:rFonts w:ascii="宋体" w:hAnsi="宋体" w:cs="Microsoft Sans Serif"/>
          <w:bCs/>
          <w:color w:val="auto"/>
          <w:szCs w:val="21"/>
          <w:highlight w:val="none"/>
          <w:u w:val="single"/>
        </w:rPr>
        <w:t>2</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份，副本</w:t>
      </w:r>
      <w:r>
        <w:rPr>
          <w:rFonts w:hint="eastAsia" w:ascii="宋体" w:hAnsi="宋体" w:cs="Microsoft Sans Serif"/>
          <w:bCs/>
          <w:color w:val="auto"/>
          <w:szCs w:val="21"/>
          <w:highlight w:val="none"/>
          <w:u w:val="single"/>
        </w:rPr>
        <w:t xml:space="preserve">  </w:t>
      </w:r>
      <w:r>
        <w:rPr>
          <w:rFonts w:ascii="宋体" w:hAnsi="宋体" w:cs="Microsoft Sans Serif"/>
          <w:bCs/>
          <w:color w:val="auto"/>
          <w:szCs w:val="21"/>
          <w:highlight w:val="none"/>
          <w:u w:val="single"/>
        </w:rPr>
        <w:t>0</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份，双方各执</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份。副本与正本不一致时，以正本为准</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p>
    <w:p>
      <w:pPr>
        <w:spacing w:line="360" w:lineRule="auto"/>
        <w:ind w:firstLine="0" w:firstLineChars="0"/>
        <w:rPr>
          <w:rFonts w:hint="eastAsia" w:ascii="宋体" w:hAnsi="宋体"/>
          <w:bCs/>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（以下为签名盖章页）。</w:t>
      </w:r>
    </w:p>
    <w:p>
      <w:pPr>
        <w:pStyle w:val="2"/>
        <w:spacing w:line="360" w:lineRule="auto"/>
        <w:ind w:firstLine="420" w:firstLineChars="200"/>
        <w:rPr>
          <w:rFonts w:ascii="宋体" w:hAnsi="宋体"/>
          <w:color w:val="auto"/>
          <w:szCs w:val="21"/>
          <w:highlight w:val="none"/>
        </w:rPr>
      </w:pPr>
    </w:p>
    <w:p>
      <w:pPr>
        <w:pStyle w:val="2"/>
        <w:spacing w:line="360" w:lineRule="auto"/>
        <w:ind w:firstLine="420" w:firstLineChars="200"/>
        <w:rPr>
          <w:rFonts w:ascii="宋体" w:hAnsi="宋体"/>
          <w:color w:val="auto"/>
          <w:szCs w:val="21"/>
          <w:highlight w:val="none"/>
        </w:rPr>
      </w:pPr>
    </w:p>
    <w:p>
      <w:pPr>
        <w:adjustRightInd w:val="0"/>
        <w:spacing w:line="360" w:lineRule="auto"/>
        <w:ind w:firstLine="420" w:firstLineChars="200"/>
        <w:rPr>
          <w:rFonts w:ascii="宋体" w:hAnsi="宋体"/>
          <w:snapToGrid w:val="0"/>
          <w:color w:val="auto"/>
          <w:kern w:val="0"/>
          <w:szCs w:val="21"/>
          <w:highlight w:val="none"/>
        </w:rPr>
      </w:pPr>
      <w:bookmarkStart w:id="375" w:name="_Toc467689623"/>
      <w:r>
        <w:rPr>
          <w:rFonts w:ascii="宋体" w:hAnsi="宋体"/>
          <w:snapToGrid w:val="0"/>
          <w:color w:val="auto"/>
          <w:kern w:val="0"/>
          <w:szCs w:val="21"/>
          <w:highlight w:val="none"/>
        </w:rPr>
        <w:t>发包人：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盖单位</w:t>
      </w:r>
      <w:r>
        <w:rPr>
          <w:rFonts w:ascii="宋体" w:hAnsi="宋体"/>
          <w:snapToGrid w:val="0"/>
          <w:color w:val="auto"/>
          <w:kern w:val="0"/>
          <w:szCs w:val="21"/>
          <w:highlight w:val="none"/>
        </w:rPr>
        <w:t>公章</w:t>
      </w:r>
      <w:r>
        <w:rPr>
          <w:rFonts w:hint="eastAsia" w:ascii="宋体" w:hAnsi="宋体"/>
          <w:snapToGrid w:val="0"/>
          <w:color w:val="auto"/>
          <w:kern w:val="0"/>
          <w:szCs w:val="21"/>
          <w:highlight w:val="none"/>
        </w:rPr>
        <w:t>或合同专用章</w:t>
      </w:r>
      <w:r>
        <w:rPr>
          <w:rFonts w:ascii="宋体" w:hAnsi="宋体"/>
          <w:snapToGrid w:val="0"/>
          <w:color w:val="auto"/>
          <w:kern w:val="0"/>
          <w:szCs w:val="21"/>
          <w:highlight w:val="none"/>
        </w:rPr>
        <w:t>）</w:t>
      </w:r>
    </w:p>
    <w:p>
      <w:pPr>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p>
    <w:p>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rPr>
          <w:rFonts w:ascii="宋体" w:hAnsi="宋体"/>
          <w:snapToGrid w:val="0"/>
          <w:color w:val="auto"/>
          <w:kern w:val="0"/>
          <w:szCs w:val="21"/>
          <w:highlight w:val="none"/>
        </w:rPr>
      </w:pPr>
    </w:p>
    <w:p>
      <w:pPr>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承包人：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盖单位</w:t>
      </w:r>
      <w:r>
        <w:rPr>
          <w:rFonts w:ascii="宋体" w:hAnsi="宋体"/>
          <w:snapToGrid w:val="0"/>
          <w:color w:val="auto"/>
          <w:kern w:val="0"/>
          <w:szCs w:val="21"/>
          <w:highlight w:val="none"/>
        </w:rPr>
        <w:t>公章</w:t>
      </w:r>
      <w:r>
        <w:rPr>
          <w:rFonts w:hint="eastAsia" w:ascii="宋体" w:hAnsi="宋体"/>
          <w:snapToGrid w:val="0"/>
          <w:color w:val="auto"/>
          <w:kern w:val="0"/>
          <w:szCs w:val="21"/>
          <w:highlight w:val="none"/>
        </w:rPr>
        <w:t>或合同专用章</w:t>
      </w:r>
      <w:r>
        <w:rPr>
          <w:rFonts w:ascii="宋体" w:hAnsi="宋体"/>
          <w:snapToGrid w:val="0"/>
          <w:color w:val="auto"/>
          <w:kern w:val="0"/>
          <w:szCs w:val="21"/>
          <w:highlight w:val="none"/>
        </w:rPr>
        <w:t>）</w:t>
      </w:r>
    </w:p>
    <w:p>
      <w:pPr>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p>
    <w:p>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Style w:val="2"/>
        <w:spacing w:line="360" w:lineRule="auto"/>
        <w:rPr>
          <w:rFonts w:ascii="宋体" w:hAnsi="宋体"/>
          <w:color w:val="auto"/>
          <w:szCs w:val="21"/>
          <w:highlight w:val="none"/>
        </w:rPr>
      </w:pPr>
    </w:p>
    <w:p>
      <w:pPr>
        <w:spacing w:line="360" w:lineRule="auto"/>
        <w:jc w:val="right"/>
        <w:rPr>
          <w:rFonts w:ascii="宋体" w:hAnsi="宋体"/>
          <w:snapToGrid w:val="0"/>
          <w:color w:val="auto"/>
          <w:kern w:val="0"/>
          <w:szCs w:val="21"/>
          <w:highlight w:val="none"/>
        </w:rPr>
      </w:pPr>
    </w:p>
    <w:p>
      <w:pPr>
        <w:spacing w:line="360" w:lineRule="auto"/>
        <w:jc w:val="right"/>
        <w:rPr>
          <w:rFonts w:ascii="宋体" w:hAnsi="宋体"/>
          <w:snapToGrid w:val="0"/>
          <w:color w:val="auto"/>
          <w:kern w:val="0"/>
          <w:szCs w:val="21"/>
          <w:highlight w:val="none"/>
        </w:rPr>
      </w:pPr>
    </w:p>
    <w:p>
      <w:pPr>
        <w:spacing w:line="360" w:lineRule="auto"/>
        <w:jc w:val="right"/>
        <w:rPr>
          <w:rFonts w:ascii="宋体" w:hAnsi="宋体"/>
          <w:snapToGrid w:val="0"/>
          <w:color w:val="auto"/>
          <w:kern w:val="0"/>
          <w:szCs w:val="21"/>
          <w:highlight w:val="none"/>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bookmarkEnd w:id="375"/>
    </w:p>
    <w:p>
      <w:pPr>
        <w:pStyle w:val="5"/>
        <w:jc w:val="center"/>
        <w:rPr>
          <w:rFonts w:ascii="宋体" w:hAnsi="宋体"/>
          <w:bCs w:val="0"/>
          <w:color w:val="auto"/>
          <w:sz w:val="21"/>
          <w:szCs w:val="21"/>
          <w:highlight w:val="none"/>
        </w:rPr>
      </w:pPr>
      <w:r>
        <w:rPr>
          <w:rFonts w:hint="eastAsia" w:ascii="宋体" w:hAnsi="宋体"/>
          <w:b w:val="0"/>
          <w:snapToGrid w:val="0"/>
          <w:color w:val="auto"/>
          <w:sz w:val="21"/>
          <w:szCs w:val="21"/>
          <w:highlight w:val="none"/>
          <w:lang w:val="zh-CN"/>
        </w:rPr>
        <w:br w:type="page"/>
      </w:r>
      <w:bookmarkStart w:id="376" w:name="_Toc13806"/>
      <w:bookmarkStart w:id="377" w:name="_Toc19856"/>
      <w:bookmarkStart w:id="378" w:name="_Toc529388289"/>
      <w:bookmarkStart w:id="379" w:name="_Toc532375586"/>
      <w:bookmarkStart w:id="380" w:name="_Toc532377179"/>
      <w:r>
        <w:rPr>
          <w:rFonts w:hint="eastAsia" w:ascii="宋体" w:hAnsi="宋体"/>
          <w:color w:val="auto"/>
          <w:sz w:val="44"/>
          <w:szCs w:val="44"/>
          <w:highlight w:val="none"/>
        </w:rPr>
        <w:t>第二部分 通用合同条款</w:t>
      </w:r>
      <w:bookmarkEnd w:id="376"/>
      <w:bookmarkEnd w:id="377"/>
      <w:bookmarkEnd w:id="378"/>
      <w:bookmarkEnd w:id="379"/>
      <w:bookmarkEnd w:id="380"/>
    </w:p>
    <w:p>
      <w:pPr>
        <w:spacing w:before="68" w:line="356" w:lineRule="auto"/>
        <w:ind w:firstLine="509"/>
        <w:rPr>
          <w:rFonts w:ascii="宋体" w:hAnsi="宋体" w:cs="宋体"/>
          <w:color w:val="auto"/>
          <w:szCs w:val="21"/>
          <w:highlight w:val="none"/>
        </w:rPr>
      </w:pPr>
      <w:bookmarkStart w:id="381" w:name="_Toc532377180"/>
      <w:bookmarkStart w:id="382" w:name="_Toc351203495"/>
      <w:bookmarkStart w:id="383" w:name="_Toc532375587"/>
      <w:r>
        <w:rPr>
          <w:rFonts w:ascii="宋体" w:hAnsi="宋体" w:cs="宋体"/>
          <w:color w:val="auto"/>
          <w:spacing w:val="-4"/>
          <w:szCs w:val="21"/>
          <w:highlight w:val="none"/>
        </w:rPr>
        <w:t>“通用合同条款”采用《中华人民共和国标准施工招标文件（2007</w:t>
      </w:r>
      <w:r>
        <w:rPr>
          <w:rFonts w:ascii="宋体" w:hAnsi="宋体" w:cs="宋体"/>
          <w:color w:val="auto"/>
          <w:spacing w:val="-28"/>
          <w:szCs w:val="21"/>
          <w:highlight w:val="none"/>
        </w:rPr>
        <w:t xml:space="preserve"> </w:t>
      </w:r>
      <w:r>
        <w:rPr>
          <w:rFonts w:ascii="宋体" w:hAnsi="宋体" w:cs="宋体"/>
          <w:color w:val="auto"/>
          <w:spacing w:val="-4"/>
          <w:szCs w:val="21"/>
          <w:highlight w:val="none"/>
        </w:rPr>
        <w:t>版）</w:t>
      </w:r>
      <w:r>
        <w:rPr>
          <w:rFonts w:ascii="宋体" w:hAnsi="宋体" w:cs="宋体"/>
          <w:color w:val="auto"/>
          <w:spacing w:val="-9"/>
          <w:szCs w:val="21"/>
          <w:highlight w:val="none"/>
        </w:rPr>
        <w:t xml:space="preserve"> </w:t>
      </w:r>
      <w:r>
        <w:rPr>
          <w:rFonts w:ascii="宋体" w:hAnsi="宋体" w:cs="宋体"/>
          <w:color w:val="auto"/>
          <w:spacing w:val="-4"/>
          <w:szCs w:val="21"/>
          <w:highlight w:val="none"/>
        </w:rPr>
        <w:t>》第四章第一节的“通用合同</w:t>
      </w:r>
      <w:r>
        <w:rPr>
          <w:rFonts w:ascii="宋体" w:hAnsi="宋体" w:cs="宋体"/>
          <w:color w:val="auto"/>
          <w:szCs w:val="21"/>
          <w:highlight w:val="none"/>
        </w:rPr>
        <w:t xml:space="preserve"> </w:t>
      </w:r>
      <w:r>
        <w:rPr>
          <w:rFonts w:ascii="宋体" w:hAnsi="宋体" w:cs="宋体"/>
          <w:color w:val="auto"/>
          <w:spacing w:val="-8"/>
          <w:szCs w:val="21"/>
          <w:highlight w:val="none"/>
        </w:rPr>
        <w:t>条款”。</w:t>
      </w:r>
    </w:p>
    <w:bookmarkEnd w:id="381"/>
    <w:bookmarkEnd w:id="382"/>
    <w:bookmarkEnd w:id="383"/>
    <w:p>
      <w:pPr>
        <w:pStyle w:val="5"/>
        <w:jc w:val="center"/>
        <w:rPr>
          <w:rFonts w:ascii="宋体" w:hAnsi="宋体"/>
          <w:color w:val="auto"/>
          <w:sz w:val="44"/>
          <w:szCs w:val="44"/>
          <w:highlight w:val="none"/>
        </w:rPr>
      </w:pPr>
      <w:bookmarkStart w:id="384" w:name="_Toc17694"/>
      <w:bookmarkStart w:id="385" w:name="_Toc529388290"/>
      <w:bookmarkStart w:id="386" w:name="_Toc532377320"/>
      <w:bookmarkStart w:id="387" w:name="_Toc532375607"/>
    </w:p>
    <w:p>
      <w:pPr>
        <w:rPr>
          <w:rFonts w:ascii="宋体" w:hAnsi="宋体"/>
          <w:color w:val="auto"/>
          <w:sz w:val="44"/>
          <w:szCs w:val="44"/>
          <w:highlight w:val="none"/>
        </w:rPr>
      </w:pPr>
    </w:p>
    <w:p>
      <w:pPr>
        <w:pStyle w:val="2"/>
        <w:rPr>
          <w:rFonts w:ascii="宋体" w:hAnsi="宋体"/>
          <w:color w:val="auto"/>
          <w:sz w:val="44"/>
          <w:szCs w:val="44"/>
          <w:highlight w:val="none"/>
        </w:rPr>
      </w:pPr>
    </w:p>
    <w:p>
      <w:pPr>
        <w:pStyle w:val="56"/>
        <w:rPr>
          <w:rFonts w:ascii="宋体" w:hAnsi="宋体"/>
          <w:color w:val="auto"/>
          <w:sz w:val="44"/>
          <w:szCs w:val="44"/>
          <w:highlight w:val="none"/>
        </w:rPr>
      </w:pPr>
    </w:p>
    <w:p>
      <w:pPr>
        <w:rPr>
          <w:rFonts w:ascii="宋体" w:hAnsi="宋体"/>
          <w:color w:val="auto"/>
          <w:sz w:val="44"/>
          <w:szCs w:val="44"/>
          <w:highlight w:val="none"/>
        </w:rPr>
      </w:pPr>
    </w:p>
    <w:p>
      <w:pPr>
        <w:pStyle w:val="2"/>
        <w:rPr>
          <w:rFonts w:ascii="宋体" w:hAnsi="宋体"/>
          <w:color w:val="auto"/>
          <w:sz w:val="44"/>
          <w:szCs w:val="44"/>
          <w:highlight w:val="none"/>
        </w:rPr>
      </w:pPr>
    </w:p>
    <w:p>
      <w:pPr>
        <w:pStyle w:val="56"/>
        <w:rPr>
          <w:rFonts w:ascii="宋体" w:hAnsi="宋体"/>
          <w:color w:val="auto"/>
          <w:sz w:val="44"/>
          <w:szCs w:val="44"/>
          <w:highlight w:val="none"/>
        </w:rPr>
      </w:pPr>
    </w:p>
    <w:p>
      <w:pPr>
        <w:rPr>
          <w:rFonts w:ascii="宋体" w:hAnsi="宋体"/>
          <w:color w:val="auto"/>
          <w:sz w:val="44"/>
          <w:szCs w:val="44"/>
          <w:highlight w:val="none"/>
        </w:rPr>
      </w:pPr>
    </w:p>
    <w:p>
      <w:pPr>
        <w:pStyle w:val="2"/>
        <w:rPr>
          <w:rFonts w:ascii="宋体" w:hAnsi="宋体"/>
          <w:color w:val="auto"/>
          <w:sz w:val="44"/>
          <w:szCs w:val="44"/>
          <w:highlight w:val="none"/>
        </w:rPr>
      </w:pPr>
    </w:p>
    <w:p>
      <w:pPr>
        <w:pStyle w:val="56"/>
        <w:rPr>
          <w:rFonts w:ascii="宋体" w:hAnsi="宋体"/>
          <w:color w:val="auto"/>
          <w:sz w:val="44"/>
          <w:szCs w:val="44"/>
          <w:highlight w:val="none"/>
        </w:rPr>
      </w:pPr>
    </w:p>
    <w:p>
      <w:pPr>
        <w:rPr>
          <w:rFonts w:ascii="宋体" w:hAnsi="宋体"/>
          <w:color w:val="auto"/>
          <w:sz w:val="44"/>
          <w:szCs w:val="44"/>
          <w:highlight w:val="none"/>
        </w:rPr>
      </w:pPr>
    </w:p>
    <w:p>
      <w:pPr>
        <w:pStyle w:val="2"/>
        <w:rPr>
          <w:rFonts w:ascii="宋体" w:hAnsi="宋体"/>
          <w:color w:val="auto"/>
          <w:sz w:val="44"/>
          <w:szCs w:val="44"/>
          <w:highlight w:val="none"/>
        </w:rPr>
      </w:pPr>
    </w:p>
    <w:p>
      <w:pPr>
        <w:pStyle w:val="56"/>
        <w:rPr>
          <w:rFonts w:ascii="宋体" w:hAnsi="宋体"/>
          <w:color w:val="auto"/>
          <w:sz w:val="44"/>
          <w:szCs w:val="44"/>
          <w:highlight w:val="none"/>
        </w:rPr>
      </w:pPr>
    </w:p>
    <w:p>
      <w:pPr>
        <w:rPr>
          <w:rFonts w:ascii="宋体" w:hAnsi="宋体"/>
          <w:color w:val="auto"/>
          <w:sz w:val="44"/>
          <w:szCs w:val="44"/>
          <w:highlight w:val="none"/>
        </w:rPr>
      </w:pPr>
    </w:p>
    <w:p>
      <w:pPr>
        <w:pStyle w:val="2"/>
        <w:rPr>
          <w:rFonts w:ascii="宋体" w:hAnsi="宋体"/>
          <w:color w:val="auto"/>
          <w:sz w:val="44"/>
          <w:szCs w:val="44"/>
          <w:highlight w:val="none"/>
        </w:rPr>
      </w:pPr>
    </w:p>
    <w:p>
      <w:pPr>
        <w:pStyle w:val="56"/>
        <w:rPr>
          <w:color w:val="auto"/>
          <w:highlight w:val="none"/>
        </w:rPr>
      </w:pPr>
    </w:p>
    <w:p>
      <w:pPr>
        <w:pStyle w:val="5"/>
        <w:jc w:val="center"/>
        <w:rPr>
          <w:rFonts w:ascii="宋体" w:hAnsi="宋体"/>
          <w:color w:val="auto"/>
          <w:sz w:val="44"/>
          <w:szCs w:val="44"/>
          <w:highlight w:val="none"/>
        </w:rPr>
      </w:pPr>
      <w:bookmarkStart w:id="388" w:name="_Toc16166"/>
      <w:r>
        <w:rPr>
          <w:rFonts w:hint="eastAsia" w:ascii="宋体" w:hAnsi="宋体"/>
          <w:color w:val="auto"/>
          <w:sz w:val="44"/>
          <w:szCs w:val="44"/>
          <w:highlight w:val="none"/>
        </w:rPr>
        <w:t>第三部分 专用合同条款</w:t>
      </w:r>
      <w:bookmarkEnd w:id="384"/>
      <w:bookmarkEnd w:id="385"/>
      <w:bookmarkEnd w:id="386"/>
      <w:bookmarkEnd w:id="387"/>
      <w:bookmarkEnd w:id="388"/>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389" w:name="_Toc351203633"/>
      <w:bookmarkStart w:id="390" w:name="_Toc532375608"/>
      <w:bookmarkStart w:id="391" w:name="_Toc532377321"/>
      <w:bookmarkStart w:id="392" w:name="_Hlk528927191"/>
      <w:r>
        <w:rPr>
          <w:rFonts w:hint="eastAsia"/>
          <w:color w:val="auto"/>
          <w:kern w:val="2"/>
          <w:sz w:val="21"/>
          <w:szCs w:val="21"/>
          <w:highlight w:val="none"/>
        </w:rPr>
        <w:t>1</w:t>
      </w:r>
      <w:bookmarkStart w:id="393" w:name="_Toc296944495"/>
      <w:bookmarkStart w:id="394" w:name="_Toc297048342"/>
      <w:bookmarkStart w:id="395" w:name="_Toc296891196"/>
      <w:bookmarkStart w:id="396" w:name="_Toc297120456"/>
      <w:bookmarkStart w:id="397" w:name="_Toc292559866"/>
      <w:bookmarkStart w:id="398" w:name="_Toc296890984"/>
      <w:bookmarkStart w:id="399" w:name="_Toc296346657"/>
      <w:bookmarkStart w:id="400" w:name="_Toc296347155"/>
      <w:bookmarkStart w:id="401" w:name="_Toc292559361"/>
      <w:bookmarkStart w:id="402" w:name="_Toc296503156"/>
      <w:r>
        <w:rPr>
          <w:rFonts w:hint="eastAsia"/>
          <w:color w:val="auto"/>
          <w:kern w:val="2"/>
          <w:sz w:val="21"/>
          <w:szCs w:val="21"/>
          <w:highlight w:val="none"/>
        </w:rPr>
        <w:t>. 一般约定</w:t>
      </w:r>
      <w:bookmarkEnd w:id="389"/>
      <w:bookmarkEnd w:id="390"/>
      <w:bookmarkEnd w:id="391"/>
    </w:p>
    <w:bookmarkEnd w:id="393"/>
    <w:bookmarkEnd w:id="394"/>
    <w:bookmarkEnd w:id="395"/>
    <w:bookmarkEnd w:id="396"/>
    <w:bookmarkEnd w:id="397"/>
    <w:bookmarkEnd w:id="398"/>
    <w:bookmarkEnd w:id="399"/>
    <w:bookmarkEnd w:id="400"/>
    <w:bookmarkEnd w:id="401"/>
    <w:bookmarkEnd w:id="402"/>
    <w:p>
      <w:pPr>
        <w:pStyle w:val="7"/>
        <w:spacing w:before="0" w:beforeAutospacing="0" w:after="0" w:afterAutospacing="0" w:line="360" w:lineRule="auto"/>
        <w:ind w:firstLine="422" w:firstLineChars="200"/>
        <w:rPr>
          <w:color w:val="auto"/>
          <w:sz w:val="21"/>
          <w:szCs w:val="21"/>
          <w:highlight w:val="none"/>
        </w:rPr>
      </w:pPr>
      <w:bookmarkStart w:id="403" w:name="_Toc532377322"/>
      <w:r>
        <w:rPr>
          <w:rFonts w:hint="eastAsia"/>
          <w:color w:val="auto"/>
          <w:sz w:val="21"/>
          <w:szCs w:val="21"/>
          <w:highlight w:val="none"/>
        </w:rPr>
        <w:t>1.1词语定义与解释</w:t>
      </w:r>
      <w:bookmarkEnd w:id="403"/>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 合同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1.1.1.6技术标准和要求：</w:t>
      </w:r>
      <w:r>
        <w:rPr>
          <w:rFonts w:hint="eastAsia" w:ascii="宋体" w:hAnsi="宋体"/>
          <w:color w:val="auto"/>
          <w:kern w:val="0"/>
          <w:szCs w:val="21"/>
          <w:highlight w:val="none"/>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1.1.1.8 已标价工程量清单：</w:t>
      </w:r>
      <w:r>
        <w:rPr>
          <w:rFonts w:hint="eastAsia" w:ascii="宋体" w:hAnsi="宋体"/>
          <w:color w:val="auto"/>
          <w:kern w:val="0"/>
          <w:szCs w:val="21"/>
          <w:highlight w:val="none"/>
          <w:u w:val="single"/>
        </w:rPr>
        <w:t>指构成合同的由承包人按照发包人规定的格式和要求填写并标明价格、经算术性错误修订及其他错误修订（如有）且承包人已确认的工程量清单</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1.1.1.10 其他合同文件包括：</w:t>
      </w:r>
      <w:r>
        <w:rPr>
          <w:rFonts w:hint="eastAsia" w:ascii="宋体" w:hAnsi="宋体"/>
          <w:color w:val="auto"/>
          <w:szCs w:val="21"/>
          <w:highlight w:val="none"/>
          <w:u w:val="single"/>
        </w:rPr>
        <w:t>按照合同协议书</w:t>
      </w:r>
      <w:r>
        <w:rPr>
          <w:rFonts w:hint="eastAsia" w:ascii="宋体" w:hAnsi="宋体"/>
          <w:bCs/>
          <w:color w:val="auto"/>
          <w:szCs w:val="21"/>
          <w:highlight w:val="none"/>
          <w:u w:val="single"/>
        </w:rPr>
        <w:t>〔</w:t>
      </w:r>
      <w:r>
        <w:rPr>
          <w:rFonts w:hint="eastAsia" w:ascii="宋体" w:hAnsi="宋体"/>
          <w:color w:val="auto"/>
          <w:szCs w:val="21"/>
          <w:highlight w:val="none"/>
          <w:u w:val="single"/>
        </w:rPr>
        <w:t>第六条</w:t>
      </w:r>
      <w:r>
        <w:rPr>
          <w:rFonts w:hint="eastAsia" w:ascii="宋体" w:hAnsi="宋体"/>
          <w:bCs/>
          <w:color w:val="auto"/>
          <w:szCs w:val="21"/>
          <w:highlight w:val="none"/>
          <w:u w:val="single"/>
        </w:rPr>
        <w:t>〕</w:t>
      </w:r>
      <w:r>
        <w:rPr>
          <w:rFonts w:hint="eastAsia" w:ascii="宋体" w:hAnsi="宋体"/>
          <w:color w:val="auto"/>
          <w:szCs w:val="21"/>
          <w:highlight w:val="none"/>
          <w:u w:val="single"/>
        </w:rPr>
        <w:t>约定执行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本项补充1.1.1.11～1.1.1.16目：</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1.1.1.11 招标文件：</w:t>
      </w:r>
      <w:r>
        <w:rPr>
          <w:rFonts w:hint="eastAsia" w:ascii="宋体" w:hAnsi="宋体"/>
          <w:color w:val="auto"/>
          <w:kern w:val="0"/>
          <w:szCs w:val="21"/>
          <w:highlight w:val="none"/>
          <w:u w:val="single"/>
        </w:rPr>
        <w:t>指本工程的招标文件、图纸、其他技术资料及比选人发出的对招标文件所作的澄清、修改等资料</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1.1.1.12 工作：</w:t>
      </w:r>
      <w:r>
        <w:rPr>
          <w:rFonts w:hint="eastAsia" w:ascii="宋体" w:hAnsi="宋体"/>
          <w:color w:val="auto"/>
          <w:kern w:val="0"/>
          <w:szCs w:val="21"/>
          <w:highlight w:val="none"/>
          <w:u w:val="single"/>
        </w:rPr>
        <w:t>指根据合同条款规定，或根据合同合理推及的，为本工程（包括永久工程和临时工程）施工与维护所需要的管理、劳务、材料、施工设备和其他物品的提供</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1.1.1.13 重大设计变更：按照规定需要重新报建设行政主管部门批准的设计变更。</w:t>
      </w:r>
    </w:p>
    <w:p>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14 公章：专指法定单位名称章</w:t>
      </w:r>
      <w:r>
        <w:rPr>
          <w:rFonts w:ascii="宋体" w:hAnsi="宋体"/>
          <w:color w:val="auto"/>
          <w:szCs w:val="21"/>
          <w:highlight w:val="none"/>
        </w:rPr>
        <w:t>。</w:t>
      </w:r>
    </w:p>
    <w:bookmarkEnd w:id="392"/>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1.1.1.15 到岗：指承包人按照到岗履职承诺安排满足办理施工许可手续相关要求的项目主要管理人员实际到施工现场就职履约的行为。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1.1.1.16 项目法人：指具有民事权利能力和民事行为能力，依法独立享有民事权利和承担民事义务，以建设项目为目的，从事项目管理的机构、单位或组织。</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 合同当事人及其他相关方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1.1.2.4 监理人：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1.1.2.5 设计人：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 工程和设备</w:t>
      </w:r>
    </w:p>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1.1.3.7 作为施工现场组成部分的其他场所包括：</w:t>
      </w:r>
      <w:r>
        <w:rPr>
          <w:rFonts w:hint="eastAsia" w:ascii="宋体" w:hAnsi="宋体"/>
          <w:color w:val="auto"/>
          <w:kern w:val="0"/>
          <w:szCs w:val="21"/>
          <w:highlight w:val="none"/>
          <w:u w:val="single"/>
        </w:rPr>
        <w:t>永久占地、临时占地以及为修建临时工程而租用、占用的土地</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1.1.3.9 永久占地包括：</w:t>
      </w:r>
      <w:r>
        <w:rPr>
          <w:rFonts w:hint="eastAsia" w:ascii="宋体" w:hAnsi="宋体"/>
          <w:color w:val="auto"/>
          <w:kern w:val="0"/>
          <w:szCs w:val="21"/>
          <w:highlight w:val="none"/>
          <w:u w:val="single"/>
        </w:rPr>
        <w:t>为实施合同工程而需要的一切永久占用的土地，即合同工程</w:t>
      </w:r>
      <w:r>
        <w:rPr>
          <w:rFonts w:hint="eastAsia" w:ascii="宋体" w:hAnsi="宋体"/>
          <w:color w:val="auto"/>
          <w:szCs w:val="21"/>
          <w:highlight w:val="none"/>
          <w:u w:val="single"/>
        </w:rPr>
        <w:t>用地红线范围内的土地</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1.1.3.10 临时占地包括：</w:t>
      </w:r>
      <w:r>
        <w:rPr>
          <w:rFonts w:hint="eastAsia" w:ascii="宋体" w:hAnsi="宋体"/>
          <w:color w:val="auto"/>
          <w:szCs w:val="21"/>
          <w:highlight w:val="none"/>
          <w:u w:val="single"/>
        </w:rPr>
        <w:t>为实施合同工程而需要</w:t>
      </w:r>
      <w:r>
        <w:rPr>
          <w:rFonts w:hint="eastAsia" w:ascii="宋体" w:hAnsi="宋体"/>
          <w:color w:val="auto"/>
          <w:kern w:val="0"/>
          <w:szCs w:val="21"/>
          <w:highlight w:val="none"/>
          <w:u w:val="single"/>
        </w:rPr>
        <w:t>的一切</w:t>
      </w:r>
      <w:r>
        <w:rPr>
          <w:rFonts w:hint="eastAsia" w:ascii="宋体" w:hAnsi="宋体"/>
          <w:color w:val="auto"/>
          <w:szCs w:val="21"/>
          <w:highlight w:val="none"/>
          <w:u w:val="single"/>
        </w:rPr>
        <w:t>临时占用的土地，包括施工所用的临时便道等的临时出入道，以及生产（办公）、生活等临时设施用地</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 其他</w:t>
      </w:r>
    </w:p>
    <w:p>
      <w:pPr>
        <w:spacing w:line="360" w:lineRule="auto"/>
        <w:ind w:firstLine="420" w:firstLineChars="200"/>
        <w:jc w:val="left"/>
        <w:rPr>
          <w:rFonts w:ascii="宋体" w:hAnsi="宋体"/>
          <w:color w:val="auto"/>
          <w:szCs w:val="21"/>
          <w:highlight w:val="none"/>
        </w:rPr>
      </w:pPr>
      <w:bookmarkStart w:id="404" w:name="_Hlk528927262"/>
      <w:r>
        <w:rPr>
          <w:rFonts w:hint="eastAsia" w:ascii="宋体" w:hAnsi="宋体"/>
          <w:color w:val="auto"/>
          <w:szCs w:val="21"/>
          <w:highlight w:val="none"/>
        </w:rPr>
        <w:t>本项补充1.1.6.2～1.1.6.3目：</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1.1.6.2 转包、违法分包及挂靠：指符合《住房和城乡建设部关于印发建筑工程施工发包与承包违法行为认定查处管理办法的通知》（建市规〔2019〕1号）规定认定条件的</w:t>
      </w:r>
      <w:r>
        <w:rPr>
          <w:rFonts w:hint="eastAsia" w:ascii="宋体" w:hAnsi="宋体"/>
          <w:color w:val="auto"/>
          <w:kern w:val="0"/>
          <w:szCs w:val="21"/>
          <w:highlight w:val="none"/>
        </w:rPr>
        <w:t>违法行为</w:t>
      </w:r>
      <w:r>
        <w:rPr>
          <w:rFonts w:hint="eastAsia" w:ascii="宋体" w:hAnsi="宋体"/>
          <w:color w:val="auto"/>
          <w:szCs w:val="21"/>
          <w:highlight w:val="none"/>
        </w:rPr>
        <w:t>。</w:t>
      </w:r>
    </w:p>
    <w:bookmarkEnd w:id="404"/>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pPr>
        <w:pStyle w:val="7"/>
        <w:spacing w:before="0" w:beforeAutospacing="0" w:after="0" w:afterAutospacing="0" w:line="360" w:lineRule="auto"/>
        <w:ind w:firstLine="422" w:firstLineChars="200"/>
        <w:rPr>
          <w:color w:val="auto"/>
          <w:sz w:val="21"/>
          <w:szCs w:val="21"/>
          <w:highlight w:val="none"/>
        </w:rPr>
      </w:pPr>
      <w:bookmarkStart w:id="405" w:name="_Toc532377323"/>
      <w:r>
        <w:rPr>
          <w:rFonts w:hint="eastAsia"/>
          <w:color w:val="auto"/>
          <w:sz w:val="21"/>
          <w:szCs w:val="21"/>
          <w:highlight w:val="none"/>
        </w:rPr>
        <w:t>1.4 标准和规范</w:t>
      </w:r>
      <w:bookmarkEnd w:id="405"/>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1.4.1 适用于工程的标准规范包括：</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（1）施工图所涉及的技术标准、规范、规程、图集等；</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（2）国家、行业或重庆市与本工程有关的标准，以及相应的规范、规程等，当这些标准、规范、规程不一致时，以标准、规范、规程要求最高的为准。</w:t>
      </w:r>
    </w:p>
    <w:p>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u w:val="single"/>
        </w:rPr>
        <w:t xml:space="preserve"> 其他应当遵守的法律法规、规范和标准  </w:t>
      </w:r>
      <w:r>
        <w:rPr>
          <w:rFonts w:hint="eastAsia" w:ascii="宋体" w:hAnsi="宋体"/>
          <w:color w:val="auto"/>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1.4.2 发包人提供国外标准、规范的名称：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发包人提供国外标准、规范的份数：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发包人提供国外标准、规范的名称：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1.4.3 发包人对工程的技术标准和功能要求的特殊要求：</w:t>
      </w:r>
      <w:r>
        <w:rPr>
          <w:rFonts w:hint="eastAsia" w:ascii="宋体" w:hAnsi="宋体"/>
          <w:color w:val="auto"/>
          <w:kern w:val="0"/>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406" w:name="_Toc532377324"/>
      <w:r>
        <w:rPr>
          <w:rFonts w:hint="eastAsia"/>
          <w:color w:val="auto"/>
          <w:sz w:val="21"/>
          <w:szCs w:val="21"/>
          <w:highlight w:val="none"/>
        </w:rPr>
        <w:t>1.5 合同文件的优先顺序</w:t>
      </w:r>
      <w:bookmarkEnd w:id="406"/>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合同文件组成及优先顺序为：</w:t>
      </w:r>
      <w:r>
        <w:rPr>
          <w:rFonts w:hint="eastAsia" w:ascii="宋体" w:hAnsi="宋体"/>
          <w:color w:val="auto"/>
          <w:szCs w:val="21"/>
          <w:highlight w:val="none"/>
          <w:u w:val="single"/>
        </w:rPr>
        <w:t>按照合同协议书</w:t>
      </w:r>
      <w:r>
        <w:rPr>
          <w:rFonts w:hint="eastAsia" w:ascii="宋体" w:hAnsi="宋体"/>
          <w:bCs/>
          <w:color w:val="auto"/>
          <w:szCs w:val="21"/>
          <w:highlight w:val="none"/>
          <w:u w:val="single"/>
        </w:rPr>
        <w:t>〔</w:t>
      </w:r>
      <w:r>
        <w:rPr>
          <w:rFonts w:hint="eastAsia" w:ascii="宋体" w:hAnsi="宋体"/>
          <w:color w:val="auto"/>
          <w:szCs w:val="21"/>
          <w:highlight w:val="none"/>
          <w:u w:val="single"/>
        </w:rPr>
        <w:t>第六条</w:t>
      </w:r>
      <w:r>
        <w:rPr>
          <w:rFonts w:hint="eastAsia" w:ascii="宋体" w:hAnsi="宋体"/>
          <w:bCs/>
          <w:color w:val="auto"/>
          <w:szCs w:val="21"/>
          <w:highlight w:val="none"/>
          <w:u w:val="single"/>
        </w:rPr>
        <w:t>〕</w:t>
      </w:r>
      <w:r>
        <w:rPr>
          <w:rFonts w:hint="eastAsia" w:ascii="宋体" w:hAnsi="宋体"/>
          <w:color w:val="auto"/>
          <w:szCs w:val="21"/>
          <w:highlight w:val="none"/>
          <w:u w:val="single"/>
        </w:rPr>
        <w:t>约定执行</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407" w:name="_Toc532377325"/>
      <w:r>
        <w:rPr>
          <w:rFonts w:hint="eastAsia"/>
          <w:color w:val="auto"/>
          <w:sz w:val="21"/>
          <w:szCs w:val="21"/>
          <w:highlight w:val="none"/>
        </w:rPr>
        <w:t>1.6 图纸和承包人文件</w:t>
      </w:r>
      <w:bookmarkEnd w:id="407"/>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 图纸的提供和交底</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发包人向承包人提供图纸的期限：</w:t>
      </w:r>
      <w:r>
        <w:rPr>
          <w:rFonts w:hint="eastAsia" w:ascii="宋体" w:hAnsi="宋体"/>
          <w:color w:val="auto"/>
          <w:szCs w:val="21"/>
          <w:highlight w:val="none"/>
          <w:u w:val="single"/>
        </w:rPr>
        <w:t>通用合同条款第7.3.2款</w:t>
      </w:r>
      <w:r>
        <w:rPr>
          <w:rFonts w:hint="eastAsia" w:ascii="宋体" w:hAnsi="宋体"/>
          <w:bCs/>
          <w:color w:val="auto"/>
          <w:szCs w:val="21"/>
          <w:highlight w:val="none"/>
          <w:u w:val="single"/>
        </w:rPr>
        <w:t>〔</w:t>
      </w:r>
      <w:r>
        <w:rPr>
          <w:rFonts w:hint="eastAsia" w:ascii="宋体" w:hAnsi="宋体"/>
          <w:color w:val="auto"/>
          <w:szCs w:val="21"/>
          <w:highlight w:val="none"/>
          <w:u w:val="single"/>
        </w:rPr>
        <w:t>开工通知</w:t>
      </w:r>
      <w:r>
        <w:rPr>
          <w:rFonts w:hint="eastAsia" w:ascii="宋体" w:hAnsi="宋体"/>
          <w:bCs/>
          <w:color w:val="auto"/>
          <w:szCs w:val="21"/>
          <w:highlight w:val="none"/>
          <w:u w:val="single"/>
        </w:rPr>
        <w:t>〕</w:t>
      </w:r>
      <w:r>
        <w:rPr>
          <w:rFonts w:hint="eastAsia" w:ascii="宋体" w:hAnsi="宋体"/>
          <w:color w:val="auto"/>
          <w:szCs w:val="21"/>
          <w:highlight w:val="none"/>
          <w:u w:val="single"/>
        </w:rPr>
        <w:t>载明的开工日期前14天</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发包人向承包人提供图纸的数量：</w:t>
      </w:r>
      <w:r>
        <w:rPr>
          <w:rFonts w:hint="eastAsia" w:ascii="宋体" w:hAnsi="宋体"/>
          <w:color w:val="auto"/>
          <w:szCs w:val="21"/>
          <w:highlight w:val="none"/>
          <w:u w:val="single"/>
        </w:rPr>
        <w:t xml:space="preserve">  2套</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发包人向承包人提供图纸的内容：</w:t>
      </w:r>
      <w:r>
        <w:rPr>
          <w:rFonts w:hint="eastAsia" w:ascii="宋体" w:hAnsi="宋体"/>
          <w:color w:val="auto"/>
          <w:szCs w:val="21"/>
          <w:highlight w:val="none"/>
          <w:u w:val="single"/>
        </w:rPr>
        <w:t>工程承包范围内工程的施工图设计文件</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发包人组织承包人、监理人和设计人进行图纸会审和设计交底的时间：</w:t>
      </w:r>
      <w:r>
        <w:rPr>
          <w:rFonts w:hint="eastAsia" w:ascii="宋体" w:hAnsi="宋体"/>
          <w:color w:val="auto"/>
          <w:szCs w:val="21"/>
          <w:highlight w:val="none"/>
          <w:u w:val="single"/>
        </w:rPr>
        <w:t>提供施工图后7天内</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承包人可以书面方式通过监理人向发包人申请进行紧急的设计交底，发包人认为确有必要且条件许可时，应尽快组织实施承包人申请的设计交底。</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1.6.2 图纸的错误</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承包人不得利用图纸的差错、遗漏或缺陷，从中获得不正当的利益。</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1.6.4 承包人文件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需要由承包人提供的书面文件，包括：</w:t>
      </w:r>
      <w:r>
        <w:rPr>
          <w:rFonts w:hint="eastAsia" w:ascii="宋体" w:hAnsi="宋体"/>
          <w:color w:val="auto"/>
          <w:szCs w:val="21"/>
          <w:highlight w:val="none"/>
          <w:u w:val="single"/>
        </w:rPr>
        <w:t>施工组织设计、专项施工方案、</w:t>
      </w:r>
      <w:r>
        <w:rPr>
          <w:rFonts w:ascii="宋体" w:hAnsi="宋体"/>
          <w:color w:val="auto"/>
          <w:szCs w:val="21"/>
          <w:highlight w:val="none"/>
          <w:u w:val="single"/>
        </w:rPr>
        <w:t>危险性较大分部分项工程施工方案</w:t>
      </w:r>
      <w:r>
        <w:rPr>
          <w:rFonts w:hint="eastAsia" w:ascii="宋体" w:hAnsi="宋体"/>
          <w:color w:val="auto"/>
          <w:szCs w:val="21"/>
          <w:highlight w:val="none"/>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承包人提供文件的期限、数量：</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w:t>
      </w:r>
      <w:r>
        <w:rPr>
          <w:rFonts w:hint="eastAsia" w:ascii="宋体" w:hAnsi="宋体"/>
          <w:color w:val="auto"/>
          <w:szCs w:val="21"/>
          <w:highlight w:val="none"/>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每月  日前报送月工程进度完成报表</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（3）合同另有约定的，按照其约定。</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承包人提供的文件的形式：□采用电子招标的，竞选文件以电子文档为准，其他文件以书面文件为准；□采用纸质招标的，当书面文件与电子文档不一致的，以书面文件为准。监理人审批承包人文件的期限：</w:t>
      </w:r>
      <w:r>
        <w:rPr>
          <w:rFonts w:hint="eastAsia" w:ascii="宋体" w:hAnsi="宋体"/>
          <w:color w:val="auto"/>
          <w:szCs w:val="21"/>
          <w:highlight w:val="none"/>
          <w:u w:val="single"/>
        </w:rPr>
        <w:t>收到施工组织设计和工程总体进度计划及当年年度施工进度计划后7天内；合同另有约定的，从其约定</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承包人提供的文件的费用：</w:t>
      </w:r>
      <w:r>
        <w:rPr>
          <w:rFonts w:hint="eastAsia" w:ascii="宋体" w:hAnsi="宋体"/>
          <w:color w:val="auto"/>
          <w:szCs w:val="21"/>
          <w:highlight w:val="none"/>
          <w:u w:val="single"/>
        </w:rPr>
        <w:t>由承包人承担</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发包人审批承包人文件的期限：</w:t>
      </w:r>
      <w:r>
        <w:rPr>
          <w:rFonts w:hint="eastAsia" w:ascii="宋体" w:hAnsi="宋体"/>
          <w:color w:val="auto"/>
          <w:szCs w:val="21"/>
          <w:highlight w:val="none"/>
          <w:u w:val="single"/>
        </w:rPr>
        <w:t>收到后14天内；合同另有约定的，从其约定</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监理人、发包人的修改意见和审批，不免除或减轻承包人对该工作、工程、材料、工程设备等应承担的责任和义务</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408" w:name="_Toc532377326"/>
      <w:r>
        <w:rPr>
          <w:rFonts w:hint="eastAsia"/>
          <w:color w:val="auto"/>
          <w:sz w:val="21"/>
          <w:szCs w:val="21"/>
          <w:highlight w:val="none"/>
        </w:rPr>
        <w:t>1.7 联络</w:t>
      </w:r>
      <w:bookmarkEnd w:id="408"/>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1.7.1 发包人和承包人应当在</w:t>
      </w:r>
      <w:r>
        <w:rPr>
          <w:rFonts w:hint="eastAsia" w:ascii="宋体" w:hAnsi="宋体"/>
          <w:color w:val="auto"/>
          <w:szCs w:val="21"/>
          <w:highlight w:val="none"/>
          <w:u w:val="single"/>
        </w:rPr>
        <w:t xml:space="preserve"> 1 </w:t>
      </w:r>
      <w:r>
        <w:rPr>
          <w:rFonts w:hint="eastAsia" w:ascii="宋体" w:hAnsi="宋体"/>
          <w:color w:val="auto"/>
          <w:kern w:val="0"/>
          <w:szCs w:val="21"/>
          <w:highlight w:val="none"/>
        </w:rPr>
        <w:t>天内将与合同有关的通知、批准、证明、证书、指示、指令、要求、请求、同意、意见、确定和决定等书面函件送达对方当事人，并办理书面签收手续。</w:t>
      </w:r>
    </w:p>
    <w:p>
      <w:pPr>
        <w:tabs>
          <w:tab w:val="left" w:pos="7513"/>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1.7.2 发包人接收文件地点：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发包人指定的接收人：</w:t>
      </w:r>
      <w:bookmarkStart w:id="409" w:name="_Hlk528493983"/>
      <w:bookmarkEnd w:id="409"/>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tabs>
          <w:tab w:val="left" w:pos="7513"/>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承包人指定的接收人：</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tabs>
          <w:tab w:val="left" w:pos="737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监理人指定的接收人：</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410" w:name="_Toc532377327"/>
      <w:r>
        <w:rPr>
          <w:rFonts w:hint="eastAsia"/>
          <w:color w:val="auto"/>
          <w:sz w:val="21"/>
          <w:szCs w:val="21"/>
          <w:highlight w:val="none"/>
        </w:rPr>
        <w:t>1.8 严禁贿赂</w:t>
      </w:r>
      <w:bookmarkEnd w:id="410"/>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本款补充以下内容：</w:t>
      </w:r>
    </w:p>
    <w:p>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在合同执行过程中，合同当事人应严格履行附件8《廉洁从业协议》。</w:t>
      </w:r>
    </w:p>
    <w:p>
      <w:pPr>
        <w:pStyle w:val="7"/>
        <w:spacing w:before="0" w:beforeAutospacing="0" w:after="0" w:afterAutospacing="0" w:line="360" w:lineRule="auto"/>
        <w:ind w:firstLine="422" w:firstLineChars="200"/>
        <w:rPr>
          <w:color w:val="auto"/>
          <w:sz w:val="21"/>
          <w:szCs w:val="21"/>
          <w:highlight w:val="none"/>
        </w:rPr>
      </w:pPr>
      <w:bookmarkStart w:id="411" w:name="_Toc532377328"/>
      <w:r>
        <w:rPr>
          <w:rFonts w:hint="eastAsia"/>
          <w:color w:val="auto"/>
          <w:sz w:val="21"/>
          <w:szCs w:val="21"/>
          <w:highlight w:val="none"/>
        </w:rPr>
        <w:t>1.10 交通运输</w:t>
      </w:r>
      <w:bookmarkEnd w:id="411"/>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bookmarkStart w:id="412" w:name="_Toc312677986"/>
      <w:bookmarkStart w:id="413" w:name="_Toc304295521"/>
      <w:bookmarkStart w:id="414" w:name="_Toc318581155"/>
      <w:bookmarkStart w:id="415" w:name="_Toc300934943"/>
      <w:bookmarkStart w:id="416" w:name="_Toc303539100"/>
      <w:r>
        <w:rPr>
          <w:rFonts w:hint="eastAsia" w:ascii="宋体" w:hAnsi="宋体"/>
          <w:color w:val="auto"/>
          <w:szCs w:val="21"/>
          <w:highlight w:val="none"/>
        </w:rPr>
        <w:t>.10.1 出入现场的权利</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关于出入现场的权利的约定：</w:t>
      </w:r>
      <w:r>
        <w:rPr>
          <w:rFonts w:hint="eastAsia" w:ascii="宋体" w:hAnsi="宋体"/>
          <w:color w:val="auto"/>
          <w:szCs w:val="21"/>
          <w:highlight w:val="none"/>
          <w:u w:val="single"/>
        </w:rPr>
        <w:t xml:space="preserve"> 承包人应安排专人值守现场出入门岗，对确因工作需要、材料运输、机械进出场、接受监督检查等需要</w:t>
      </w:r>
      <w:r>
        <w:rPr>
          <w:rFonts w:hint="eastAsia" w:ascii="宋体" w:hAnsi="宋体"/>
          <w:color w:val="auto"/>
          <w:szCs w:val="21"/>
          <w:highlight w:val="none"/>
          <w:u w:val="single"/>
          <w:lang w:eastAsia="zh-Hans"/>
        </w:rPr>
        <w:t>符合条件</w:t>
      </w:r>
      <w:r>
        <w:rPr>
          <w:rFonts w:hint="eastAsia" w:ascii="宋体" w:hAnsi="宋体"/>
          <w:color w:val="auto"/>
          <w:szCs w:val="21"/>
          <w:highlight w:val="none"/>
          <w:u w:val="single"/>
        </w:rPr>
        <w:t xml:space="preserve">可以放行，其余人员不得随意进场施工红线内区域 </w:t>
      </w:r>
      <w:r>
        <w:rPr>
          <w:rFonts w:hint="eastAsia" w:ascii="宋体" w:hAnsi="宋体"/>
          <w:color w:val="auto"/>
          <w:szCs w:val="21"/>
          <w:highlight w:val="none"/>
        </w:rPr>
        <w:t>。</w:t>
      </w:r>
    </w:p>
    <w:bookmarkEnd w:id="412"/>
    <w:bookmarkEnd w:id="413"/>
    <w:bookmarkEnd w:id="414"/>
    <w:bookmarkEnd w:id="415"/>
    <w:bookmarkEnd w:id="416"/>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1.10.2 场外交通</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承包人应遵守有关交通法规，执行有关道路限速、限行、禁止超载的规定，并配合交通管理部门的监督和检查。场外交通以施工场地移交时的现状为准。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bookmarkStart w:id="417" w:name="_Toc304295522"/>
      <w:bookmarkStart w:id="418" w:name="_Toc300934944"/>
      <w:bookmarkStart w:id="419" w:name="_Toc312677987"/>
      <w:bookmarkStart w:id="420" w:name="_Toc318581156"/>
      <w:bookmarkStart w:id="421" w:name="_Toc303539101"/>
      <w:r>
        <w:rPr>
          <w:rFonts w:hint="eastAsia" w:ascii="宋体" w:hAnsi="宋体"/>
          <w:color w:val="auto"/>
          <w:szCs w:val="21"/>
          <w:highlight w:val="none"/>
        </w:rPr>
        <w:t>.10.3 场内交通</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kern w:val="0"/>
          <w:szCs w:val="21"/>
          <w:highlight w:val="none"/>
        </w:rPr>
        <w:t>关于场外交通和场内交通的边界的约定：</w:t>
      </w:r>
      <w:r>
        <w:rPr>
          <w:rFonts w:hint="eastAsia" w:ascii="宋体" w:hAnsi="宋体"/>
          <w:color w:val="auto"/>
          <w:szCs w:val="21"/>
          <w:highlight w:val="none"/>
          <w:u w:val="single"/>
        </w:rPr>
        <w:t>以合同工程用地红线为界，用地红线外为场外交通，用地红线范围内为场内交通（场外道路穿越场内的除外）</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关于发包人向承包人免费提供满足工程施工需要的场内道路和交通设施的约定：</w:t>
      </w:r>
      <w:r>
        <w:rPr>
          <w:rFonts w:hint="eastAsia" w:ascii="宋体" w:hAnsi="宋体"/>
          <w:color w:val="auto"/>
          <w:kern w:val="0"/>
          <w:szCs w:val="21"/>
          <w:highlight w:val="none"/>
          <w:u w:val="single"/>
        </w:rPr>
        <w:t>以施工场地移交时的现状为准</w:t>
      </w:r>
      <w:r>
        <w:rPr>
          <w:rFonts w:hint="eastAsia" w:ascii="宋体" w:hAnsi="宋体"/>
          <w:color w:val="auto"/>
          <w:szCs w:val="21"/>
          <w:highlight w:val="none"/>
        </w:rPr>
        <w:t>。</w:t>
      </w:r>
    </w:p>
    <w:bookmarkEnd w:id="417"/>
    <w:bookmarkEnd w:id="418"/>
    <w:bookmarkEnd w:id="419"/>
    <w:bookmarkEnd w:id="420"/>
    <w:bookmarkEnd w:id="421"/>
    <w:p>
      <w:pPr>
        <w:spacing w:line="360" w:lineRule="auto"/>
        <w:ind w:firstLine="420" w:firstLineChars="200"/>
        <w:jc w:val="left"/>
        <w:rPr>
          <w:rFonts w:ascii="宋体" w:hAnsi="宋体"/>
          <w:color w:val="auto"/>
          <w:szCs w:val="21"/>
          <w:highlight w:val="none"/>
        </w:rPr>
      </w:pPr>
      <w:bookmarkStart w:id="422" w:name="_Toc318581157"/>
      <w:r>
        <w:rPr>
          <w:rFonts w:hint="eastAsia" w:ascii="宋体" w:hAnsi="宋体"/>
          <w:color w:val="auto"/>
          <w:szCs w:val="21"/>
          <w:highlight w:val="none"/>
        </w:rPr>
        <w:t>1.10.4 超大件和超重件的运输</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运输超大件或超重件所需的道路和桥梁临时加固改造费用和其他有关费用由</w:t>
      </w:r>
      <w:r>
        <w:rPr>
          <w:rFonts w:hint="eastAsia" w:ascii="宋体" w:hAnsi="宋体"/>
          <w:color w:val="auto"/>
          <w:szCs w:val="21"/>
          <w:highlight w:val="none"/>
          <w:u w:val="single"/>
        </w:rPr>
        <w:t>发包人</w:t>
      </w:r>
      <w:r>
        <w:rPr>
          <w:rFonts w:hint="eastAsia" w:ascii="宋体" w:hAnsi="宋体"/>
          <w:color w:val="auto"/>
          <w:szCs w:val="21"/>
          <w:highlight w:val="none"/>
        </w:rPr>
        <w:t>承担。</w:t>
      </w:r>
    </w:p>
    <w:bookmarkEnd w:id="422"/>
    <w:p>
      <w:pPr>
        <w:pStyle w:val="7"/>
        <w:spacing w:before="0" w:beforeAutospacing="0" w:after="0" w:afterAutospacing="0" w:line="360" w:lineRule="auto"/>
        <w:ind w:firstLine="422" w:firstLineChars="200"/>
        <w:rPr>
          <w:color w:val="auto"/>
          <w:sz w:val="21"/>
          <w:szCs w:val="21"/>
          <w:highlight w:val="none"/>
        </w:rPr>
      </w:pPr>
      <w:bookmarkStart w:id="423" w:name="_Toc532377329"/>
      <w:r>
        <w:rPr>
          <w:rFonts w:hint="eastAsia"/>
          <w:color w:val="auto"/>
          <w:sz w:val="21"/>
          <w:szCs w:val="21"/>
          <w:highlight w:val="none"/>
        </w:rPr>
        <w:t>1.11 知识产权</w:t>
      </w:r>
      <w:bookmarkEnd w:id="423"/>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highlight w:val="none"/>
          <w:u w:val="single"/>
        </w:rPr>
        <w:t>属于发包人</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关于发包人提供的上述文件的使用限制的要求：</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1.11.4 承包人在施工过程中所采用的专利、专有技术、技术秘密的使用费的承担方式：</w:t>
      </w:r>
      <w:r>
        <w:rPr>
          <w:rFonts w:hint="eastAsia" w:ascii="宋体" w:hAnsi="宋体"/>
          <w:color w:val="auto"/>
          <w:szCs w:val="21"/>
          <w:highlight w:val="none"/>
          <w:u w:val="single"/>
        </w:rPr>
        <w:t xml:space="preserve">   承包人独立承担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424" w:name="_Toc532377330"/>
      <w:r>
        <w:rPr>
          <w:rFonts w:hint="eastAsia"/>
          <w:color w:val="auto"/>
          <w:sz w:val="21"/>
          <w:szCs w:val="21"/>
          <w:highlight w:val="none"/>
        </w:rPr>
        <w:t>1.13工程量清单错误的修正</w:t>
      </w:r>
      <w:bookmarkEnd w:id="424"/>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出现工程量清单错误时，责任和权利划分：</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出现工程量清单错误时，是否调整合同价格：</w:t>
      </w:r>
      <w:r>
        <w:rPr>
          <w:rFonts w:hint="eastAsia" w:ascii="宋体" w:hAnsi="宋体"/>
          <w:color w:val="auto"/>
          <w:szCs w:val="21"/>
          <w:highlight w:val="none"/>
          <w:u w:val="single"/>
        </w:rPr>
        <w:t xml:space="preserve"> 不调整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允许调整合同价格的工程量偏差范围：</w:t>
      </w:r>
      <w:r>
        <w:rPr>
          <w:rFonts w:hint="eastAsia" w:ascii="宋体" w:hAnsi="宋体"/>
          <w:color w:val="auto"/>
          <w:szCs w:val="21"/>
          <w:highlight w:val="none"/>
          <w:u w:val="single"/>
        </w:rPr>
        <w:t xml:space="preserve"> 不调整</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425" w:name="_Toc532375609"/>
      <w:bookmarkStart w:id="426" w:name="_Toc351203634"/>
      <w:bookmarkStart w:id="427" w:name="_Toc532377331"/>
      <w:r>
        <w:rPr>
          <w:rFonts w:hint="eastAsia"/>
          <w:color w:val="auto"/>
          <w:kern w:val="2"/>
          <w:sz w:val="21"/>
          <w:szCs w:val="21"/>
          <w:highlight w:val="none"/>
        </w:rPr>
        <w:t>2</w:t>
      </w:r>
      <w:bookmarkStart w:id="428" w:name="_Toc292559867"/>
      <w:bookmarkStart w:id="429" w:name="_Toc296503157"/>
      <w:bookmarkStart w:id="430" w:name="_Toc296944496"/>
      <w:bookmarkStart w:id="431" w:name="_Toc297048343"/>
      <w:bookmarkStart w:id="432" w:name="_Toc292559362"/>
      <w:bookmarkStart w:id="433" w:name="_Toc296891197"/>
      <w:bookmarkStart w:id="434" w:name="_Toc296347156"/>
      <w:bookmarkStart w:id="435" w:name="_Toc296890985"/>
      <w:bookmarkStart w:id="436" w:name="_Toc296346658"/>
      <w:bookmarkStart w:id="437" w:name="_Toc297120457"/>
      <w:r>
        <w:rPr>
          <w:rFonts w:hint="eastAsia"/>
          <w:color w:val="auto"/>
          <w:kern w:val="2"/>
          <w:sz w:val="21"/>
          <w:szCs w:val="21"/>
          <w:highlight w:val="none"/>
        </w:rPr>
        <w:t>. 发包人</w:t>
      </w:r>
      <w:bookmarkEnd w:id="425"/>
      <w:bookmarkEnd w:id="426"/>
      <w:bookmarkEnd w:id="427"/>
    </w:p>
    <w:bookmarkEnd w:id="428"/>
    <w:bookmarkEnd w:id="429"/>
    <w:bookmarkEnd w:id="430"/>
    <w:bookmarkEnd w:id="431"/>
    <w:bookmarkEnd w:id="432"/>
    <w:bookmarkEnd w:id="433"/>
    <w:bookmarkEnd w:id="434"/>
    <w:bookmarkEnd w:id="435"/>
    <w:bookmarkEnd w:id="436"/>
    <w:bookmarkEnd w:id="437"/>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2.2.1 发包人代表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发包人代表：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职    务：</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邮    编：</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发包人对发包人代表的授权范围如下：</w:t>
      </w:r>
      <w:r>
        <w:rPr>
          <w:rFonts w:hint="eastAsia" w:ascii="宋体" w:hAnsi="宋体"/>
          <w:color w:val="auto"/>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438" w:name="_Toc532377332"/>
      <w:r>
        <w:rPr>
          <w:rFonts w:hint="eastAsia"/>
          <w:color w:val="auto"/>
          <w:sz w:val="21"/>
          <w:szCs w:val="21"/>
          <w:highlight w:val="none"/>
        </w:rPr>
        <w:t>2.4 施工现场、施工条件和基础资料的提供</w:t>
      </w:r>
      <w:bookmarkEnd w:id="438"/>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2.4.1 提供施工现场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2.4.1.1 提供场地：</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施工场地的提供采用以下第</w:t>
      </w:r>
      <w:r>
        <w:rPr>
          <w:rFonts w:hint="eastAsia" w:ascii="宋体" w:hAnsi="宋体"/>
          <w:color w:val="auto"/>
          <w:szCs w:val="21"/>
          <w:highlight w:val="none"/>
          <w:u w:val="single"/>
        </w:rPr>
        <w:t xml:space="preserve">  （1）  </w:t>
      </w:r>
      <w:r>
        <w:rPr>
          <w:rFonts w:hint="eastAsia" w:ascii="宋体" w:hAnsi="宋体"/>
          <w:color w:val="auto"/>
          <w:szCs w:val="21"/>
          <w:highlight w:val="none"/>
        </w:rPr>
        <w:t>种方式：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（1）一次提供全部施工场地：发包人于</w:t>
      </w:r>
      <w:r>
        <w:rPr>
          <w:rFonts w:hint="eastAsia" w:ascii="宋体" w:hAnsi="宋体"/>
          <w:color w:val="auto"/>
          <w:szCs w:val="21"/>
          <w:highlight w:val="none"/>
          <w:u w:val="single"/>
        </w:rPr>
        <w:t>开工</w:t>
      </w:r>
      <w:r>
        <w:rPr>
          <w:rFonts w:hint="eastAsia" w:ascii="宋体" w:hAnsi="宋体"/>
          <w:color w:val="auto"/>
          <w:szCs w:val="21"/>
          <w:highlight w:val="none"/>
        </w:rPr>
        <w:t>前向承包人提供合同工程用地红线范围内的施工场地。</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（2）分次提供全部施工场地：</w:t>
      </w:r>
      <w:r>
        <w:rPr>
          <w:rFonts w:hint="eastAsia" w:ascii="宋体" w:hAnsi="宋体"/>
          <w:color w:val="auto"/>
          <w:szCs w:val="21"/>
          <w:highlight w:val="none"/>
          <w:u w:val="single"/>
        </w:rPr>
        <w:t>发包人按约定的时间分次向承包人提供合同工程用地红线范围内的施工场地</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承包人编制的施工组织计划已充分考虑了施工场地提供的因素</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2.4.2 提供施工条件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关于发包人应负责提供施工所需要的条件：</w:t>
      </w:r>
      <w:r>
        <w:rPr>
          <w:rFonts w:hint="eastAsia" w:ascii="宋体" w:hAnsi="宋体"/>
          <w:color w:val="auto"/>
          <w:szCs w:val="21"/>
          <w:highlight w:val="none"/>
          <w:u w:val="single"/>
        </w:rPr>
        <w:t>指定用水、电力、通讯线路等施工所必需的临时管线搭接点，协助施工承包企业办理相关手续，但所需费用由施工承包企业自行承担；向承包人提供正常施工所需要的达到施工区域红线边缘的交通条件；协调处理施工现场地下管线、建筑物和构筑物的保护工作；协助施工企业对本项目涉及的古树、名木、文物的进行保护，相关费用由施工企业承担</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439" w:name="_Toc532377333"/>
      <w:r>
        <w:rPr>
          <w:rFonts w:hint="eastAsia"/>
          <w:color w:val="auto"/>
          <w:sz w:val="21"/>
          <w:szCs w:val="21"/>
          <w:highlight w:val="none"/>
        </w:rPr>
        <w:t>2.5 资金来源证明及支付担保</w:t>
      </w:r>
      <w:bookmarkEnd w:id="439"/>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发包人提供资金来源证明的期限要求：</w:t>
      </w:r>
      <w:r>
        <w:rPr>
          <w:rFonts w:hint="eastAsia" w:ascii="宋体" w:hAnsi="宋体"/>
          <w:color w:val="auto"/>
          <w:szCs w:val="21"/>
          <w:highlight w:val="none"/>
          <w:u w:val="single"/>
        </w:rPr>
        <w:t>不采用</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发包人是否提供支付担保：</w:t>
      </w:r>
      <w:r>
        <w:rPr>
          <w:rFonts w:hint="eastAsia" w:ascii="宋体" w:hAnsi="宋体"/>
          <w:color w:val="auto"/>
          <w:szCs w:val="21"/>
          <w:highlight w:val="none"/>
          <w:u w:val="single"/>
        </w:rPr>
        <w:t>提供</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支付担保的形式：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支付担保的金额：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支付担保的退还时间：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440" w:name="_Toc532375610"/>
      <w:bookmarkStart w:id="441" w:name="_Toc532377334"/>
      <w:bookmarkStart w:id="442" w:name="_Toc351203635"/>
      <w:r>
        <w:rPr>
          <w:rFonts w:hint="eastAsia"/>
          <w:color w:val="auto"/>
          <w:kern w:val="2"/>
          <w:sz w:val="21"/>
          <w:szCs w:val="21"/>
          <w:highlight w:val="none"/>
        </w:rPr>
        <w:t>3</w:t>
      </w:r>
      <w:bookmarkStart w:id="443" w:name="_Toc296503158"/>
      <w:bookmarkStart w:id="444" w:name="_Toc297120458"/>
      <w:bookmarkStart w:id="445" w:name="_Toc296346659"/>
      <w:bookmarkStart w:id="446" w:name="_Toc296891198"/>
      <w:bookmarkStart w:id="447" w:name="_Toc297048344"/>
      <w:bookmarkStart w:id="448" w:name="_Toc292559363"/>
      <w:bookmarkStart w:id="449" w:name="_Toc296890986"/>
      <w:bookmarkStart w:id="450" w:name="_Toc296944497"/>
      <w:bookmarkStart w:id="451" w:name="_Toc292559868"/>
      <w:bookmarkStart w:id="452" w:name="_Toc296347157"/>
      <w:r>
        <w:rPr>
          <w:rFonts w:hint="eastAsia"/>
          <w:color w:val="auto"/>
          <w:kern w:val="2"/>
          <w:sz w:val="21"/>
          <w:szCs w:val="21"/>
          <w:highlight w:val="none"/>
        </w:rPr>
        <w:t>. 承包人</w:t>
      </w:r>
      <w:bookmarkEnd w:id="440"/>
      <w:bookmarkEnd w:id="441"/>
      <w:bookmarkEnd w:id="442"/>
    </w:p>
    <w:bookmarkEnd w:id="443"/>
    <w:bookmarkEnd w:id="444"/>
    <w:bookmarkEnd w:id="445"/>
    <w:bookmarkEnd w:id="446"/>
    <w:bookmarkEnd w:id="447"/>
    <w:bookmarkEnd w:id="448"/>
    <w:bookmarkEnd w:id="449"/>
    <w:bookmarkEnd w:id="450"/>
    <w:bookmarkEnd w:id="451"/>
    <w:bookmarkEnd w:id="452"/>
    <w:p>
      <w:pPr>
        <w:pStyle w:val="7"/>
        <w:spacing w:before="0" w:beforeAutospacing="0" w:after="0" w:afterAutospacing="0" w:line="360" w:lineRule="auto"/>
        <w:ind w:firstLine="422" w:firstLineChars="200"/>
        <w:rPr>
          <w:color w:val="auto"/>
          <w:sz w:val="21"/>
          <w:szCs w:val="21"/>
          <w:highlight w:val="none"/>
        </w:rPr>
      </w:pPr>
      <w:bookmarkStart w:id="453" w:name="_Toc532377335"/>
      <w:r>
        <w:rPr>
          <w:rFonts w:hint="eastAsia"/>
          <w:color w:val="auto"/>
          <w:sz w:val="21"/>
          <w:szCs w:val="21"/>
          <w:highlight w:val="none"/>
        </w:rPr>
        <w:t>3.1 承包人的一般义务</w:t>
      </w:r>
      <w:bookmarkEnd w:id="453"/>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本款细化为3.1.1～3.1.10项：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3.1.1办理法律规定和合同约定应由承包人办理的许可和批准，并将办理结果书面报送发包人留存；协助发包人办理施工所需的工程质量监督、安全监督、施工许可证等相关证件及手续。</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3.1.6按照第6.3款〔环境保护〕约定负责施工场地及其周边环境与生态的保护工作。</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3.1.7按照第6.1款〔安全文明施工〕约定采取施工安全措施，确保工程及其人员、材料、设备和设施的安全，防止因工程施工造成的人身伤害和财产损失。</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3.1.8将发包人按合同约定支付的各项价款专用于合同工程，且应及时支付其雇用人员工资，并及时向分包人支付合同价款。</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3.1.9承包人提交的竣工资料的内容：</w:t>
      </w:r>
      <w:r>
        <w:rPr>
          <w:rFonts w:hint="eastAsia" w:ascii="宋体" w:hAnsi="宋体"/>
          <w:color w:val="auto"/>
          <w:szCs w:val="21"/>
          <w:highlight w:val="none"/>
          <w:u w:val="single"/>
        </w:rPr>
        <w:t>工程施工技术资料、工程质量保证资料、工程检验评定资料、竣工图及其他应交资料，应符合《建设工程文件归档整理规范》（GB/T50328-2014）和重庆市有关文件规定</w:t>
      </w:r>
      <w:r>
        <w:rPr>
          <w:rFonts w:hint="eastAsia" w:ascii="宋体" w:hAnsi="宋体"/>
          <w:color w:val="auto"/>
          <w:szCs w:val="21"/>
          <w:highlight w:val="none"/>
        </w:rPr>
        <w:t>。</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承包人需要提交的竣工资料套数：完整竣工资料一式</w:t>
      </w:r>
      <w:r>
        <w:rPr>
          <w:rFonts w:hint="eastAsia" w:ascii="宋体" w:hAnsi="宋体"/>
          <w:color w:val="auto"/>
          <w:szCs w:val="21"/>
          <w:highlight w:val="none"/>
          <w:u w:val="single"/>
        </w:rPr>
        <w:t xml:space="preserve">  2  </w:t>
      </w:r>
      <w:r>
        <w:rPr>
          <w:rFonts w:hint="eastAsia" w:ascii="宋体" w:hAnsi="宋体"/>
          <w:color w:val="auto"/>
          <w:szCs w:val="21"/>
          <w:highlight w:val="none"/>
        </w:rPr>
        <w:t>套（含电子文档）。</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承包人提交的竣工资料的费用承担：</w:t>
      </w:r>
      <w:r>
        <w:rPr>
          <w:rFonts w:hint="eastAsia" w:ascii="宋体" w:hAnsi="宋体"/>
          <w:color w:val="auto"/>
          <w:szCs w:val="21"/>
          <w:highlight w:val="none"/>
          <w:u w:val="single"/>
        </w:rPr>
        <w:t>由承包人承担</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承包人提交的竣工资料移交时间：</w:t>
      </w:r>
      <w:r>
        <w:rPr>
          <w:rFonts w:hint="eastAsia" w:ascii="宋体" w:hAnsi="宋体"/>
          <w:color w:val="auto"/>
          <w:szCs w:val="21"/>
          <w:highlight w:val="none"/>
          <w:u w:val="single"/>
        </w:rPr>
        <w:t>工程竣工验收合格后  个月内移交给发包人</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承包人提交的竣工资料形式要求：</w:t>
      </w:r>
      <w:r>
        <w:rPr>
          <w:rFonts w:hint="eastAsia" w:ascii="宋体" w:hAnsi="宋体"/>
          <w:color w:val="auto"/>
          <w:szCs w:val="21"/>
          <w:highlight w:val="none"/>
          <w:u w:val="single"/>
        </w:rPr>
        <w:t>完整的书面文件及电子文档</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3.1.10承包人应履行的其他义务：</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3.1.10.1在开始施工之前，承包人应核查、复测本工程的各种基准标志。承包人应及时将上述基准标志中存在的错误、不完整或其他缺陷通知发包人，以便发包人核实后重新确认。</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3.1.10.4承包人应服从发包人要求的管理模式、工作方式和工作要求，同时接受监理人、跟审单位的管理和全程监督，配合项目结、决算的办理。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3.1.10.5</w:t>
      </w:r>
      <w:r>
        <w:rPr>
          <w:rFonts w:hint="eastAsia" w:ascii="宋体" w:hAnsi="宋体"/>
          <w:color w:val="auto"/>
          <w:szCs w:val="21"/>
          <w:highlight w:val="none"/>
          <w:u w:val="single"/>
        </w:rPr>
        <w:t>承包人应为本工程开立专用账户，接受发包人的监管</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bookmarkStart w:id="454" w:name="_Toc532377336"/>
      <w:r>
        <w:rPr>
          <w:rFonts w:hint="eastAsia" w:ascii="宋体" w:hAnsi="宋体"/>
          <w:color w:val="auto"/>
          <w:szCs w:val="21"/>
          <w:highlight w:val="none"/>
        </w:rPr>
        <w:t>3.1.10.6</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3.2 项目经理</w:t>
      </w:r>
      <w:bookmarkEnd w:id="454"/>
    </w:p>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 xml:space="preserve">3.2.1 </w:t>
      </w:r>
      <w:r>
        <w:rPr>
          <w:rFonts w:hint="eastAsia" w:ascii="宋体" w:hAnsi="宋体"/>
          <w:color w:val="auto"/>
          <w:szCs w:val="21"/>
          <w:highlight w:val="none"/>
        </w:rPr>
        <w:t>项目经理：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建造师执业资格等级：</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建造师注册证书号：</w:t>
      </w:r>
      <w:r>
        <w:rPr>
          <w:rFonts w:ascii="宋体" w:hAnsi="宋体"/>
          <w:color w:val="auto"/>
          <w:szCs w:val="21"/>
          <w:highlight w:val="none"/>
          <w:u w:val="single"/>
        </w:rPr>
        <w:t>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建造师执业印章号：</w:t>
      </w:r>
      <w:r>
        <w:rPr>
          <w:rFonts w:ascii="宋体" w:hAnsi="宋体"/>
          <w:color w:val="auto"/>
          <w:szCs w:val="21"/>
          <w:highlight w:val="none"/>
          <w:u w:val="single"/>
        </w:rPr>
        <w:t>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安全生产考核合格证书号：</w:t>
      </w:r>
      <w:r>
        <w:rPr>
          <w:rFonts w:ascii="宋体" w:hAnsi="宋体"/>
          <w:color w:val="auto"/>
          <w:szCs w:val="21"/>
          <w:highlight w:val="none"/>
          <w:u w:val="single"/>
        </w:rPr>
        <w:t>  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承包人对项目经理的授权范围如下：</w:t>
      </w:r>
      <w:r>
        <w:rPr>
          <w:rFonts w:hint="eastAsia" w:ascii="宋体" w:hAnsi="宋体"/>
          <w:color w:val="auto"/>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关于项目经理每月在施工现场的时间要求：</w:t>
      </w:r>
      <w:r>
        <w:rPr>
          <w:rFonts w:hint="eastAsia" w:ascii="宋体" w:hAnsi="宋体"/>
          <w:color w:val="auto"/>
          <w:szCs w:val="21"/>
          <w:highlight w:val="none"/>
          <w:u w:val="single"/>
        </w:rPr>
        <w:t>不少于22天，由监理人负责项目经理的考勤</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3.2.2 技术负责人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专     业：</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证书名称及号码：</w:t>
      </w:r>
      <w:r>
        <w:rPr>
          <w:rFonts w:ascii="宋体" w:hAnsi="宋体"/>
          <w:color w:val="auto"/>
          <w:szCs w:val="21"/>
          <w:highlight w:val="none"/>
          <w:u w:val="single"/>
        </w:rPr>
        <w:t xml:space="preserve">                         </w:t>
      </w:r>
      <w:r>
        <w:rPr>
          <w:rFonts w:hint="eastAsia" w:ascii="宋体" w:hAnsi="宋体"/>
          <w:color w:val="auto"/>
          <w:szCs w:val="21"/>
          <w:highlight w:val="none"/>
        </w:rPr>
        <w:t>；</w:t>
      </w:r>
    </w:p>
    <w:p>
      <w:pPr>
        <w:pStyle w:val="2"/>
        <w:spacing w:after="0" w:line="360" w:lineRule="auto"/>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联系方式：</w:t>
      </w:r>
      <w:r>
        <w:rPr>
          <w:rFonts w:ascii="宋体" w:hAnsi="宋体"/>
          <w:color w:val="auto"/>
          <w:szCs w:val="21"/>
          <w:highlight w:val="none"/>
          <w:u w:val="single"/>
        </w:rPr>
        <w:t xml:space="preserve">  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关于技</w:t>
      </w:r>
      <w:r>
        <w:rPr>
          <w:rFonts w:hint="eastAsia" w:ascii="宋体" w:hAnsi="宋体"/>
          <w:color w:val="auto"/>
          <w:szCs w:val="21"/>
          <w:highlight w:val="none"/>
        </w:rPr>
        <w:t>术负责人每月在施工现场的时间要求：</w:t>
      </w:r>
      <w:r>
        <w:rPr>
          <w:rFonts w:hint="eastAsia" w:ascii="宋体" w:hAnsi="宋体"/>
          <w:color w:val="auto"/>
          <w:szCs w:val="21"/>
          <w:highlight w:val="none"/>
          <w:u w:val="single"/>
        </w:rPr>
        <w:t>不少于22天，由监理人负责技术负责人的考勤</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color w:val="auto"/>
          <w:szCs w:val="21"/>
          <w:highlight w:val="none"/>
        </w:rPr>
        <w:t>。</w:t>
      </w:r>
      <w:bookmarkStart w:id="455" w:name="_Hlk528927599"/>
    </w:p>
    <w:bookmarkEnd w:id="455"/>
    <w:p>
      <w:pPr>
        <w:spacing w:line="360" w:lineRule="auto"/>
        <w:ind w:firstLine="420" w:firstLineChars="200"/>
        <w:jc w:val="left"/>
        <w:rPr>
          <w:rFonts w:ascii="宋体" w:hAnsi="宋体"/>
          <w:color w:val="auto"/>
          <w:szCs w:val="21"/>
          <w:highlight w:val="none"/>
        </w:rPr>
      </w:pPr>
      <w:bookmarkStart w:id="456" w:name="_Hlk528927718"/>
      <w:r>
        <w:rPr>
          <w:rFonts w:hint="eastAsia" w:ascii="宋体" w:hAnsi="宋体"/>
          <w:color w:val="auto"/>
          <w:szCs w:val="21"/>
          <w:highlight w:val="none"/>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456"/>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若项目经理和技术负责人出现下列情形需更换的，承包人按通用条款第3.2.3项的规定向发包人发出通知，经发包人领导班子集体决策同意后予以批准，并将变更信息推送给行业主管部门：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1、死亡；</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2、非承包人原因导致工期延长，而致使项目经理和技术负责人达到法定退休年龄且确需退休；</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3、按《职工非因工伤残或因病丧失劳动能力程度鉴定标准（试行）》规定鉴定为完全丧失劳动能力和大部分丧失劳动能力；</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4、非承包人原因导致中标3个月不能开工；</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5、被公安或者司法机关限制人身自由；</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6、被取消职称或者执业资格，不满足项目管理要求；</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7、非承包人原因导致确需变更的其它情形。</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本款补充3.2.6项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3.2.6 国有资金投资项目其他主要人员变更参照《重庆市政府投资项目合同变更管理暂行办法》的规定。</w:t>
      </w:r>
    </w:p>
    <w:p>
      <w:pPr>
        <w:pStyle w:val="7"/>
        <w:spacing w:before="0" w:beforeAutospacing="0" w:after="0" w:afterAutospacing="0" w:line="360" w:lineRule="auto"/>
        <w:ind w:firstLine="422" w:firstLineChars="200"/>
        <w:rPr>
          <w:color w:val="auto"/>
          <w:sz w:val="21"/>
          <w:szCs w:val="21"/>
          <w:highlight w:val="none"/>
        </w:rPr>
      </w:pPr>
      <w:bookmarkStart w:id="457" w:name="_Toc532377337"/>
      <w:r>
        <w:rPr>
          <w:rFonts w:hint="eastAsia"/>
          <w:color w:val="auto"/>
          <w:sz w:val="21"/>
          <w:szCs w:val="21"/>
          <w:highlight w:val="none"/>
        </w:rPr>
        <w:t>3.3 承包人人员</w:t>
      </w:r>
      <w:bookmarkEnd w:id="457"/>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3.3.1 承包人应按建设行政主管部门现行规定配备现场施工从业人员，具体要求如下：</w:t>
      </w:r>
      <w:r>
        <w:rPr>
          <w:rFonts w:hint="eastAsia" w:ascii="宋体" w:hAnsi="宋体"/>
          <w:color w:val="auto"/>
          <w:szCs w:val="21"/>
          <w:highlight w:val="none"/>
          <w:u w:val="single"/>
        </w:rPr>
        <w:t xml:space="preserve"> 按《重庆市房屋建筑与市政基础设施工程现场施工从业人员配备标准》（DBJ50-157-2013）的相应要求，在签订合同前，将项目班子成员的红头任命文件提交给发包人。任命文件应当明确施工项目部的职责、岗位设置、人员配备。相关岗位管理人员应持有建设行政主管部门要求的岗位证书，并提供本单位为其缴纳的养老保险证明材料，同时不得在其他在建项目任职。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3.3.4 承包人主要施工管理人员离开施工现场，指定的临时人员需满足：</w:t>
      </w:r>
      <w:r>
        <w:rPr>
          <w:rFonts w:hint="eastAsia" w:ascii="宋体" w:hAnsi="宋体"/>
          <w:color w:val="auto"/>
          <w:szCs w:val="21"/>
          <w:highlight w:val="none"/>
          <w:u w:val="single"/>
        </w:rPr>
        <w:t>《重庆市房屋建筑与市政基础设施工程现场施工从业人员配备标准》（DBJ50-157-2013）的相应要求</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458" w:name="_Toc532377338"/>
      <w:r>
        <w:rPr>
          <w:rFonts w:hint="eastAsia"/>
          <w:color w:val="auto"/>
          <w:sz w:val="21"/>
          <w:szCs w:val="21"/>
          <w:highlight w:val="none"/>
        </w:rPr>
        <w:t>3</w:t>
      </w:r>
      <w:bookmarkStart w:id="459" w:name="_Toc296890987"/>
      <w:bookmarkStart w:id="460" w:name="_Toc297216151"/>
      <w:bookmarkStart w:id="461" w:name="_Toc304295523"/>
      <w:bookmarkStart w:id="462" w:name="_Toc303539102"/>
      <w:bookmarkStart w:id="463" w:name="_Toc312677988"/>
      <w:bookmarkStart w:id="464" w:name="_Toc296347158"/>
      <w:bookmarkStart w:id="465" w:name="_Toc296891199"/>
      <w:bookmarkStart w:id="466" w:name="_Toc300934945"/>
      <w:bookmarkStart w:id="467" w:name="_Toc296944498"/>
      <w:bookmarkStart w:id="468" w:name="_Toc296503159"/>
      <w:bookmarkStart w:id="469" w:name="_Toc297048345"/>
      <w:bookmarkStart w:id="470" w:name="_Toc292559869"/>
      <w:bookmarkStart w:id="471" w:name="_Toc297120459"/>
      <w:bookmarkStart w:id="472" w:name="_Toc296346660"/>
      <w:bookmarkStart w:id="473" w:name="_Toc297123492"/>
      <w:bookmarkStart w:id="474" w:name="_Toc292559364"/>
      <w:r>
        <w:rPr>
          <w:rFonts w:hint="eastAsia"/>
          <w:color w:val="auto"/>
          <w:sz w:val="21"/>
          <w:szCs w:val="21"/>
          <w:highlight w:val="none"/>
        </w:rPr>
        <w:t>.5 分包</w:t>
      </w:r>
      <w:bookmarkEnd w:id="458"/>
    </w:p>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bookmarkStart w:id="475" w:name="_Toc296944499"/>
      <w:bookmarkStart w:id="476" w:name="_Toc296346661"/>
      <w:bookmarkStart w:id="477" w:name="_Toc318581158"/>
      <w:bookmarkStart w:id="478" w:name="_Toc297120460"/>
      <w:bookmarkStart w:id="479" w:name="_Toc303539103"/>
      <w:bookmarkStart w:id="480" w:name="_Toc297216152"/>
      <w:bookmarkStart w:id="481" w:name="_Toc296347159"/>
      <w:bookmarkStart w:id="482" w:name="_Toc296890988"/>
      <w:bookmarkStart w:id="483" w:name="_Toc296503160"/>
      <w:bookmarkStart w:id="484" w:name="_Toc304295524"/>
      <w:bookmarkStart w:id="485" w:name="_Toc297123493"/>
      <w:bookmarkStart w:id="486" w:name="_Toc296891200"/>
      <w:bookmarkStart w:id="487" w:name="_Toc292559365"/>
      <w:bookmarkStart w:id="488" w:name="_Toc300934946"/>
      <w:bookmarkStart w:id="489" w:name="_Toc297048346"/>
      <w:bookmarkStart w:id="490" w:name="_Toc312677989"/>
      <w:bookmarkStart w:id="491" w:name="_Toc292559870"/>
      <w:r>
        <w:rPr>
          <w:rFonts w:hint="eastAsia" w:ascii="宋体" w:hAnsi="宋体"/>
          <w:color w:val="auto"/>
          <w:szCs w:val="21"/>
          <w:highlight w:val="none"/>
        </w:rPr>
        <w:t>.5.1 分包的一般约定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禁止分包的工程包括：主体结构、关键性工作等国家法律、法规禁止分包的工程。</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主体结构、关键性工作的范围：国家法律、法规、规范、标准等所约束的范围。如房建工程主体结构指混凝土工程、砌体工程、钢结构工程（具体有基础、梁、板、柱、砼墙、楼梯工程等）</w:t>
      </w:r>
      <w:bookmarkStart w:id="492" w:name="_Toc300934947"/>
      <w:bookmarkStart w:id="493" w:name="_Toc296503161"/>
      <w:bookmarkStart w:id="494" w:name="_Toc297048347"/>
      <w:bookmarkStart w:id="495" w:name="_Toc296346662"/>
      <w:bookmarkStart w:id="496" w:name="_Toc296891201"/>
      <w:bookmarkStart w:id="497" w:name="_Toc296944500"/>
      <w:bookmarkStart w:id="498" w:name="_Toc296890989"/>
      <w:bookmarkStart w:id="499" w:name="_Toc297120461"/>
      <w:bookmarkStart w:id="500" w:name="_Toc304295525"/>
      <w:bookmarkStart w:id="501" w:name="_Toc297123494"/>
      <w:bookmarkStart w:id="502" w:name="_Toc297216153"/>
      <w:bookmarkStart w:id="503" w:name="_Toc303539104"/>
      <w:bookmarkStart w:id="504" w:name="_Toc296347160"/>
      <w:r>
        <w:rPr>
          <w:rFonts w:hint="eastAsia" w:ascii="宋体" w:hAnsi="宋体"/>
          <w:color w:val="auto"/>
          <w:szCs w:val="21"/>
          <w:highlight w:val="none"/>
        </w:rPr>
        <w:t>；关键性工作指梁、板、柱等部位。</w:t>
      </w:r>
    </w:p>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bookmarkStart w:id="505" w:name="_Toc318581159"/>
      <w:bookmarkStart w:id="506" w:name="_Toc312677990"/>
      <w:r>
        <w:rPr>
          <w:rFonts w:hint="eastAsia" w:ascii="宋体" w:hAnsi="宋体"/>
          <w:color w:val="auto"/>
          <w:szCs w:val="21"/>
          <w:highlight w:val="none"/>
        </w:rPr>
        <w:t>.5.2分包的确定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允许分包的专业工程包括：</w:t>
      </w:r>
      <w:r>
        <w:rPr>
          <w:rFonts w:hint="eastAsia" w:ascii="宋体" w:hAnsi="宋体"/>
          <w:color w:val="auto"/>
          <w:szCs w:val="21"/>
          <w:highlight w:val="none"/>
          <w:u w:val="single"/>
        </w:rPr>
        <w:t xml:space="preserve">   / </w:t>
      </w:r>
      <w:r>
        <w:rPr>
          <w:rFonts w:hint="eastAsia" w:ascii="宋体" w:hAnsi="宋体"/>
          <w:i/>
          <w:iCs/>
          <w:color w:val="auto"/>
          <w:szCs w:val="21"/>
          <w:highlight w:val="none"/>
        </w:rPr>
        <w:t>[提示：符合《中华人民共和国建筑法》和《中华人民共和国招标投标法》的相关规定。]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3.5.4 分包合同价款</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关于分包合同价款支付的约定：</w:t>
      </w:r>
      <w:bookmarkEnd w:id="505"/>
      <w:bookmarkEnd w:id="506"/>
      <w:r>
        <w:rPr>
          <w:rFonts w:hint="eastAsia" w:ascii="宋体" w:hAnsi="宋体"/>
          <w:color w:val="auto"/>
          <w:szCs w:val="21"/>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本款补充3.5.6项：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3.5.6严禁违法分包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pPr>
        <w:pStyle w:val="7"/>
        <w:spacing w:before="0" w:beforeAutospacing="0" w:after="0" w:afterAutospacing="0" w:line="360" w:lineRule="auto"/>
        <w:ind w:firstLine="422" w:firstLineChars="200"/>
        <w:rPr>
          <w:color w:val="auto"/>
          <w:sz w:val="21"/>
          <w:szCs w:val="21"/>
          <w:highlight w:val="none"/>
        </w:rPr>
      </w:pPr>
      <w:bookmarkStart w:id="507" w:name="_Toc532377339"/>
      <w:r>
        <w:rPr>
          <w:rFonts w:hint="eastAsia"/>
          <w:color w:val="auto"/>
          <w:sz w:val="21"/>
          <w:szCs w:val="21"/>
          <w:highlight w:val="none"/>
        </w:rPr>
        <w:t>3.7 履约担保</w:t>
      </w:r>
      <w:bookmarkEnd w:id="507"/>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3.7.1承包人是否提供履约担保：</w:t>
      </w:r>
      <w:r>
        <w:rPr>
          <w:rFonts w:hint="eastAsia" w:ascii="宋体" w:hAnsi="宋体"/>
          <w:color w:val="auto"/>
          <w:szCs w:val="21"/>
          <w:highlight w:val="none"/>
          <w:u w:val="single"/>
        </w:rPr>
        <w:t>提供</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3.7.2承包人提供履约担保的形式、金额及期限：</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（1）履约担保的形式：现金或银行保函或现金+银行保函的组合；采用保函形式的，保函必须为不可撤销且见索即付；</w:t>
      </w:r>
    </w:p>
    <w:p>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（2）履约担保的金额：中标金额 的10%；</w:t>
      </w:r>
      <w:r>
        <w:rPr>
          <w:rFonts w:hint="eastAsia" w:ascii="仿宋_GB2312" w:hAnsi="宋体" w:eastAsia="仿宋_GB2312" w:cs="宋体"/>
          <w:color w:val="auto"/>
          <w:kern w:val="0"/>
          <w:szCs w:val="21"/>
          <w:highlight w:val="none"/>
        </w:rPr>
        <w:t xml:space="preserve"> </w:t>
      </w:r>
      <w:r>
        <w:rPr>
          <w:rFonts w:hint="eastAsia" w:ascii="宋体" w:hAnsi="宋体"/>
          <w:color w:val="auto"/>
          <w:szCs w:val="21"/>
          <w:highlight w:val="none"/>
        </w:rPr>
        <w:t>；</w:t>
      </w:r>
    </w:p>
    <w:p>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（3）履约担保的提交时间：</w:t>
      </w:r>
      <w:r>
        <w:rPr>
          <w:rFonts w:hint="eastAsia" w:ascii="宋体" w:hAnsi="宋体"/>
          <w:color w:val="auto"/>
          <w:szCs w:val="21"/>
          <w:highlight w:val="none"/>
          <w:u w:val="single"/>
        </w:rPr>
        <w:t>在合同签订前，承包人按担保金额向发包人提交履约担保</w:t>
      </w:r>
      <w:r>
        <w:rPr>
          <w:rFonts w:hint="eastAsia" w:ascii="宋体" w:hAnsi="宋体"/>
          <w:color w:val="auto"/>
          <w:szCs w:val="21"/>
          <w:highlight w:val="none"/>
        </w:rPr>
        <w:t>。</w:t>
      </w:r>
    </w:p>
    <w:p>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（4）履约担保的期限：</w:t>
      </w:r>
      <w:r>
        <w:rPr>
          <w:rFonts w:hint="eastAsia" w:ascii="宋体" w:hAnsi="宋体"/>
          <w:color w:val="auto"/>
          <w:szCs w:val="21"/>
          <w:highlight w:val="none"/>
          <w:u w:val="single"/>
        </w:rPr>
        <w:t>自发包人法定代表人（或其委托代理人）签名并加盖单位公章之日起至承包人签发或应签发工程接收证书之日止</w:t>
      </w:r>
      <w:r>
        <w:rPr>
          <w:rFonts w:hint="eastAsia" w:ascii="宋体" w:hAnsi="宋体"/>
          <w:color w:val="auto"/>
          <w:szCs w:val="21"/>
          <w:highlight w:val="none"/>
        </w:rPr>
        <w:t>。</w:t>
      </w:r>
    </w:p>
    <w:p>
      <w:pPr>
        <w:tabs>
          <w:tab w:val="left" w:pos="1134"/>
        </w:tabs>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（5）履约担保的退还时间：</w:t>
      </w:r>
      <w:r>
        <w:rPr>
          <w:rFonts w:hint="eastAsia" w:ascii="宋体" w:hAnsi="宋体"/>
          <w:color w:val="auto"/>
          <w:szCs w:val="21"/>
          <w:highlight w:val="none"/>
          <w:u w:val="single"/>
        </w:rPr>
        <w:t>采用现金担保的，工程竣工验收合格后14天内退还；采用银行保函的，工程竣工验收合格后14天内退还，或按工程实际情况约定分阶段退还，阶段划分按以下标准执行：</w:t>
      </w:r>
    </w:p>
    <w:p>
      <w:pPr>
        <w:tabs>
          <w:tab w:val="left" w:pos="1134"/>
        </w:tabs>
        <w:spacing w:line="360" w:lineRule="auto"/>
        <w:jc w:val="lef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508" w:name="_Toc532375611"/>
      <w:bookmarkStart w:id="509" w:name="_Toc532377340"/>
      <w:bookmarkStart w:id="510" w:name="_Toc351203636"/>
      <w:r>
        <w:rPr>
          <w:rFonts w:hint="eastAsia"/>
          <w:color w:val="auto"/>
          <w:kern w:val="2"/>
          <w:sz w:val="21"/>
          <w:szCs w:val="21"/>
          <w:highlight w:val="none"/>
        </w:rPr>
        <w:t>4</w:t>
      </w:r>
      <w:bookmarkStart w:id="511" w:name="_Toc296346663"/>
      <w:bookmarkStart w:id="512" w:name="_Toc296890990"/>
      <w:bookmarkStart w:id="513" w:name="_Toc296503162"/>
      <w:bookmarkStart w:id="514" w:name="_Toc296944501"/>
      <w:bookmarkStart w:id="515" w:name="_Toc296347161"/>
      <w:bookmarkStart w:id="516" w:name="_Toc267251413"/>
      <w:bookmarkStart w:id="517" w:name="_Toc296891202"/>
      <w:bookmarkStart w:id="518" w:name="_Toc297048348"/>
      <w:bookmarkStart w:id="519" w:name="_Toc297120462"/>
      <w:bookmarkStart w:id="520" w:name="_Toc292559871"/>
      <w:bookmarkStart w:id="521" w:name="_Toc292559366"/>
      <w:r>
        <w:rPr>
          <w:rFonts w:hint="eastAsia"/>
          <w:color w:val="auto"/>
          <w:kern w:val="2"/>
          <w:sz w:val="21"/>
          <w:szCs w:val="21"/>
          <w:highlight w:val="none"/>
        </w:rPr>
        <w:t>. 监</w:t>
      </w:r>
      <w:bookmarkEnd w:id="511"/>
      <w:bookmarkEnd w:id="512"/>
      <w:bookmarkEnd w:id="513"/>
      <w:bookmarkEnd w:id="514"/>
      <w:bookmarkEnd w:id="515"/>
      <w:bookmarkEnd w:id="516"/>
      <w:bookmarkEnd w:id="517"/>
      <w:bookmarkEnd w:id="518"/>
      <w:bookmarkEnd w:id="519"/>
      <w:bookmarkEnd w:id="520"/>
      <w:bookmarkEnd w:id="521"/>
      <w:r>
        <w:rPr>
          <w:rFonts w:hint="eastAsia"/>
          <w:color w:val="auto"/>
          <w:kern w:val="2"/>
          <w:sz w:val="21"/>
          <w:szCs w:val="21"/>
          <w:highlight w:val="none"/>
        </w:rPr>
        <w:t>理人</w:t>
      </w:r>
      <w:bookmarkEnd w:id="508"/>
      <w:bookmarkEnd w:id="509"/>
      <w:bookmarkEnd w:id="510"/>
    </w:p>
    <w:p>
      <w:pPr>
        <w:pStyle w:val="7"/>
        <w:spacing w:before="0" w:beforeAutospacing="0" w:after="0" w:afterAutospacing="0" w:line="360" w:lineRule="auto"/>
        <w:ind w:firstLine="422" w:firstLineChars="200"/>
        <w:rPr>
          <w:color w:val="auto"/>
          <w:sz w:val="21"/>
          <w:szCs w:val="21"/>
          <w:highlight w:val="none"/>
        </w:rPr>
      </w:pPr>
      <w:bookmarkStart w:id="522" w:name="_Toc532377341"/>
      <w:r>
        <w:rPr>
          <w:rFonts w:hint="eastAsia"/>
          <w:color w:val="auto"/>
          <w:sz w:val="21"/>
          <w:szCs w:val="21"/>
          <w:highlight w:val="none"/>
        </w:rPr>
        <w:t>4.1 监理人的一般规定</w:t>
      </w:r>
      <w:bookmarkEnd w:id="522"/>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关于监理人的监理内容：</w:t>
      </w:r>
      <w:r>
        <w:rPr>
          <w:rFonts w:hint="eastAsia" w:ascii="宋体" w:hAnsi="宋体"/>
          <w:color w:val="auto"/>
          <w:szCs w:val="21"/>
          <w:highlight w:val="none"/>
          <w:u w:val="single"/>
        </w:rPr>
        <w:t>见发包人与监理人就本工程签订的监理合同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关于监理人的监理权限：</w:t>
      </w:r>
      <w:r>
        <w:rPr>
          <w:rFonts w:hint="eastAsia" w:ascii="宋体" w:hAnsi="宋体"/>
          <w:color w:val="auto"/>
          <w:szCs w:val="21"/>
          <w:highlight w:val="none"/>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关于监理人在施工现场的办公场所、生活场所的提供和费用承担的约定：</w:t>
      </w:r>
      <w:r>
        <w:rPr>
          <w:rFonts w:hint="eastAsia" w:ascii="宋体" w:hAnsi="宋体"/>
          <w:color w:val="auto"/>
          <w:szCs w:val="21"/>
          <w:highlight w:val="none"/>
          <w:u w:val="single"/>
        </w:rPr>
        <w:t xml:space="preserve"> 由承包人在施工项目部提供1间以上的办公用房，并配备办公所需的桌椅、电脑等设施设备 。          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523" w:name="_Toc532377342"/>
      <w:r>
        <w:rPr>
          <w:rFonts w:hint="eastAsia"/>
          <w:color w:val="auto"/>
          <w:sz w:val="21"/>
          <w:szCs w:val="21"/>
          <w:highlight w:val="none"/>
        </w:rPr>
        <w:t>4.2 监理人员</w:t>
      </w:r>
      <w:bookmarkEnd w:id="523"/>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总监理工程师：</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职    务：</w:t>
      </w:r>
      <w:r>
        <w:rPr>
          <w:rFonts w:ascii="宋体" w:hAnsi="宋体"/>
          <w:color w:val="auto"/>
          <w:szCs w:val="21"/>
          <w:highlight w:val="none"/>
          <w:u w:val="single"/>
        </w:rPr>
        <w:t xml:space="preserve">      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监理工程师执业资格证书号：</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关于监理人的其他约定：</w:t>
      </w:r>
      <w:r>
        <w:rPr>
          <w:rFonts w:hint="eastAsia" w:ascii="宋体" w:hAnsi="宋体"/>
          <w:color w:val="auto"/>
          <w:szCs w:val="21"/>
          <w:highlight w:val="none"/>
          <w:u w:val="single"/>
        </w:rPr>
        <w:t>见发包人与监理人就本工程签订的监理合同</w:t>
      </w:r>
      <w:r>
        <w:rPr>
          <w:rFonts w:hint="eastAsia" w:ascii="宋体" w:hAnsi="宋体"/>
          <w:color w:val="auto"/>
          <w:szCs w:val="21"/>
          <w:highlight w:val="none"/>
        </w:rPr>
        <w:t>。</w:t>
      </w:r>
    </w:p>
    <w:p>
      <w:pPr>
        <w:pStyle w:val="7"/>
        <w:spacing w:before="0" w:beforeAutospacing="0" w:after="0" w:afterAutospacing="0" w:line="360" w:lineRule="auto"/>
        <w:ind w:firstLine="420" w:firstLineChars="200"/>
        <w:rPr>
          <w:b w:val="0"/>
          <w:color w:val="auto"/>
          <w:sz w:val="21"/>
          <w:szCs w:val="21"/>
          <w:highlight w:val="none"/>
        </w:rPr>
      </w:pPr>
      <w:bookmarkStart w:id="524" w:name="_Toc532377343"/>
      <w:r>
        <w:rPr>
          <w:rFonts w:hint="eastAsia"/>
          <w:b w:val="0"/>
          <w:color w:val="auto"/>
          <w:sz w:val="21"/>
          <w:szCs w:val="21"/>
          <w:highlight w:val="none"/>
        </w:rPr>
        <w:t>4.4 商定或确定</w:t>
      </w:r>
      <w:bookmarkEnd w:id="524"/>
    </w:p>
    <w:p>
      <w:pPr>
        <w:spacing w:line="360" w:lineRule="auto"/>
        <w:ind w:firstLine="420" w:firstLineChars="200"/>
        <w:jc w:val="left"/>
        <w:rPr>
          <w:rFonts w:ascii="宋体" w:hAnsi="宋体"/>
          <w:color w:val="auto"/>
          <w:szCs w:val="21"/>
          <w:highlight w:val="none"/>
        </w:rPr>
      </w:pPr>
      <w:bookmarkStart w:id="525" w:name="_Toc267251418"/>
      <w:r>
        <w:rPr>
          <w:rFonts w:hint="eastAsia" w:ascii="宋体" w:hAnsi="宋体"/>
          <w:color w:val="auto"/>
          <w:szCs w:val="21"/>
          <w:highlight w:val="none"/>
        </w:rPr>
        <w:t>在发包人和承包人不能通过协商达成一致意见时，发包人授权监理人对以下事项进行确定：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 xml:space="preserve">                          </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526" w:name="_Toc532375612"/>
      <w:bookmarkStart w:id="527" w:name="_Toc351203637"/>
      <w:bookmarkStart w:id="528" w:name="_Toc532377344"/>
      <w:r>
        <w:rPr>
          <w:rFonts w:hint="eastAsia"/>
          <w:color w:val="auto"/>
          <w:kern w:val="2"/>
          <w:sz w:val="21"/>
          <w:szCs w:val="21"/>
          <w:highlight w:val="none"/>
        </w:rPr>
        <w:t>5</w:t>
      </w:r>
      <w:bookmarkEnd w:id="525"/>
      <w:bookmarkStart w:id="529" w:name="_Toc296503163"/>
      <w:bookmarkStart w:id="530" w:name="_Toc292559367"/>
      <w:bookmarkStart w:id="531" w:name="_Toc296890991"/>
      <w:bookmarkStart w:id="532" w:name="_Toc296346664"/>
      <w:bookmarkStart w:id="533" w:name="_Toc297120463"/>
      <w:bookmarkStart w:id="534" w:name="_Toc296891203"/>
      <w:bookmarkStart w:id="535" w:name="_Toc292559872"/>
      <w:bookmarkStart w:id="536" w:name="_Toc296347162"/>
      <w:bookmarkStart w:id="537" w:name="_Toc296944502"/>
      <w:bookmarkStart w:id="538" w:name="_Toc297048349"/>
      <w:r>
        <w:rPr>
          <w:rFonts w:hint="eastAsia"/>
          <w:color w:val="auto"/>
          <w:kern w:val="2"/>
          <w:sz w:val="21"/>
          <w:szCs w:val="21"/>
          <w:highlight w:val="none"/>
        </w:rPr>
        <w:t>. 工程质量</w:t>
      </w:r>
      <w:bookmarkEnd w:id="526"/>
      <w:bookmarkEnd w:id="527"/>
      <w:bookmarkEnd w:id="528"/>
    </w:p>
    <w:p>
      <w:pPr>
        <w:pStyle w:val="7"/>
        <w:spacing w:before="0" w:beforeAutospacing="0" w:after="0" w:afterAutospacing="0" w:line="360" w:lineRule="auto"/>
        <w:ind w:firstLine="422" w:firstLineChars="200"/>
        <w:rPr>
          <w:color w:val="auto"/>
          <w:sz w:val="21"/>
          <w:szCs w:val="21"/>
          <w:highlight w:val="none"/>
        </w:rPr>
      </w:pPr>
      <w:bookmarkStart w:id="539" w:name="_Toc532377345"/>
      <w:r>
        <w:rPr>
          <w:rFonts w:hint="eastAsia"/>
          <w:color w:val="auto"/>
          <w:sz w:val="21"/>
          <w:szCs w:val="21"/>
          <w:highlight w:val="none"/>
        </w:rPr>
        <w:t>5.1 质量要求</w:t>
      </w:r>
      <w:bookmarkEnd w:id="539"/>
      <w:bookmarkStart w:id="540" w:name="_Hlk528909888"/>
      <w:bookmarkStart w:id="541" w:name="_Toc304295527"/>
      <w:bookmarkStart w:id="542" w:name="_Toc312677997"/>
      <w:bookmarkStart w:id="543" w:name="_Toc297216155"/>
      <w:bookmarkStart w:id="544" w:name="_Toc297123496"/>
      <w:bookmarkStart w:id="545" w:name="_Toc318581164"/>
      <w:bookmarkStart w:id="546" w:name="_Toc303539106"/>
      <w:bookmarkStart w:id="547" w:name="_Toc300934949"/>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工程质量符合强制性质量标准，符合国家和重庆市现行有关施工质量验收规范要求，并达到合格标准</w:t>
      </w:r>
      <w:r>
        <w:rPr>
          <w:rFonts w:hint="eastAsia" w:ascii="宋体" w:hAnsi="宋体"/>
          <w:color w:val="auto"/>
          <w:szCs w:val="21"/>
          <w:highlight w:val="none"/>
        </w:rPr>
        <w:t>。强制性安全质量标准有（包括但不限于）：</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540"/>
    <w:p>
      <w:pPr>
        <w:pStyle w:val="7"/>
        <w:spacing w:before="0" w:beforeAutospacing="0" w:after="0" w:afterAutospacing="0" w:line="360" w:lineRule="auto"/>
        <w:ind w:firstLine="422" w:firstLineChars="200"/>
        <w:rPr>
          <w:color w:val="auto"/>
          <w:sz w:val="21"/>
          <w:szCs w:val="21"/>
          <w:highlight w:val="none"/>
        </w:rPr>
      </w:pPr>
      <w:bookmarkStart w:id="548" w:name="_Toc532377346"/>
      <w:r>
        <w:rPr>
          <w:rFonts w:hint="eastAsia"/>
          <w:color w:val="auto"/>
          <w:sz w:val="21"/>
          <w:szCs w:val="21"/>
          <w:highlight w:val="none"/>
        </w:rPr>
        <w:t>5.2 质量保证措施</w:t>
      </w:r>
      <w:bookmarkEnd w:id="548"/>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本款补充5.2.4项：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5.2.4 在工程建设中，参建各方应严格执行以下规定（包括但不限于）：</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《建筑工程施工质量验收统一标准》（GB50300-2013）</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《住房城乡建设部关于印发工程质量安全提升行动方案的通知》（建质〔2017〕57号）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《房屋建筑和市政基础设施工程竣工验收规定》（建质〔2013〕171号）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《建设部关于贯彻执行建筑工程勘察设计及施工质量验收规范若干问题的通知》（建标〔2002〕212号）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u w:val="single"/>
        </w:rPr>
        <w:t>《重庆市住房和城乡建设委员会关于印发&lt;重庆市房屋建筑和市政基础设施工程质量常见问题防治要点（2019年版）&gt;的通知》（渝建〔2019〕198号）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u w:val="single"/>
        </w:rPr>
        <w:t>《关于印发&lt;重庆市房屋建筑和市政基础设施工程预拌商品砂浆应用推进工作方案&gt;的通知》（渝建〔2018〕375号）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u w:val="single"/>
        </w:rPr>
        <w:t>《重庆市城乡建设委员会关于印发2018年房屋建筑和市政基础设施工程质量要点的通知》（渝建〔2018〕94号）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u w:val="single"/>
        </w:rPr>
        <w:t>《重庆市城乡建设委员会关于进一步推广应用预拌商品砂浆的通知》（渝建〔2016〕318号）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u w:val="single"/>
        </w:rPr>
        <w:t>《重庆市建设委员会关于发布&lt;建筑工程施工质量验收规范用表（建筑节能分部工程）&gt;和&lt;建设工程技术用表（建筑节能工程）&gt;的通知》（渝建发〔2008〕76号）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w:t>
      </w:r>
      <w:r>
        <w:rPr>
          <w:rFonts w:hint="eastAsia" w:ascii="宋体" w:hAnsi="宋体"/>
          <w:color w:val="auto"/>
          <w:szCs w:val="21"/>
          <w:highlight w:val="none"/>
          <w:u w:val="single"/>
        </w:rPr>
        <w:t>国家和本市现行有关建设工程质量验收标准、规范和要求</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承包人、监理人和发包人在工程建设中，应严格执行国家及重庆市现行标准，如上述标准及规范要求有出入则以较严格者为准。</w:t>
      </w:r>
    </w:p>
    <w:p>
      <w:pPr>
        <w:pStyle w:val="7"/>
        <w:spacing w:before="0" w:beforeAutospacing="0" w:after="0" w:afterAutospacing="0" w:line="360" w:lineRule="auto"/>
        <w:ind w:firstLine="422" w:firstLineChars="200"/>
        <w:rPr>
          <w:color w:val="auto"/>
          <w:sz w:val="21"/>
          <w:szCs w:val="21"/>
          <w:highlight w:val="none"/>
        </w:rPr>
      </w:pPr>
      <w:bookmarkStart w:id="549" w:name="_Toc351203536"/>
      <w:bookmarkStart w:id="550" w:name="_Toc532377347"/>
      <w:bookmarkStart w:id="551" w:name="_Hlk528927873"/>
      <w:r>
        <w:rPr>
          <w:rFonts w:hint="eastAsia"/>
          <w:color w:val="auto"/>
          <w:sz w:val="21"/>
          <w:szCs w:val="21"/>
          <w:highlight w:val="none"/>
        </w:rPr>
        <w:t>5.3隐蔽工程检查</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5.3.2检查程序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工程隐蔽部位经承包人自检确认具备覆盖条件的，承包人应在共同检查前</w:t>
      </w:r>
      <w:r>
        <w:rPr>
          <w:rFonts w:hint="eastAsia" w:ascii="宋体" w:hAnsi="宋体"/>
          <w:color w:val="auto"/>
          <w:szCs w:val="21"/>
          <w:highlight w:val="none"/>
          <w:u w:val="single"/>
        </w:rPr>
        <w:t xml:space="preserve">    </w:t>
      </w:r>
      <w:r>
        <w:rPr>
          <w:rFonts w:hint="eastAsia" w:ascii="宋体" w:hAnsi="宋体"/>
          <w:color w:val="auto"/>
          <w:szCs w:val="21"/>
          <w:highlight w:val="none"/>
        </w:rPr>
        <w:t>小时书面通知监理人检查，通知中应载明隐蔽检查的内容、时间和地点，并应附有自检记录和必要的检查资料。</w:t>
      </w:r>
    </w:p>
    <w:p>
      <w:pPr>
        <w:pStyle w:val="7"/>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5</w:t>
      </w:r>
      <w:bookmarkStart w:id="552" w:name="_Toc337558762"/>
      <w:r>
        <w:rPr>
          <w:rFonts w:hint="eastAsia"/>
          <w:color w:val="auto"/>
          <w:sz w:val="21"/>
          <w:szCs w:val="21"/>
          <w:highlight w:val="none"/>
        </w:rPr>
        <w:t>.4 不合格工程的处理</w:t>
      </w:r>
      <w:bookmarkEnd w:id="549"/>
      <w:bookmarkEnd w:id="550"/>
    </w:p>
    <w:bookmarkEnd w:id="552"/>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本款补充5.4.3项：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5.4.3 承包人在收到监理人发出的《不合格分项报告》或监理通知单后，必须在监理人规定时间内按要求完成整改，未能在限定时间内完成整改的，须承担相应违约责任。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本条补充5.6款：</w:t>
      </w:r>
    </w:p>
    <w:bookmarkEnd w:id="551"/>
    <w:p>
      <w:pPr>
        <w:pStyle w:val="7"/>
        <w:spacing w:before="0" w:beforeAutospacing="0" w:after="0" w:afterAutospacing="0" w:line="360" w:lineRule="auto"/>
        <w:ind w:firstLine="422" w:firstLineChars="200"/>
        <w:rPr>
          <w:color w:val="auto"/>
          <w:sz w:val="21"/>
          <w:szCs w:val="21"/>
          <w:highlight w:val="none"/>
        </w:rPr>
      </w:pPr>
      <w:bookmarkStart w:id="553" w:name="_Toc532377348"/>
      <w:r>
        <w:rPr>
          <w:rFonts w:hint="eastAsia"/>
          <w:color w:val="auto"/>
          <w:sz w:val="21"/>
          <w:szCs w:val="21"/>
          <w:highlight w:val="none"/>
        </w:rPr>
        <w:t>5.6 质量事故的处理</w:t>
      </w:r>
      <w:bookmarkEnd w:id="553"/>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5.6.1 合同履行过程中，发生工程质量事故的调查处理按照国家及重庆市现行规定处理。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529"/>
    <w:bookmarkEnd w:id="530"/>
    <w:bookmarkEnd w:id="531"/>
    <w:bookmarkEnd w:id="532"/>
    <w:bookmarkEnd w:id="533"/>
    <w:bookmarkEnd w:id="534"/>
    <w:bookmarkEnd w:id="535"/>
    <w:bookmarkEnd w:id="536"/>
    <w:bookmarkEnd w:id="537"/>
    <w:bookmarkEnd w:id="538"/>
    <w:bookmarkEnd w:id="541"/>
    <w:bookmarkEnd w:id="542"/>
    <w:bookmarkEnd w:id="543"/>
    <w:bookmarkEnd w:id="544"/>
    <w:bookmarkEnd w:id="545"/>
    <w:bookmarkEnd w:id="546"/>
    <w:bookmarkEnd w:id="547"/>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554" w:name="_Toc532377349"/>
      <w:bookmarkStart w:id="555" w:name="_Toc532375613"/>
      <w:bookmarkStart w:id="556" w:name="_Toc351203638"/>
      <w:bookmarkStart w:id="557" w:name="_Toc351203642"/>
      <w:bookmarkStart w:id="558" w:name="_Toc296503173"/>
      <w:bookmarkStart w:id="559" w:name="_Toc296891001"/>
      <w:bookmarkStart w:id="560" w:name="_Toc296347172"/>
      <w:bookmarkStart w:id="561" w:name="_Toc297120473"/>
      <w:bookmarkStart w:id="562" w:name="_Toc296944512"/>
      <w:bookmarkStart w:id="563" w:name="_Toc292559883"/>
      <w:bookmarkStart w:id="564" w:name="_Toc267251428"/>
      <w:bookmarkStart w:id="565" w:name="_Toc292559378"/>
      <w:bookmarkStart w:id="566" w:name="_Toc296346674"/>
      <w:bookmarkStart w:id="567" w:name="_Toc297048359"/>
      <w:bookmarkStart w:id="568" w:name="_Toc267251427"/>
      <w:bookmarkStart w:id="569" w:name="_Toc296891213"/>
      <w:r>
        <w:rPr>
          <w:rFonts w:hint="eastAsia"/>
          <w:color w:val="auto"/>
          <w:kern w:val="2"/>
          <w:sz w:val="21"/>
          <w:szCs w:val="21"/>
          <w:highlight w:val="none"/>
        </w:rPr>
        <w:t>6. 安全文明施工与环境保护</w:t>
      </w:r>
      <w:bookmarkEnd w:id="554"/>
      <w:bookmarkEnd w:id="555"/>
      <w:bookmarkEnd w:id="556"/>
    </w:p>
    <w:p>
      <w:pPr>
        <w:pStyle w:val="7"/>
        <w:spacing w:before="0" w:beforeAutospacing="0" w:after="0" w:afterAutospacing="0" w:line="360" w:lineRule="auto"/>
        <w:ind w:firstLine="422" w:firstLineChars="200"/>
        <w:rPr>
          <w:color w:val="auto"/>
          <w:sz w:val="21"/>
          <w:szCs w:val="21"/>
          <w:highlight w:val="none"/>
        </w:rPr>
      </w:pPr>
      <w:bookmarkStart w:id="570" w:name="_Toc532377350"/>
      <w:bookmarkStart w:id="571" w:name="_Toc532375614"/>
      <w:r>
        <w:rPr>
          <w:rFonts w:hint="eastAsia"/>
          <w:color w:val="auto"/>
          <w:sz w:val="21"/>
          <w:szCs w:val="21"/>
          <w:highlight w:val="none"/>
        </w:rPr>
        <w:t>6.1 安全文明施工</w:t>
      </w:r>
      <w:bookmarkEnd w:id="570"/>
      <w:bookmarkEnd w:id="571"/>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承包人必须认真贯彻执行国家安全生产法律、法规、规章和强制性安全标准，按照重庆市现行的质量、安全文明施工有关规定和发包人安全管理的有关规定，建立完善的质量、安全、文明施工管理制度。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6.1.1 项目安全生产的达标目标及相应事项的约定：</w:t>
      </w:r>
      <w:r>
        <w:rPr>
          <w:rFonts w:hint="eastAsia" w:ascii="宋体" w:hAnsi="宋体"/>
          <w:color w:val="auto"/>
          <w:szCs w:val="21"/>
          <w:highlight w:val="none"/>
          <w:u w:val="single"/>
        </w:rPr>
        <w:t>达到《建筑施工安全检查标准》（JGJ59-2011）的要求</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（1）按现行安全文明施工费计取及使用管理的政策文件规定及发包人制订的安全管理制度执行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（2）承包人的原因造成事故，由此产生的法律责任和事故责任及费用由承包人全部承担</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（3）承包人向发包人做出安全承诺，并签订《安全生产目标责任书》和《安全承诺书》</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（4）承包人在施工过程中，必须严格执行安全生产法的相关规定，制定切实可靠的安全技术措施</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（5）接受发包人安全监督和管理，在施工中违反安全管理规定和操作规程、违章作业的，承担违约责任</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6.1.4 关于治安保卫的特别约定：</w:t>
      </w:r>
      <w:r>
        <w:rPr>
          <w:rFonts w:hint="eastAsia" w:ascii="宋体" w:hAnsi="宋体"/>
          <w:color w:val="auto"/>
          <w:szCs w:val="21"/>
          <w:highlight w:val="none"/>
          <w:u w:val="single"/>
        </w:rPr>
        <w:t>承包人负责组建施工现场治安管理机构或联防组织；承包人负责编制施工场地治安管理计划和突发治安事件紧急预案</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关于编制施工场地治安管理计划的约定：</w:t>
      </w:r>
      <w:r>
        <w:rPr>
          <w:rFonts w:hint="eastAsia" w:ascii="宋体" w:hAnsi="宋体"/>
          <w:color w:val="auto"/>
          <w:szCs w:val="21"/>
          <w:highlight w:val="none"/>
          <w:u w:val="single"/>
        </w:rPr>
        <w:t>由承包人负责</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6.1.5 文明施工</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合同当事人对文明施工的要求：</w:t>
      </w:r>
      <w:r>
        <w:rPr>
          <w:rFonts w:hint="eastAsia" w:ascii="宋体" w:hAnsi="宋体"/>
          <w:color w:val="auto"/>
          <w:szCs w:val="21"/>
          <w:highlight w:val="none"/>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6.1.6 关于安全文明施工费支付比例和支付期限的约定：按照行业主管部门相关规定</w:t>
      </w:r>
      <w:r>
        <w:rPr>
          <w:rFonts w:hint="eastAsia" w:ascii="宋体" w:hAnsi="宋体"/>
          <w:color w:val="auto"/>
          <w:szCs w:val="21"/>
          <w:highlight w:val="none"/>
          <w:u w:val="single"/>
        </w:rPr>
        <w:t xml:space="preserve">                 </w:t>
      </w:r>
      <w:r>
        <w:rPr>
          <w:rFonts w:hint="eastAsia" w:ascii="宋体" w:hAnsi="宋体"/>
          <w:color w:val="auto"/>
          <w:szCs w:val="21"/>
          <w:highlight w:val="none"/>
        </w:rPr>
        <w:t>执行。</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安全文明施工费的要求与内容、提取支付方法以及违反约定造成损失的赔偿等条款，按照现行规范要求执行，做到专款专用</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572" w:name="_Toc532377351"/>
      <w:bookmarkStart w:id="573" w:name="_Toc532375615"/>
      <w:r>
        <w:rPr>
          <w:rFonts w:hint="eastAsia"/>
          <w:color w:val="auto"/>
          <w:sz w:val="21"/>
          <w:szCs w:val="21"/>
          <w:highlight w:val="none"/>
        </w:rPr>
        <w:t>6.3 环境保护</w:t>
      </w:r>
      <w:bookmarkEnd w:id="572"/>
      <w:bookmarkEnd w:id="573"/>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本款补充6.3.1～6.3.8项：</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6.3.3 承包人应加强生态环境保护工作。施工期间，采取边坡防护，挡渣坝、排水沟、沉淀池、表土剥离和绿化恢复等水土保持措施减少水土流失量，绿化恢复宜采用适于当地生长的植物。</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6.3.4 承包人应认真落实水污染防治措施。施工期间，加强机械设备维护，减少跑冒滴漏等现象；做好含油废水处理措施；施工场地生活污水经生化处理后达到《污水综合排放标准》（GB8978-1996）一级标准后排放。</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6.3.5 承包人应重视大气污染物污染防治措施。施工期间，严格执行市政府“蓝天行动”方案等有关规定，通过洒水防尘，严格控制施工场地扬尘和运输扬尘污染。</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6.3.6 承包人应落实固体废物污染防治措施。施工期间，项目产生的弃方不可合理</w:t>
      </w:r>
      <w:r>
        <w:rPr>
          <w:rFonts w:ascii="宋体" w:hAnsi="宋体"/>
          <w:color w:val="auto"/>
          <w:szCs w:val="21"/>
          <w:highlight w:val="none"/>
        </w:rPr>
        <w:t>利用的</w:t>
      </w:r>
      <w:r>
        <w:rPr>
          <w:rFonts w:hint="eastAsia" w:ascii="宋体" w:hAnsi="宋体"/>
          <w:color w:val="auto"/>
          <w:szCs w:val="21"/>
          <w:highlight w:val="none"/>
        </w:rPr>
        <w:t>，应运往指定的弃渣场内堆存；建筑垃圾运至指定的建筑垃圾消纳场处置；生活垃圾由当地环卫部门统一处置。</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6.3.7 承包人应认真落实噪声污染防治措施。施工期间，优选低噪声设备，合理安排施工时间，严格控制夜间施工，昼、夜施工场界需满足《建筑施工场界环境噪声排放标准》（GB12523-2011）。</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6.3.8 承包人自行负责办理有关施工场地交通、环卫和施工噪音管理等手续，并应按要求结合自身实际和重庆市相关规定，考虑不低于以上标准的此类工作。</w:t>
      </w:r>
    </w:p>
    <w:p>
      <w:pPr>
        <w:spacing w:line="360" w:lineRule="auto"/>
        <w:ind w:firstLine="420" w:firstLineChars="200"/>
        <w:jc w:val="left"/>
        <w:rPr>
          <w:rFonts w:ascii="宋体" w:hAnsi="宋体"/>
          <w:color w:val="auto"/>
          <w:szCs w:val="21"/>
          <w:highlight w:val="none"/>
        </w:rPr>
      </w:pPr>
      <w:bookmarkStart w:id="574" w:name="_Toc532377352"/>
      <w:bookmarkStart w:id="575" w:name="_Toc532375616"/>
      <w:bookmarkStart w:id="576" w:name="_Toc351203639"/>
      <w:r>
        <w:rPr>
          <w:rFonts w:hint="eastAsia" w:ascii="宋体" w:hAnsi="宋体"/>
          <w:color w:val="auto"/>
          <w:szCs w:val="21"/>
          <w:highlight w:val="none"/>
        </w:rPr>
        <w:t xml:space="preserve">6.3.9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r>
        <w:rPr>
          <w:rFonts w:hint="eastAsia"/>
          <w:color w:val="auto"/>
          <w:kern w:val="2"/>
          <w:sz w:val="21"/>
          <w:szCs w:val="21"/>
          <w:highlight w:val="none"/>
        </w:rPr>
        <w:t>7. 工期和进度</w:t>
      </w:r>
      <w:bookmarkEnd w:id="574"/>
      <w:bookmarkEnd w:id="575"/>
      <w:bookmarkEnd w:id="576"/>
    </w:p>
    <w:p>
      <w:pPr>
        <w:pStyle w:val="7"/>
        <w:spacing w:before="0" w:beforeAutospacing="0" w:after="0" w:afterAutospacing="0" w:line="360" w:lineRule="auto"/>
        <w:ind w:firstLine="422" w:firstLineChars="200"/>
        <w:rPr>
          <w:color w:val="auto"/>
          <w:sz w:val="21"/>
          <w:szCs w:val="21"/>
          <w:highlight w:val="none"/>
        </w:rPr>
      </w:pPr>
      <w:bookmarkStart w:id="577" w:name="_Toc532375617"/>
      <w:bookmarkStart w:id="578" w:name="_Toc532377353"/>
      <w:r>
        <w:rPr>
          <w:rFonts w:hint="eastAsia"/>
          <w:color w:val="auto"/>
          <w:sz w:val="21"/>
          <w:szCs w:val="21"/>
          <w:highlight w:val="none"/>
        </w:rPr>
        <w:t>7.1 施工组织设计</w:t>
      </w:r>
      <w:bookmarkEnd w:id="577"/>
      <w:bookmarkEnd w:id="578"/>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7.1.1 合同当事人约定的施工组织设计应包括的其他内容：</w:t>
      </w:r>
      <w:r>
        <w:rPr>
          <w:rFonts w:hint="eastAsia" w:ascii="宋体" w:hAnsi="宋体"/>
          <w:color w:val="auto"/>
          <w:szCs w:val="21"/>
          <w:highlight w:val="none"/>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color w:val="auto"/>
          <w:szCs w:val="21"/>
          <w:highlight w:val="none"/>
        </w:rPr>
        <w:t>。</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7.1.2 施工组织设计的提交和修改</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承包人提交详细施工组织设计的期限的约定：</w:t>
      </w:r>
      <w:r>
        <w:rPr>
          <w:rFonts w:hint="eastAsia" w:ascii="宋体" w:hAnsi="宋体"/>
          <w:color w:val="auto"/>
          <w:szCs w:val="21"/>
          <w:highlight w:val="none"/>
          <w:u w:val="single"/>
        </w:rPr>
        <w:t>合同签订后  天内，但最迟不得晚于开工通知载明的开工日期前7天</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发包人和监理人在收到详细的施工组织设计后确认或提出修改意见的期限：</w:t>
      </w:r>
      <w:r>
        <w:rPr>
          <w:rFonts w:hint="eastAsia" w:ascii="宋体" w:hAnsi="宋体"/>
          <w:color w:val="auto"/>
          <w:szCs w:val="21"/>
          <w:highlight w:val="none"/>
          <w:u w:val="single"/>
        </w:rPr>
        <w:t>收到施工组织设计后  天内</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579" w:name="_Toc532377354"/>
      <w:bookmarkStart w:id="580" w:name="_Toc532375618"/>
      <w:r>
        <w:rPr>
          <w:rFonts w:hint="eastAsia"/>
          <w:color w:val="auto"/>
          <w:sz w:val="21"/>
          <w:szCs w:val="21"/>
          <w:highlight w:val="none"/>
        </w:rPr>
        <w:t>7.2 施工进度计划</w:t>
      </w:r>
      <w:bookmarkEnd w:id="579"/>
      <w:bookmarkEnd w:id="580"/>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7.2.2 施工进度计划的修订</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发包人和监理人在收到修订的施工进度计划后确认或提出修改意见的期限：</w:t>
      </w:r>
      <w:r>
        <w:rPr>
          <w:rFonts w:hint="eastAsia" w:ascii="宋体" w:hAnsi="宋体"/>
          <w:color w:val="auto"/>
          <w:szCs w:val="21"/>
          <w:highlight w:val="none"/>
          <w:u w:val="single"/>
        </w:rPr>
        <w:t>收到修订的施工进度计划后  天内</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581" w:name="_Toc532377355"/>
      <w:bookmarkStart w:id="582" w:name="_Toc532375619"/>
      <w:bookmarkStart w:id="583" w:name="_Toc312677479"/>
      <w:bookmarkStart w:id="584" w:name="_Toc303539123"/>
      <w:bookmarkStart w:id="585" w:name="_Toc297216173"/>
      <w:bookmarkStart w:id="586" w:name="_Toc297123514"/>
      <w:bookmarkStart w:id="587" w:name="_Toc312678005"/>
      <w:bookmarkStart w:id="588" w:name="_Toc300934966"/>
      <w:bookmarkStart w:id="589" w:name="_Toc304295541"/>
      <w:r>
        <w:rPr>
          <w:rFonts w:hint="eastAsia"/>
          <w:color w:val="auto"/>
          <w:sz w:val="21"/>
          <w:szCs w:val="21"/>
          <w:highlight w:val="none"/>
        </w:rPr>
        <w:t>7.3 开工</w:t>
      </w:r>
      <w:bookmarkEnd w:id="581"/>
      <w:bookmarkEnd w:id="582"/>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7.3.1 开工准备</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关于承包人提交工程开工报审表的期限：</w:t>
      </w:r>
      <w:r>
        <w:rPr>
          <w:rFonts w:hint="eastAsia" w:ascii="宋体" w:hAnsi="宋体"/>
          <w:color w:val="auto"/>
          <w:szCs w:val="21"/>
          <w:highlight w:val="none"/>
          <w:u w:val="single"/>
        </w:rPr>
        <w:t>不晚于开工前  天</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关于发包人应完成的其他开工准备工作及期限：</w:t>
      </w:r>
      <w:r>
        <w:rPr>
          <w:rFonts w:hint="eastAsia" w:ascii="宋体" w:hAnsi="宋体"/>
          <w:color w:val="auto"/>
          <w:szCs w:val="21"/>
          <w:highlight w:val="none"/>
          <w:u w:val="single"/>
        </w:rPr>
        <w:t>不晚于开工前  天</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关于承包人应完成的其他开工准备工作及期限：</w:t>
      </w:r>
      <w:r>
        <w:rPr>
          <w:rFonts w:hint="eastAsia" w:ascii="宋体" w:hAnsi="宋体"/>
          <w:color w:val="auto"/>
          <w:szCs w:val="21"/>
          <w:highlight w:val="none"/>
          <w:u w:val="single"/>
        </w:rPr>
        <w:t>不晚于开工前  天</w:t>
      </w:r>
      <w:r>
        <w:rPr>
          <w:rFonts w:hint="eastAsia" w:ascii="宋体" w:hAnsi="宋体"/>
          <w:color w:val="auto"/>
          <w:szCs w:val="21"/>
          <w:highlight w:val="none"/>
        </w:rPr>
        <w:t>。</w:t>
      </w:r>
    </w:p>
    <w:bookmarkEnd w:id="583"/>
    <w:bookmarkEnd w:id="584"/>
    <w:bookmarkEnd w:id="585"/>
    <w:bookmarkEnd w:id="586"/>
    <w:bookmarkEnd w:id="587"/>
    <w:bookmarkEnd w:id="588"/>
    <w:bookmarkEnd w:id="589"/>
    <w:p>
      <w:pPr>
        <w:pStyle w:val="7"/>
        <w:spacing w:before="0" w:beforeAutospacing="0" w:after="0" w:afterAutospacing="0" w:line="360" w:lineRule="auto"/>
        <w:ind w:firstLine="422" w:firstLineChars="200"/>
        <w:rPr>
          <w:color w:val="auto"/>
          <w:sz w:val="21"/>
          <w:szCs w:val="21"/>
          <w:highlight w:val="none"/>
        </w:rPr>
      </w:pPr>
      <w:bookmarkStart w:id="590" w:name="_Toc532375620"/>
      <w:bookmarkStart w:id="591" w:name="_Toc532377356"/>
      <w:r>
        <w:rPr>
          <w:rFonts w:hint="eastAsia"/>
          <w:color w:val="auto"/>
          <w:sz w:val="21"/>
          <w:szCs w:val="21"/>
          <w:highlight w:val="none"/>
        </w:rPr>
        <w:t>7.4 测量放线</w:t>
      </w:r>
      <w:bookmarkEnd w:id="590"/>
      <w:bookmarkEnd w:id="591"/>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7.4.1 发包人通过监理人向承包人提供测量基准点、基准线和水准点及其书面资料的期限：</w:t>
      </w:r>
      <w:r>
        <w:rPr>
          <w:rFonts w:hint="eastAsia" w:ascii="宋体" w:hAnsi="宋体"/>
          <w:color w:val="auto"/>
          <w:szCs w:val="21"/>
          <w:highlight w:val="none"/>
          <w:u w:val="single"/>
        </w:rPr>
        <w:t>不晚于开工前  天</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承包人报监理人审批施工控制网资料的期限：</w:t>
      </w:r>
      <w:r>
        <w:rPr>
          <w:rFonts w:hint="eastAsia" w:ascii="宋体" w:hAnsi="宋体"/>
          <w:color w:val="auto"/>
          <w:szCs w:val="21"/>
          <w:highlight w:val="none"/>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592" w:name="_Toc532375621"/>
      <w:bookmarkStart w:id="593" w:name="_Toc532377357"/>
      <w:r>
        <w:rPr>
          <w:rFonts w:hint="eastAsia"/>
          <w:color w:val="auto"/>
          <w:sz w:val="21"/>
          <w:szCs w:val="21"/>
          <w:highlight w:val="none"/>
        </w:rPr>
        <w:t>7</w:t>
      </w:r>
      <w:bookmarkStart w:id="594" w:name="_Toc312677484"/>
      <w:bookmarkStart w:id="595" w:name="_Toc312678010"/>
      <w:bookmarkStart w:id="596" w:name="_Toc303539125"/>
      <w:bookmarkStart w:id="597" w:name="_Toc300934968"/>
      <w:bookmarkStart w:id="598" w:name="_Toc297123516"/>
      <w:bookmarkStart w:id="599" w:name="_Toc304295546"/>
      <w:bookmarkStart w:id="600" w:name="_Toc297216175"/>
      <w:r>
        <w:rPr>
          <w:rFonts w:hint="eastAsia"/>
          <w:color w:val="auto"/>
          <w:sz w:val="21"/>
          <w:szCs w:val="21"/>
          <w:highlight w:val="none"/>
        </w:rPr>
        <w:t>.5 工期延误</w:t>
      </w:r>
      <w:bookmarkEnd w:id="592"/>
      <w:bookmarkEnd w:id="593"/>
    </w:p>
    <w:bookmarkEnd w:id="594"/>
    <w:bookmarkEnd w:id="595"/>
    <w:bookmarkEnd w:id="596"/>
    <w:bookmarkEnd w:id="597"/>
    <w:bookmarkEnd w:id="598"/>
    <w:bookmarkEnd w:id="599"/>
    <w:bookmarkEnd w:id="600"/>
    <w:p>
      <w:pPr>
        <w:spacing w:line="360" w:lineRule="auto"/>
        <w:ind w:firstLine="420" w:firstLineChars="200"/>
        <w:jc w:val="left"/>
        <w:rPr>
          <w:rFonts w:ascii="宋体" w:hAnsi="宋体"/>
          <w:color w:val="auto"/>
          <w:szCs w:val="21"/>
          <w:highlight w:val="none"/>
        </w:rPr>
      </w:pPr>
      <w:bookmarkStart w:id="601" w:name="_Hlk528927940"/>
      <w:r>
        <w:rPr>
          <w:rFonts w:hint="eastAsia" w:ascii="宋体" w:hAnsi="宋体"/>
          <w:color w:val="auto"/>
          <w:szCs w:val="21"/>
          <w:highlight w:val="none"/>
        </w:rPr>
        <w:t>7.5.1 因发包人原因导致工期延误：</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在合同履行过程中，除通用条款约定外，因下列情况导致工期延误和（或）费用增加的，由发包人承担由此延误的工期和（或）增加的费用：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（1）发包人未能按合同约定提供施工场地，且该未提供开工条件直接影响项目关键线路的；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（2）发包人提供的测量基准点、基准线和水准点及其书面资料存在错误或疏漏，且该错误或疏漏直接影响项目关键线路的；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（3）监理人未按合同约定发出指示、批准等文件，且该未按合同约定发出指示、批准直接影响项目关键线路的；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（4）变更未及时审批，直接影响项目关键线路的；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（5）实施变更直接影响项目关键线路的；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（6）因发包人原因导致工程暂停施工、停建、缓建的；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（7）因征地拆迁、当地群众阻工等情形的；</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（8）</w:t>
      </w:r>
      <w:r>
        <w:rPr>
          <w:rFonts w:hint="eastAsia" w:ascii="宋体" w:hAnsi="宋体"/>
          <w:color w:val="auto"/>
          <w:szCs w:val="21"/>
          <w:highlight w:val="none"/>
          <w:u w:val="single"/>
        </w:rPr>
        <w:t>合同约定的其他情形</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7.5.2 因承包人原因导致工期延误</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因承包人原因造成工期延误，逾期竣工按16.2.2（6）目执行。</w:t>
      </w:r>
    </w:p>
    <w:bookmarkEnd w:id="601"/>
    <w:p>
      <w:pPr>
        <w:pStyle w:val="7"/>
        <w:spacing w:before="0" w:beforeAutospacing="0" w:after="0" w:afterAutospacing="0" w:line="360" w:lineRule="auto"/>
        <w:ind w:firstLine="422" w:firstLineChars="200"/>
        <w:rPr>
          <w:color w:val="auto"/>
          <w:sz w:val="21"/>
          <w:szCs w:val="21"/>
          <w:highlight w:val="none"/>
        </w:rPr>
      </w:pPr>
      <w:bookmarkStart w:id="602" w:name="_Toc532375622"/>
      <w:bookmarkStart w:id="603" w:name="_Toc532377358"/>
      <w:bookmarkStart w:id="604" w:name="_Hlk528927997"/>
      <w:r>
        <w:rPr>
          <w:rFonts w:hint="eastAsia"/>
          <w:color w:val="auto"/>
          <w:sz w:val="21"/>
          <w:szCs w:val="21"/>
          <w:highlight w:val="none"/>
        </w:rPr>
        <w:t>7</w:t>
      </w:r>
      <w:bookmarkStart w:id="605" w:name="_Toc312678015"/>
      <w:bookmarkStart w:id="606" w:name="_Toc304295549"/>
      <w:bookmarkStart w:id="607" w:name="_Toc303539128"/>
      <w:bookmarkStart w:id="608" w:name="_Toc297123519"/>
      <w:bookmarkStart w:id="609" w:name="_Toc297216178"/>
      <w:bookmarkStart w:id="610" w:name="_Toc300934971"/>
      <w:r>
        <w:rPr>
          <w:rFonts w:hint="eastAsia"/>
          <w:color w:val="auto"/>
          <w:sz w:val="21"/>
          <w:szCs w:val="21"/>
          <w:highlight w:val="none"/>
        </w:rPr>
        <w:t>.6 不</w:t>
      </w:r>
      <w:bookmarkEnd w:id="605"/>
      <w:bookmarkEnd w:id="606"/>
      <w:bookmarkEnd w:id="607"/>
      <w:bookmarkEnd w:id="608"/>
      <w:bookmarkEnd w:id="609"/>
      <w:bookmarkEnd w:id="610"/>
      <w:r>
        <w:rPr>
          <w:rFonts w:hint="eastAsia"/>
          <w:color w:val="auto"/>
          <w:sz w:val="21"/>
          <w:szCs w:val="21"/>
          <w:highlight w:val="none"/>
        </w:rPr>
        <w:t>利物质条件</w:t>
      </w:r>
      <w:bookmarkEnd w:id="602"/>
      <w:bookmarkEnd w:id="603"/>
    </w:p>
    <w:bookmarkEnd w:id="604"/>
    <w:p>
      <w:pPr>
        <w:spacing w:line="360" w:lineRule="auto"/>
        <w:ind w:firstLine="420" w:firstLineChars="200"/>
        <w:jc w:val="left"/>
        <w:rPr>
          <w:rFonts w:ascii="宋体" w:hAnsi="宋体"/>
          <w:bCs/>
          <w:color w:val="auto"/>
          <w:szCs w:val="21"/>
          <w:highlight w:val="none"/>
        </w:rPr>
      </w:pPr>
      <w:bookmarkStart w:id="611" w:name="_Toc300934972"/>
      <w:bookmarkStart w:id="612" w:name="_Toc318581172"/>
      <w:bookmarkStart w:id="613" w:name="_Toc304295550"/>
      <w:bookmarkStart w:id="614" w:name="_Toc297123520"/>
      <w:bookmarkStart w:id="615" w:name="_Toc303539129"/>
      <w:bookmarkStart w:id="616" w:name="_Toc312678016"/>
      <w:bookmarkStart w:id="617" w:name="_Toc297216179"/>
      <w:r>
        <w:rPr>
          <w:rFonts w:hint="eastAsia" w:ascii="宋体" w:hAnsi="宋体"/>
          <w:color w:val="auto"/>
          <w:szCs w:val="21"/>
          <w:highlight w:val="none"/>
        </w:rPr>
        <w:t>不利物质条件的其他情形和有关约定：</w:t>
      </w:r>
      <w:bookmarkStart w:id="618" w:name="_Hlk528910274"/>
      <w:r>
        <w:rPr>
          <w:rFonts w:hint="eastAsia" w:ascii="宋体" w:hAnsi="宋体"/>
          <w:color w:val="auto"/>
          <w:szCs w:val="21"/>
          <w:highlight w:val="none"/>
          <w:u w:val="single"/>
        </w:rPr>
        <w:t xml:space="preserve"> 按通用条款执行 。 </w:t>
      </w:r>
      <w:r>
        <w:rPr>
          <w:rFonts w:hint="eastAsia" w:ascii="宋体" w:hAnsi="宋体"/>
          <w:color w:val="auto"/>
          <w:szCs w:val="21"/>
          <w:highlight w:val="none"/>
        </w:rPr>
        <w:t>。</w:t>
      </w:r>
    </w:p>
    <w:bookmarkEnd w:id="611"/>
    <w:bookmarkEnd w:id="612"/>
    <w:bookmarkEnd w:id="613"/>
    <w:bookmarkEnd w:id="614"/>
    <w:bookmarkEnd w:id="615"/>
    <w:bookmarkEnd w:id="616"/>
    <w:bookmarkEnd w:id="617"/>
    <w:bookmarkEnd w:id="618"/>
    <w:p>
      <w:pPr>
        <w:pStyle w:val="7"/>
        <w:spacing w:before="0" w:beforeAutospacing="0" w:after="0" w:afterAutospacing="0" w:line="360" w:lineRule="auto"/>
        <w:ind w:firstLine="422" w:firstLineChars="200"/>
        <w:rPr>
          <w:color w:val="auto"/>
          <w:sz w:val="21"/>
          <w:szCs w:val="21"/>
          <w:highlight w:val="none"/>
        </w:rPr>
      </w:pPr>
      <w:bookmarkStart w:id="619" w:name="_Toc532375623"/>
      <w:bookmarkStart w:id="620" w:name="_Toc532377359"/>
      <w:r>
        <w:rPr>
          <w:rFonts w:hint="eastAsia"/>
          <w:color w:val="auto"/>
          <w:sz w:val="21"/>
          <w:szCs w:val="21"/>
          <w:highlight w:val="none"/>
        </w:rPr>
        <w:t>7</w:t>
      </w:r>
      <w:bookmarkStart w:id="621" w:name="_Toc303539130"/>
      <w:bookmarkStart w:id="622" w:name="_Toc304295551"/>
      <w:bookmarkStart w:id="623" w:name="_Toc297216180"/>
      <w:bookmarkStart w:id="624" w:name="_Toc300934973"/>
      <w:bookmarkStart w:id="625" w:name="_Toc297123521"/>
      <w:bookmarkStart w:id="626" w:name="_Toc312678017"/>
      <w:r>
        <w:rPr>
          <w:rFonts w:hint="eastAsia"/>
          <w:color w:val="auto"/>
          <w:sz w:val="21"/>
          <w:szCs w:val="21"/>
          <w:highlight w:val="none"/>
        </w:rPr>
        <w:t>.7异常恶劣的气候条件</w:t>
      </w:r>
      <w:bookmarkEnd w:id="619"/>
      <w:bookmarkEnd w:id="620"/>
    </w:p>
    <w:bookmarkEnd w:id="621"/>
    <w:bookmarkEnd w:id="622"/>
    <w:bookmarkEnd w:id="623"/>
    <w:bookmarkEnd w:id="624"/>
    <w:bookmarkEnd w:id="625"/>
    <w:bookmarkEnd w:id="626"/>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发包人和承包人同意以下情形视为异常恶劣的气候条件：</w:t>
      </w:r>
      <w:r>
        <w:rPr>
          <w:rFonts w:hint="eastAsia" w:ascii="宋体" w:hAnsi="宋体"/>
          <w:color w:val="auto"/>
          <w:szCs w:val="21"/>
          <w:highlight w:val="none"/>
          <w:u w:val="single"/>
        </w:rPr>
        <w:t xml:space="preserve">    （异常气候是指项目所在地50年以上一遇的罕见气候现象）</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627" w:name="_Toc532377360"/>
      <w:bookmarkStart w:id="628" w:name="_Toc532375624"/>
      <w:r>
        <w:rPr>
          <w:rFonts w:hint="eastAsia"/>
          <w:color w:val="auto"/>
          <w:sz w:val="21"/>
          <w:szCs w:val="21"/>
          <w:highlight w:val="none"/>
        </w:rPr>
        <w:t>7.9 提前竣工</w:t>
      </w:r>
      <w:bookmarkEnd w:id="627"/>
      <w:bookmarkEnd w:id="628"/>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7.9.1项细化为：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（2）发包人不得随意要求承包人提前竣工，承包人也不得随意提出提前竣工的建议。如遇特殊情况，确需将工期提前的，发包人和承包人必须采取有效措施，确保工程质量。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（3）如果承包人提前竣工，发包人支付奖金的计算方法在合同条款中约定，时间自竣工验收证书中写明的实际竣工日期起至预定的竣工日期止，按天计算。但奖金最高限额不超过项目7.9.2项的限额。</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7.9.2 提前竣工的奖励：</w:t>
      </w:r>
      <w:r>
        <w:rPr>
          <w:rFonts w:hint="eastAsia" w:ascii="宋体" w:hAnsi="宋体"/>
          <w:color w:val="auto"/>
          <w:szCs w:val="21"/>
          <w:highlight w:val="none"/>
          <w:u w:val="single"/>
        </w:rPr>
        <w:t xml:space="preserve">    无</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629" w:name="_Toc532375625"/>
      <w:bookmarkStart w:id="630" w:name="_Toc532377361"/>
      <w:bookmarkStart w:id="631" w:name="_Toc351203640"/>
      <w:r>
        <w:rPr>
          <w:rFonts w:hint="eastAsia"/>
          <w:color w:val="auto"/>
          <w:kern w:val="2"/>
          <w:sz w:val="21"/>
          <w:szCs w:val="21"/>
          <w:highlight w:val="none"/>
        </w:rPr>
        <w:t>8. 材料与设备</w:t>
      </w:r>
      <w:bookmarkEnd w:id="629"/>
      <w:bookmarkEnd w:id="630"/>
      <w:bookmarkEnd w:id="631"/>
    </w:p>
    <w:p>
      <w:pPr>
        <w:pStyle w:val="7"/>
        <w:spacing w:before="0" w:beforeAutospacing="0" w:after="0" w:afterAutospacing="0" w:line="360" w:lineRule="auto"/>
        <w:ind w:firstLine="422" w:firstLineChars="200"/>
        <w:rPr>
          <w:color w:val="auto"/>
          <w:sz w:val="21"/>
          <w:szCs w:val="21"/>
          <w:highlight w:val="none"/>
        </w:rPr>
      </w:pPr>
      <w:bookmarkStart w:id="632" w:name="_Toc532377362"/>
      <w:bookmarkStart w:id="633" w:name="_Toc532375626"/>
      <w:r>
        <w:rPr>
          <w:rFonts w:hint="eastAsia"/>
          <w:color w:val="auto"/>
          <w:sz w:val="21"/>
          <w:szCs w:val="21"/>
          <w:highlight w:val="none"/>
        </w:rPr>
        <w:t>8.1发包人供应材料与工程设备</w:t>
      </w:r>
      <w:bookmarkEnd w:id="632"/>
      <w:bookmarkEnd w:id="633"/>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材料的名称、规格、数量和价格：</w:t>
      </w:r>
      <w:r>
        <w:rPr>
          <w:rFonts w:hint="eastAsia" w:ascii="宋体" w:hAnsi="宋体"/>
          <w:color w:val="auto"/>
          <w:szCs w:val="21"/>
          <w:highlight w:val="none"/>
          <w:u w:val="single"/>
        </w:rPr>
        <w:t>发包人应提供甲供材料的明细表，结算时按经监理人、承包人共同确认的供应数量乘以招标时甲供材料暂定价格，在支付工程款时扣除</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634" w:name="_Toc351203554"/>
      <w:bookmarkStart w:id="635" w:name="_Toc532375627"/>
      <w:bookmarkStart w:id="636" w:name="_Toc532377363"/>
      <w:r>
        <w:rPr>
          <w:rFonts w:hint="eastAsia"/>
          <w:color w:val="auto"/>
          <w:sz w:val="21"/>
          <w:szCs w:val="21"/>
          <w:highlight w:val="none"/>
        </w:rPr>
        <w:t>8</w:t>
      </w:r>
      <w:bookmarkStart w:id="637" w:name="_Toc296503060"/>
      <w:bookmarkStart w:id="638" w:name="_Toc296346561"/>
      <w:bookmarkStart w:id="639" w:name="_Toc337558778"/>
      <w:r>
        <w:rPr>
          <w:rFonts w:hint="eastAsia"/>
          <w:color w:val="auto"/>
          <w:sz w:val="21"/>
          <w:szCs w:val="21"/>
          <w:highlight w:val="none"/>
        </w:rPr>
        <w:t>.2 承包人采购材料与工程设备</w:t>
      </w:r>
      <w:bookmarkEnd w:id="634"/>
      <w:bookmarkEnd w:id="635"/>
      <w:bookmarkEnd w:id="636"/>
    </w:p>
    <w:bookmarkEnd w:id="637"/>
    <w:bookmarkEnd w:id="638"/>
    <w:bookmarkEnd w:id="639"/>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8.2.1承包人负责采购、运输和保管的材料、工程设备：</w:t>
      </w:r>
      <w:r>
        <w:rPr>
          <w:rFonts w:hint="eastAsia" w:ascii="宋体" w:hAnsi="宋体"/>
          <w:color w:val="auto"/>
          <w:szCs w:val="21"/>
          <w:highlight w:val="none"/>
          <w:u w:val="single"/>
        </w:rPr>
        <w:t>由承包人自行采购。承包人采购材料设备必须经监理人和发包人批准，结算时由监理人和发包人按招标文件规定审核的数量和合同约定</w:t>
      </w:r>
      <w:r>
        <w:rPr>
          <w:rFonts w:ascii="宋体" w:hAnsi="宋体"/>
          <w:color w:val="auto"/>
          <w:szCs w:val="21"/>
          <w:highlight w:val="none"/>
          <w:u w:val="single"/>
        </w:rPr>
        <w:t>价格</w:t>
      </w:r>
      <w:r>
        <w:rPr>
          <w:rFonts w:hint="eastAsia" w:ascii="宋体" w:hAnsi="宋体"/>
          <w:color w:val="auto"/>
          <w:szCs w:val="21"/>
          <w:highlight w:val="none"/>
          <w:u w:val="single"/>
        </w:rPr>
        <w:t>计算</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8.2.2承包人报送监理人审批的时间：</w:t>
      </w:r>
      <w:r>
        <w:rPr>
          <w:rFonts w:hint="eastAsia" w:ascii="宋体" w:hAnsi="宋体"/>
          <w:color w:val="auto"/>
          <w:szCs w:val="21"/>
          <w:highlight w:val="none"/>
          <w:u w:val="single"/>
        </w:rPr>
        <w:t>按发包人及监理单位的相关规定执行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8.2.3承包人选择的生产厂家或供应商满足下列条件：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A.承包人选择的混凝土供应商应满足下列条件：</w:t>
      </w:r>
      <w:r>
        <w:rPr>
          <w:rFonts w:hint="eastAsia" w:ascii="宋体" w:hAnsi="宋体"/>
          <w:color w:val="auto"/>
          <w:szCs w:val="21"/>
          <w:highlight w:val="none"/>
          <w:u w:val="single"/>
        </w:rPr>
        <w:t xml:space="preserve">具有行政审批许可，且有相应资质的企业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B.承包人选择的钢材供应商应满足下列条件：</w:t>
      </w:r>
      <w:r>
        <w:rPr>
          <w:rFonts w:hint="eastAsia" w:ascii="宋体" w:hAnsi="宋体"/>
          <w:color w:val="auto"/>
          <w:szCs w:val="21"/>
          <w:highlight w:val="none"/>
          <w:u w:val="single"/>
        </w:rPr>
        <w:t xml:space="preserve"> 具有行政审批许可，且有相应资质的企业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C.承包人选择的水泥供应商应满足下列条件：</w:t>
      </w:r>
      <w:r>
        <w:rPr>
          <w:rFonts w:hint="eastAsia" w:ascii="宋体" w:hAnsi="宋体"/>
          <w:color w:val="auto"/>
          <w:szCs w:val="21"/>
          <w:highlight w:val="none"/>
          <w:u w:val="single"/>
        </w:rPr>
        <w:t xml:space="preserve"> 具有行政审批许可，且有相应资质的企业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D.承包人采购的材料与设计或标准要求不符时，承包人应按发包人和监理人要求的时间运出施工场地，并重新采购符合要求的产品，并承担由此发生的费用，因此延误的工期不予顺延。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E.承包人采购的材料在使用前，应按发包人和监理人的要求进行检验或试验，不合格的不得使用。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F.</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640" w:name="_Toc532377364"/>
      <w:bookmarkStart w:id="641" w:name="_Toc532375628"/>
      <w:r>
        <w:rPr>
          <w:rFonts w:hint="eastAsia"/>
          <w:color w:val="auto"/>
          <w:sz w:val="21"/>
          <w:szCs w:val="21"/>
          <w:highlight w:val="none"/>
        </w:rPr>
        <w:t>8</w:t>
      </w:r>
      <w:bookmarkStart w:id="642" w:name="_Toc296944506"/>
      <w:bookmarkStart w:id="643" w:name="_Toc296890995"/>
      <w:bookmarkStart w:id="644" w:name="_Toc303539136"/>
      <w:bookmarkStart w:id="645" w:name="_Toc297123527"/>
      <w:bookmarkStart w:id="646" w:name="_Toc280868654"/>
      <w:bookmarkStart w:id="647" w:name="_Toc300934979"/>
      <w:bookmarkStart w:id="648" w:name="_Toc297120467"/>
      <w:bookmarkStart w:id="649" w:name="_Toc296347166"/>
      <w:bookmarkStart w:id="650" w:name="_Toc292559372"/>
      <w:bookmarkStart w:id="651" w:name="_Toc296503167"/>
      <w:bookmarkStart w:id="652" w:name="_Toc312678019"/>
      <w:bookmarkStart w:id="653" w:name="_Toc296891207"/>
      <w:bookmarkStart w:id="654" w:name="_Toc297216186"/>
      <w:bookmarkStart w:id="655" w:name="_Toc297048353"/>
      <w:bookmarkStart w:id="656" w:name="_Toc312677493"/>
      <w:bookmarkStart w:id="657" w:name="_Toc304295556"/>
      <w:bookmarkStart w:id="658" w:name="_Toc292559877"/>
      <w:bookmarkStart w:id="659" w:name="_Toc296346668"/>
      <w:bookmarkStart w:id="660" w:name="_Toc280868656"/>
      <w:bookmarkStart w:id="661" w:name="_Toc280868655"/>
      <w:bookmarkStart w:id="662" w:name="_Toc267251424"/>
      <w:r>
        <w:rPr>
          <w:rFonts w:hint="eastAsia"/>
          <w:color w:val="auto"/>
          <w:sz w:val="21"/>
          <w:szCs w:val="21"/>
          <w:highlight w:val="none"/>
        </w:rPr>
        <w:t>.4 材料与工程设备的保管与使用</w:t>
      </w:r>
      <w:bookmarkEnd w:id="640"/>
      <w:bookmarkEnd w:id="641"/>
    </w:p>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w:t>
      </w:r>
      <w:bookmarkStart w:id="663" w:name="_Toc292559878"/>
      <w:bookmarkStart w:id="664" w:name="_Toc292559373"/>
      <w:bookmarkStart w:id="665" w:name="_Toc296891208"/>
      <w:bookmarkStart w:id="666" w:name="_Toc303539137"/>
      <w:bookmarkStart w:id="667" w:name="_Toc300934980"/>
      <w:bookmarkStart w:id="668" w:name="_Toc312677494"/>
      <w:bookmarkStart w:id="669" w:name="_Toc304295557"/>
      <w:bookmarkStart w:id="670" w:name="_Toc318581173"/>
      <w:bookmarkStart w:id="671" w:name="_Toc297216187"/>
      <w:bookmarkStart w:id="672" w:name="_Toc296890996"/>
      <w:bookmarkStart w:id="673" w:name="_Toc296944507"/>
      <w:bookmarkStart w:id="674" w:name="_Toc296503168"/>
      <w:bookmarkStart w:id="675" w:name="_Toc297120468"/>
      <w:bookmarkStart w:id="676" w:name="_Toc297048354"/>
      <w:bookmarkStart w:id="677" w:name="_Toc296347167"/>
      <w:bookmarkStart w:id="678" w:name="_Toc312678020"/>
      <w:bookmarkStart w:id="679" w:name="_Toc296346669"/>
      <w:bookmarkStart w:id="680" w:name="_Toc297123528"/>
      <w:r>
        <w:rPr>
          <w:rFonts w:hint="eastAsia" w:ascii="宋体" w:hAnsi="宋体"/>
          <w:color w:val="auto"/>
          <w:szCs w:val="21"/>
          <w:highlight w:val="none"/>
        </w:rPr>
        <w:t>.4.1 发包人供应的材料设备的保管费用的承担：</w:t>
      </w:r>
      <w:r>
        <w:rPr>
          <w:rFonts w:hint="eastAsia" w:ascii="宋体" w:hAnsi="宋体"/>
          <w:color w:val="auto"/>
          <w:szCs w:val="21"/>
          <w:highlight w:val="none"/>
          <w:u w:val="single"/>
        </w:rPr>
        <w:t xml:space="preserve"> 由承包人承担 </w:t>
      </w:r>
      <w:r>
        <w:rPr>
          <w:rFonts w:hint="eastAsia" w:ascii="宋体" w:hAnsi="宋体"/>
          <w:color w:val="auto"/>
          <w:szCs w:val="21"/>
          <w:highlight w:val="none"/>
        </w:rPr>
        <w:t>。</w:t>
      </w:r>
      <w:bookmarkEnd w:id="663"/>
      <w:bookmarkEnd w:id="664"/>
    </w:p>
    <w:p>
      <w:pPr>
        <w:pStyle w:val="7"/>
        <w:spacing w:before="0" w:beforeAutospacing="0" w:after="0" w:afterAutospacing="0" w:line="360" w:lineRule="auto"/>
        <w:ind w:firstLine="422" w:firstLineChars="200"/>
        <w:rPr>
          <w:color w:val="auto"/>
          <w:sz w:val="21"/>
          <w:szCs w:val="21"/>
          <w:highlight w:val="none"/>
        </w:rPr>
      </w:pPr>
      <w:bookmarkStart w:id="681" w:name="_Toc532377365"/>
      <w:bookmarkStart w:id="682" w:name="_Toc532375629"/>
      <w:r>
        <w:rPr>
          <w:rFonts w:hint="eastAsia"/>
          <w:color w:val="auto"/>
          <w:sz w:val="21"/>
          <w:szCs w:val="21"/>
          <w:highlight w:val="none"/>
        </w:rPr>
        <w:t>8.6 样品</w:t>
      </w:r>
      <w:bookmarkEnd w:id="681"/>
      <w:bookmarkEnd w:id="682"/>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8.6.1 样品的报送与封存</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需要承包人报送样品的材料或工程设备，样品的种类、名称、规格、数量要求：</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683" w:name="_Toc532375630"/>
      <w:bookmarkStart w:id="684" w:name="_Toc532377366"/>
      <w:r>
        <w:rPr>
          <w:rFonts w:hint="eastAsia"/>
          <w:color w:val="auto"/>
          <w:sz w:val="21"/>
          <w:szCs w:val="21"/>
          <w:highlight w:val="none"/>
        </w:rPr>
        <w:t>8.8 施工设备和临时设施</w:t>
      </w:r>
      <w:bookmarkEnd w:id="683"/>
      <w:bookmarkEnd w:id="684"/>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8.8.1 承包人提供的施工设备和临时设施</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关于修建临时设施费用承担的约定：</w:t>
      </w:r>
      <w:r>
        <w:rPr>
          <w:rFonts w:hint="eastAsia" w:ascii="宋体" w:hAnsi="宋体"/>
          <w:color w:val="auto"/>
          <w:szCs w:val="21"/>
          <w:highlight w:val="none"/>
          <w:u w:val="single"/>
        </w:rPr>
        <w:t>由承包人承担</w:t>
      </w:r>
      <w:r>
        <w:rPr>
          <w:rFonts w:hint="eastAsia" w:ascii="宋体" w:hAnsi="宋体"/>
          <w:color w:val="auto"/>
          <w:szCs w:val="21"/>
          <w:highlight w:val="none"/>
        </w:rPr>
        <w:t>。</w:t>
      </w:r>
    </w:p>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685" w:name="_Toc532377367"/>
      <w:bookmarkStart w:id="686" w:name="_Toc532375631"/>
      <w:bookmarkStart w:id="687" w:name="_Toc351203641"/>
      <w:r>
        <w:rPr>
          <w:rFonts w:hint="eastAsia"/>
          <w:color w:val="auto"/>
          <w:kern w:val="2"/>
          <w:sz w:val="21"/>
          <w:szCs w:val="21"/>
          <w:highlight w:val="none"/>
        </w:rPr>
        <w:t>9</w:t>
      </w:r>
      <w:bookmarkEnd w:id="660"/>
      <w:bookmarkEnd w:id="661"/>
      <w:bookmarkEnd w:id="662"/>
      <w:bookmarkStart w:id="688" w:name="_Toc297216192"/>
      <w:bookmarkStart w:id="689" w:name="_Toc312677495"/>
      <w:bookmarkStart w:id="690" w:name="_Toc300934982"/>
      <w:bookmarkStart w:id="691" w:name="_Toc303539139"/>
      <w:bookmarkStart w:id="692" w:name="_Toc304295559"/>
      <w:bookmarkStart w:id="693" w:name="_Toc312678021"/>
      <w:bookmarkStart w:id="694" w:name="_Toc297123533"/>
      <w:r>
        <w:rPr>
          <w:rFonts w:hint="eastAsia"/>
          <w:color w:val="auto"/>
          <w:kern w:val="2"/>
          <w:sz w:val="21"/>
          <w:szCs w:val="21"/>
          <w:highlight w:val="none"/>
        </w:rPr>
        <w:t>. 试验与检验</w:t>
      </w:r>
      <w:bookmarkEnd w:id="685"/>
      <w:bookmarkEnd w:id="686"/>
      <w:bookmarkEnd w:id="687"/>
    </w:p>
    <w:bookmarkEnd w:id="688"/>
    <w:bookmarkEnd w:id="689"/>
    <w:bookmarkEnd w:id="690"/>
    <w:bookmarkEnd w:id="691"/>
    <w:bookmarkEnd w:id="692"/>
    <w:bookmarkEnd w:id="693"/>
    <w:bookmarkEnd w:id="694"/>
    <w:p>
      <w:pPr>
        <w:pStyle w:val="7"/>
        <w:spacing w:before="0" w:beforeAutospacing="0" w:after="0" w:afterAutospacing="0" w:line="360" w:lineRule="auto"/>
        <w:ind w:firstLine="422" w:firstLineChars="200"/>
        <w:rPr>
          <w:color w:val="auto"/>
          <w:sz w:val="21"/>
          <w:szCs w:val="21"/>
          <w:highlight w:val="none"/>
        </w:rPr>
      </w:pPr>
      <w:bookmarkStart w:id="695" w:name="_Toc532377368"/>
      <w:bookmarkStart w:id="696" w:name="_Toc532375632"/>
      <w:r>
        <w:rPr>
          <w:rFonts w:hint="eastAsia"/>
          <w:color w:val="auto"/>
          <w:sz w:val="21"/>
          <w:szCs w:val="21"/>
          <w:highlight w:val="none"/>
        </w:rPr>
        <w:t>9</w:t>
      </w:r>
      <w:bookmarkStart w:id="697" w:name="_Toc300934983"/>
      <w:bookmarkStart w:id="698" w:name="_Toc297123534"/>
      <w:bookmarkStart w:id="699" w:name="_Toc312677496"/>
      <w:bookmarkStart w:id="700" w:name="_Toc304295560"/>
      <w:bookmarkStart w:id="701" w:name="_Toc312678022"/>
      <w:bookmarkStart w:id="702" w:name="_Toc303539140"/>
      <w:bookmarkStart w:id="703" w:name="_Toc297216193"/>
      <w:r>
        <w:rPr>
          <w:rFonts w:hint="eastAsia"/>
          <w:color w:val="auto"/>
          <w:sz w:val="21"/>
          <w:szCs w:val="21"/>
          <w:highlight w:val="none"/>
        </w:rPr>
        <w:t>.1 试验设备与试验人员</w:t>
      </w:r>
      <w:bookmarkEnd w:id="695"/>
      <w:bookmarkEnd w:id="696"/>
    </w:p>
    <w:bookmarkEnd w:id="697"/>
    <w:bookmarkEnd w:id="698"/>
    <w:bookmarkEnd w:id="699"/>
    <w:bookmarkEnd w:id="700"/>
    <w:bookmarkEnd w:id="701"/>
    <w:bookmarkEnd w:id="702"/>
    <w:bookmarkEnd w:id="703"/>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w:t>
      </w:r>
      <w:bookmarkStart w:id="704" w:name="_Toc312678023"/>
      <w:bookmarkStart w:id="705" w:name="_Toc312677497"/>
      <w:bookmarkStart w:id="706" w:name="_Toc297216194"/>
      <w:bookmarkStart w:id="707" w:name="_Toc303539141"/>
      <w:bookmarkStart w:id="708" w:name="_Toc297123535"/>
      <w:bookmarkStart w:id="709" w:name="_Toc304295561"/>
      <w:bookmarkStart w:id="710" w:name="_Toc300934984"/>
      <w:bookmarkStart w:id="711" w:name="_Toc318581174"/>
      <w:r>
        <w:rPr>
          <w:rFonts w:hint="eastAsia" w:ascii="宋体" w:hAnsi="宋体"/>
          <w:color w:val="auto"/>
          <w:szCs w:val="21"/>
          <w:highlight w:val="none"/>
        </w:rPr>
        <w:t>.1.2 试验设备</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施工现场需要配置的试验场所：</w:t>
      </w:r>
      <w:bookmarkEnd w:id="704"/>
      <w:bookmarkEnd w:id="705"/>
      <w:bookmarkEnd w:id="706"/>
      <w:bookmarkEnd w:id="707"/>
      <w:bookmarkEnd w:id="708"/>
      <w:bookmarkEnd w:id="709"/>
      <w:bookmarkEnd w:id="710"/>
      <w:bookmarkStart w:id="712" w:name="_Toc297216195"/>
      <w:bookmarkStart w:id="713" w:name="_Toc312678024"/>
      <w:bookmarkStart w:id="714" w:name="_Toc297123536"/>
      <w:bookmarkStart w:id="715" w:name="_Toc300934985"/>
      <w:bookmarkStart w:id="716" w:name="_Toc312677498"/>
      <w:bookmarkStart w:id="717" w:name="_Toc304295562"/>
      <w:bookmarkStart w:id="718" w:name="_Toc303539142"/>
      <w:r>
        <w:rPr>
          <w:rFonts w:hint="eastAsia" w:ascii="宋体" w:hAnsi="宋体"/>
          <w:color w:val="auto"/>
          <w:szCs w:val="21"/>
          <w:highlight w:val="none"/>
          <w:u w:val="single"/>
        </w:rPr>
        <w:t>满足工程施工的需要</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施工现场需要配备的试验设备：</w:t>
      </w:r>
      <w:r>
        <w:rPr>
          <w:rFonts w:hint="eastAsia" w:ascii="宋体" w:hAnsi="宋体"/>
          <w:color w:val="auto"/>
          <w:szCs w:val="21"/>
          <w:highlight w:val="none"/>
          <w:u w:val="single"/>
        </w:rPr>
        <w:t>满足工程施工的需要</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施工现场需要具备的其他试验条件：</w:t>
      </w:r>
      <w:r>
        <w:rPr>
          <w:rFonts w:hint="eastAsia" w:ascii="宋体" w:hAnsi="宋体"/>
          <w:color w:val="auto"/>
          <w:szCs w:val="21"/>
          <w:highlight w:val="none"/>
          <w:u w:val="single"/>
        </w:rPr>
        <w:t xml:space="preserve"> 满足工程施工的需要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719" w:name="_Toc532375633"/>
      <w:bookmarkStart w:id="720" w:name="_Toc532377369"/>
      <w:r>
        <w:rPr>
          <w:rFonts w:hint="eastAsia"/>
          <w:color w:val="auto"/>
          <w:sz w:val="21"/>
          <w:szCs w:val="21"/>
          <w:highlight w:val="none"/>
        </w:rPr>
        <w:t>9.4 现场工艺试验</w:t>
      </w:r>
      <w:bookmarkEnd w:id="719"/>
      <w:bookmarkEnd w:id="720"/>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本款补充9.4.1～9.4.5项：</w:t>
      </w:r>
    </w:p>
    <w:bookmarkEnd w:id="711"/>
    <w:bookmarkEnd w:id="712"/>
    <w:bookmarkEnd w:id="713"/>
    <w:bookmarkEnd w:id="714"/>
    <w:bookmarkEnd w:id="715"/>
    <w:bookmarkEnd w:id="716"/>
    <w:bookmarkEnd w:id="717"/>
    <w:bookmarkEnd w:id="718"/>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9.4.1一般检验试验：</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9.4.2特殊检验试验：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发包人委托的第三方检测试验机构检测试验的试件所需的材料、取样、送检及相关配合工作由承包人负责完成并承担由此产生的所有相关费用。</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（2）施工措施的检测、试验：因施工措施需要而做的相关检测、试验由承包人负责实施，其费用由承包人承担。</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9.4.3专项检测：</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9.4.4若因承包人取样、制样、送检及相关配合不及时而导致工程的工期和费用增加，影响的工期不予延长，增加费用由承包人承担。</w:t>
      </w:r>
    </w:p>
    <w:p>
      <w:pPr>
        <w:tabs>
          <w:tab w:val="left" w:pos="711"/>
          <w:tab w:val="left" w:pos="2580"/>
        </w:tabs>
        <w:spacing w:line="360" w:lineRule="auto"/>
        <w:ind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9.4.5检测试验不合格的项目，其缺陷处理和复测费用由承包人承担，工期不予延长。</w:t>
      </w:r>
    </w:p>
    <w:bookmarkEnd w:id="557"/>
    <w:bookmarkEnd w:id="558"/>
    <w:bookmarkEnd w:id="559"/>
    <w:bookmarkEnd w:id="560"/>
    <w:bookmarkEnd w:id="561"/>
    <w:bookmarkEnd w:id="562"/>
    <w:bookmarkEnd w:id="563"/>
    <w:bookmarkEnd w:id="564"/>
    <w:bookmarkEnd w:id="565"/>
    <w:bookmarkEnd w:id="566"/>
    <w:bookmarkEnd w:id="567"/>
    <w:bookmarkEnd w:id="568"/>
    <w:bookmarkEnd w:id="569"/>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721" w:name="_Toc532377370"/>
      <w:bookmarkStart w:id="722" w:name="_Toc532375634"/>
      <w:bookmarkStart w:id="723" w:name="_Toc267251488"/>
      <w:bookmarkStart w:id="724" w:name="_Hlk524298112"/>
      <w:bookmarkStart w:id="725" w:name="_Toc267251485"/>
      <w:bookmarkStart w:id="726" w:name="_Toc267251482"/>
      <w:bookmarkStart w:id="727" w:name="_Toc267251484"/>
      <w:bookmarkStart w:id="728" w:name="_Toc267251486"/>
      <w:bookmarkStart w:id="729" w:name="_Toc267251490"/>
      <w:bookmarkStart w:id="730" w:name="_Toc267251489"/>
      <w:bookmarkStart w:id="731" w:name="_Toc267251508"/>
      <w:bookmarkStart w:id="732" w:name="_Toc267251502"/>
      <w:bookmarkStart w:id="733" w:name="_Toc267251494"/>
      <w:bookmarkStart w:id="734" w:name="_Toc267251506"/>
      <w:bookmarkStart w:id="735" w:name="_Toc267251514"/>
      <w:bookmarkStart w:id="736" w:name="_Toc267251507"/>
      <w:bookmarkStart w:id="737" w:name="_Toc267251503"/>
      <w:bookmarkStart w:id="738" w:name="_Toc267251511"/>
      <w:bookmarkStart w:id="739" w:name="_Toc267251498"/>
      <w:bookmarkStart w:id="740" w:name="_Toc267251496"/>
      <w:bookmarkStart w:id="741" w:name="_Toc267251509"/>
      <w:bookmarkStart w:id="742" w:name="_Toc267251499"/>
      <w:bookmarkStart w:id="743" w:name="_Toc267251510"/>
      <w:bookmarkStart w:id="744" w:name="_Toc267251495"/>
      <w:bookmarkStart w:id="745" w:name="_Toc267251492"/>
      <w:bookmarkStart w:id="746" w:name="_Toc267251497"/>
      <w:bookmarkStart w:id="747" w:name="_Toc267251493"/>
      <w:bookmarkStart w:id="748" w:name="_Toc267251491"/>
      <w:bookmarkStart w:id="749" w:name="_Toc267251513"/>
      <w:bookmarkStart w:id="750" w:name="_Toc267251515"/>
      <w:bookmarkStart w:id="751" w:name="_Toc267251504"/>
      <w:bookmarkStart w:id="752" w:name="_Toc267251501"/>
      <w:r>
        <w:rPr>
          <w:rFonts w:hint="eastAsia"/>
          <w:color w:val="auto"/>
          <w:kern w:val="2"/>
          <w:sz w:val="21"/>
          <w:szCs w:val="21"/>
          <w:highlight w:val="none"/>
        </w:rPr>
        <w:t>1</w:t>
      </w:r>
      <w:bookmarkStart w:id="753" w:name="_Toc297048379"/>
      <w:bookmarkStart w:id="754" w:name="_Toc300934989"/>
      <w:bookmarkStart w:id="755" w:name="_Toc296503193"/>
      <w:bookmarkStart w:id="756" w:name="_Toc304295566"/>
      <w:bookmarkStart w:id="757" w:name="_Toc292559903"/>
      <w:bookmarkStart w:id="758" w:name="_Toc296891233"/>
      <w:bookmarkStart w:id="759" w:name="_Toc296346694"/>
      <w:bookmarkStart w:id="760" w:name="_Toc297123540"/>
      <w:bookmarkStart w:id="761" w:name="_Toc297216199"/>
      <w:bookmarkStart w:id="762" w:name="_Toc297120493"/>
      <w:bookmarkStart w:id="763" w:name="_Toc303539146"/>
      <w:bookmarkStart w:id="764" w:name="_Toc296891021"/>
      <w:bookmarkStart w:id="765" w:name="_Toc292559398"/>
      <w:bookmarkStart w:id="766" w:name="_Toc296347192"/>
      <w:bookmarkStart w:id="767" w:name="_Toc296944532"/>
      <w:bookmarkStart w:id="768" w:name="_Toc312677499"/>
      <w:bookmarkStart w:id="769" w:name="_Toc312678025"/>
      <w:bookmarkStart w:id="770" w:name="_Toc267251440"/>
      <w:bookmarkStart w:id="771" w:name="_Toc267251435"/>
      <w:bookmarkStart w:id="772" w:name="_Toc267251439"/>
      <w:bookmarkStart w:id="773" w:name="_Toc267251441"/>
      <w:bookmarkStart w:id="774" w:name="_Toc267251433"/>
      <w:bookmarkStart w:id="775" w:name="_Toc267251437"/>
      <w:r>
        <w:rPr>
          <w:rFonts w:hint="eastAsia"/>
          <w:color w:val="auto"/>
          <w:kern w:val="2"/>
          <w:sz w:val="21"/>
          <w:szCs w:val="21"/>
          <w:highlight w:val="none"/>
        </w:rPr>
        <w:t>0. 变更</w:t>
      </w:r>
      <w:bookmarkEnd w:id="721"/>
      <w:bookmarkEnd w:id="72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bookmarkEnd w:id="768"/>
    <w:bookmarkEnd w:id="769"/>
    <w:p>
      <w:pPr>
        <w:pStyle w:val="7"/>
        <w:spacing w:before="0" w:beforeAutospacing="0" w:after="0" w:afterAutospacing="0" w:line="360" w:lineRule="auto"/>
        <w:ind w:firstLine="422" w:firstLineChars="200"/>
        <w:rPr>
          <w:color w:val="auto"/>
          <w:sz w:val="21"/>
          <w:szCs w:val="21"/>
          <w:highlight w:val="none"/>
        </w:rPr>
      </w:pPr>
      <w:bookmarkStart w:id="776" w:name="_Toc532377371"/>
      <w:bookmarkStart w:id="777" w:name="_Toc532375635"/>
      <w:r>
        <w:rPr>
          <w:rFonts w:hint="eastAsia"/>
          <w:color w:val="auto"/>
          <w:sz w:val="21"/>
          <w:szCs w:val="21"/>
          <w:highlight w:val="none"/>
        </w:rPr>
        <w:t>1</w:t>
      </w:r>
      <w:bookmarkStart w:id="778" w:name="_Toc296891234"/>
      <w:bookmarkStart w:id="779" w:name="_Toc297120494"/>
      <w:bookmarkStart w:id="780" w:name="_Toc300934990"/>
      <w:bookmarkStart w:id="781" w:name="_Toc303539147"/>
      <w:bookmarkStart w:id="782" w:name="_Toc297123541"/>
      <w:bookmarkStart w:id="783" w:name="_Toc297048380"/>
      <w:bookmarkStart w:id="784" w:name="_Toc296891022"/>
      <w:bookmarkStart w:id="785" w:name="_Toc296503194"/>
      <w:bookmarkStart w:id="786" w:name="_Toc296944533"/>
      <w:bookmarkStart w:id="787" w:name="_Toc304295567"/>
      <w:bookmarkStart w:id="788" w:name="_Toc296347193"/>
      <w:bookmarkStart w:id="789" w:name="_Toc292559399"/>
      <w:bookmarkStart w:id="790" w:name="_Toc297216200"/>
      <w:bookmarkStart w:id="791" w:name="_Toc292559904"/>
      <w:bookmarkStart w:id="792" w:name="_Toc312677500"/>
      <w:bookmarkStart w:id="793" w:name="_Toc296346695"/>
      <w:bookmarkStart w:id="794" w:name="_Toc312678026"/>
      <w:r>
        <w:rPr>
          <w:rFonts w:hint="eastAsia"/>
          <w:color w:val="auto"/>
          <w:sz w:val="21"/>
          <w:szCs w:val="21"/>
          <w:highlight w:val="none"/>
        </w:rPr>
        <w:t>0.1变更的范围</w:t>
      </w:r>
      <w:bookmarkEnd w:id="776"/>
      <w:bookmarkEnd w:id="777"/>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关于变更范围的约定：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（1）增加或减少合同中任何工作，或追加额外的工作；</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（2）取消合同中任何工作；</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（3）改变合同中任何工作的质量标准或其他特性；</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（4）改变工程的基线、标高、位置和尺寸；</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（5）适用于工程的标准和（或）规范变化导致需要对工程进行改变，且该改变导致工期和（或）费用变化的；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（6）勘察设计变更；</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（7）实施内容变更，包括因设计变更和非设计变更引起的实施地点、投资规模、结构型式、采购数量、服务内容等进行的调整，以及因此导致的合同价格、工期变更；</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（8）项目管理人员变更；</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（9）因人工、原材料等价格变化导致的合同总价变更；</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（10）非实施内容变化导致的工期变更；</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承包人对其提供的材料、工程设备、施工、无负荷试车、热负荷试车及图纸参数存在的缺陷，自费修正、调整和完善，不属于变更。</w:t>
      </w:r>
    </w:p>
    <w:p>
      <w:pPr>
        <w:pStyle w:val="7"/>
        <w:spacing w:before="0" w:beforeAutospacing="0" w:after="0" w:afterAutospacing="0" w:line="360" w:lineRule="auto"/>
        <w:ind w:firstLine="422" w:firstLineChars="200"/>
        <w:rPr>
          <w:color w:val="auto"/>
          <w:sz w:val="21"/>
          <w:szCs w:val="21"/>
          <w:highlight w:val="none"/>
        </w:rPr>
      </w:pPr>
      <w:bookmarkStart w:id="795" w:name="_Toc532375636"/>
      <w:bookmarkStart w:id="796" w:name="_Toc351203569"/>
      <w:bookmarkStart w:id="797" w:name="_Toc532377372"/>
      <w:r>
        <w:rPr>
          <w:rFonts w:hint="eastAsia"/>
          <w:color w:val="auto"/>
          <w:sz w:val="21"/>
          <w:szCs w:val="21"/>
          <w:highlight w:val="none"/>
        </w:rPr>
        <w:t>1</w:t>
      </w:r>
      <w:bookmarkStart w:id="798" w:name="_Toc337558789"/>
      <w:bookmarkStart w:id="799" w:name="_Toc296346586"/>
      <w:bookmarkStart w:id="800" w:name="_Toc296503085"/>
      <w:r>
        <w:rPr>
          <w:rFonts w:hint="eastAsia"/>
          <w:color w:val="auto"/>
          <w:sz w:val="21"/>
          <w:szCs w:val="21"/>
          <w:highlight w:val="none"/>
        </w:rPr>
        <w:t>0.2变更权</w:t>
      </w:r>
      <w:bookmarkEnd w:id="795"/>
      <w:bookmarkEnd w:id="796"/>
      <w:bookmarkEnd w:id="797"/>
    </w:p>
    <w:bookmarkEnd w:id="798"/>
    <w:bookmarkEnd w:id="799"/>
    <w:bookmarkEnd w:id="800"/>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10.2.1发包人和监理人提出变更</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涉及设计变更的，应由设计人提供变更后的图纸和说明，交由发包人同意后由监理人以书面形式发出。如变更超过原设计标准或批准的建设规模时，由发包人及时办理规划、设计变更等审批手续。</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若出现重大设计变更，变更后的内容超出承包人资质或能力范围的，发包人将另行依法招标选择承包单位，无需征得承包人同意。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10.2.2 承包人提出变更建议</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color w:val="auto"/>
          <w:szCs w:val="21"/>
          <w:highlight w:val="none"/>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color w:val="auto"/>
          <w:szCs w:val="21"/>
          <w:highlight w:val="none"/>
        </w:rPr>
        <w:t>。</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如果发包人对承包人已实施的施工项目在发出重大设计变更之前要求承包人提出一份建议，那么，承包人应尽快提出：</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（1）对所提方案和（或）待做工作及其实施计划的说明</w:t>
      </w:r>
      <w:r>
        <w:rPr>
          <w:rFonts w:hint="eastAsia" w:ascii="宋体" w:hAnsi="宋体"/>
          <w:color w:val="auto"/>
          <w:szCs w:val="21"/>
          <w:highlight w:val="none"/>
        </w:rPr>
        <w:t>；</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（2）承包人按照对工程进度计划进行必要修改的建议</w:t>
      </w:r>
      <w:r>
        <w:rPr>
          <w:rFonts w:hint="eastAsia" w:ascii="宋体" w:hAnsi="宋体"/>
          <w:color w:val="auto"/>
          <w:szCs w:val="21"/>
          <w:highlight w:val="none"/>
        </w:rPr>
        <w:t>；</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（3）承包人发生较大返工损失增加费用的建议</w:t>
      </w:r>
      <w:r>
        <w:rPr>
          <w:rFonts w:hint="eastAsia" w:ascii="宋体" w:hAnsi="宋体"/>
          <w:color w:val="auto"/>
          <w:szCs w:val="21"/>
          <w:highlight w:val="none"/>
        </w:rPr>
        <w:t>。</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发包人在收到上述建议书后，应尽快给予批准、否决或提出意见</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801" w:name="_Toc532375637"/>
      <w:bookmarkStart w:id="802" w:name="_Toc532377373"/>
      <w:bookmarkStart w:id="803" w:name="_Toc351203570"/>
      <w:bookmarkStart w:id="804" w:name="_Hlk528928195"/>
      <w:r>
        <w:rPr>
          <w:rFonts w:hint="eastAsia"/>
          <w:color w:val="auto"/>
          <w:sz w:val="21"/>
          <w:szCs w:val="21"/>
          <w:highlight w:val="none"/>
        </w:rPr>
        <w:t>1</w:t>
      </w:r>
      <w:bookmarkStart w:id="805" w:name="_Toc296503086"/>
      <w:bookmarkStart w:id="806" w:name="_Toc296346587"/>
      <w:bookmarkStart w:id="807" w:name="_Toc337558790"/>
      <w:r>
        <w:rPr>
          <w:rFonts w:hint="eastAsia"/>
          <w:color w:val="auto"/>
          <w:sz w:val="21"/>
          <w:szCs w:val="21"/>
          <w:highlight w:val="none"/>
        </w:rPr>
        <w:t>0.3变更程序</w:t>
      </w:r>
      <w:bookmarkEnd w:id="801"/>
      <w:bookmarkEnd w:id="802"/>
    </w:p>
    <w:bookmarkEnd w:id="805"/>
    <w:bookmarkEnd w:id="806"/>
    <w:bookmarkEnd w:id="807"/>
    <w:p>
      <w:pPr>
        <w:autoSpaceDE w:val="0"/>
        <w:autoSpaceDN w:val="0"/>
        <w:spacing w:line="360" w:lineRule="auto"/>
        <w:ind w:firstLine="420" w:firstLineChars="200"/>
        <w:jc w:val="left"/>
        <w:rPr>
          <w:rFonts w:ascii="宋体" w:hAnsi="宋体"/>
          <w:color w:val="auto"/>
          <w:szCs w:val="21"/>
          <w:highlight w:val="none"/>
        </w:rPr>
      </w:pPr>
      <w:bookmarkStart w:id="808" w:name="_Hlk524353972"/>
      <w:r>
        <w:rPr>
          <w:rFonts w:hint="eastAsia" w:ascii="宋体" w:hAnsi="宋体"/>
          <w:color w:val="auto"/>
          <w:szCs w:val="21"/>
          <w:highlight w:val="none"/>
        </w:rPr>
        <w:t>10.3.3 变更执行</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一般设计变更：承包人收到监理人下达的变更指示后，应按照监理人下达的变更指示执行，并书面说明实施该变更指示对合同价格和工期的影响，按照第10.4.1项〔变更估价原则〕约定执行。</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重大设计变更：需经设计人、监理人和发包人三方签名认可并报相关行业部门审查同意后实施。</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10.3.3 项增加以下内容：</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项目的勘察设计、实施内容等作较大变更的，应当按照规定的程序报原审批部门审批；变更导致总投资超概的，应当报原投资概算核定部门核定。</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项目管理人员变更的，应当经发包人领导班子集体决策同意，并将变更信息推送给行业主管部门。变更后的项目管理人员应当符合招标文件和行业主管部门的相关规定。</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因人工、原材料市场价格发生大幅度变化导致的合同总价变更，由发包人与承包人按照合同进行变更，并将变更信息推送给行业主管部门。</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项目实施内容无变更，因不可抗力导致的工期变更，由发包人领导班子集体决策同意，并将变更信息推送给行业主管部门；因项目实施内容变更导致的工期变更，与项目实施内容变更一并办理。</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项目合同变更后，增加的实施内容达到依法必须招标的规模标准的，增加的部分应当依法通过招标选择承包单位。</w:t>
      </w:r>
    </w:p>
    <w:bookmarkEnd w:id="803"/>
    <w:bookmarkEnd w:id="804"/>
    <w:bookmarkEnd w:id="808"/>
    <w:p>
      <w:pPr>
        <w:pStyle w:val="7"/>
        <w:spacing w:before="0" w:beforeAutospacing="0" w:after="0" w:afterAutospacing="0" w:line="360" w:lineRule="auto"/>
        <w:ind w:firstLine="422" w:firstLineChars="200"/>
        <w:rPr>
          <w:color w:val="auto"/>
          <w:sz w:val="21"/>
          <w:szCs w:val="21"/>
          <w:highlight w:val="none"/>
        </w:rPr>
      </w:pPr>
      <w:bookmarkStart w:id="809" w:name="_Toc532377374"/>
      <w:bookmarkStart w:id="810" w:name="_Toc532375638"/>
      <w:r>
        <w:rPr>
          <w:rFonts w:hint="eastAsia"/>
          <w:color w:val="auto"/>
          <w:sz w:val="21"/>
          <w:szCs w:val="21"/>
          <w:highlight w:val="none"/>
        </w:rPr>
        <w:t>10.4 变更估价</w:t>
      </w:r>
      <w:bookmarkEnd w:id="809"/>
      <w:bookmarkEnd w:id="810"/>
    </w:p>
    <w:p>
      <w:pPr>
        <w:spacing w:line="360" w:lineRule="auto"/>
        <w:ind w:firstLine="420" w:firstLineChars="200"/>
        <w:jc w:val="left"/>
        <w:rPr>
          <w:rFonts w:ascii="宋体" w:hAnsi="宋体"/>
          <w:color w:val="auto"/>
          <w:szCs w:val="21"/>
          <w:highlight w:val="none"/>
        </w:rPr>
      </w:pPr>
      <w:bookmarkStart w:id="811" w:name="_Hlk524296629"/>
      <w:r>
        <w:rPr>
          <w:rFonts w:hint="eastAsia" w:ascii="宋体" w:hAnsi="宋体"/>
          <w:color w:val="auto"/>
          <w:szCs w:val="21"/>
          <w:highlight w:val="none"/>
        </w:rPr>
        <w:t>10.4.1 变更估价原则</w:t>
      </w:r>
    </w:p>
    <w:p>
      <w:pPr>
        <w:pStyle w:val="2"/>
        <w:spacing w:after="0"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当发生工程变更时，工程量按</w:t>
      </w:r>
      <w:r>
        <w:rPr>
          <w:rFonts w:hint="eastAsia" w:ascii="宋体" w:hAnsi="宋体"/>
          <w:color w:val="auto"/>
          <w:szCs w:val="21"/>
          <w:highlight w:val="none"/>
          <w:u w:val="single"/>
        </w:rPr>
        <w:t xml:space="preserve"> 《重庆市建设工程工程量清单计价规则》CQJJGZ-2013、《重庆市建设工程工程量计算规则》CQJLGZ-2013  </w:t>
      </w:r>
      <w:r>
        <w:rPr>
          <w:rFonts w:hint="eastAsia" w:ascii="宋体" w:hAnsi="宋体"/>
          <w:color w:val="auto"/>
          <w:szCs w:val="21"/>
          <w:highlight w:val="none"/>
        </w:rPr>
        <w:t>规定的计算规则及已标价工程量清单规定的工程量计算规则计量，按以下办法计价：</w:t>
      </w:r>
      <w:bookmarkStart w:id="812" w:name="_Hlk524770102"/>
    </w:p>
    <w:bookmarkEnd w:id="812"/>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10.4.1.1已标价工程量清单中有相同项目的，按照相同项目单价计算；</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10.4.1.2已标价工程量清单中有类似项目的，参考类似项目单价计算；</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10.4.1.3已标价工程量清单中无相同项目亦无类似项目的，按照以下原则执行：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承包人报价浮动率按下列公式计算：承包人报价浮动率=（1-中标价/最高限价）×100%。</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（1）人工单价：按开标当期《重庆工程造价信息》发布的项目所在地的人工单价执行。</w:t>
      </w:r>
    </w:p>
    <w:p>
      <w:pPr>
        <w:spacing w:line="360" w:lineRule="auto"/>
        <w:ind w:firstLine="420" w:firstLineChars="200"/>
        <w:jc w:val="left"/>
        <w:rPr>
          <w:rFonts w:ascii="宋体" w:hAnsi="宋体"/>
          <w:color w:val="auto"/>
          <w:szCs w:val="21"/>
          <w:highlight w:val="none"/>
        </w:rPr>
      </w:pPr>
      <w:bookmarkStart w:id="813" w:name="_Hlk529023896"/>
      <w:r>
        <w:rPr>
          <w:rFonts w:hint="eastAsia" w:ascii="宋体" w:hAnsi="宋体"/>
          <w:color w:val="auto"/>
          <w:szCs w:val="21"/>
          <w:highlight w:val="none"/>
        </w:rPr>
        <w:t>（2）材料单价：</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①按</w:t>
      </w:r>
      <w:bookmarkStart w:id="814" w:name="_Hlk529023354"/>
      <w:r>
        <w:rPr>
          <w:rFonts w:hint="eastAsia" w:ascii="宋体" w:hAnsi="宋体"/>
          <w:color w:val="auto"/>
          <w:szCs w:val="21"/>
          <w:highlight w:val="none"/>
        </w:rPr>
        <w:t>开标当期《重庆工程造价信息》发布的项目所在地的信息价</w:t>
      </w:r>
      <w:bookmarkEnd w:id="814"/>
      <w:r>
        <w:rPr>
          <w:rFonts w:hint="eastAsia" w:ascii="宋体" w:hAnsi="宋体"/>
          <w:color w:val="auto"/>
          <w:szCs w:val="21"/>
          <w:highlight w:val="none"/>
        </w:rPr>
        <w:t>执行；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②开标当期《重庆工程造价信息》中没有的，承包人投标报价中有的，按承包人投标报价中相同材料单价的最低值执行；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③开标当期《重庆工程造价信息》和承包人投标报价没有的，由承包人申报、监理人会同跟审单位、发包人根据市场行情认质核价确定。</w:t>
      </w:r>
    </w:p>
    <w:bookmarkEnd w:id="813"/>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企业管理费和利润：按承包人投标报价中相同工程分类的费用标准执行（投标报价中费用标准高于《重庆市建设工程费用定额》（CQFYDE-2018）费用标准的，按《重庆市建设工程费用定额》（CQFYDE-2018）费用标准执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（4）规费：按《重庆市建设工程费用定额》（CQFYDE-2018）费用标准进行计算。</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（5）税金：包含增值税、城市维护建设税、教育费附加、地方教育附加以及环境保护税。其中增值税按《重庆市建设工程费用定额》（CQFYDE-2018）规定及配套文件执行。</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本款补充10.4.3项：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安全文明施工费应按照实际发生变化的措施项目依据现行安全文明施工费计取及管理政策规定及《重庆市建设工程费用定额》（CQFYDE-2018）规定执行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按照单价计算的措施项目费，应按照实际发生变化的措施项目，按照第10.4.1项〔变更估价原则〕约定执行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按总价（或系数）计算的措施项目费，应按照实际发生变化的措施项目费按承包人报价浮动率下浮后的金额计算</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（4）</w:t>
      </w:r>
      <w:r>
        <w:rPr>
          <w:rFonts w:hint="eastAsia" w:ascii="宋体" w:hAnsi="宋体"/>
          <w:color w:val="auto"/>
          <w:szCs w:val="21"/>
          <w:highlight w:val="none"/>
          <w:u w:val="single"/>
        </w:rPr>
        <w:t>如果承包人未事前将拟实施的方案提交给发包人确认，则应视为工程变更不引起措施项目费的调整或承包人放弃调整措施项目费的权利</w:t>
      </w:r>
      <w:r>
        <w:rPr>
          <w:rFonts w:hint="eastAsia" w:ascii="宋体" w:hAnsi="宋体"/>
          <w:color w:val="auto"/>
          <w:szCs w:val="21"/>
          <w:highlight w:val="none"/>
        </w:rPr>
        <w:t>。</w:t>
      </w:r>
    </w:p>
    <w:bookmarkEnd w:id="811"/>
    <w:p>
      <w:pPr>
        <w:pStyle w:val="7"/>
        <w:spacing w:before="0" w:beforeAutospacing="0" w:after="0" w:afterAutospacing="0" w:line="360" w:lineRule="auto"/>
        <w:ind w:firstLine="422" w:firstLineChars="200"/>
        <w:rPr>
          <w:color w:val="auto"/>
          <w:sz w:val="21"/>
          <w:szCs w:val="21"/>
          <w:highlight w:val="none"/>
        </w:rPr>
      </w:pPr>
      <w:bookmarkStart w:id="815" w:name="_Toc532375639"/>
      <w:bookmarkStart w:id="816" w:name="_Toc532377375"/>
      <w:r>
        <w:rPr>
          <w:rFonts w:hint="eastAsia"/>
          <w:color w:val="auto"/>
          <w:sz w:val="21"/>
          <w:szCs w:val="21"/>
          <w:highlight w:val="none"/>
        </w:rPr>
        <w:t>1</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Start w:id="817" w:name="_Toc303539150"/>
      <w:bookmarkStart w:id="818" w:name="_Toc296503197"/>
      <w:bookmarkStart w:id="819" w:name="_Toc292559402"/>
      <w:bookmarkStart w:id="820" w:name="_Toc300934993"/>
      <w:bookmarkStart w:id="821" w:name="_Toc297120497"/>
      <w:bookmarkStart w:id="822" w:name="_Toc296891025"/>
      <w:bookmarkStart w:id="823" w:name="_Toc296891237"/>
      <w:bookmarkStart w:id="824" w:name="_Toc296347196"/>
      <w:bookmarkStart w:id="825" w:name="_Toc296346698"/>
      <w:bookmarkStart w:id="826" w:name="_Toc292559907"/>
      <w:bookmarkStart w:id="827" w:name="_Toc297216203"/>
      <w:bookmarkStart w:id="828" w:name="_Toc297048383"/>
      <w:bookmarkStart w:id="829" w:name="_Toc296944536"/>
      <w:bookmarkStart w:id="830" w:name="_Toc297123544"/>
      <w:bookmarkStart w:id="831" w:name="_Toc312678029"/>
      <w:bookmarkStart w:id="832" w:name="_Toc304295570"/>
      <w:bookmarkStart w:id="833" w:name="_Toc312677503"/>
      <w:r>
        <w:rPr>
          <w:rFonts w:hint="eastAsia"/>
          <w:color w:val="auto"/>
          <w:sz w:val="21"/>
          <w:szCs w:val="21"/>
          <w:highlight w:val="none"/>
        </w:rPr>
        <w:t>0.5承</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Start w:id="834" w:name="_Toc292559408"/>
      <w:bookmarkStart w:id="835" w:name="_Toc296503203"/>
      <w:bookmarkStart w:id="836" w:name="_Toc296347202"/>
      <w:bookmarkStart w:id="837" w:name="_Toc292559913"/>
      <w:bookmarkStart w:id="838" w:name="_Toc297123545"/>
      <w:bookmarkStart w:id="839" w:name="_Toc296891243"/>
      <w:bookmarkStart w:id="840" w:name="_Toc296346704"/>
      <w:bookmarkStart w:id="841" w:name="_Toc296891031"/>
      <w:bookmarkStart w:id="842" w:name="_Toc296944542"/>
      <w:bookmarkStart w:id="843" w:name="_Toc303539151"/>
      <w:bookmarkStart w:id="844" w:name="_Toc300934994"/>
      <w:bookmarkStart w:id="845" w:name="_Toc297120503"/>
      <w:bookmarkStart w:id="846" w:name="_Toc297048389"/>
      <w:bookmarkStart w:id="847" w:name="_Toc297216204"/>
      <w:r>
        <w:rPr>
          <w:rFonts w:hint="eastAsia"/>
          <w:color w:val="auto"/>
          <w:sz w:val="21"/>
          <w:szCs w:val="21"/>
          <w:highlight w:val="none"/>
        </w:rPr>
        <w:t>包人的合理化建议</w:t>
      </w:r>
      <w:bookmarkEnd w:id="815"/>
      <w:bookmarkEnd w:id="816"/>
    </w:p>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承包人提出合理化建议的，应向监理人提交合理化建议说明，说明建议的内容和理由，以及实施该建议对合同价格和（或）工期和（或）工程经济效益的影响。</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监理人审查承包人合理化建议的期限：</w:t>
      </w:r>
      <w:r>
        <w:rPr>
          <w:rFonts w:hint="eastAsia" w:ascii="宋体" w:hAnsi="宋体"/>
          <w:color w:val="auto"/>
          <w:szCs w:val="21"/>
          <w:highlight w:val="none"/>
          <w:u w:val="single"/>
        </w:rPr>
        <w:t>不超过14天</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发包人审批承包人合理化建议的期限：</w:t>
      </w:r>
      <w:r>
        <w:rPr>
          <w:rFonts w:hint="eastAsia" w:ascii="宋体" w:hAnsi="宋体"/>
          <w:color w:val="auto"/>
          <w:szCs w:val="21"/>
          <w:highlight w:val="none"/>
          <w:u w:val="single"/>
        </w:rPr>
        <w:t>不超过14天</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w:t>
      </w:r>
      <w:bookmarkStart w:id="848" w:name="_Toc296891032"/>
      <w:bookmarkStart w:id="849" w:name="_Toc296891244"/>
      <w:bookmarkStart w:id="850" w:name="_Toc297048390"/>
      <w:bookmarkStart w:id="851" w:name="_Toc312677504"/>
      <w:bookmarkStart w:id="852" w:name="_Toc297120504"/>
      <w:bookmarkStart w:id="853" w:name="_Toc318581175"/>
      <w:bookmarkStart w:id="854" w:name="_Toc292559409"/>
      <w:bookmarkStart w:id="855" w:name="_Toc296347203"/>
      <w:bookmarkStart w:id="856" w:name="_Toc303539152"/>
      <w:bookmarkStart w:id="857" w:name="_Toc297123546"/>
      <w:bookmarkStart w:id="858" w:name="_Toc296503204"/>
      <w:bookmarkStart w:id="859" w:name="_Toc304295571"/>
      <w:bookmarkStart w:id="860" w:name="_Toc312678030"/>
      <w:bookmarkStart w:id="861" w:name="_Toc297216205"/>
      <w:bookmarkStart w:id="862" w:name="_Toc296944543"/>
      <w:bookmarkStart w:id="863" w:name="_Toc300934995"/>
      <w:bookmarkStart w:id="864" w:name="_Toc292559914"/>
      <w:bookmarkStart w:id="865" w:name="_Toc296346705"/>
      <w:r>
        <w:rPr>
          <w:rFonts w:hint="eastAsia" w:ascii="宋体" w:hAnsi="宋体"/>
          <w:color w:val="auto"/>
          <w:szCs w:val="21"/>
          <w:highlight w:val="none"/>
        </w:rPr>
        <w:t>包人提出的合理化建议降低了合同价格或缩短了工期或者提高了工程经济效益的奖励的方法和金额为：</w:t>
      </w:r>
      <w:r>
        <w:rPr>
          <w:rFonts w:hint="eastAsia" w:ascii="宋体" w:hAnsi="宋体"/>
          <w:color w:val="auto"/>
          <w:szCs w:val="21"/>
          <w:highlight w:val="none"/>
          <w:u w:val="single"/>
        </w:rPr>
        <w:t>合理化建议带来经济效益的5～10 %</w:t>
      </w:r>
      <w:r>
        <w:rPr>
          <w:rFonts w:hint="eastAsia" w:ascii="宋体" w:hAnsi="宋体"/>
          <w:color w:val="auto"/>
          <w:szCs w:val="21"/>
          <w:highlight w:val="none"/>
        </w:rPr>
        <w:t>。</w:t>
      </w:r>
    </w:p>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Pr>
        <w:pStyle w:val="7"/>
        <w:spacing w:before="0" w:beforeAutospacing="0" w:after="0" w:afterAutospacing="0" w:line="360" w:lineRule="auto"/>
        <w:ind w:firstLine="422" w:firstLineChars="200"/>
        <w:rPr>
          <w:color w:val="auto"/>
          <w:sz w:val="21"/>
          <w:szCs w:val="21"/>
          <w:highlight w:val="none"/>
        </w:rPr>
      </w:pPr>
      <w:bookmarkStart w:id="866" w:name="_Toc532377376"/>
      <w:bookmarkStart w:id="867" w:name="_Toc532375640"/>
      <w:r>
        <w:rPr>
          <w:rFonts w:hint="eastAsia"/>
          <w:color w:val="auto"/>
          <w:sz w:val="21"/>
          <w:szCs w:val="21"/>
          <w:highlight w:val="none"/>
        </w:rPr>
        <w:t>1</w:t>
      </w:r>
      <w:bookmarkStart w:id="868" w:name="_Toc296347198"/>
      <w:bookmarkStart w:id="869" w:name="_Toc297048385"/>
      <w:bookmarkStart w:id="870" w:name="_Toc296346700"/>
      <w:bookmarkStart w:id="871" w:name="_Toc296891239"/>
      <w:bookmarkStart w:id="872" w:name="_Toc303539154"/>
      <w:bookmarkStart w:id="873" w:name="_Toc297123548"/>
      <w:bookmarkStart w:id="874" w:name="_Toc292559909"/>
      <w:bookmarkStart w:id="875" w:name="_Toc312678033"/>
      <w:bookmarkStart w:id="876" w:name="_Toc296891027"/>
      <w:bookmarkStart w:id="877" w:name="_Toc312677507"/>
      <w:bookmarkStart w:id="878" w:name="_Toc296944538"/>
      <w:bookmarkStart w:id="879" w:name="_Toc297216207"/>
      <w:bookmarkStart w:id="880" w:name="_Toc296503199"/>
      <w:bookmarkStart w:id="881" w:name="_Toc300934997"/>
      <w:bookmarkStart w:id="882" w:name="_Toc304295574"/>
      <w:bookmarkStart w:id="883" w:name="_Toc292559404"/>
      <w:bookmarkStart w:id="884" w:name="_Toc297120499"/>
      <w:r>
        <w:rPr>
          <w:rFonts w:hint="eastAsia"/>
          <w:color w:val="auto"/>
          <w:sz w:val="21"/>
          <w:szCs w:val="21"/>
          <w:highlight w:val="none"/>
        </w:rPr>
        <w:t>0.7 暂估价</w:t>
      </w:r>
      <w:bookmarkEnd w:id="866"/>
      <w:bookmarkEnd w:id="867"/>
    </w:p>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专业工程暂估价：</w:t>
      </w:r>
      <w:r>
        <w:rPr>
          <w:rFonts w:hint="eastAsia" w:ascii="宋体" w:hAnsi="宋体"/>
          <w:color w:val="auto"/>
          <w:szCs w:val="21"/>
          <w:highlight w:val="none"/>
          <w:u w:val="single"/>
        </w:rPr>
        <w:t xml:space="preserve">        </w:t>
      </w:r>
      <w:r>
        <w:rPr>
          <w:rFonts w:hint="eastAsia" w:ascii="宋体" w:hAnsi="宋体"/>
          <w:color w:val="auto"/>
          <w:szCs w:val="21"/>
          <w:highlight w:val="none"/>
        </w:rPr>
        <w:t>万元。</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单项合同暂估价在国家相关法律法规规定必须招标规模以上的，需依法必须招标的，由承包人、发包人共同招标确定。</w:t>
      </w:r>
    </w:p>
    <w:p>
      <w:pPr>
        <w:pStyle w:val="7"/>
        <w:spacing w:before="0" w:beforeAutospacing="0" w:after="0" w:afterAutospacing="0" w:line="360" w:lineRule="auto"/>
        <w:ind w:firstLine="422" w:firstLineChars="200"/>
        <w:rPr>
          <w:color w:val="auto"/>
          <w:sz w:val="21"/>
          <w:szCs w:val="21"/>
          <w:highlight w:val="none"/>
        </w:rPr>
      </w:pPr>
      <w:bookmarkStart w:id="885" w:name="_Toc532375641"/>
      <w:bookmarkStart w:id="886" w:name="_Toc532377377"/>
      <w:r>
        <w:rPr>
          <w:rFonts w:hint="eastAsia"/>
          <w:color w:val="auto"/>
          <w:sz w:val="21"/>
          <w:szCs w:val="21"/>
          <w:highlight w:val="none"/>
        </w:rPr>
        <w:t>10.8 暂列金额</w:t>
      </w:r>
      <w:bookmarkEnd w:id="885"/>
      <w:bookmarkEnd w:id="886"/>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合同当事人关于暂列金额使用的约定：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887" w:name="_Toc532377378"/>
      <w:bookmarkStart w:id="888" w:name="_Toc351203643"/>
      <w:bookmarkStart w:id="889" w:name="_Toc532375642"/>
      <w:r>
        <w:rPr>
          <w:rFonts w:hint="eastAsia"/>
          <w:color w:val="auto"/>
          <w:kern w:val="2"/>
          <w:sz w:val="21"/>
          <w:szCs w:val="21"/>
          <w:highlight w:val="none"/>
        </w:rPr>
        <w:t>11. 价格调整</w:t>
      </w:r>
      <w:bookmarkEnd w:id="887"/>
      <w:bookmarkEnd w:id="888"/>
      <w:bookmarkEnd w:id="889"/>
    </w:p>
    <w:p>
      <w:pPr>
        <w:pStyle w:val="7"/>
        <w:spacing w:before="0" w:beforeAutospacing="0" w:after="0" w:afterAutospacing="0" w:line="360" w:lineRule="auto"/>
        <w:ind w:firstLine="422" w:firstLineChars="200"/>
        <w:rPr>
          <w:color w:val="auto"/>
          <w:sz w:val="21"/>
          <w:szCs w:val="21"/>
          <w:highlight w:val="none"/>
        </w:rPr>
      </w:pPr>
      <w:bookmarkStart w:id="890" w:name="_Toc532377379"/>
      <w:bookmarkStart w:id="891" w:name="_Toc532375643"/>
      <w:bookmarkStart w:id="892" w:name="_Toc297048387"/>
      <w:bookmarkStart w:id="893" w:name="_Toc303539157"/>
      <w:bookmarkStart w:id="894" w:name="_Toc300935000"/>
      <w:bookmarkStart w:id="895" w:name="_Toc304295577"/>
      <w:bookmarkStart w:id="896" w:name="_Toc296891029"/>
      <w:bookmarkStart w:id="897" w:name="_Toc297216209"/>
      <w:bookmarkStart w:id="898" w:name="_Toc297120501"/>
      <w:bookmarkStart w:id="899" w:name="_Toc292559406"/>
      <w:bookmarkStart w:id="900" w:name="_Toc297123550"/>
      <w:bookmarkStart w:id="901" w:name="_Toc312678039"/>
      <w:bookmarkStart w:id="902" w:name="_Toc296944540"/>
      <w:bookmarkStart w:id="903" w:name="_Toc296891241"/>
      <w:bookmarkStart w:id="904" w:name="_Toc296503201"/>
      <w:bookmarkStart w:id="905" w:name="_Toc296347200"/>
      <w:bookmarkStart w:id="906" w:name="_Toc292559911"/>
      <w:bookmarkStart w:id="907" w:name="_Toc296346702"/>
      <w:r>
        <w:rPr>
          <w:rFonts w:hint="eastAsia"/>
          <w:color w:val="auto"/>
          <w:sz w:val="21"/>
          <w:szCs w:val="21"/>
          <w:highlight w:val="none"/>
        </w:rPr>
        <w:t>11.1 市场价格波动引起的调整</w:t>
      </w:r>
      <w:bookmarkEnd w:id="890"/>
      <w:bookmarkEnd w:id="891"/>
    </w:p>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pPr>
        <w:spacing w:line="360" w:lineRule="auto"/>
        <w:ind w:firstLine="420" w:firstLineChars="200"/>
        <w:jc w:val="left"/>
        <w:rPr>
          <w:rFonts w:ascii="宋体" w:hAnsi="宋体"/>
          <w:color w:val="auto"/>
          <w:szCs w:val="21"/>
          <w:highlight w:val="none"/>
        </w:rPr>
      </w:pPr>
      <w:bookmarkStart w:id="908" w:name="_Toc466913513"/>
      <w:bookmarkStart w:id="909" w:name="_Toc466913963"/>
      <w:bookmarkStart w:id="910" w:name="_Toc467689641"/>
      <w:bookmarkStart w:id="911" w:name="_Toc466911545"/>
      <w:r>
        <w:rPr>
          <w:rFonts w:hint="eastAsia" w:ascii="宋体" w:hAnsi="宋体"/>
          <w:color w:val="auto"/>
          <w:szCs w:val="21"/>
          <w:highlight w:val="none"/>
        </w:rPr>
        <w:t>市场价格波动是否调整合同价格的约定：</w:t>
      </w:r>
      <w:r>
        <w:rPr>
          <w:rFonts w:hint="eastAsia" w:ascii="宋体" w:hAnsi="宋体"/>
          <w:color w:val="auto"/>
          <w:szCs w:val="21"/>
          <w:highlight w:val="none"/>
          <w:u w:val="single"/>
        </w:rPr>
        <w:t>合同工期一年以上（含一年），且市场价格波动幅度符合第11.1.1项〔人工费价差调整办法〕和（或）第11.1.2项〔材料费价差调整办法〕约定的，按第11.1.1项〔人工费价差调整办法〕和（或）第11.1.2项〔材料费价差调整办法〕约定调整合同价格；第11.1.1项〔人工费价差调整办法〕和（或）第11.1.2项〔材料费价差调整办法〕约定的调差条件之外的市场价格波动风险不调整合同价格，风险费用由承包人自行考虑后纳入签约合同价格中，包干使用</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因市场价格波动调整合同价格，采用以下</w:t>
      </w:r>
      <w:r>
        <w:rPr>
          <w:rFonts w:hint="eastAsia" w:ascii="宋体" w:hAnsi="宋体"/>
          <w:color w:val="auto"/>
          <w:szCs w:val="21"/>
          <w:highlight w:val="none"/>
          <w:u w:val="single"/>
        </w:rPr>
        <w:t>第3种</w:t>
      </w:r>
      <w:r>
        <w:rPr>
          <w:rFonts w:hint="eastAsia" w:ascii="宋体" w:hAnsi="宋体"/>
          <w:color w:val="auto"/>
          <w:szCs w:val="21"/>
          <w:highlight w:val="none"/>
        </w:rPr>
        <w:t>方式对合同价格进行调整：</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第1种方式：采用价格指数进行价格调整。</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关于各可调因子、定值和变值权重，以及基本价格指数及其来源的约定：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第2种方式：采用造价信息进行价格调整，调整方法如下：</w:t>
      </w:r>
    </w:p>
    <w:p>
      <w:pPr>
        <w:spacing w:line="360" w:lineRule="auto"/>
        <w:ind w:firstLine="420" w:firstLineChars="200"/>
        <w:jc w:val="left"/>
        <w:rPr>
          <w:rFonts w:ascii="宋体" w:hAnsi="宋体"/>
          <w:color w:val="auto"/>
          <w:szCs w:val="21"/>
          <w:highlight w:val="none"/>
        </w:rPr>
      </w:pPr>
      <w:bookmarkStart w:id="912" w:name="_Hlk524296901"/>
      <w:r>
        <w:rPr>
          <w:rFonts w:hint="eastAsia" w:ascii="宋体" w:hAnsi="宋体"/>
          <w:color w:val="auto"/>
          <w:szCs w:val="21"/>
          <w:highlight w:val="none"/>
        </w:rPr>
        <w:t>11.1.1人工费价差调整办法</w:t>
      </w:r>
      <w:bookmarkEnd w:id="908"/>
      <w:bookmarkEnd w:id="909"/>
      <w:bookmarkEnd w:id="910"/>
      <w:bookmarkEnd w:id="911"/>
    </w:p>
    <w:p>
      <w:pPr>
        <w:tabs>
          <w:tab w:val="left" w:pos="711"/>
          <w:tab w:val="left" w:pos="2580"/>
        </w:tabs>
        <w:spacing w:line="360" w:lineRule="auto"/>
        <w:ind w:firstLine="420" w:firstLineChars="200"/>
        <w:jc w:val="left"/>
        <w:textAlignment w:val="baseline"/>
        <w:rPr>
          <w:rFonts w:ascii="宋体" w:hAnsi="宋体"/>
          <w:color w:val="auto"/>
          <w:szCs w:val="21"/>
          <w:highlight w:val="none"/>
        </w:rPr>
      </w:pPr>
      <w:bookmarkStart w:id="913" w:name="_Toc466913516"/>
      <w:bookmarkStart w:id="914" w:name="_Toc467689644"/>
      <w:bookmarkStart w:id="915" w:name="_Toc466911548"/>
      <w:bookmarkStart w:id="916" w:name="_Toc466913966"/>
      <w:r>
        <w:rPr>
          <w:rFonts w:hint="eastAsia" w:ascii="宋体" w:hAnsi="宋体"/>
          <w:color w:val="auto"/>
          <w:szCs w:val="21"/>
          <w:highlight w:val="none"/>
        </w:rPr>
        <w:t>（1）自实际开工时间起至合同约定的工期结束时间止，期间《重庆工程造价信息》发布人工单价的算术平均值较开标当期《重庆工程造价信息》发布的人工单价变化超过</w:t>
      </w:r>
      <w:r>
        <w:rPr>
          <w:rFonts w:hint="eastAsia" w:ascii="宋体" w:hAnsi="宋体"/>
          <w:color w:val="auto"/>
          <w:szCs w:val="21"/>
          <w:highlight w:val="none"/>
          <w:u w:val="single"/>
        </w:rPr>
        <w:t>±5%</w:t>
      </w:r>
      <w:r>
        <w:rPr>
          <w:rFonts w:hint="eastAsia" w:ascii="宋体" w:hAnsi="宋体"/>
          <w:color w:val="auto"/>
          <w:szCs w:val="21"/>
          <w:highlight w:val="none"/>
        </w:rPr>
        <w:t>时，按以下约定调整：</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①已标价工程量清单中载明人工单价不高于开标当期《重庆工程造价信息》发布的人工单价的：按期间《重庆工程造价信息》发布人工单价的算术平均值减去开标当期《重庆工程造价信息》发布的人工单价乘以</w:t>
      </w:r>
      <w:r>
        <w:rPr>
          <w:rFonts w:hint="eastAsia" w:ascii="宋体" w:hAnsi="宋体"/>
          <w:color w:val="auto"/>
          <w:szCs w:val="21"/>
          <w:highlight w:val="none"/>
          <w:u w:val="single"/>
        </w:rPr>
        <w:t>（1±5%）</w:t>
      </w:r>
      <w:r>
        <w:rPr>
          <w:rFonts w:hint="eastAsia" w:ascii="宋体" w:hAnsi="宋体"/>
          <w:color w:val="auto"/>
          <w:szCs w:val="21"/>
          <w:highlight w:val="none"/>
        </w:rPr>
        <w:t>调差。</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②已标价工程量清单中载明人工单价高于开标当期《重庆工程造价信息》发布的人工单价的，按期间《重庆工程造价信息》发布人工单价的算术平均值减去已标价工程量清单中载明人工单价乘以</w:t>
      </w:r>
      <w:r>
        <w:rPr>
          <w:rFonts w:hint="eastAsia" w:ascii="宋体" w:hAnsi="宋体"/>
          <w:color w:val="auto"/>
          <w:szCs w:val="21"/>
          <w:highlight w:val="none"/>
          <w:u w:val="single"/>
        </w:rPr>
        <w:t>（1±5%）</w:t>
      </w:r>
      <w:r>
        <w:rPr>
          <w:rFonts w:hint="eastAsia" w:ascii="宋体" w:hAnsi="宋体"/>
          <w:color w:val="auto"/>
          <w:szCs w:val="21"/>
          <w:highlight w:val="none"/>
        </w:rPr>
        <w:t>调差。</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2）工程量按照第12.3.1项〔计量原则〕约定计算，单位工程的人工消耗量按承包人投标报价的消耗量执行（承包人投标报价的单位工程人工消耗量高于定额单位工程人工消耗量的，按定额单位工程的人工消耗量执行）。</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912"/>
    <w:p>
      <w:pPr>
        <w:spacing w:line="360" w:lineRule="auto"/>
        <w:ind w:firstLine="420" w:firstLineChars="200"/>
        <w:jc w:val="left"/>
        <w:rPr>
          <w:rFonts w:ascii="宋体" w:hAnsi="宋体"/>
          <w:color w:val="auto"/>
          <w:szCs w:val="21"/>
          <w:highlight w:val="none"/>
        </w:rPr>
      </w:pPr>
      <w:bookmarkStart w:id="917" w:name="_Hlk524297138"/>
      <w:r>
        <w:rPr>
          <w:rFonts w:hint="eastAsia" w:ascii="宋体" w:hAnsi="宋体"/>
          <w:color w:val="auto"/>
          <w:szCs w:val="21"/>
          <w:highlight w:val="none"/>
        </w:rPr>
        <w:t>11.1.2 材料费价差调整</w:t>
      </w:r>
      <w:bookmarkEnd w:id="913"/>
      <w:bookmarkEnd w:id="914"/>
      <w:bookmarkEnd w:id="915"/>
      <w:bookmarkEnd w:id="916"/>
      <w:r>
        <w:rPr>
          <w:rFonts w:hint="eastAsia" w:ascii="宋体" w:hAnsi="宋体"/>
          <w:color w:val="auto"/>
          <w:szCs w:val="21"/>
          <w:highlight w:val="none"/>
        </w:rPr>
        <w:t>办法</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可调价差材料：</w:t>
      </w:r>
      <w:r>
        <w:rPr>
          <w:rFonts w:hint="eastAsia" w:ascii="宋体" w:hAnsi="宋体"/>
          <w:color w:val="auto"/>
          <w:szCs w:val="21"/>
          <w:highlight w:val="none"/>
          <w:u w:val="single"/>
        </w:rPr>
        <w:t>水泥、商品砼、碎石、砂、钢筋、型钢、条石、片石、预应力钢绞线、沥青混凝土、水泥稳定碎石拌和料、预拌商品砂浆、砌筑材料等主要材料（可按工程使用的具体材料确定）</w:t>
      </w:r>
      <w:r>
        <w:rPr>
          <w:rFonts w:hint="eastAsia" w:ascii="宋体" w:hAnsi="宋体"/>
          <w:color w:val="auto"/>
          <w:szCs w:val="21"/>
          <w:highlight w:val="none"/>
        </w:rPr>
        <w:t>。</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可调价差材料的价差调整办法如下：</w:t>
      </w:r>
    </w:p>
    <w:bookmarkEnd w:id="770"/>
    <w:bookmarkEnd w:id="771"/>
    <w:bookmarkEnd w:id="772"/>
    <w:bookmarkEnd w:id="773"/>
    <w:bookmarkEnd w:id="774"/>
    <w:bookmarkEnd w:id="775"/>
    <w:p>
      <w:pPr>
        <w:tabs>
          <w:tab w:val="left" w:pos="711"/>
          <w:tab w:val="left" w:pos="2580"/>
        </w:tabs>
        <w:spacing w:line="360" w:lineRule="auto"/>
        <w:ind w:firstLine="420" w:firstLineChars="200"/>
        <w:jc w:val="left"/>
        <w:textAlignment w:val="baseline"/>
        <w:rPr>
          <w:rFonts w:ascii="宋体" w:hAnsi="宋体"/>
          <w:color w:val="auto"/>
          <w:szCs w:val="21"/>
          <w:highlight w:val="none"/>
        </w:rPr>
      </w:pPr>
      <w:bookmarkStart w:id="918" w:name="_Toc296891033"/>
      <w:bookmarkStart w:id="919" w:name="_Toc297048391"/>
      <w:bookmarkStart w:id="920" w:name="_Toc296347204"/>
      <w:bookmarkStart w:id="921" w:name="_Toc292559915"/>
      <w:bookmarkStart w:id="922" w:name="_Toc296503205"/>
      <w:bookmarkStart w:id="923" w:name="_Toc296891245"/>
      <w:bookmarkStart w:id="924" w:name="_Toc292559410"/>
      <w:bookmarkStart w:id="925" w:name="_Toc296944544"/>
      <w:bookmarkStart w:id="926" w:name="_Toc297120505"/>
      <w:bookmarkStart w:id="927" w:name="_Toc296346706"/>
      <w:bookmarkStart w:id="928" w:name="_Toc351203644"/>
      <w:bookmarkStart w:id="929" w:name="_Toc303539159"/>
      <w:bookmarkStart w:id="930" w:name="_Toc297216211"/>
      <w:bookmarkStart w:id="931" w:name="_Toc304295579"/>
      <w:bookmarkStart w:id="932" w:name="_Toc297123552"/>
      <w:bookmarkStart w:id="933" w:name="_Toc300935002"/>
      <w:bookmarkStart w:id="934" w:name="_Toc312678040"/>
      <w:r>
        <w:rPr>
          <w:rFonts w:hint="eastAsia" w:ascii="宋体" w:hAnsi="宋体"/>
          <w:color w:val="auto"/>
          <w:szCs w:val="21"/>
          <w:highlight w:val="none"/>
        </w:rPr>
        <w:t>（1）自实际开工时间起至合同约定的工期结束时间止，期间《重庆工程造价信息》发布的信息价的算术平均值较开标当期《重庆工程造价信息》发布的信息价变化超过</w:t>
      </w:r>
      <w:r>
        <w:rPr>
          <w:rFonts w:hint="eastAsia" w:ascii="宋体" w:hAnsi="宋体"/>
          <w:color w:val="auto"/>
          <w:szCs w:val="21"/>
          <w:highlight w:val="none"/>
          <w:u w:val="single"/>
        </w:rPr>
        <w:t>±5%</w:t>
      </w:r>
      <w:r>
        <w:rPr>
          <w:rFonts w:hint="eastAsia" w:ascii="宋体" w:hAnsi="宋体"/>
          <w:color w:val="auto"/>
          <w:szCs w:val="21"/>
          <w:highlight w:val="none"/>
        </w:rPr>
        <w:t>时，按以下约定调整：</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①已标价工程量清单中载明材料单价不高于开标当期《重庆工程造价信息》发布的信息价的按期间《重庆工程造价信息》发布信息价的算术平均值减去开标当期《重庆工程造价信息》发布的信息价乘以</w:t>
      </w:r>
      <w:r>
        <w:rPr>
          <w:rFonts w:hint="eastAsia" w:ascii="宋体" w:hAnsi="宋体"/>
          <w:color w:val="auto"/>
          <w:szCs w:val="21"/>
          <w:highlight w:val="none"/>
          <w:u w:val="single"/>
        </w:rPr>
        <w:t>（1±5%）</w:t>
      </w:r>
      <w:r>
        <w:rPr>
          <w:rFonts w:hint="eastAsia" w:ascii="宋体" w:hAnsi="宋体"/>
          <w:color w:val="auto"/>
          <w:szCs w:val="21"/>
          <w:highlight w:val="none"/>
        </w:rPr>
        <w:t>调差。</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②已标价工程量清单中载明材料单价高于开标当期《重庆工程造价信息》发布的信息价的，按期间《重庆工程造价信息》发布信息价的算术平均值减去已标价工程量清单中载明材料单价乘以</w:t>
      </w:r>
      <w:r>
        <w:rPr>
          <w:rFonts w:hint="eastAsia" w:ascii="宋体" w:hAnsi="宋体"/>
          <w:color w:val="auto"/>
          <w:szCs w:val="21"/>
          <w:highlight w:val="none"/>
          <w:u w:val="single"/>
        </w:rPr>
        <w:t>（1±5%）</w:t>
      </w:r>
      <w:r>
        <w:rPr>
          <w:rFonts w:hint="eastAsia" w:ascii="宋体" w:hAnsi="宋体"/>
          <w:color w:val="auto"/>
          <w:szCs w:val="21"/>
          <w:highlight w:val="none"/>
        </w:rPr>
        <w:t>调差。</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2）工程量按照第12.3.1项〔计量原则〕约定计算，单位工程的材料消耗量按承包人投标报价的消耗量执行（承包人投标报价的单位工程材料消耗量高于定额单位工程材料消耗量的，按定额单位工程的材料消耗量执行）。</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917"/>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第3种方式：其他价格调整方式：</w:t>
      </w:r>
      <w:r>
        <w:rPr>
          <w:rFonts w:hint="eastAsia" w:ascii="宋体" w:hAnsi="宋体"/>
          <w:color w:val="auto"/>
          <w:szCs w:val="21"/>
          <w:highlight w:val="none"/>
          <w:u w:val="single"/>
        </w:rPr>
        <w:t xml:space="preserve"> 不调整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935" w:name="_Toc532375644"/>
      <w:bookmarkStart w:id="936" w:name="_Toc532377380"/>
      <w:bookmarkStart w:id="937" w:name="_Hlk528928232"/>
      <w:r>
        <w:rPr>
          <w:rFonts w:hint="eastAsia"/>
          <w:color w:val="auto"/>
          <w:sz w:val="21"/>
          <w:szCs w:val="21"/>
          <w:highlight w:val="none"/>
        </w:rPr>
        <w:t>11.2 法律变化引起的调整</w:t>
      </w:r>
      <w:bookmarkEnd w:id="935"/>
      <w:bookmarkEnd w:id="936"/>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本条补充11.3款</w:t>
      </w:r>
    </w:p>
    <w:bookmarkEnd w:id="937"/>
    <w:p>
      <w:pPr>
        <w:pStyle w:val="7"/>
        <w:spacing w:before="0" w:beforeAutospacing="0" w:after="0" w:afterAutospacing="0" w:line="360" w:lineRule="auto"/>
        <w:ind w:firstLine="422" w:firstLineChars="200"/>
        <w:rPr>
          <w:color w:val="auto"/>
          <w:sz w:val="21"/>
          <w:szCs w:val="21"/>
          <w:highlight w:val="none"/>
        </w:rPr>
      </w:pPr>
      <w:bookmarkStart w:id="938" w:name="_Toc532375645"/>
      <w:bookmarkStart w:id="939" w:name="_Toc532377381"/>
      <w:r>
        <w:rPr>
          <w:rFonts w:hint="eastAsia"/>
          <w:color w:val="auto"/>
          <w:sz w:val="21"/>
          <w:szCs w:val="21"/>
          <w:highlight w:val="none"/>
        </w:rPr>
        <w:t>11.3 严重不平衡报价引起的调整</w:t>
      </w:r>
      <w:bookmarkEnd w:id="938"/>
      <w:bookmarkEnd w:id="939"/>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合同履行期间，当按第12.3.1项〔计量原则〕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竣工结算，修正综合单价按照第10.4.1项〔变更估价原则〕（3）目约定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严重不平衡报价是指：清单子目综合单价与发包人按照第10.4.1项〔变更估价原则〕（3）目约定确定的综合单价相比，高于50%（即严重不平衡报价清单子目综合单价 - 按照第10.4.1项〔变更估价原则〕（3）目约定确定的综合单价）/按照第10.4.1项〔变更估价原则〕（3）目约定确定的综合单价×100%</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940" w:name="_Toc532375646"/>
      <w:bookmarkStart w:id="941" w:name="_Toc532377382"/>
      <w:r>
        <w:rPr>
          <w:rFonts w:hint="eastAsia"/>
          <w:color w:val="auto"/>
          <w:kern w:val="2"/>
          <w:sz w:val="21"/>
          <w:szCs w:val="21"/>
          <w:highlight w:val="none"/>
        </w:rPr>
        <w:t xml:space="preserve">12. </w:t>
      </w:r>
      <w:bookmarkEnd w:id="918"/>
      <w:bookmarkEnd w:id="919"/>
      <w:bookmarkEnd w:id="920"/>
      <w:bookmarkEnd w:id="921"/>
      <w:bookmarkEnd w:id="922"/>
      <w:bookmarkEnd w:id="923"/>
      <w:bookmarkEnd w:id="924"/>
      <w:bookmarkEnd w:id="925"/>
      <w:bookmarkEnd w:id="926"/>
      <w:bookmarkEnd w:id="927"/>
      <w:r>
        <w:rPr>
          <w:rFonts w:hint="eastAsia"/>
          <w:color w:val="auto"/>
          <w:kern w:val="2"/>
          <w:sz w:val="21"/>
          <w:szCs w:val="21"/>
          <w:highlight w:val="none"/>
        </w:rPr>
        <w:t>合同价格、计量与支付</w:t>
      </w:r>
      <w:bookmarkEnd w:id="928"/>
      <w:bookmarkEnd w:id="940"/>
      <w:bookmarkEnd w:id="941"/>
    </w:p>
    <w:bookmarkEnd w:id="929"/>
    <w:bookmarkEnd w:id="930"/>
    <w:bookmarkEnd w:id="931"/>
    <w:bookmarkEnd w:id="932"/>
    <w:bookmarkEnd w:id="933"/>
    <w:bookmarkEnd w:id="934"/>
    <w:p>
      <w:pPr>
        <w:pStyle w:val="7"/>
        <w:spacing w:before="0" w:beforeAutospacing="0" w:after="0" w:afterAutospacing="0" w:line="360" w:lineRule="auto"/>
        <w:ind w:firstLine="422" w:firstLineChars="200"/>
        <w:rPr>
          <w:color w:val="auto"/>
          <w:sz w:val="21"/>
          <w:szCs w:val="21"/>
          <w:highlight w:val="none"/>
        </w:rPr>
      </w:pPr>
      <w:bookmarkStart w:id="942" w:name="_Toc292559916"/>
      <w:bookmarkStart w:id="943" w:name="_Toc267251461"/>
      <w:bookmarkStart w:id="944" w:name="_Toc292559411"/>
      <w:bookmarkStart w:id="945" w:name="_Toc296891034"/>
      <w:bookmarkStart w:id="946" w:name="_Toc296503206"/>
      <w:bookmarkStart w:id="947" w:name="_Toc296891246"/>
      <w:bookmarkStart w:id="948" w:name="_Toc296347205"/>
      <w:bookmarkStart w:id="949" w:name="_Toc297048392"/>
      <w:bookmarkStart w:id="950" w:name="_Toc296944545"/>
      <w:bookmarkStart w:id="951" w:name="_Toc297120506"/>
      <w:bookmarkStart w:id="952" w:name="_Toc296346707"/>
      <w:bookmarkStart w:id="953" w:name="_Toc532377383"/>
      <w:bookmarkStart w:id="954" w:name="_Toc532375647"/>
      <w:bookmarkStart w:id="955" w:name="_Toc303539160"/>
      <w:bookmarkStart w:id="956" w:name="_Toc297123553"/>
      <w:bookmarkStart w:id="957" w:name="_Toc304295580"/>
      <w:bookmarkStart w:id="958" w:name="_Toc300935003"/>
      <w:bookmarkStart w:id="959" w:name="_Toc312678041"/>
      <w:bookmarkStart w:id="960" w:name="_Toc297216212"/>
      <w:r>
        <w:rPr>
          <w:rFonts w:hint="eastAsia"/>
          <w:color w:val="auto"/>
          <w:sz w:val="21"/>
          <w:szCs w:val="21"/>
          <w:highlight w:val="none"/>
        </w:rPr>
        <w:t>12.1 合</w:t>
      </w:r>
      <w:bookmarkEnd w:id="942"/>
      <w:bookmarkEnd w:id="943"/>
      <w:bookmarkEnd w:id="944"/>
      <w:r>
        <w:rPr>
          <w:rFonts w:hint="eastAsia"/>
          <w:color w:val="auto"/>
          <w:sz w:val="21"/>
          <w:szCs w:val="21"/>
          <w:highlight w:val="none"/>
        </w:rPr>
        <w:t>同价</w:t>
      </w:r>
      <w:bookmarkEnd w:id="945"/>
      <w:bookmarkEnd w:id="946"/>
      <w:bookmarkEnd w:id="947"/>
      <w:bookmarkEnd w:id="948"/>
      <w:bookmarkEnd w:id="949"/>
      <w:bookmarkEnd w:id="950"/>
      <w:bookmarkEnd w:id="951"/>
      <w:bookmarkEnd w:id="952"/>
      <w:r>
        <w:rPr>
          <w:rFonts w:hint="eastAsia"/>
          <w:color w:val="auto"/>
          <w:sz w:val="21"/>
          <w:szCs w:val="21"/>
          <w:highlight w:val="none"/>
        </w:rPr>
        <w:t>格形式</w:t>
      </w:r>
      <w:bookmarkEnd w:id="953"/>
      <w:bookmarkEnd w:id="954"/>
    </w:p>
    <w:bookmarkEnd w:id="955"/>
    <w:bookmarkEnd w:id="956"/>
    <w:bookmarkEnd w:id="957"/>
    <w:bookmarkEnd w:id="958"/>
    <w:bookmarkEnd w:id="959"/>
    <w:bookmarkEnd w:id="960"/>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1、单价合同。</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综合单价包含的风险范围：</w:t>
      </w:r>
      <w:r>
        <w:rPr>
          <w:rFonts w:hint="eastAsia" w:ascii="宋体" w:hAnsi="宋体"/>
          <w:color w:val="auto"/>
          <w:szCs w:val="21"/>
          <w:highlight w:val="none"/>
          <w:u w:val="single"/>
        </w:rPr>
        <w:t>包括但不限于为实施和完成合同工程所需的人工费、材料费、施工机具使用费、企业管理费、利润、风险费、施工技术措施项目费、施工组织措施项目费及缺陷修复等费用，以及</w:t>
      </w:r>
      <w:bookmarkStart w:id="961" w:name="_Hlk528508096"/>
      <w:r>
        <w:rPr>
          <w:rFonts w:hint="eastAsia" w:ascii="宋体" w:hAnsi="宋体"/>
          <w:color w:val="auto"/>
          <w:szCs w:val="21"/>
          <w:highlight w:val="none"/>
          <w:u w:val="single"/>
        </w:rPr>
        <w:t>第11.1款〔市场价格波动引起的调整〕约定范围内的市场价格波动风险、政策性文件规定的各项应有费用、</w:t>
      </w:r>
      <w:bookmarkEnd w:id="961"/>
      <w:r>
        <w:rPr>
          <w:rFonts w:hint="eastAsia" w:ascii="宋体" w:hAnsi="宋体"/>
          <w:color w:val="auto"/>
          <w:szCs w:val="21"/>
          <w:highlight w:val="none"/>
          <w:u w:val="single"/>
        </w:rPr>
        <w:t>招标文件和合同明示或暗示的应由承包人承担的所有责任、义务和风险等所需的费用</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风险费用的计算方法：</w:t>
      </w:r>
      <w:r>
        <w:rPr>
          <w:rFonts w:hint="eastAsia" w:ascii="宋体" w:hAnsi="宋体"/>
          <w:color w:val="auto"/>
          <w:szCs w:val="21"/>
          <w:highlight w:val="none"/>
          <w:u w:val="single"/>
        </w:rPr>
        <w:t>由承包人自行考虑并计入签约合同价格中，包干使用</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风险范围以外合同价格的调整方法：</w:t>
      </w:r>
      <w:r>
        <w:rPr>
          <w:rFonts w:hint="eastAsia" w:ascii="宋体" w:hAnsi="宋体"/>
          <w:color w:val="auto"/>
          <w:szCs w:val="21"/>
          <w:highlight w:val="none"/>
          <w:u w:val="single"/>
        </w:rPr>
        <w:t>按照合同相关条款约定执行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2、总价合同。</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总价包含的风险范围：</w:t>
      </w:r>
      <w:r>
        <w:rPr>
          <w:rFonts w:hint="eastAsia" w:ascii="宋体" w:hAnsi="宋体"/>
          <w:color w:val="auto"/>
          <w:szCs w:val="21"/>
          <w:highlight w:val="none"/>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招标文件和合同明示或暗示的应由承包人承担的所有责任、义务和风险等所需的费用</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风险费用的计算方法：</w:t>
      </w:r>
      <w:r>
        <w:rPr>
          <w:rFonts w:hint="eastAsia" w:ascii="宋体" w:hAnsi="宋体"/>
          <w:color w:val="auto"/>
          <w:szCs w:val="21"/>
          <w:highlight w:val="none"/>
          <w:u w:val="single"/>
        </w:rPr>
        <w:t>由承包人自行考虑并计入签约合同价格中，包干使用</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风险范围以外合同价格的调整方法：</w:t>
      </w:r>
      <w:r>
        <w:rPr>
          <w:rFonts w:hint="eastAsia" w:ascii="宋体" w:hAnsi="宋体"/>
          <w:color w:val="auto"/>
          <w:szCs w:val="21"/>
          <w:highlight w:val="none"/>
          <w:u w:val="single"/>
        </w:rPr>
        <w:t>按照合同相关条款约定执行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3、其他价格方式：</w:t>
      </w:r>
      <w:r>
        <w:rPr>
          <w:rFonts w:hint="eastAsia" w:ascii="宋体" w:hAnsi="宋体"/>
          <w:color w:val="auto"/>
          <w:szCs w:val="21"/>
          <w:highlight w:val="none"/>
          <w:u w:val="single"/>
        </w:rPr>
        <w:t>不采用</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962" w:name="_Toc532375648"/>
      <w:bookmarkStart w:id="963" w:name="_Toc532377384"/>
      <w:bookmarkStart w:id="964" w:name="_Toc303539161"/>
      <w:bookmarkStart w:id="965" w:name="_Toc304295581"/>
      <w:bookmarkStart w:id="966" w:name="_Toc297216213"/>
      <w:bookmarkStart w:id="967" w:name="_Toc297123554"/>
      <w:bookmarkStart w:id="968" w:name="_Toc312678042"/>
      <w:bookmarkStart w:id="969" w:name="_Toc300935004"/>
      <w:bookmarkStart w:id="970" w:name="_Toc292559412"/>
      <w:bookmarkStart w:id="971" w:name="_Toc296891035"/>
      <w:bookmarkStart w:id="972" w:name="_Toc292559917"/>
      <w:bookmarkStart w:id="973" w:name="_Toc297048393"/>
      <w:bookmarkStart w:id="974" w:name="_Toc296347206"/>
      <w:bookmarkStart w:id="975" w:name="_Toc297120507"/>
      <w:bookmarkStart w:id="976" w:name="_Toc296891247"/>
      <w:bookmarkStart w:id="977" w:name="_Toc296346708"/>
      <w:bookmarkStart w:id="978" w:name="_Toc296944546"/>
      <w:bookmarkStart w:id="979" w:name="_Toc296503207"/>
      <w:r>
        <w:rPr>
          <w:rFonts w:hint="eastAsia"/>
          <w:color w:val="auto"/>
          <w:sz w:val="21"/>
          <w:szCs w:val="21"/>
          <w:highlight w:val="none"/>
        </w:rPr>
        <w:t>12.2 预付款</w:t>
      </w:r>
      <w:bookmarkEnd w:id="962"/>
      <w:bookmarkEnd w:id="963"/>
    </w:p>
    <w:bookmarkEnd w:id="964"/>
    <w:bookmarkEnd w:id="965"/>
    <w:bookmarkEnd w:id="966"/>
    <w:bookmarkEnd w:id="967"/>
    <w:bookmarkEnd w:id="968"/>
    <w:bookmarkEnd w:id="969"/>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12.2.1 预付款的支付</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无。</w:t>
      </w:r>
    </w:p>
    <w:bookmarkEnd w:id="970"/>
    <w:bookmarkEnd w:id="971"/>
    <w:bookmarkEnd w:id="972"/>
    <w:bookmarkEnd w:id="973"/>
    <w:bookmarkEnd w:id="974"/>
    <w:bookmarkEnd w:id="975"/>
    <w:bookmarkEnd w:id="976"/>
    <w:bookmarkEnd w:id="977"/>
    <w:bookmarkEnd w:id="978"/>
    <w:bookmarkEnd w:id="979"/>
    <w:p>
      <w:pPr>
        <w:pStyle w:val="7"/>
        <w:spacing w:before="0" w:beforeAutospacing="0" w:after="0" w:afterAutospacing="0" w:line="360" w:lineRule="auto"/>
        <w:ind w:firstLine="422" w:firstLineChars="200"/>
        <w:rPr>
          <w:color w:val="auto"/>
          <w:sz w:val="21"/>
          <w:szCs w:val="21"/>
          <w:highlight w:val="none"/>
        </w:rPr>
      </w:pPr>
      <w:bookmarkStart w:id="980" w:name="_Toc532377385"/>
      <w:bookmarkStart w:id="981" w:name="_Toc532375649"/>
      <w:r>
        <w:rPr>
          <w:rFonts w:hint="eastAsia"/>
          <w:color w:val="auto"/>
          <w:sz w:val="21"/>
          <w:szCs w:val="21"/>
          <w:highlight w:val="none"/>
        </w:rPr>
        <w:t>12.3 计量</w:t>
      </w:r>
      <w:bookmarkEnd w:id="980"/>
      <w:bookmarkEnd w:id="981"/>
    </w:p>
    <w:p>
      <w:pPr>
        <w:spacing w:line="360" w:lineRule="auto"/>
        <w:ind w:firstLine="420" w:firstLineChars="200"/>
        <w:jc w:val="left"/>
        <w:rPr>
          <w:rFonts w:ascii="宋体" w:hAnsi="宋体"/>
          <w:color w:val="auto"/>
          <w:szCs w:val="21"/>
          <w:highlight w:val="none"/>
        </w:rPr>
      </w:pPr>
      <w:bookmarkStart w:id="982" w:name="_Hlk528928260"/>
      <w:r>
        <w:rPr>
          <w:rFonts w:hint="eastAsia" w:ascii="宋体" w:hAnsi="宋体"/>
          <w:color w:val="auto"/>
          <w:szCs w:val="21"/>
          <w:highlight w:val="none"/>
        </w:rPr>
        <w:t>12.3.1 计量原则</w:t>
      </w:r>
    </w:p>
    <w:p>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982"/>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12.3.2 计量周期</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关于计量周期的约定：</w:t>
      </w:r>
      <w:r>
        <w:rPr>
          <w:rFonts w:hint="eastAsia" w:ascii="宋体" w:hAnsi="宋体"/>
          <w:color w:val="auto"/>
          <w:szCs w:val="21"/>
          <w:highlight w:val="none"/>
          <w:u w:val="single"/>
        </w:rPr>
        <w:t>按月计量根据具体项目实际情况可以按月、按进度、按节点等形式计量，按进度、按节点计量的参考按月计量原则执行）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12.3.3 单价合同的计量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关于单价合同计量的约定：</w:t>
      </w:r>
    </w:p>
    <w:p>
      <w:pPr>
        <w:spacing w:line="360" w:lineRule="auto"/>
        <w:ind w:firstLine="420" w:firstLineChars="200"/>
        <w:jc w:val="left"/>
        <w:rPr>
          <w:rFonts w:ascii="宋体" w:hAnsi="宋体"/>
          <w:color w:val="auto"/>
          <w:szCs w:val="21"/>
          <w:highlight w:val="none"/>
          <w:u w:val="single"/>
        </w:rPr>
      </w:pPr>
      <w:bookmarkStart w:id="983" w:name="_Hlk528926162"/>
      <w:r>
        <w:rPr>
          <w:rFonts w:hint="eastAsia" w:ascii="宋体" w:hAnsi="宋体"/>
          <w:color w:val="auto"/>
          <w:szCs w:val="21"/>
          <w:highlight w:val="none"/>
          <w:u w:val="single"/>
        </w:rPr>
        <w:t>（1）承包人应于当月  日前向监理人报送上月已完成的工程量，并附进度付款申请单、已完成工程量报表和其他有关资料</w:t>
      </w:r>
      <w:r>
        <w:rPr>
          <w:rFonts w:hint="eastAsia" w:ascii="宋体" w:hAnsi="宋体"/>
          <w:color w:val="auto"/>
          <w:szCs w:val="21"/>
          <w:highlight w:val="none"/>
        </w:rPr>
        <w:t>。</w:t>
      </w:r>
    </w:p>
    <w:bookmarkEnd w:id="983"/>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（2）承包人未在已标价的工程量清单中填入单价和（或）总价的子目，视为该子目的费用已包含合同工程的其他子目的单价或总价中，不再另行计量支付</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12.3.4 总价合同的计量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关于总价合同计量的约定：</w:t>
      </w:r>
      <w:r>
        <w:rPr>
          <w:rFonts w:hint="eastAsia" w:ascii="宋体" w:hAnsi="宋体"/>
          <w:color w:val="auto"/>
          <w:szCs w:val="21"/>
          <w:highlight w:val="none"/>
          <w:u w:val="single"/>
        </w:rPr>
        <w:t>按形象进度比例支付</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12.3.5总价合同采用支付分解表计量支付的，是否适用第12.3.4项〔总价合同的计量〕约定进行计量：</w:t>
      </w:r>
      <w:r>
        <w:rPr>
          <w:rFonts w:hint="eastAsia" w:ascii="宋体" w:hAnsi="宋体"/>
          <w:color w:val="auto"/>
          <w:szCs w:val="21"/>
          <w:highlight w:val="none"/>
          <w:u w:val="single"/>
        </w:rPr>
        <w:t>适用</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12.3.6 其他价格形式合同的计量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其他价格形式的计量方式和程序：</w:t>
      </w:r>
      <w:r>
        <w:rPr>
          <w:rFonts w:hint="eastAsia" w:ascii="宋体" w:hAnsi="宋体"/>
          <w:color w:val="auto"/>
          <w:szCs w:val="21"/>
          <w:highlight w:val="none"/>
          <w:u w:val="single"/>
        </w:rPr>
        <w:t>不采用</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984" w:name="_Toc532377386"/>
      <w:bookmarkStart w:id="985" w:name="_Toc532375650"/>
      <w:bookmarkStart w:id="986" w:name="_Hlk528928289"/>
      <w:r>
        <w:rPr>
          <w:rFonts w:hint="eastAsia"/>
          <w:color w:val="auto"/>
          <w:sz w:val="21"/>
          <w:szCs w:val="21"/>
          <w:highlight w:val="none"/>
        </w:rPr>
        <w:t>12.4 工程进度款支付</w:t>
      </w:r>
      <w:bookmarkEnd w:id="984"/>
      <w:bookmarkEnd w:id="985"/>
    </w:p>
    <w:bookmarkEnd w:id="986"/>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12.4.1 付款周期</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关于付款周期的约定：</w:t>
      </w:r>
      <w:r>
        <w:rPr>
          <w:rFonts w:hint="eastAsia" w:ascii="宋体" w:hAnsi="宋体"/>
          <w:color w:val="auto"/>
          <w:szCs w:val="21"/>
          <w:highlight w:val="none"/>
          <w:u w:val="single"/>
        </w:rPr>
        <w:t>按月计量支付进度款（按进度、按节点计量支付进度款的参考按月计量支付进度款原则执行）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12.4.2 进度付款申请单的编制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进度付款申请单应包括下列内容：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（1）截至本次付款周期已完成工作对应的金额</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（2）根据第10条〔变更〕应增加和扣减的已审定变更金额</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（3）根据第12.2款〔预付款〕约定应支付的预付款和扣减的返还预付款</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（4）根据第15.3款〔质量保证金〕约定应扣减的质量保证金</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（5）根据第19条〔索赔〕应增加和扣减的已审定索赔金额</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（6）根据第11条〔价格调整〕应增加和扣减的价格调整金额</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（7）对已签发的进度款支付证书中出现错误的修正，应在本次进度付款中支付或扣除的金额</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（8）根据合同约定承包人应向发包人支付的违约金</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（9）根据合同约定发包人应向承包人支付的违约金和（或）奖励</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（10）根据合同约定应增加和扣减的其他金额</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（11）当月应支付的人工费（工资款）金额</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12.4.3 进度付款申请单的提交</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（1）单价合同进度付款申请单提交的约定：</w:t>
      </w:r>
      <w:r>
        <w:rPr>
          <w:rFonts w:hint="eastAsia" w:ascii="宋体" w:hAnsi="宋体"/>
          <w:color w:val="auto"/>
          <w:szCs w:val="21"/>
          <w:highlight w:val="none"/>
          <w:u w:val="single"/>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（2）总价合同进度付款申请单提交的约定：</w:t>
      </w:r>
      <w:r>
        <w:rPr>
          <w:rFonts w:hint="eastAsia" w:ascii="宋体" w:hAnsi="宋体"/>
          <w:color w:val="auto"/>
          <w:szCs w:val="21"/>
          <w:highlight w:val="none"/>
          <w:u w:val="single"/>
        </w:rPr>
        <w:t>按照合同约定的形象进度的计量约定的时间向监理人提交，并附上已完成工程量报表、经审核的农民工工资发放的情况说明及有关资料</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（3）其他价格形式合同进度付款申请单提交的约定：</w:t>
      </w:r>
      <w:r>
        <w:rPr>
          <w:rFonts w:hint="eastAsia" w:ascii="宋体" w:hAnsi="宋体"/>
          <w:color w:val="auto"/>
          <w:szCs w:val="21"/>
          <w:highlight w:val="none"/>
          <w:u w:val="single"/>
        </w:rPr>
        <w:t>不采用</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12.4.4 进度款审核和支付</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（1）监理人审查并报送发包人的期限：</w:t>
      </w:r>
      <w:r>
        <w:rPr>
          <w:rFonts w:hint="eastAsia" w:ascii="宋体" w:hAnsi="宋体"/>
          <w:color w:val="auto"/>
          <w:szCs w:val="21"/>
          <w:highlight w:val="none"/>
          <w:u w:val="single"/>
        </w:rPr>
        <w:t>收到完整资料后7天内</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发包人完成审批并签发进度款支付证书的期限：</w:t>
      </w:r>
      <w:r>
        <w:rPr>
          <w:rFonts w:hint="eastAsia" w:ascii="宋体" w:hAnsi="宋体"/>
          <w:color w:val="auto"/>
          <w:szCs w:val="21"/>
          <w:highlight w:val="none"/>
          <w:u w:val="single"/>
        </w:rPr>
        <w:t>发包人收到监理人报送资料后7天内完成审批并签发进度款支付证书</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发包人签发进度款支付证书或临时进度款支付证书，不表明发包人已同意、批准或接受了承包人完成的相应部分的工作。</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（2）进度款支付：</w:t>
      </w:r>
    </w:p>
    <w:p>
      <w:pPr>
        <w:spacing w:line="360" w:lineRule="auto"/>
        <w:ind w:firstLine="420" w:firstLineChars="200"/>
        <w:jc w:val="left"/>
        <w:rPr>
          <w:rFonts w:ascii="宋体" w:hAnsi="宋体"/>
          <w:color w:val="auto"/>
          <w:szCs w:val="21"/>
          <w:highlight w:val="none"/>
          <w:u w:val="single"/>
        </w:rPr>
      </w:pPr>
      <w:bookmarkStart w:id="987" w:name="_Toc532377387"/>
      <w:bookmarkStart w:id="988" w:name="_Toc351203585"/>
      <w:r>
        <w:rPr>
          <w:rFonts w:hint="eastAsia" w:ascii="宋体" w:hAnsi="宋体"/>
          <w:color w:val="auto"/>
          <w:szCs w:val="21"/>
          <w:highlight w:val="none"/>
        </w:rPr>
        <w:t>进度款支付：</w:t>
      </w:r>
      <w:r>
        <w:rPr>
          <w:rFonts w:hint="eastAsia" w:ascii="宋体" w:hAnsi="宋体"/>
          <w:color w:val="auto"/>
          <w:szCs w:val="21"/>
          <w:highlight w:val="none"/>
          <w:u w:val="single"/>
        </w:rPr>
        <w:t>每月30日前，成交单位提交合格工程量所对应有效的期中支付材料及相关资料，经采购人、监理人、审核单位审核后，按审定金额的  70  %于14日内予以支付，且进度款支付的限额不得大于已完成合格工程总产值的 70   %且不超过合同暂定金额的 70   %，否则停止支付（如因承包人原因造成施工进度滞后，则付款时间顺延）；采购人委托的审计咨询单位结算审核完成后支付至审核金额的 80   %；最终经采购人审计完毕后支付至审定金额的 97   %（不计利息），  3  %的质保金待缺陷责任期满后30日内一次性无息支付。</w:t>
      </w:r>
    </w:p>
    <w:p>
      <w:pPr>
        <w:pStyle w:val="7"/>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12.5支付账户</w:t>
      </w:r>
      <w:bookmarkEnd w:id="987"/>
      <w:bookmarkEnd w:id="988"/>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发包人应将合同价款支付至如下承包人指定的开户银行及银行账户：</w:t>
      </w:r>
    </w:p>
    <w:p>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收款单位名称：</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收款账号：</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收款开户银行：</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发包人应按行业主管部门的相关规定将人工费（工资款）支付至承包人指定的农民工工资专用账户。</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989" w:name="_Toc351203645"/>
      <w:bookmarkStart w:id="990" w:name="_Toc532375651"/>
      <w:bookmarkStart w:id="991" w:name="_Toc532377388"/>
      <w:bookmarkStart w:id="992" w:name="_Toc304295593"/>
      <w:bookmarkStart w:id="993" w:name="_Toc292559929"/>
      <w:bookmarkStart w:id="994" w:name="_Toc300935015"/>
      <w:bookmarkStart w:id="995" w:name="_Toc297123564"/>
      <w:bookmarkStart w:id="996" w:name="_Toc297120519"/>
      <w:bookmarkStart w:id="997" w:name="_Toc296891259"/>
      <w:bookmarkStart w:id="998" w:name="_Toc296503219"/>
      <w:bookmarkStart w:id="999" w:name="_Toc296347218"/>
      <w:bookmarkStart w:id="1000" w:name="_Toc303539172"/>
      <w:bookmarkStart w:id="1001" w:name="_Toc296944558"/>
      <w:bookmarkStart w:id="1002" w:name="_Toc296346720"/>
      <w:bookmarkStart w:id="1003" w:name="_Toc297216223"/>
      <w:bookmarkStart w:id="1004" w:name="_Toc312678053"/>
      <w:bookmarkStart w:id="1005" w:name="_Toc292559424"/>
      <w:bookmarkStart w:id="1006" w:name="_Toc297048405"/>
      <w:bookmarkStart w:id="1007" w:name="_Toc296891047"/>
      <w:r>
        <w:rPr>
          <w:rFonts w:hint="eastAsia"/>
          <w:color w:val="auto"/>
          <w:kern w:val="2"/>
          <w:sz w:val="21"/>
          <w:szCs w:val="21"/>
          <w:highlight w:val="none"/>
        </w:rPr>
        <w:t>13. 验收和工程试车</w:t>
      </w:r>
      <w:bookmarkEnd w:id="989"/>
      <w:bookmarkEnd w:id="990"/>
      <w:bookmarkEnd w:id="991"/>
    </w:p>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p>
      <w:pPr>
        <w:pStyle w:val="7"/>
        <w:spacing w:before="0" w:beforeAutospacing="0" w:after="0" w:afterAutospacing="0" w:line="360" w:lineRule="auto"/>
        <w:ind w:firstLine="422" w:firstLineChars="200"/>
        <w:rPr>
          <w:color w:val="auto"/>
          <w:sz w:val="21"/>
          <w:szCs w:val="21"/>
          <w:highlight w:val="none"/>
        </w:rPr>
      </w:pPr>
      <w:bookmarkStart w:id="1008" w:name="_Toc532375652"/>
      <w:bookmarkStart w:id="1009" w:name="_Toc532377389"/>
      <w:bookmarkStart w:id="1010" w:name="_Toc280868704"/>
      <w:bookmarkStart w:id="1011" w:name="_Toc280868705"/>
      <w:bookmarkStart w:id="1012" w:name="_Toc280868706"/>
      <w:bookmarkStart w:id="1013" w:name="_Toc280868707"/>
      <w:bookmarkStart w:id="1014" w:name="_Toc280868708"/>
      <w:bookmarkStart w:id="1015" w:name="_Toc267251474"/>
      <w:bookmarkStart w:id="1016" w:name="_Toc267251470"/>
      <w:bookmarkStart w:id="1017" w:name="_Toc267251472"/>
      <w:bookmarkStart w:id="1018" w:name="_Toc280868709"/>
      <w:bookmarkStart w:id="1019" w:name="_Toc267251476"/>
      <w:bookmarkStart w:id="1020" w:name="_Toc267251473"/>
      <w:bookmarkStart w:id="1021" w:name="_Toc267251475"/>
      <w:bookmarkStart w:id="1022" w:name="_Toc267251471"/>
      <w:r>
        <w:rPr>
          <w:rFonts w:hint="eastAsia"/>
          <w:color w:val="auto"/>
          <w:sz w:val="21"/>
          <w:szCs w:val="21"/>
          <w:highlight w:val="none"/>
        </w:rPr>
        <w:t>13.1 分部分项工程验收</w:t>
      </w:r>
      <w:bookmarkEnd w:id="1008"/>
      <w:bookmarkEnd w:id="1009"/>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13.1.2 监理人不能按时进行验收时，应提前</w:t>
      </w:r>
      <w:r>
        <w:rPr>
          <w:rFonts w:hint="eastAsia" w:ascii="宋体" w:hAnsi="宋体"/>
          <w:color w:val="auto"/>
          <w:szCs w:val="21"/>
          <w:highlight w:val="none"/>
          <w:u w:val="single"/>
        </w:rPr>
        <w:t>24</w:t>
      </w:r>
      <w:r>
        <w:rPr>
          <w:rFonts w:hint="eastAsia" w:ascii="宋体" w:hAnsi="宋体"/>
          <w:color w:val="auto"/>
          <w:szCs w:val="21"/>
          <w:highlight w:val="none"/>
        </w:rPr>
        <w:t>小时提交书面延期要求。</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关于延期最长不得超过：</w:t>
      </w:r>
      <w:r>
        <w:rPr>
          <w:rFonts w:hint="eastAsia" w:ascii="宋体" w:hAnsi="宋体"/>
          <w:color w:val="auto"/>
          <w:szCs w:val="21"/>
          <w:highlight w:val="none"/>
          <w:u w:val="single"/>
        </w:rPr>
        <w:t>48</w:t>
      </w:r>
      <w:r>
        <w:rPr>
          <w:rFonts w:hint="eastAsia" w:ascii="宋体" w:hAnsi="宋体"/>
          <w:color w:val="auto"/>
          <w:szCs w:val="21"/>
          <w:highlight w:val="none"/>
        </w:rPr>
        <w:t>小时。</w:t>
      </w:r>
    </w:p>
    <w:p>
      <w:pPr>
        <w:pStyle w:val="7"/>
        <w:spacing w:before="0" w:beforeAutospacing="0" w:after="0" w:afterAutospacing="0" w:line="360" w:lineRule="auto"/>
        <w:ind w:firstLine="422" w:firstLineChars="200"/>
        <w:rPr>
          <w:color w:val="auto"/>
          <w:sz w:val="21"/>
          <w:szCs w:val="21"/>
          <w:highlight w:val="none"/>
        </w:rPr>
      </w:pPr>
      <w:bookmarkStart w:id="1023" w:name="_Toc532377390"/>
      <w:bookmarkStart w:id="1024" w:name="_Toc532375653"/>
      <w:bookmarkStart w:id="1025" w:name="_Toc296347222"/>
      <w:bookmarkStart w:id="1026" w:name="_Toc292559428"/>
      <w:bookmarkStart w:id="1027" w:name="_Toc296891051"/>
      <w:bookmarkStart w:id="1028" w:name="_Toc300935016"/>
      <w:bookmarkStart w:id="1029" w:name="_Toc296944562"/>
      <w:bookmarkStart w:id="1030" w:name="_Toc297048409"/>
      <w:bookmarkStart w:id="1031" w:name="_Toc312678056"/>
      <w:bookmarkStart w:id="1032" w:name="_Toc297216224"/>
      <w:bookmarkStart w:id="1033" w:name="_Toc297123565"/>
      <w:bookmarkStart w:id="1034" w:name="_Toc296503223"/>
      <w:bookmarkStart w:id="1035" w:name="_Toc296891263"/>
      <w:bookmarkStart w:id="1036" w:name="_Toc297120523"/>
      <w:bookmarkStart w:id="1037" w:name="_Toc292559933"/>
      <w:bookmarkStart w:id="1038" w:name="_Toc303539173"/>
      <w:bookmarkStart w:id="1039" w:name="_Toc296346724"/>
      <w:bookmarkStart w:id="1040" w:name="_Toc304295596"/>
      <w:r>
        <w:rPr>
          <w:rFonts w:hint="eastAsia"/>
          <w:color w:val="auto"/>
          <w:sz w:val="21"/>
          <w:szCs w:val="21"/>
          <w:highlight w:val="none"/>
        </w:rPr>
        <w:t>13.2 竣工验收</w:t>
      </w:r>
      <w:bookmarkEnd w:id="1023"/>
      <w:bookmarkEnd w:id="1024"/>
    </w:p>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13.2.2竣工验收程序</w:t>
      </w:r>
    </w:p>
    <w:bookmarkEnd w:id="1010"/>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关于竣工验收程序的约定：工程完工且符合下列条件时，承包人可向发包人提供竣工报告，并要求验收：</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（1）除发包人同意的甩项工作和缺陷修补工作外，合同范围内的全部工程以及有关工作，包括合同要求的试验、试运行以及检验均已完成，并符合合同要求；</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（2）已按合同约定编制了甩项工作和缺陷修补工作清单以及相应的施工计划；</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（3）已按合同约定的内容和份数备齐竣工资料。</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工程竣工及竣工资料：</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（1）发包人应在收到承包人竣工报告后14天内组织设计单位、监理单位、质监等其他部门进行验收，竣工日期以最后一次整改后通过竣工验收的时间为准</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（3）承包人提供竣工资料的约定：</w:t>
      </w:r>
      <w:r>
        <w:rPr>
          <w:rFonts w:hint="eastAsia" w:ascii="宋体" w:hAnsi="宋体"/>
          <w:color w:val="auto"/>
          <w:szCs w:val="21"/>
          <w:highlight w:val="none"/>
          <w:u w:val="single"/>
        </w:rPr>
        <w:t>承包人提供纸质版竣工图三套，电子版竣工图二套（刻光盘）</w:t>
      </w:r>
      <w:r>
        <w:rPr>
          <w:rFonts w:hint="eastAsia" w:ascii="宋体" w:hAnsi="宋体"/>
          <w:color w:val="auto"/>
          <w:szCs w:val="21"/>
          <w:highlight w:val="none"/>
        </w:rPr>
        <w:t>。</w:t>
      </w:r>
    </w:p>
    <w:bookmarkEnd w:id="1011"/>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13.2.5 移交、接收全部与部分工程</w:t>
      </w:r>
    </w:p>
    <w:bookmarkEnd w:id="1012"/>
    <w:p>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承包人向发包人移交工程的期限：</w:t>
      </w:r>
      <w:r>
        <w:rPr>
          <w:rFonts w:hint="eastAsia" w:ascii="宋体" w:hAnsi="宋体"/>
          <w:color w:val="auto"/>
          <w:szCs w:val="21"/>
          <w:highlight w:val="none"/>
          <w:u w:val="single"/>
        </w:rPr>
        <w:t>颁发工程接收证书后7天内完成工程的移交</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发包人未按合同约定接收全部或部分工程的，违约金的计算方法为：发包人自应当接收工程之日起承担工程照管、成品保护、保管等与工程有关的各项费用。</w:t>
      </w:r>
    </w:p>
    <w:bookmarkEnd w:id="1013"/>
    <w:p>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因承包人自身原因未按时移交工程的，违约金的计算方法为：</w:t>
      </w:r>
      <w:r>
        <w:rPr>
          <w:rFonts w:hint="eastAsia" w:ascii="宋体" w:hAnsi="宋体"/>
          <w:color w:val="auto"/>
          <w:szCs w:val="21"/>
          <w:highlight w:val="none"/>
          <w:u w:val="single"/>
        </w:rPr>
        <w:t>承包人应承担工程照管、成品保护、保管等与工程有关的各项费用，并按经审定结算金额的0.5‰/天支付违约金</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041" w:name="_Toc532377391"/>
      <w:bookmarkStart w:id="1042" w:name="_Toc532375654"/>
      <w:r>
        <w:rPr>
          <w:rFonts w:hint="eastAsia"/>
          <w:color w:val="auto"/>
          <w:sz w:val="21"/>
          <w:szCs w:val="21"/>
          <w:highlight w:val="none"/>
        </w:rPr>
        <w:t>13.3 工程试车</w:t>
      </w:r>
      <w:bookmarkEnd w:id="1041"/>
      <w:bookmarkEnd w:id="1042"/>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13.3.1 试车程序</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工程试车内容：</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（1）单机无负荷试车费用由</w:t>
      </w:r>
      <w:r>
        <w:rPr>
          <w:rFonts w:hint="eastAsia" w:ascii="宋体" w:hAnsi="宋体"/>
          <w:color w:val="auto"/>
          <w:szCs w:val="21"/>
          <w:highlight w:val="none"/>
          <w:u w:val="single"/>
        </w:rPr>
        <w:t>承包人</w:t>
      </w:r>
      <w:r>
        <w:rPr>
          <w:rFonts w:hint="eastAsia" w:ascii="宋体" w:hAnsi="宋体"/>
          <w:color w:val="auto"/>
          <w:szCs w:val="21"/>
          <w:highlight w:val="none"/>
        </w:rPr>
        <w:t>承担；</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（2）无负荷联动试车费用由</w:t>
      </w:r>
      <w:r>
        <w:rPr>
          <w:rFonts w:hint="eastAsia" w:ascii="宋体" w:hAnsi="宋体"/>
          <w:color w:val="auto"/>
          <w:szCs w:val="21"/>
          <w:highlight w:val="none"/>
          <w:u w:val="single"/>
        </w:rPr>
        <w:t>承包人</w:t>
      </w:r>
      <w:r>
        <w:rPr>
          <w:rFonts w:hint="eastAsia" w:ascii="宋体" w:hAnsi="宋体"/>
          <w:color w:val="auto"/>
          <w:szCs w:val="21"/>
          <w:highlight w:val="none"/>
        </w:rPr>
        <w:t>承担。</w:t>
      </w:r>
    </w:p>
    <w:p>
      <w:pPr>
        <w:pStyle w:val="7"/>
        <w:spacing w:before="0" w:beforeAutospacing="0" w:after="0" w:afterAutospacing="0" w:line="360" w:lineRule="auto"/>
        <w:ind w:firstLine="422" w:firstLineChars="200"/>
        <w:rPr>
          <w:color w:val="auto"/>
          <w:sz w:val="21"/>
          <w:szCs w:val="21"/>
          <w:highlight w:val="none"/>
        </w:rPr>
      </w:pPr>
      <w:bookmarkStart w:id="1043" w:name="_Toc532375655"/>
      <w:bookmarkStart w:id="1044" w:name="_Toc532377392"/>
      <w:r>
        <w:rPr>
          <w:rFonts w:hint="eastAsia"/>
          <w:color w:val="auto"/>
          <w:sz w:val="21"/>
          <w:szCs w:val="21"/>
          <w:highlight w:val="none"/>
        </w:rPr>
        <w:t>13.6 竣工退场</w:t>
      </w:r>
      <w:bookmarkEnd w:id="1043"/>
      <w:bookmarkEnd w:id="1044"/>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13.6.1 竣工退场</w:t>
      </w:r>
    </w:p>
    <w:p>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承包人完成竣工退场的期限：</w:t>
      </w:r>
      <w:r>
        <w:rPr>
          <w:rFonts w:hint="eastAsia" w:ascii="宋体" w:hAnsi="宋体"/>
          <w:color w:val="auto"/>
          <w:szCs w:val="21"/>
          <w:highlight w:val="none"/>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color w:val="auto"/>
          <w:szCs w:val="21"/>
          <w:highlight w:val="none"/>
        </w:rPr>
        <w:t>。</w:t>
      </w:r>
    </w:p>
    <w:bookmarkEnd w:id="1014"/>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45" w:name="_Toc532377393"/>
      <w:bookmarkStart w:id="1046" w:name="_Toc351203646"/>
      <w:bookmarkStart w:id="1047" w:name="_Toc532375656"/>
      <w:r>
        <w:rPr>
          <w:rFonts w:hint="eastAsia"/>
          <w:color w:val="auto"/>
          <w:kern w:val="2"/>
          <w:sz w:val="21"/>
          <w:szCs w:val="21"/>
          <w:highlight w:val="none"/>
        </w:rPr>
        <w:t>14. 竣工结算</w:t>
      </w:r>
      <w:bookmarkEnd w:id="1045"/>
      <w:bookmarkEnd w:id="1046"/>
      <w:bookmarkEnd w:id="1047"/>
    </w:p>
    <w:p>
      <w:pPr>
        <w:pStyle w:val="7"/>
        <w:spacing w:before="0" w:beforeAutospacing="0" w:after="0" w:afterAutospacing="0" w:line="360" w:lineRule="auto"/>
        <w:ind w:firstLine="422" w:firstLineChars="200"/>
        <w:rPr>
          <w:color w:val="auto"/>
          <w:sz w:val="21"/>
          <w:szCs w:val="21"/>
          <w:highlight w:val="none"/>
        </w:rPr>
      </w:pPr>
      <w:bookmarkStart w:id="1048" w:name="_Toc532375657"/>
      <w:bookmarkStart w:id="1049" w:name="_Toc532377394"/>
      <w:r>
        <w:rPr>
          <w:rFonts w:hint="eastAsia"/>
          <w:color w:val="auto"/>
          <w:sz w:val="21"/>
          <w:szCs w:val="21"/>
          <w:highlight w:val="none"/>
        </w:rPr>
        <w:t>14.1 竣工结算申请</w:t>
      </w:r>
      <w:bookmarkEnd w:id="1048"/>
      <w:bookmarkEnd w:id="1049"/>
    </w:p>
    <w:p>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承包人提交竣工结算申请单的期限：</w:t>
      </w:r>
      <w:r>
        <w:rPr>
          <w:rFonts w:hint="eastAsia" w:ascii="宋体" w:hAnsi="宋体"/>
          <w:color w:val="auto"/>
          <w:szCs w:val="21"/>
          <w:highlight w:val="none"/>
          <w:u w:val="single"/>
        </w:rPr>
        <w:t>承包人应在工程竣工验收合格且报送</w:t>
      </w:r>
      <w:r>
        <w:rPr>
          <w:rFonts w:ascii="宋体" w:hAnsi="宋体"/>
          <w:color w:val="auto"/>
          <w:szCs w:val="21"/>
          <w:highlight w:val="none"/>
          <w:u w:val="single"/>
        </w:rPr>
        <w:t>完整工程竣工资料</w:t>
      </w:r>
      <w:r>
        <w:rPr>
          <w:rFonts w:hint="eastAsia" w:ascii="宋体" w:hAnsi="宋体"/>
          <w:color w:val="auto"/>
          <w:szCs w:val="21"/>
          <w:highlight w:val="none"/>
          <w:u w:val="single"/>
        </w:rPr>
        <w:t>之日起28天内向监理人、发包人提交竣工结算申请单，并向发包人报送完整的工程竣工资料及经监理人初审确认的完整的竣工结算资料</w:t>
      </w:r>
      <w:bookmarkStart w:id="1050" w:name="_Hlk524297994"/>
      <w:r>
        <w:rPr>
          <w:rFonts w:hint="eastAsia" w:ascii="宋体" w:hAnsi="宋体"/>
          <w:color w:val="auto"/>
          <w:szCs w:val="21"/>
          <w:highlight w:val="none"/>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竣工结算申请单包括但不限于以下内容：</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（1）竣工结算合同价格；</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（2）变更增减金额；</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（3）现场签证增减金额；</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（4）索赔增减金额；</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（5）奖励、罚金及违约金；</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（6）发包人已支付承包人的款项；</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（7）应扣留的质量保证金；</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（8）发包人应支付承包人的合同价款。</w:t>
      </w:r>
      <w:bookmarkEnd w:id="1050"/>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051" w:name="_Toc532377395"/>
      <w:bookmarkStart w:id="1052" w:name="_Toc532375658"/>
      <w:r>
        <w:rPr>
          <w:rFonts w:hint="eastAsia"/>
          <w:color w:val="auto"/>
          <w:sz w:val="21"/>
          <w:szCs w:val="21"/>
          <w:highlight w:val="none"/>
        </w:rPr>
        <w:t>14.2 竣工结算审核</w:t>
      </w:r>
      <w:bookmarkEnd w:id="1051"/>
      <w:bookmarkEnd w:id="1052"/>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 竣工结算办法</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14.2.1.1计量原则</w:t>
      </w:r>
    </w:p>
    <w:p>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按照第12.3.1项〔计量原则〕约定执行。</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14.2.1.2计价原则</w:t>
      </w:r>
    </w:p>
    <w:p>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合同竣工结算价=Σ分部分项工程结算价+Σ措施项目结算价+Σ其他项目结算价±Σ价格调整（如有）±Σ变更、索赔与现场签证结算价±Σ奖励、罚金、违约金及其他费用+Σ规费+Σ税金</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具体结算办法如下：</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（1）分部分项工程：</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③需要对没有填入综合单价或总额价的子目项目进行扣减的，第12.3.1项〔计量原则〕约定确定的工程量乘以按照10.4.1〔变更估价原则〕（3）目约定的综合单价进行扣减</w:t>
      </w:r>
      <w:r>
        <w:rPr>
          <w:rFonts w:hint="eastAsia" w:ascii="宋体" w:hAns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④合同、已标价工程量清单和招标文件另有约定的，按照其约定执行</w:t>
      </w:r>
      <w:r>
        <w:rPr>
          <w:rFonts w:hint="eastAsia" w:ascii="宋体" w:hAns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（2）措施项目：</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②工程变更引起施工方案改变使措施项目发生变化的，经监理人、发包人确定后可对按第10.4.3项约定执行</w:t>
      </w:r>
      <w:r>
        <w:rPr>
          <w:rFonts w:hint="eastAsia" w:ascii="宋体" w:hAns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③安全文明施工费按照《重庆市建设工程安全文明施工费计取及使用管理规定》（渝建发〔2014〕25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的规定进行结算</w:t>
      </w:r>
      <w:r>
        <w:rPr>
          <w:rFonts w:hint="eastAsia" w:ascii="宋体" w:hAns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（3）其他项目：</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①材料（工程设备）暂估价：</w:t>
      </w:r>
      <w:r>
        <w:rPr>
          <w:rFonts w:hint="eastAsia" w:ascii="宋体" w:hAnsi="宋体"/>
          <w:color w:val="auto"/>
          <w:szCs w:val="21"/>
          <w:highlight w:val="none"/>
          <w:u w:val="single"/>
        </w:rPr>
        <w:t>按照第12.3.1项〔计量原则〕约定及对应定额消耗量确定的数量乘以监理人、跟审单位、发包人根据市场行情认质核价确定的价格进行结算</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②专业工程暂估价：</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1）对于不属于依法必须招标的暂估价项目：按发包人审定的价格进行结算</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2）对于依法必须招标的暂估价项目：达到招标规模标准的暂估价内容，包括专业工程暂估价和材料设备暂估价均应招标确定，并按暂估价招标文件约定结算</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3）总承包服务费：总承包服务费包干使用，结算时不作调整</w:t>
      </w:r>
      <w:r>
        <w:rPr>
          <w:rFonts w:hint="eastAsia" w:ascii="宋体" w:hAns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（4）价格调整：</w:t>
      </w:r>
      <w:r>
        <w:rPr>
          <w:rFonts w:hint="eastAsia" w:ascii="宋体" w:hAnsi="宋体"/>
          <w:color w:val="auto"/>
          <w:szCs w:val="21"/>
          <w:highlight w:val="none"/>
          <w:u w:val="single"/>
        </w:rPr>
        <w:t>按照第11条〔价格调整〕约定约定执行</w:t>
      </w:r>
      <w:r>
        <w:rPr>
          <w:rFonts w:hint="eastAsia" w:ascii="宋体" w:hAns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（5）工程变更、索赔与现场签证：</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2）索赔：按照第10.4.1项〔变更估价原则〕和第14.2.1项〔竣工结算办法〕约定执行。</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3）现场签证：按照第10.4.1项〔变更估价原则〕和第14.2.1项〔竣工结算办法〕约定执行。</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（6）奖励、罚金、违约金及其他费用：</w:t>
      </w:r>
      <w:r>
        <w:rPr>
          <w:rFonts w:hint="eastAsia" w:ascii="宋体" w:hAnsi="宋体"/>
          <w:color w:val="auto"/>
          <w:szCs w:val="21"/>
          <w:highlight w:val="none"/>
          <w:u w:val="single"/>
        </w:rPr>
        <w:t>按实进行结算</w:t>
      </w:r>
      <w:r>
        <w:rPr>
          <w:rFonts w:hint="eastAsia" w:ascii="宋体" w:hAns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（7）规费：已标价工程量清单中规费费用按《重庆市建设工程费用定额》（CQFYDE-2018）执行。</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14.2.1.3竣工结算价</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bookmarkStart w:id="1053" w:name="_Hlk528660512"/>
      <w:r>
        <w:rPr>
          <w:rFonts w:hint="eastAsia" w:ascii="宋体" w:hAnsi="宋体"/>
          <w:color w:val="auto"/>
          <w:szCs w:val="21"/>
          <w:highlight w:val="none"/>
          <w:u w:val="single"/>
        </w:rPr>
        <w:t>以发包人会同跟审单位、监理人、承包人根据有效资料共同确定竣工结算金额作为合同竣工结算价</w:t>
      </w:r>
      <w:r>
        <w:rPr>
          <w:rFonts w:hint="eastAsia" w:ascii="宋体" w:hAnsi="宋体"/>
          <w:color w:val="auto"/>
          <w:szCs w:val="21"/>
          <w:highlight w:val="none"/>
        </w:rPr>
        <w:t>。</w:t>
      </w:r>
    </w:p>
    <w:bookmarkEnd w:id="1053"/>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14.2.2 竣工结算审核期限</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监理人审核竣工付款申请单的期限：</w:t>
      </w:r>
      <w:r>
        <w:rPr>
          <w:rFonts w:hint="eastAsia" w:ascii="宋体" w:hAnsi="宋体"/>
          <w:color w:val="auto"/>
          <w:szCs w:val="21"/>
          <w:highlight w:val="none"/>
          <w:u w:val="single"/>
        </w:rPr>
        <w:t>不超过  日</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发包人审核竣工付款申请单的期限：</w:t>
      </w:r>
      <w:r>
        <w:rPr>
          <w:rFonts w:hint="eastAsia" w:ascii="宋体" w:hAnsi="宋体"/>
          <w:color w:val="auto"/>
          <w:szCs w:val="21"/>
          <w:highlight w:val="none"/>
          <w:u w:val="single"/>
        </w:rPr>
        <w:t>不超过  日</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发包人完成竣工付款的期限：</w:t>
      </w:r>
      <w:r>
        <w:rPr>
          <w:rFonts w:hint="eastAsia" w:ascii="宋体" w:hAnsi="宋体"/>
          <w:color w:val="auto"/>
          <w:szCs w:val="21"/>
          <w:highlight w:val="none"/>
          <w:u w:val="single"/>
        </w:rPr>
        <w:t>完成竣工付款申请单审核后  天内</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关于竣工付款证书异议部分复核的方式和程序： 按照第20条〔争议解决〕约定处理。</w:t>
      </w:r>
    </w:p>
    <w:p>
      <w:pPr>
        <w:pStyle w:val="7"/>
        <w:spacing w:before="0" w:beforeAutospacing="0" w:after="0" w:afterAutospacing="0" w:line="360" w:lineRule="auto"/>
        <w:ind w:firstLine="422" w:firstLineChars="200"/>
        <w:rPr>
          <w:color w:val="auto"/>
          <w:sz w:val="21"/>
          <w:szCs w:val="21"/>
          <w:highlight w:val="none"/>
        </w:rPr>
      </w:pPr>
      <w:bookmarkStart w:id="1054" w:name="_Toc532375659"/>
      <w:bookmarkStart w:id="1055" w:name="_Toc532377396"/>
      <w:r>
        <w:rPr>
          <w:rFonts w:hint="eastAsia"/>
          <w:color w:val="auto"/>
          <w:sz w:val="21"/>
          <w:szCs w:val="21"/>
          <w:highlight w:val="none"/>
        </w:rPr>
        <w:t>14.4 最终结清</w:t>
      </w:r>
      <w:bookmarkEnd w:id="1054"/>
      <w:bookmarkEnd w:id="1055"/>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14.4.1 最终结清申请单</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承包人提交最终结清申请单的份数：</w:t>
      </w:r>
      <w:r>
        <w:rPr>
          <w:rFonts w:hint="eastAsia" w:ascii="宋体" w:hAnsi="宋体"/>
          <w:color w:val="auto"/>
          <w:szCs w:val="21"/>
          <w:highlight w:val="none"/>
          <w:u w:val="single"/>
        </w:rPr>
        <w:t>3份</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承包人提交最终结算申请单的期限：</w:t>
      </w:r>
      <w:r>
        <w:rPr>
          <w:rFonts w:hint="eastAsia" w:ascii="宋体" w:hAnsi="宋体"/>
          <w:color w:val="auto"/>
          <w:szCs w:val="21"/>
          <w:highlight w:val="none"/>
          <w:u w:val="single"/>
        </w:rPr>
        <w:t>缺陷责任期终止证书颁发后14天内</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14.4.2 最终结清证书和支付</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（1）发包人完成最终结清申请单的审批并颁发最终结清证书的期限：</w:t>
      </w:r>
      <w:r>
        <w:rPr>
          <w:rFonts w:hint="eastAsia" w:ascii="宋体" w:hAnsi="宋体"/>
          <w:color w:val="auto"/>
          <w:szCs w:val="21"/>
          <w:highlight w:val="none"/>
          <w:u w:val="single"/>
        </w:rPr>
        <w:t>发包人收到完整资料后14天内完成审批并颁发最终结清证书</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（2）发包人完成支付的期限：</w:t>
      </w:r>
      <w:r>
        <w:rPr>
          <w:rFonts w:hint="eastAsia" w:ascii="宋体" w:hAnsi="宋体"/>
          <w:color w:val="auto"/>
          <w:szCs w:val="21"/>
          <w:highlight w:val="none"/>
          <w:u w:val="single"/>
        </w:rPr>
        <w:t>颁发最终结清证书的14天内</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本条补充14.5款：</w:t>
      </w:r>
    </w:p>
    <w:bookmarkEnd w:id="1015"/>
    <w:bookmarkEnd w:id="1016"/>
    <w:bookmarkEnd w:id="1017"/>
    <w:bookmarkEnd w:id="1018"/>
    <w:bookmarkEnd w:id="1019"/>
    <w:bookmarkEnd w:id="1020"/>
    <w:bookmarkEnd w:id="1021"/>
    <w:bookmarkEnd w:id="1022"/>
    <w:p>
      <w:pPr>
        <w:pStyle w:val="7"/>
        <w:spacing w:before="0" w:beforeAutospacing="0" w:after="0" w:afterAutospacing="0" w:line="360" w:lineRule="auto"/>
        <w:ind w:firstLine="422" w:firstLineChars="200"/>
        <w:rPr>
          <w:color w:val="auto"/>
          <w:sz w:val="21"/>
          <w:szCs w:val="21"/>
          <w:highlight w:val="none"/>
        </w:rPr>
      </w:pPr>
      <w:bookmarkStart w:id="1056" w:name="_Toc532375660"/>
      <w:bookmarkStart w:id="1057" w:name="_Toc532377397"/>
      <w:r>
        <w:rPr>
          <w:rFonts w:hint="eastAsia"/>
          <w:color w:val="auto"/>
          <w:sz w:val="21"/>
          <w:szCs w:val="21"/>
          <w:highlight w:val="none"/>
        </w:rPr>
        <w:t>14.5 逾期办理或不配合办理竣工结算的处理</w:t>
      </w:r>
      <w:bookmarkEnd w:id="1056"/>
      <w:bookmarkEnd w:id="1057"/>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有下列情形之一的，视为承包人放弃与发包人共同办理竣工结算的权利，发包人有权会同跟审单位、监理人根据有效资料共同确定竣工结算金额。</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（1）承包人逾期未报送竣工结算资料，亦未获得发包人批准延期报送，经发包人两</w:t>
      </w:r>
      <w:bookmarkStart w:id="1058" w:name="_Hlk529133622"/>
      <w:r>
        <w:rPr>
          <w:rFonts w:hint="eastAsia" w:ascii="宋体" w:hAnsi="宋体"/>
          <w:color w:val="auto"/>
          <w:szCs w:val="21"/>
          <w:highlight w:val="none"/>
        </w:rPr>
        <w:t>次书面催告仍未在限期内报送的</w:t>
      </w:r>
      <w:bookmarkEnd w:id="1058"/>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（3）承包人不配合发包人、跟审单位、监理人、发包人委托的工程造价咨询服务单位办理竣工结算的，经发包人两次书面函告仍未改正的。</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color w:val="auto"/>
          <w:szCs w:val="21"/>
          <w:highlight w:val="none"/>
        </w:rPr>
        <w:t>。</w:t>
      </w:r>
    </w:p>
    <w:bookmarkEnd w:id="723"/>
    <w:bookmarkEnd w:id="724"/>
    <w:bookmarkEnd w:id="725"/>
    <w:bookmarkEnd w:id="726"/>
    <w:bookmarkEnd w:id="727"/>
    <w:bookmarkEnd w:id="728"/>
    <w:bookmarkEnd w:id="729"/>
    <w:bookmarkEnd w:id="730"/>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59" w:name="_Toc532377398"/>
      <w:bookmarkStart w:id="1060" w:name="_Toc351203647"/>
      <w:bookmarkStart w:id="1061" w:name="_Toc532375661"/>
      <w:bookmarkStart w:id="1062" w:name="_Toc267251483"/>
      <w:bookmarkStart w:id="1063" w:name="_Toc280868717"/>
      <w:bookmarkStart w:id="1064" w:name="_Toc280868718"/>
      <w:r>
        <w:rPr>
          <w:rFonts w:hint="eastAsia"/>
          <w:color w:val="auto"/>
          <w:kern w:val="2"/>
          <w:sz w:val="21"/>
          <w:szCs w:val="21"/>
          <w:highlight w:val="none"/>
        </w:rPr>
        <w:t>15. 缺陷责任期与保修</w:t>
      </w:r>
      <w:bookmarkEnd w:id="1059"/>
      <w:bookmarkEnd w:id="1060"/>
      <w:bookmarkEnd w:id="1061"/>
    </w:p>
    <w:bookmarkEnd w:id="1062"/>
    <w:p>
      <w:pPr>
        <w:pStyle w:val="7"/>
        <w:spacing w:before="0" w:beforeAutospacing="0" w:after="0" w:afterAutospacing="0" w:line="360" w:lineRule="auto"/>
        <w:ind w:firstLine="422" w:firstLineChars="200"/>
        <w:rPr>
          <w:color w:val="auto"/>
          <w:sz w:val="21"/>
          <w:szCs w:val="21"/>
          <w:highlight w:val="none"/>
        </w:rPr>
      </w:pPr>
      <w:bookmarkStart w:id="1065" w:name="_Toc532377399"/>
      <w:bookmarkStart w:id="1066" w:name="_Toc532375662"/>
      <w:r>
        <w:rPr>
          <w:rFonts w:hint="eastAsia"/>
          <w:color w:val="auto"/>
          <w:sz w:val="21"/>
          <w:szCs w:val="21"/>
          <w:highlight w:val="none"/>
        </w:rPr>
        <w:t>15.3 质量保证金</w:t>
      </w:r>
      <w:bookmarkEnd w:id="1065"/>
      <w:bookmarkEnd w:id="1066"/>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15.3.1 承包人提供质量保证金的方式</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质量保证金采用以下第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（1）质量保证金保函</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1）按招标文件载明的格式或发包人认可的格式向发包人提交不可撤销的见索即付银行保函</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2）出具保函的银行级别：</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3）保函金额为：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4）提交时间：</w:t>
      </w:r>
      <w:r>
        <w:rPr>
          <w:rFonts w:hint="eastAsia" w:ascii="宋体" w:hAnsi="宋体"/>
          <w:color w:val="auto"/>
          <w:szCs w:val="21"/>
          <w:highlight w:val="none"/>
          <w:u w:val="single"/>
        </w:rPr>
        <w:t>工程竣工验收合格后14天内</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承包人提交质量保证金保函的，发包人应同时退还（若有）扣留的作为质量保证金的工程价款、履约担保、低价风险担保；保函金额不得超过工程价款结算总额的3%</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（2）竣工结算价的</w:t>
      </w:r>
      <w:r>
        <w:rPr>
          <w:rFonts w:hint="eastAsia" w:ascii="宋体" w:hAnsi="宋体"/>
          <w:color w:val="auto"/>
          <w:szCs w:val="21"/>
          <w:highlight w:val="none"/>
          <w:u w:val="single"/>
        </w:rPr>
        <w:t xml:space="preserve"> 3%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（3）其他方式：</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15.3.2 质量保证金的扣留</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质量保证金的扣留采取以下第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（1）在支付工程进度款时逐次扣留，在此情形下，质量保证金的计算基数不包括预付款的支付、扣回以及价格调整的金额；</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（2）工程竣工结算时一次性扣留质量保证金；</w:t>
      </w:r>
    </w:p>
    <w:p>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（3）</w:t>
      </w:r>
      <w:r>
        <w:rPr>
          <w:rFonts w:hint="eastAsia" w:ascii="宋体" w:hAnsi="宋体"/>
          <w:color w:val="auto"/>
          <w:szCs w:val="21"/>
          <w:highlight w:val="none"/>
          <w:u w:val="single"/>
        </w:rPr>
        <w:t xml:space="preserve">其他扣留方式：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15.3.3质量保证金的退还</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（1）在发包人颁发缺陷责任期终止证书之日起14天内退还。</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（2）缺陷责任期内，承包人认真履行合同约定的责任，到期后，承包人可向发包人申请返还质量保证金。</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（3）质量保证金是否支付利息采取以下</w:t>
      </w:r>
      <w:r>
        <w:rPr>
          <w:rFonts w:hint="eastAsia" w:ascii="宋体" w:hAnsi="宋体"/>
          <w:color w:val="auto"/>
          <w:szCs w:val="21"/>
          <w:highlight w:val="none"/>
          <w:u w:val="single"/>
        </w:rPr>
        <w:t>第②种</w:t>
      </w:r>
      <w:r>
        <w:rPr>
          <w:rFonts w:hint="eastAsia" w:ascii="宋体" w:hAnsi="宋体"/>
          <w:color w:val="auto"/>
          <w:szCs w:val="21"/>
          <w:highlight w:val="none"/>
        </w:rPr>
        <w:t>方式：</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①按照中国人民银行  年  月公布的5年期贷款市场报价利率支付利息</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②不采用</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067" w:name="_Toc532375663"/>
      <w:bookmarkStart w:id="1068" w:name="_Toc532377400"/>
      <w:r>
        <w:rPr>
          <w:rFonts w:hint="eastAsia"/>
          <w:color w:val="auto"/>
          <w:sz w:val="21"/>
          <w:szCs w:val="21"/>
          <w:highlight w:val="none"/>
        </w:rPr>
        <w:t>15.4 保修</w:t>
      </w:r>
      <w:bookmarkEnd w:id="1067"/>
      <w:bookmarkEnd w:id="1068"/>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15.4.1 保修责任</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工程保修期为：</w:t>
      </w:r>
      <w:bookmarkStart w:id="1069" w:name="_Hlk524381274"/>
      <w:r>
        <w:rPr>
          <w:rFonts w:hint="eastAsia" w:ascii="宋体" w:hAnsi="宋体"/>
          <w:color w:val="auto"/>
          <w:szCs w:val="21"/>
          <w:highlight w:val="none"/>
        </w:rPr>
        <w:t>按照附件1《工程质量保修书》的规定执行。</w:t>
      </w:r>
      <w:bookmarkEnd w:id="1069"/>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15.4.3 修复通知</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承包人收到保修通知并到达工程现场的合理时间：</w:t>
      </w:r>
      <w:r>
        <w:rPr>
          <w:rFonts w:hint="eastAsia" w:ascii="宋体" w:hAnsi="宋体"/>
          <w:color w:val="auto"/>
          <w:szCs w:val="21"/>
          <w:highlight w:val="none"/>
          <w:u w:val="single"/>
        </w:rPr>
        <w:t xml:space="preserve">  小时内，最长不能超过  小时</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70" w:name="_Toc532377401"/>
      <w:bookmarkStart w:id="1071" w:name="_Toc351203648"/>
      <w:bookmarkStart w:id="1072" w:name="_Toc532375664"/>
      <w:r>
        <w:rPr>
          <w:rFonts w:hint="eastAsia"/>
          <w:color w:val="auto"/>
          <w:kern w:val="2"/>
          <w:sz w:val="21"/>
          <w:szCs w:val="21"/>
          <w:highlight w:val="none"/>
        </w:rPr>
        <w:t>16. 违约</w:t>
      </w:r>
      <w:bookmarkEnd w:id="1070"/>
      <w:bookmarkEnd w:id="1071"/>
      <w:bookmarkEnd w:id="1072"/>
    </w:p>
    <w:p>
      <w:pPr>
        <w:pStyle w:val="7"/>
        <w:spacing w:before="0" w:beforeAutospacing="0" w:after="0" w:afterAutospacing="0" w:line="360" w:lineRule="auto"/>
        <w:ind w:firstLine="422" w:firstLineChars="200"/>
        <w:rPr>
          <w:color w:val="auto"/>
          <w:sz w:val="21"/>
          <w:szCs w:val="21"/>
          <w:highlight w:val="none"/>
        </w:rPr>
      </w:pPr>
      <w:bookmarkStart w:id="1073" w:name="_Toc532377402"/>
      <w:r>
        <w:rPr>
          <w:rFonts w:hint="eastAsia"/>
          <w:color w:val="auto"/>
          <w:sz w:val="21"/>
          <w:szCs w:val="21"/>
          <w:highlight w:val="none"/>
        </w:rPr>
        <w:t>16.1 发包人违约</w:t>
      </w:r>
      <w:bookmarkEnd w:id="1073"/>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16.1.1 发包人违约的情形</w:t>
      </w:r>
    </w:p>
    <w:p>
      <w:pPr>
        <w:spacing w:line="360" w:lineRule="auto"/>
        <w:ind w:firstLine="420" w:firstLineChars="200"/>
        <w:rPr>
          <w:rFonts w:ascii="宋体" w:hAnsi="宋体"/>
          <w:color w:val="auto"/>
          <w:szCs w:val="21"/>
          <w:highlight w:val="none"/>
        </w:rPr>
      </w:pPr>
      <w:r>
        <w:rPr>
          <w:rFonts w:hint="eastAsia" w:ascii="宋体" w:hAnsi="宋体" w:cs="Microsoft Sans Serif"/>
          <w:color w:val="auto"/>
          <w:kern w:val="0"/>
          <w:szCs w:val="21"/>
          <w:highlight w:val="none"/>
        </w:rPr>
        <w:t>除通用合同条款约定外，发包人违约的其他情形：</w:t>
      </w:r>
    </w:p>
    <w:p>
      <w:pPr>
        <w:spacing w:line="360" w:lineRule="auto"/>
        <w:ind w:firstLine="420" w:firstLineChars="200"/>
        <w:rPr>
          <w:rFonts w:ascii="宋体" w:hAnsi="宋体"/>
          <w:color w:val="auto"/>
          <w:szCs w:val="21"/>
          <w:highlight w:val="none"/>
        </w:rPr>
      </w:pPr>
      <w:r>
        <w:rPr>
          <w:rFonts w:hint="eastAsia" w:ascii="宋体" w:hAnsi="宋体" w:cs="Microsoft Sans Serif"/>
          <w:color w:val="auto"/>
          <w:kern w:val="0"/>
          <w:szCs w:val="21"/>
          <w:highlight w:val="none"/>
        </w:rPr>
        <w:t>（1）根据专用合同条款7.5.1项因发包人原因导致工期延误的；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（2）因发包人原因未能及时办理完毕合同约定的许可、批准或备案的；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（3）因监理人未能按合同约定发出指示、指示延误或发出了错误指示而导致承包人费用增加和（或）工期延误的；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（4）根据5.3.3发包人或监理人要求重新检查的，经检查证明工程质量符合合同要求的，并由此产生增加的费用和（或）延误的工期的；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（5）因发包人原因造成工程质量未达到合同约定标准的；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（6）由于发包人原因对承包人造成的人员人身伤亡和财产损失的；</w:t>
      </w:r>
    </w:p>
    <w:p>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（7）因发包人原因导致工程无法按期办理竣工验收或竣工结算的；</w:t>
      </w:r>
    </w:p>
    <w:p>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（8）发包人无正当理由未按约定退还履约担保、低价风险担保、预付款担保或质量保证金的；</w:t>
      </w:r>
    </w:p>
    <w:p>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（9）发包人不当提取履约担保、低价风险担保或质量保证金的；</w:t>
      </w:r>
    </w:p>
    <w:p>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（10）发包人未按合同约定接收全部或部分工作的；</w:t>
      </w:r>
    </w:p>
    <w:p>
      <w:pPr>
        <w:pStyle w:val="65"/>
        <w:spacing w:line="360" w:lineRule="auto"/>
        <w:jc w:val="left"/>
        <w:rPr>
          <w:rFonts w:ascii="宋体" w:hAnsi="宋体" w:cs="Microsoft Sans Serif"/>
          <w:color w:val="auto"/>
          <w:kern w:val="0"/>
          <w:sz w:val="21"/>
          <w:szCs w:val="21"/>
          <w:highlight w:val="none"/>
          <w:u w:val="single"/>
        </w:rPr>
      </w:pPr>
      <w:r>
        <w:rPr>
          <w:rFonts w:hint="eastAsia" w:ascii="宋体" w:hAnsi="宋体" w:cs="Microsoft Sans Serif"/>
          <w:color w:val="auto"/>
          <w:kern w:val="0"/>
          <w:sz w:val="21"/>
          <w:szCs w:val="21"/>
          <w:highlight w:val="none"/>
        </w:rPr>
        <w:t>（11）发包人未按合同约定办理保险的；</w:t>
      </w:r>
    </w:p>
    <w:p>
      <w:pPr>
        <w:snapToGrid w:val="0"/>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u w:val="single"/>
        </w:rPr>
        <w:t xml:space="preserve">（12）其他：        </w:t>
      </w:r>
      <w:r>
        <w:rPr>
          <w:rFonts w:hint="eastAsia" w:ascii="宋体" w:hAnsi="宋体" w:cs="Microsoft Sans Serif"/>
          <w:color w:val="auto"/>
          <w:kern w:val="0"/>
          <w:szCs w:val="21"/>
          <w:highlight w:val="none"/>
        </w:rPr>
        <w:t>。</w:t>
      </w:r>
    </w:p>
    <w:p>
      <w:pPr>
        <w:pStyle w:val="65"/>
        <w:spacing w:line="360" w:lineRule="auto"/>
        <w:rPr>
          <w:rFonts w:ascii="宋体" w:hAnsi="宋体"/>
          <w:color w:val="auto"/>
          <w:sz w:val="21"/>
          <w:szCs w:val="21"/>
          <w:highlight w:val="none"/>
        </w:rPr>
      </w:pPr>
      <w:r>
        <w:rPr>
          <w:rFonts w:hint="eastAsia" w:ascii="宋体" w:hAnsi="宋体"/>
          <w:color w:val="auto"/>
          <w:sz w:val="21"/>
          <w:szCs w:val="21"/>
          <w:highlight w:val="none"/>
        </w:rPr>
        <w:t>16.1.2发包人违约的责任</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（1）因发包人原因未能及时办理完毕前述许可、批准或备案的违约责任：由发包人承担由此增加的费用和（或）顺延工期，并支付合理利润，具体索赔程序按照第19条〔索赔〕约定执行。</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（3）因发包人原因导致工期延误的违约责任：由发包人承担由此增加的费用和（或）顺延工期，并支付合理利润，具体索赔程序按照第19条〔索赔〕约定执行。</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（4）因发包人原因未能在计划开工日期前7天内下达开工通知的违约责任：由发包人承担由此增加的费用和（或）顺延工期，并支付合理利润，具体索赔程序按照第19条〔索赔〕约定执行。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（5）根据5.3.3项发包人或监理人要求重新检查的，经检查证明工程质量符合合同要求的，由发包人承担由此增加的费用和（或）顺延工期，并支付合理利润，具体索赔程序按照第19条〔索赔〕约定执行。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（6）因发包人原因未按合同约定支付合同价款的违约责任：发包人应向承包人支付违约金，自应当支付之日起28天后开始计算违约金，计算公式：</w:t>
      </w:r>
      <w:r>
        <w:rPr>
          <w:rFonts w:hint="eastAsia" w:ascii="宋体" w:hAnsi="宋体" w:cs="Microsoft Sans Serif"/>
          <w:color w:val="auto"/>
          <w:kern w:val="0"/>
          <w:szCs w:val="21"/>
          <w:highlight w:val="none"/>
          <w:u w:val="single"/>
        </w:rPr>
        <w:t>违约金=应付未付金额×中国人民银行  年  月公布的5年期贷款市场报价利率/360天×逾期天数</w:t>
      </w:r>
      <w:r>
        <w:rPr>
          <w:rFonts w:hint="eastAsia" w:ascii="宋体" w:hAnsi="宋体"/>
          <w:color w:val="auto"/>
          <w:szCs w:val="21"/>
          <w:highlight w:val="none"/>
          <w:u w:val="single"/>
        </w:rPr>
        <w:t>（自第29天起计算）</w:t>
      </w:r>
      <w:r>
        <w:rPr>
          <w:rFonts w:hint="eastAsia" w:ascii="宋体" w:hAnsi="宋体" w:cs="Microsoft Sans Serif"/>
          <w:color w:val="auto"/>
          <w:kern w:val="0"/>
          <w:szCs w:val="21"/>
          <w:highlight w:val="none"/>
          <w:u w:val="single"/>
        </w:rPr>
        <w:t>；逾期天数超过56天的，超过部分天数按上述利率的两倍计算并支付违约金</w:t>
      </w:r>
      <w:r>
        <w:rPr>
          <w:rFonts w:hint="eastAsia" w:ascii="宋体" w:hAnsi="宋体" w:cs="Microsoft Sans Serif"/>
          <w:color w:val="auto"/>
          <w:kern w:val="0"/>
          <w:szCs w:val="21"/>
          <w:highlight w:val="none"/>
        </w:rPr>
        <w:t>。</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（7）发包人违反合同约定，自行实施或转由他人实施被取消的合同工作内容的违约责任：由发包人承担由此给承包人造成的实际损失并支付合理利润。</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（9）因发包人原因造成工程质量未达到合同约定标准的，由发包人承担由此增加的费用和（或）延误的工期，并支付合理利润。</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（10）因发包人违反合同约定造成暂停施工的违约责任：由发包人承担由此增加的费用和（或）顺延工期，并支付合理利润，具体索赔程序按照第19条〔索赔〕约定执行。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（11）发包人无正当理由没有在约定期限内发出复工指示，导致承包人无法复工的违约责任：由发包人承担由此增加的费用和（或）顺延工期，并支付合理利润，具体索赔程序按照第19条〔索赔〕约定执行。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（12）因发包人原因导致工程无法按期办理竣工验收或竣工结算的违约责任：由发包人承担由此增加的费用和（或）顺延工期，并支付合理利润，具体索赔程序按照第19条〔索赔〕约定执行。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olor w:val="auto"/>
          <w:szCs w:val="21"/>
          <w:highlight w:val="none"/>
        </w:rPr>
        <w:t>（13）</w:t>
      </w:r>
      <w:r>
        <w:rPr>
          <w:rFonts w:hint="eastAsia" w:ascii="宋体" w:hAnsi="宋体" w:cs="Microsoft Sans Serif"/>
          <w:color w:val="auto"/>
          <w:kern w:val="0"/>
          <w:szCs w:val="21"/>
          <w:highlight w:val="none"/>
        </w:rPr>
        <w:t>发包人无正当理由未按约定退还履约担保、低价风险担保、预付款担保或质量保证金的违约责任：发包人应向承包人支付违约金，自应当退还之日起28天后开始计算违约金，</w:t>
      </w:r>
      <w:r>
        <w:rPr>
          <w:rFonts w:hint="eastAsia" w:ascii="宋体" w:hAnsi="宋体" w:cs="Microsoft Sans Serif"/>
          <w:color w:val="auto"/>
          <w:kern w:val="0"/>
          <w:szCs w:val="21"/>
          <w:highlight w:val="none"/>
          <w:u w:val="single"/>
        </w:rPr>
        <w:t>计算公式：违约金=应退未退担保金额×中国人民银行  年  月公布的5年期贷款市场报价利率/360天×逾期天数</w:t>
      </w:r>
      <w:r>
        <w:rPr>
          <w:rFonts w:hint="eastAsia" w:ascii="宋体" w:hAnsi="宋体"/>
          <w:color w:val="auto"/>
          <w:szCs w:val="21"/>
          <w:highlight w:val="none"/>
          <w:u w:val="single"/>
        </w:rPr>
        <w:t>（自第29天起计算）</w:t>
      </w:r>
      <w:r>
        <w:rPr>
          <w:rFonts w:hint="eastAsia" w:ascii="宋体" w:hAnsi="宋体" w:cs="Microsoft Sans Serif"/>
          <w:color w:val="auto"/>
          <w:kern w:val="0"/>
          <w:szCs w:val="21"/>
          <w:highlight w:val="none"/>
        </w:rPr>
        <w:t>。</w:t>
      </w:r>
    </w:p>
    <w:p>
      <w:pPr>
        <w:pStyle w:val="2"/>
        <w:spacing w:after="0"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（14）</w:t>
      </w:r>
      <w:r>
        <w:rPr>
          <w:rFonts w:hint="eastAsia" w:ascii="宋体" w:hAnsi="宋体"/>
          <w:color w:val="auto"/>
          <w:szCs w:val="21"/>
          <w:highlight w:val="none"/>
        </w:rPr>
        <w:t>发包人不当提取履约担保、低价风险担保、预付款担保或质量保证金的，应及时予以退还，若不当提取超过28天的，应承担违约责任：发包人应向承包人支付违约金，</w:t>
      </w:r>
      <w:r>
        <w:rPr>
          <w:rFonts w:hint="eastAsia" w:ascii="宋体" w:hAnsi="宋体"/>
          <w:color w:val="auto"/>
          <w:szCs w:val="21"/>
          <w:highlight w:val="none"/>
          <w:u w:val="single"/>
        </w:rPr>
        <w:t>计算公式：违约金=不当提取的担保金额×中国人民银行  年  月公布的5年期贷款市场报价利率/360天×逾期天数（自第29天起计算）</w:t>
      </w:r>
      <w:r>
        <w:rPr>
          <w:rFonts w:hint="eastAsia" w:ascii="宋体" w:hAnsi="宋体"/>
          <w:color w:val="auto"/>
          <w:szCs w:val="21"/>
          <w:highlight w:val="none"/>
        </w:rPr>
        <w:t>。</w:t>
      </w:r>
    </w:p>
    <w:p>
      <w:pPr>
        <w:pStyle w:val="2"/>
        <w:spacing w:after="0" w:line="360" w:lineRule="auto"/>
        <w:ind w:firstLine="420" w:firstLineChars="200"/>
        <w:rPr>
          <w:rFonts w:ascii="宋体" w:hAnsi="宋体"/>
          <w:color w:val="auto"/>
          <w:szCs w:val="21"/>
          <w:highlight w:val="none"/>
        </w:rPr>
      </w:pPr>
      <w:r>
        <w:rPr>
          <w:rFonts w:hint="eastAsia" w:ascii="宋体" w:hAnsi="宋体" w:cs="Microsoft Sans Serif"/>
          <w:color w:val="auto"/>
          <w:kern w:val="0"/>
          <w:szCs w:val="21"/>
          <w:highlight w:val="none"/>
        </w:rPr>
        <w:t>（15）发包人未按合同约定接收全部或部分工作的违约责任：由发包人承担自应当接收工程之日起的工程照管、成品保护、保管等与工程有关的各项费用。</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（16）由于发包人原因对承包人造成的人员人身伤亡和财产损失的，由发包人负责赔偿，并承担由此增加的费用和（或）延误的工期，并支付合理利润。</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（17）发包人未按合同约定办理保险的违约责任：除按18.6.1项约定执行外，每延迟1天，按</w:t>
      </w:r>
      <w:r>
        <w:rPr>
          <w:rFonts w:hint="eastAsia" w:ascii="宋体" w:hAnsi="宋体" w:cs="Microsoft Sans Serif"/>
          <w:color w:val="auto"/>
          <w:kern w:val="0"/>
          <w:szCs w:val="21"/>
          <w:highlight w:val="none"/>
          <w:u w:val="single"/>
        </w:rPr>
        <w:t>500元/天</w:t>
      </w:r>
      <w:r>
        <w:rPr>
          <w:rFonts w:hint="eastAsia" w:ascii="宋体" w:hAnsi="宋体" w:cs="Microsoft Sans Serif"/>
          <w:color w:val="auto"/>
          <w:kern w:val="0"/>
          <w:szCs w:val="21"/>
          <w:highlight w:val="none"/>
        </w:rPr>
        <w:t>支付违约金。</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（18）其他：</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16.1.3 因发包人违约解除合同</w:t>
      </w:r>
    </w:p>
    <w:p>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因发包人违约并致使合同目的不能实现的，承包人有权解除合同：</w:t>
      </w:r>
    </w:p>
    <w:p>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（1）因发包人原因延迟支付合同价款超过180天的；</w:t>
      </w:r>
    </w:p>
    <w:p>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（2）因发包人原因导致工期延误超过90天的；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（3）因发包人第16.1.2（5）违约情形导致暂停施工满56天，且发包人仍未纠正其违约行为的；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（4）其他未履行合同项下的义务构成对合同的实质性违约，并且在收到承包人要求说明其违约并予以补救的通知后56天内仍未补救该实质性违约的；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w:t>
      </w:r>
      <w:r>
        <w:rPr>
          <w:rFonts w:hint="eastAsia" w:ascii="宋体" w:hAnsi="宋体" w:cs="Microsoft Sans Serif"/>
          <w:color w:val="auto"/>
          <w:kern w:val="0"/>
          <w:szCs w:val="21"/>
          <w:highlight w:val="none"/>
          <w:u w:val="single"/>
        </w:rPr>
        <w:t>合同约定的承包人有权解除合同的其他情形</w:t>
      </w:r>
      <w:r>
        <w:rPr>
          <w:rFonts w:hint="eastAsia" w:ascii="宋体" w:hAnsi="宋体" w:cs="Microsoft Sans Serif"/>
          <w:color w:val="auto"/>
          <w:kern w:val="0"/>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16.1.4 因发包人违约解除合同后的付款</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承包人按照本款约定解除合同的，发包人应在解除合同后28天内支付下列款项，并解除履约担保、低价风险担保、预付款担保：</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（1）合同解除前所完成工作的价款；</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（2）承包人为工程施工订购并已付款的材料、工程设备和其他物品的价款；</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（3）承包人撤离施工现场以及遣散承包人人员的款项；</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（4）按照合同约定在合同解除前应支付的违约金；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（5）按照合同约定应当支付给承包人的其他款项；</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（6）按照合同约定应退还的质量保证金；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（7）因解除合同给承包人造成的损失；</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w:t>
      </w:r>
      <w:r>
        <w:rPr>
          <w:rFonts w:hint="eastAsia" w:ascii="宋体" w:hAnsi="宋体" w:cs="Microsoft Sans Serif"/>
          <w:color w:val="auto"/>
          <w:kern w:val="0"/>
          <w:szCs w:val="21"/>
          <w:highlight w:val="none"/>
          <w:u w:val="single"/>
        </w:rPr>
        <w:t xml:space="preserve">        。</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合同当事人未能就解除合同后的结清达成一致的，按照第20条〔争议解决〕的约定处理。</w:t>
      </w:r>
    </w:p>
    <w:p>
      <w:pPr>
        <w:snapToGrid w:val="0"/>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pPr>
        <w:pStyle w:val="7"/>
        <w:spacing w:before="0" w:beforeAutospacing="0" w:after="0" w:afterAutospacing="0" w:line="360" w:lineRule="auto"/>
        <w:ind w:firstLine="422" w:firstLineChars="200"/>
        <w:rPr>
          <w:color w:val="auto"/>
          <w:sz w:val="21"/>
          <w:szCs w:val="21"/>
          <w:highlight w:val="none"/>
        </w:rPr>
      </w:pPr>
      <w:bookmarkStart w:id="1074" w:name="_Toc532377403"/>
      <w:r>
        <w:rPr>
          <w:rFonts w:hint="eastAsia"/>
          <w:color w:val="auto"/>
          <w:sz w:val="21"/>
          <w:szCs w:val="21"/>
          <w:highlight w:val="none"/>
        </w:rPr>
        <w:t>16.2 承包人违约</w:t>
      </w:r>
      <w:bookmarkEnd w:id="1074"/>
    </w:p>
    <w:p>
      <w:pPr>
        <w:snapToGrid w:val="0"/>
        <w:spacing w:line="360" w:lineRule="auto"/>
        <w:ind w:firstLine="420" w:firstLineChars="200"/>
        <w:jc w:val="left"/>
        <w:rPr>
          <w:rFonts w:ascii="宋体" w:hAnsi="宋体" w:cs="Microsoft Sans Serif"/>
          <w:color w:val="auto"/>
          <w:kern w:val="0"/>
          <w:szCs w:val="21"/>
          <w:highlight w:val="none"/>
        </w:rPr>
      </w:pPr>
      <w:bookmarkStart w:id="1075" w:name="_Hlk524380579"/>
      <w:r>
        <w:rPr>
          <w:rFonts w:hint="eastAsia" w:ascii="宋体" w:hAnsi="宋体" w:cs="Microsoft Sans Serif"/>
          <w:color w:val="auto"/>
          <w:kern w:val="0"/>
          <w:szCs w:val="21"/>
          <w:highlight w:val="none"/>
        </w:rPr>
        <w:t>16.2.1 承包人违约的情形</w:t>
      </w:r>
    </w:p>
    <w:p>
      <w:pPr>
        <w:snapToGrid w:val="0"/>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除通用合同条款约定外，承包人违约的其他情形：</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（1）承包人未按合同约定提交履约担保或质量保证金的；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（2）承包人未能按期开工的；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（3）承包人未按竞选文件或监理人的要求及时配备称职的主要管理人员，或承包人未按经审定的施工组织设计配备或更换关键施工设备的；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（4）承包人有安全问题或有违反安全管理规章制度情况的；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（5）承包人在缺陷责任期及保修期内，未能在合理期限对工程缺陷进行修复，或拒绝按发包人要求进行修复的；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（6）承包人拖欠其工人或所雇人员工资或报酬，导致其工人或所雇人员向有关部门投诉、控告、检举或以聚集等方式讨要工资或报酬的；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（7）承包人不配合发包人、监理人及发包人委托的工程造价咨询服务单位结算审核或承包人其他原因导致未按期完成工程竣工结算的；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（8）承包人违反合同约定进行转包或违法分包的；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（9）承包人未按合同约定移交全部或部分工作的；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（10）承包人未按合同约定购买保险的；</w:t>
      </w:r>
    </w:p>
    <w:p>
      <w:pPr>
        <w:snapToGrid w:val="0"/>
        <w:spacing w:line="360" w:lineRule="auto"/>
        <w:ind w:firstLine="420" w:firstLineChars="200"/>
        <w:jc w:val="left"/>
        <w:rPr>
          <w:rFonts w:ascii="宋体" w:hAnsi="宋体"/>
          <w:color w:val="auto"/>
          <w:szCs w:val="21"/>
          <w:highlight w:val="none"/>
        </w:rPr>
      </w:pPr>
      <w:r>
        <w:rPr>
          <w:rFonts w:hint="eastAsia" w:ascii="宋体" w:hAnsi="宋体" w:cs="Microsoft Sans Serif"/>
          <w:color w:val="auto"/>
          <w:kern w:val="0"/>
          <w:szCs w:val="21"/>
          <w:highlight w:val="none"/>
        </w:rPr>
        <w:t>（11）项目经理若有以下情形，属于承包人违约：</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1）项目经理不按承诺到岗的；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2）每月在施工现场的天数少于约定天数的；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3）承包人未提交项目经理劳动合同和社会保险证明的；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4）未经批准，擅自离开施工现场（超过约定时间）的；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5）未经批准，擅自变更项目经理的；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6）按照渝建发〔2015〕35号文的要求，施工期间，项目经理因在一个记分周期内累计记分达到12分，被建设行政主管部门依法责令停止执业的；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7）发包人有正当理由认为项目经理不称职/不履职，且承包人在约定时间内不予更换的；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8）其他双方约定的情形：</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（12）技术负责人若有以下情形，属于承包人违约：</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1）每月在施工现场的天数少于约定天数的；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2）承包人未提交技术负责人劳动合同和社会保险证明的；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3）未经批准，擅自离开施工现场（超过约定时间）的；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4）未经批准，擅自变更技术负责人的；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5）发包人有正当理由认为技术负责人不称职/不履职，且承包人在约定时间内不予更换的；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6）其他双方约定的情形：</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（13）主要施工管理人员若有以下情形，属于承包人违约：</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1）承包人未提交主要施工管理人员劳动合同和社会保险证明的；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2）未经批准，擅自离开施工现场（超过约定时间）的；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3）未经批准，擅自变更主要施工管理人员的；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4）发包人有正当理由认为主要施工管理人员不称职/不履职，且承包人在约定时间内不予更换的；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5）其他双方约定的情形：</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bookmarkEnd w:id="1075"/>
    <w:p>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14）发包人在合同签订前对承包人已标价工程量清单清标时发现承包人的工程量清单综合单价报价超过招标时给出的工程量清单综合单价最高限价，结算时拒不接受发包人以发出的工程量清单综合单价最高限价为基础，按照承包人的中标总报价与本工程的总价最高限价的下浮比例进行同比例下调的。</w:t>
      </w:r>
    </w:p>
    <w:p>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（15）</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16.2.2 承包人违约的责任</w:t>
      </w:r>
    </w:p>
    <w:p>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承包人违约责任的承担方式和计算方法：</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（1）承包人未按合同约定提交履约担保、质量保证金的违约责任：承包人应支付违约金，</w:t>
      </w:r>
      <w:r>
        <w:rPr>
          <w:rFonts w:hint="eastAsia" w:ascii="宋体" w:hAnsi="宋体" w:cs="Microsoft Sans Serif"/>
          <w:color w:val="auto"/>
          <w:szCs w:val="21"/>
          <w:highlight w:val="none"/>
        </w:rPr>
        <w:t>违约金的计算方法：</w:t>
      </w:r>
      <w:r>
        <w:rPr>
          <w:rFonts w:hint="eastAsia" w:ascii="宋体" w:hAnsi="宋体" w:cs="Microsoft Sans Serif"/>
          <w:color w:val="auto"/>
          <w:kern w:val="0"/>
          <w:szCs w:val="21"/>
          <w:highlight w:val="none"/>
        </w:rPr>
        <w:t>每延误1天，承包人按</w:t>
      </w:r>
      <w:r>
        <w:rPr>
          <w:rFonts w:hint="eastAsia" w:ascii="宋体" w:hAnsi="宋体" w:cs="Microsoft Sans Serif"/>
          <w:color w:val="auto"/>
          <w:kern w:val="0"/>
          <w:szCs w:val="21"/>
          <w:highlight w:val="none"/>
          <w:u w:val="single"/>
        </w:rPr>
        <w:t xml:space="preserve">  （5000～50000）元/天</w:t>
      </w:r>
      <w:r>
        <w:rPr>
          <w:rFonts w:hint="eastAsia" w:ascii="宋体" w:hAnsi="宋体" w:cs="Microsoft Sans Serif"/>
          <w:color w:val="auto"/>
          <w:kern w:val="0"/>
          <w:szCs w:val="21"/>
          <w:highlight w:val="none"/>
        </w:rPr>
        <w:t>计算违约金，累计违约金上限：</w:t>
      </w:r>
      <w:r>
        <w:rPr>
          <w:rFonts w:hint="eastAsia" w:ascii="宋体" w:hAnsi="宋体" w:cs="Microsoft Sans Serif"/>
          <w:color w:val="auto"/>
          <w:kern w:val="0"/>
          <w:szCs w:val="21"/>
          <w:highlight w:val="none"/>
          <w:u w:val="single"/>
        </w:rPr>
        <w:t xml:space="preserve">  万元（不超过签约合同价的3%）</w:t>
      </w:r>
      <w:r>
        <w:rPr>
          <w:rFonts w:hint="eastAsia" w:ascii="宋体" w:hAnsi="宋体" w:cs="Microsoft Sans Serif"/>
          <w:color w:val="auto"/>
          <w:kern w:val="0"/>
          <w:szCs w:val="21"/>
          <w:highlight w:val="none"/>
          <w:lang w:val="zh-CN"/>
        </w:rPr>
        <w:t>。</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（2）承包人违反合同约定进行转包或违法分包的违约责任：按照违反合同约定进行转包和（或）违法分包相应转包和（或）分包合同的合同金额的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支付违约金，违法转/分包商应在7天内撤离出场。</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color w:val="auto"/>
          <w:kern w:val="0"/>
          <w:szCs w:val="21"/>
          <w:highlight w:val="none"/>
          <w:u w:val="single"/>
        </w:rPr>
        <w:t xml:space="preserve">  （1～5）%</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（6）因承包人原因造成工期延误的违约承担方式和计算方法：由承包人承担由此增加的费用，</w:t>
      </w:r>
      <w:r>
        <w:rPr>
          <w:rFonts w:hint="eastAsia" w:ascii="宋体" w:hAnsi="宋体" w:cs="Microsoft Sans Serif"/>
          <w:color w:val="auto"/>
          <w:szCs w:val="21"/>
          <w:highlight w:val="none"/>
        </w:rPr>
        <w:t>由此导致工期延误的，工期不予顺延；逾期竣工违约金的计算方法：</w:t>
      </w:r>
      <w:r>
        <w:rPr>
          <w:rFonts w:hint="eastAsia" w:ascii="宋体" w:hAnsi="宋体" w:cs="Microsoft Sans Serif"/>
          <w:color w:val="auto"/>
          <w:kern w:val="0"/>
          <w:szCs w:val="21"/>
          <w:highlight w:val="none"/>
        </w:rPr>
        <w:t>每延误1天，承包人按</w:t>
      </w:r>
      <w:r>
        <w:rPr>
          <w:rFonts w:hint="eastAsia" w:ascii="宋体" w:hAnsi="宋体" w:cs="Microsoft Sans Serif"/>
          <w:color w:val="auto"/>
          <w:kern w:val="0"/>
          <w:szCs w:val="21"/>
          <w:highlight w:val="none"/>
          <w:u w:val="single"/>
        </w:rPr>
        <w:t xml:space="preserve">  （5000～50000）元/天</w:t>
      </w:r>
      <w:r>
        <w:rPr>
          <w:rFonts w:hint="eastAsia" w:ascii="宋体" w:hAnsi="宋体" w:cs="Microsoft Sans Serif"/>
          <w:color w:val="auto"/>
          <w:kern w:val="0"/>
          <w:szCs w:val="21"/>
          <w:highlight w:val="none"/>
        </w:rPr>
        <w:t>计算逾期竣工违约金，累计违约金上限：</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万元（不超过签约合同价的3%）</w:t>
      </w:r>
      <w:r>
        <w:rPr>
          <w:rFonts w:hint="eastAsia" w:ascii="宋体" w:hAnsi="宋体" w:cs="Microsoft Sans Serif"/>
          <w:color w:val="auto"/>
          <w:kern w:val="0"/>
          <w:szCs w:val="21"/>
          <w:highlight w:val="none"/>
          <w:lang w:val="zh-CN"/>
        </w:rPr>
        <w:t>；</w:t>
      </w:r>
      <w:r>
        <w:rPr>
          <w:rFonts w:hint="eastAsia" w:ascii="宋体" w:hAnsi="宋体" w:cs="Microsoft Sans Serif"/>
          <w:color w:val="auto"/>
          <w:kern w:val="0"/>
          <w:szCs w:val="21"/>
          <w:highlight w:val="none"/>
        </w:rPr>
        <w:t>承包人支付逾期竣工违约金后，不免除承包人继续完成工程及修补缺陷的义务。</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（7）承包人在缺陷责任期及保修期内，未能在合理期限对工程缺陷进行修复，或拒绝按发包人要求进行修复的违约责任：按照发包人修复缺陷费用的</w:t>
      </w:r>
      <w:r>
        <w:rPr>
          <w:rFonts w:hint="eastAsia" w:ascii="宋体" w:hAnsi="宋体" w:cs="Microsoft Sans Serif"/>
          <w:color w:val="auto"/>
          <w:kern w:val="0"/>
          <w:szCs w:val="21"/>
          <w:highlight w:val="none"/>
          <w:u w:val="single"/>
        </w:rPr>
        <w:t xml:space="preserve">  （0.5～2）%</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（8）承包人明确表示或者以其行为表明不履行合同主要义务的违约责任：按签约合同价的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（9）承包人未能按照合同约定履行其他义务的违约责任：按</w:t>
      </w:r>
      <w:r>
        <w:rPr>
          <w:rFonts w:hint="eastAsia" w:ascii="宋体" w:hAnsi="宋体" w:cs="Microsoft Sans Serif"/>
          <w:color w:val="auto"/>
          <w:kern w:val="0"/>
          <w:szCs w:val="21"/>
          <w:highlight w:val="none"/>
          <w:u w:val="single"/>
        </w:rPr>
        <w:t>（500～5000）元/次</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（10）承包人未能按期开工的违约责任：按合同价</w:t>
      </w:r>
      <w:r>
        <w:rPr>
          <w:rFonts w:hint="eastAsia" w:ascii="宋体" w:hAnsi="宋体" w:cs="Microsoft Sans Serif"/>
          <w:color w:val="auto"/>
          <w:kern w:val="0"/>
          <w:szCs w:val="21"/>
          <w:highlight w:val="none"/>
          <w:u w:val="single"/>
        </w:rPr>
        <w:t>0.2‰/天</w:t>
      </w:r>
      <w:r>
        <w:rPr>
          <w:rFonts w:hint="eastAsia" w:ascii="宋体" w:hAnsi="宋体" w:cs="Microsoft Sans Serif"/>
          <w:color w:val="auto"/>
          <w:kern w:val="0"/>
          <w:szCs w:val="21"/>
          <w:highlight w:val="none"/>
        </w:rPr>
        <w:t>支付违约金，本项违约金累计限额为签约合同价的</w:t>
      </w:r>
      <w:r>
        <w:rPr>
          <w:rFonts w:hint="eastAsia" w:ascii="宋体" w:hAnsi="宋体" w:cs="Microsoft Sans Serif"/>
          <w:color w:val="auto"/>
          <w:kern w:val="0"/>
          <w:szCs w:val="21"/>
          <w:highlight w:val="none"/>
          <w:u w:val="single"/>
        </w:rPr>
        <w:t xml:space="preserve"> 1 %</w:t>
      </w:r>
      <w:r>
        <w:rPr>
          <w:rFonts w:hint="eastAsia" w:ascii="宋体" w:hAnsi="宋体" w:cs="Microsoft Sans Serif"/>
          <w:color w:val="auto"/>
          <w:kern w:val="0"/>
          <w:szCs w:val="21"/>
          <w:highlight w:val="none"/>
        </w:rPr>
        <w:t>。</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（11）承包人未按经审定的施工组织设计配备或更换关键施工设备的违约责任：按</w:t>
      </w:r>
      <w:r>
        <w:rPr>
          <w:rFonts w:hint="eastAsia" w:ascii="宋体" w:hAnsi="宋体" w:cs="Microsoft Sans Serif"/>
          <w:color w:val="auto"/>
          <w:kern w:val="0"/>
          <w:szCs w:val="21"/>
          <w:highlight w:val="none"/>
          <w:u w:val="single"/>
        </w:rPr>
        <w:t xml:space="preserve">  （5000～50000）元/台·次</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（12）承包人有安全问题或有违反安全管理规章制度情况的违约责任：根据具体情节，按签约合同价的</w:t>
      </w:r>
      <w:r>
        <w:rPr>
          <w:rFonts w:hint="eastAsia" w:ascii="宋体" w:hAnsi="宋体" w:cs="Microsoft Sans Serif"/>
          <w:color w:val="auto"/>
          <w:kern w:val="0"/>
          <w:szCs w:val="21"/>
          <w:highlight w:val="none"/>
          <w:u w:val="single"/>
        </w:rPr>
        <w:t>0.5‰～4‰/次</w:t>
      </w:r>
      <w:r>
        <w:rPr>
          <w:rFonts w:hint="eastAsia" w:ascii="宋体" w:hAnsi="宋体" w:cs="Microsoft Sans Serif"/>
          <w:color w:val="auto"/>
          <w:kern w:val="0"/>
          <w:szCs w:val="21"/>
          <w:highlight w:val="none"/>
        </w:rPr>
        <w:t>支付违约金（累计不超过签约合同价的1%，详见附件9安全管理协议）。</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color w:val="auto"/>
          <w:kern w:val="0"/>
          <w:szCs w:val="21"/>
          <w:highlight w:val="none"/>
          <w:u w:val="single"/>
        </w:rPr>
        <w:t xml:space="preserve">  （50000～200000）元/次</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（14）承包人不配合发包人、监理人及发包人委托的工程造价咨询服务单位结算审核的违约责任：根据具体情节，按</w:t>
      </w:r>
      <w:r>
        <w:rPr>
          <w:rFonts w:hint="eastAsia" w:ascii="宋体" w:hAnsi="宋体" w:cs="Microsoft Sans Serif"/>
          <w:color w:val="auto"/>
          <w:kern w:val="0"/>
          <w:szCs w:val="21"/>
          <w:highlight w:val="none"/>
          <w:u w:val="single"/>
        </w:rPr>
        <w:t xml:space="preserve">  （10000～100000）元/次</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color w:val="auto"/>
          <w:kern w:val="0"/>
          <w:szCs w:val="21"/>
          <w:highlight w:val="none"/>
          <w:u w:val="single"/>
        </w:rPr>
        <w:t>0.5～1‰</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（16）承包人未按合同约定购买保险的违约责任：除按18.6.2项约定执行外，每延迟1天，按</w:t>
      </w:r>
      <w:r>
        <w:rPr>
          <w:rFonts w:hint="eastAsia" w:ascii="宋体" w:hAnsi="宋体" w:cs="Microsoft Sans Serif"/>
          <w:color w:val="auto"/>
          <w:szCs w:val="21"/>
          <w:highlight w:val="none"/>
          <w:u w:val="single"/>
        </w:rPr>
        <w:t>500元/天</w:t>
      </w:r>
      <w:r>
        <w:rPr>
          <w:rFonts w:hint="eastAsia" w:ascii="宋体" w:hAnsi="宋体" w:cs="Microsoft Sans Serif"/>
          <w:color w:val="auto"/>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（17）发生第16.2.1项（11）目、16.2.1项（12）目、16.2.1项（13）目违约情形的违约责任：除承担由此增加的费用和工期延误的责任，承包人应向发包人支付违约金：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1）项目经理违约承担方式和计算方法：对于第16.2.1项（11）目的情形，每发现一次，根据具体情节，按</w:t>
      </w:r>
      <w:r>
        <w:rPr>
          <w:rFonts w:hint="eastAsia" w:ascii="宋体" w:hAnsi="宋体" w:cs="Microsoft Sans Serif"/>
          <w:color w:val="auto"/>
          <w:kern w:val="0"/>
          <w:szCs w:val="21"/>
          <w:highlight w:val="none"/>
          <w:u w:val="single"/>
        </w:rPr>
        <w:t>1000～30000元/天·次</w:t>
      </w:r>
      <w:r>
        <w:rPr>
          <w:rFonts w:hint="eastAsia" w:ascii="宋体" w:hAnsi="宋体" w:cs="Microsoft Sans Serif"/>
          <w:color w:val="auto"/>
          <w:kern w:val="0"/>
          <w:szCs w:val="21"/>
          <w:highlight w:val="none"/>
        </w:rPr>
        <w:t>计算违约金；项目经理不按承诺到岗的（</w:t>
      </w:r>
      <w:r>
        <w:rPr>
          <w:rFonts w:ascii="宋体" w:hAnsi="宋体" w:cs="Microsoft Sans Serif"/>
          <w:color w:val="auto"/>
          <w:kern w:val="0"/>
          <w:szCs w:val="21"/>
          <w:highlight w:val="none"/>
        </w:rPr>
        <w:t>3.2.3项约定的情形除外</w:t>
      </w:r>
      <w:r>
        <w:rPr>
          <w:rFonts w:hint="eastAsia" w:ascii="宋体" w:hAnsi="宋体" w:cs="Microsoft Sans Serif"/>
          <w:color w:val="auto"/>
          <w:kern w:val="0"/>
          <w:szCs w:val="21"/>
          <w:highlight w:val="none"/>
        </w:rPr>
        <w:t>），按履约保证金的</w:t>
      </w:r>
      <w:r>
        <w:rPr>
          <w:rFonts w:hint="eastAsia" w:ascii="宋体" w:hAnsi="宋体" w:cs="Microsoft Sans Serif"/>
          <w:color w:val="auto"/>
          <w:kern w:val="0"/>
          <w:szCs w:val="21"/>
          <w:highlight w:val="none"/>
          <w:u w:val="single"/>
        </w:rPr>
        <w:t>（50～100）%</w:t>
      </w:r>
      <w:r>
        <w:rPr>
          <w:rFonts w:hint="eastAsia" w:ascii="宋体" w:hAnsi="宋体" w:cs="Microsoft Sans Serif"/>
          <w:color w:val="auto"/>
          <w:kern w:val="0"/>
          <w:szCs w:val="21"/>
          <w:highlight w:val="none"/>
        </w:rPr>
        <w:t>支付违约金，并解除合同；擅自更换项目经理的，按签约合同价的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200万</w:t>
      </w:r>
      <w:r>
        <w:rPr>
          <w:rFonts w:hint="eastAsia" w:ascii="宋体" w:hAnsi="宋体" w:cs="Microsoft Sans Serif"/>
          <w:color w:val="auto"/>
          <w:kern w:val="0"/>
          <w:szCs w:val="21"/>
          <w:highlight w:val="none"/>
        </w:rPr>
        <w:t>；项目经理被责令停止执业的，按签约合同价的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200万</w:t>
      </w:r>
      <w:r>
        <w:rPr>
          <w:rFonts w:hint="eastAsia" w:ascii="宋体" w:hAnsi="宋体" w:cs="Microsoft Sans Serif"/>
          <w:color w:val="auto"/>
          <w:kern w:val="0"/>
          <w:szCs w:val="21"/>
          <w:highlight w:val="none"/>
        </w:rPr>
        <w:t>；项目经理被责令停止执业的，按签约合同价的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w:t>
      </w:r>
      <w:r>
        <w:rPr>
          <w:rFonts w:hint="eastAsia" w:ascii="宋体" w:hAnsi="宋体" w:cs="Microsoft Sans Serif"/>
          <w:color w:val="auto"/>
          <w:kern w:val="0"/>
          <w:szCs w:val="21"/>
          <w:highlight w:val="none"/>
        </w:rPr>
        <w:t>万，累计不超过</w:t>
      </w:r>
      <w:r>
        <w:rPr>
          <w:rFonts w:hint="eastAsia" w:ascii="宋体" w:hAnsi="宋体" w:cs="Microsoft Sans Serif"/>
          <w:color w:val="auto"/>
          <w:kern w:val="0"/>
          <w:szCs w:val="21"/>
          <w:highlight w:val="none"/>
          <w:u w:val="single"/>
        </w:rPr>
        <w:t>200</w:t>
      </w:r>
      <w:r>
        <w:rPr>
          <w:rFonts w:hint="eastAsia" w:ascii="宋体" w:hAnsi="宋体" w:cs="Microsoft Sans Serif"/>
          <w:color w:val="auto"/>
          <w:kern w:val="0"/>
          <w:szCs w:val="21"/>
          <w:highlight w:val="none"/>
        </w:rPr>
        <w:t>万。</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2）主要技术负责人违约承担方式和计算方法：对于第16.2.1项（12）目的六种情形，每发现一次，根据具体情节，按</w:t>
      </w:r>
      <w:r>
        <w:rPr>
          <w:rFonts w:hint="eastAsia" w:ascii="宋体" w:hAnsi="宋体" w:cs="Microsoft Sans Serif"/>
          <w:color w:val="auto"/>
          <w:kern w:val="0"/>
          <w:szCs w:val="21"/>
          <w:highlight w:val="none"/>
          <w:u w:val="single"/>
        </w:rPr>
        <w:t>1000～30000元/天·次</w:t>
      </w:r>
      <w:r>
        <w:rPr>
          <w:rFonts w:hint="eastAsia" w:ascii="宋体" w:hAnsi="宋体" w:cs="Microsoft Sans Serif"/>
          <w:color w:val="auto"/>
          <w:kern w:val="0"/>
          <w:szCs w:val="21"/>
          <w:highlight w:val="none"/>
        </w:rPr>
        <w:t>计算违约金；擅自更换主要技术负责人的，按签约合同价的</w:t>
      </w:r>
      <w:r>
        <w:rPr>
          <w:rFonts w:hint="eastAsia" w:ascii="宋体" w:hAnsi="宋体" w:cs="Microsoft Sans Serif"/>
          <w:color w:val="auto"/>
          <w:kern w:val="0"/>
          <w:szCs w:val="21"/>
          <w:highlight w:val="none"/>
          <w:u w:val="single"/>
        </w:rPr>
        <w:t>（0.5～2）%/人·次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10万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100万</w:t>
      </w:r>
      <w:r>
        <w:rPr>
          <w:rFonts w:hint="eastAsia" w:ascii="宋体" w:hAnsi="宋体" w:cs="Microsoft Sans Serif"/>
          <w:color w:val="auto"/>
          <w:kern w:val="0"/>
          <w:szCs w:val="21"/>
          <w:highlight w:val="none"/>
        </w:rPr>
        <w:t>。</w:t>
      </w:r>
    </w:p>
    <w:p>
      <w:pPr>
        <w:snapToGrid w:val="0"/>
        <w:spacing w:line="360" w:lineRule="auto"/>
        <w:ind w:firstLine="420" w:firstLineChars="200"/>
        <w:jc w:val="left"/>
        <w:rPr>
          <w:rFonts w:ascii="宋体" w:hAnsi="宋体"/>
          <w:color w:val="auto"/>
          <w:szCs w:val="21"/>
          <w:highlight w:val="none"/>
        </w:rPr>
      </w:pPr>
      <w:r>
        <w:rPr>
          <w:rFonts w:hint="eastAsia" w:ascii="宋体" w:hAnsi="宋体" w:cs="Microsoft Sans Serif"/>
          <w:color w:val="auto"/>
          <w:kern w:val="0"/>
          <w:szCs w:val="21"/>
          <w:highlight w:val="none"/>
        </w:rPr>
        <w:t>3）主要施工管理人员违约承担方式和计算方法：对于第16.2.1项（13）目的五种情形，每发现一次，根据具体情节，按</w:t>
      </w:r>
      <w:r>
        <w:rPr>
          <w:rFonts w:hint="eastAsia" w:ascii="宋体" w:hAnsi="宋体" w:cs="Microsoft Sans Serif"/>
          <w:color w:val="auto"/>
          <w:kern w:val="0"/>
          <w:szCs w:val="21"/>
          <w:highlight w:val="none"/>
          <w:u w:val="single"/>
        </w:rPr>
        <w:t>500～10000元/天·次</w:t>
      </w:r>
      <w:r>
        <w:rPr>
          <w:rFonts w:hint="eastAsia" w:ascii="宋体" w:hAnsi="宋体" w:cs="Microsoft Sans Serif"/>
          <w:color w:val="auto"/>
          <w:kern w:val="0"/>
          <w:szCs w:val="21"/>
          <w:highlight w:val="none"/>
        </w:rPr>
        <w:t>计算违约金。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（18）</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bookmarkStart w:id="1076" w:name="_Hlk524380347"/>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color w:val="auto"/>
          <w:kern w:val="0"/>
          <w:szCs w:val="21"/>
          <w:highlight w:val="none"/>
        </w:rPr>
        <w:t>16.2.2项第（1）目承担违约责任</w:t>
      </w:r>
      <w:r>
        <w:rPr>
          <w:rFonts w:hint="eastAsia" w:ascii="宋体" w:hAnsi="宋体" w:cs="Microsoft Sans Serif"/>
          <w:color w:val="auto"/>
          <w:szCs w:val="21"/>
          <w:highlight w:val="none"/>
        </w:rPr>
        <w:t>，并从应付或到期应付给承包人的任何款项中或采用其他方法，扣除该违约金。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color w:val="auto"/>
          <w:kern w:val="0"/>
          <w:szCs w:val="21"/>
          <w:highlight w:val="none"/>
        </w:rPr>
        <w:t>，承担由此给</w:t>
      </w:r>
      <w:r>
        <w:rPr>
          <w:rFonts w:hint="eastAsia" w:ascii="宋体" w:hAnsi="宋体" w:cs="Microsoft Sans Serif"/>
          <w:color w:val="auto"/>
          <w:szCs w:val="21"/>
          <w:highlight w:val="none"/>
        </w:rPr>
        <w:t>发包人造成的经济损失。</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承包人承担承包范围的工程质量、安全、环保责任，因承包人原因引起的质量、安全、环保等事故由承包人承担相应的法律后果。</w:t>
      </w:r>
    </w:p>
    <w:bookmarkEnd w:id="1076"/>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16.2.3 因承包人违约解除合同</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因承包人违约并致使合同目的不能实现的，发包人有权解除合同：</w:t>
      </w:r>
    </w:p>
    <w:p>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（1）未按合同约定延迟提供履约担保、质量保证金超过14天的；</w:t>
      </w:r>
    </w:p>
    <w:p>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（2）未按合同约定购买保险且经催告后超过56天的；</w:t>
      </w:r>
    </w:p>
    <w:p>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（3）因承包人原因导致开工时间累计延误超过56天的；</w:t>
      </w:r>
    </w:p>
    <w:p>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（4）因承包人原因导致工期延误超过90天的；</w:t>
      </w:r>
    </w:p>
    <w:p>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（5）发生第21.2款〔退出机制〕约定的情形的；</w:t>
      </w:r>
    </w:p>
    <w:p>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（6）监理人发出整改通知后，承包人在监理人限定的期限内仍不纠正违约行为的；</w:t>
      </w:r>
    </w:p>
    <w:p>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（7）承包人进入清算或者严重资不抵债且无法履行合同的；</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（8）违反适用法律而被相关政府部门依法吊销营业执照、责令停业、清算或宣布破产、责令关闭的；</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（9）承包人未履行合同项下的义务构成对合同的实质性违约，并且在收到发包人要求说明其违约并予以补救的通知后56天内仍未能补救该实质性违约的；</w:t>
      </w:r>
    </w:p>
    <w:p>
      <w:pPr>
        <w:pStyle w:val="65"/>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（10）</w:t>
      </w:r>
      <w:r>
        <w:rPr>
          <w:rFonts w:hint="eastAsia" w:ascii="宋体" w:hAnsi="宋体" w:cs="Microsoft Sans Serif"/>
          <w:color w:val="auto"/>
          <w:kern w:val="0"/>
          <w:sz w:val="21"/>
          <w:szCs w:val="21"/>
          <w:highlight w:val="none"/>
          <w:u w:val="single"/>
        </w:rPr>
        <w:t>合同约定的发包人有权解除合同的其他情形</w:t>
      </w:r>
      <w:r>
        <w:rPr>
          <w:rFonts w:hint="eastAsia" w:ascii="宋体" w:hAnsi="宋体" w:cs="Microsoft Sans Serif"/>
          <w:color w:val="auto"/>
          <w:kern w:val="0"/>
          <w:sz w:val="21"/>
          <w:szCs w:val="21"/>
          <w:highlight w:val="none"/>
        </w:rPr>
        <w:t>。</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16.2.4因承包人违约解除合同后的处理</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因承包人违约导致合同解除的，合同当事人应在合同解除后56天内完成估价、付款和清算，并按以下约定执行：</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（1）合同解除后，按第14.2款结算审定方式确定承包人实际完成工作对应的合同价款，以及承包人已提供的材料、工程设备、施工设备和临时工程等的价值；</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（2）合同解除后，承包人应支付违约金；</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（3）合同解除后，赔偿因解除合同给发包人造成的损失；</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（4）合同解除后，承包人应按照发包人要求和监理人的指示完成现场的清理和撤离。</w:t>
      </w:r>
    </w:p>
    <w:p>
      <w:pPr>
        <w:spacing w:line="360" w:lineRule="auto"/>
        <w:ind w:firstLine="420" w:firstLineChars="200"/>
        <w:jc w:val="left"/>
        <w:rPr>
          <w:rFonts w:ascii="宋体" w:hAnsi="宋体"/>
          <w:color w:val="auto"/>
          <w:szCs w:val="21"/>
          <w:highlight w:val="none"/>
        </w:rPr>
      </w:pPr>
      <w:r>
        <w:rPr>
          <w:rFonts w:hint="eastAsia" w:ascii="宋体" w:hAnsi="宋体" w:cs="Microsoft Sans Serif"/>
          <w:color w:val="auto"/>
          <w:kern w:val="0"/>
          <w:szCs w:val="21"/>
          <w:highlight w:val="none"/>
        </w:rPr>
        <w:t>（5）</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因承包人违约导致解除合同的，发包人有权暂停对承包人的付款，查清各项付款和已扣款项。发包人和承包人未能就合同解除后的清算和款项支付达成一致的，按照第20条〔争议解决〕的约定处理。</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w:t>
      </w:r>
      <w:r>
        <w:rPr>
          <w:rFonts w:hint="eastAsia" w:ascii="宋体" w:hAnsi="宋体" w:cs="Microsoft Sans Serif"/>
          <w:color w:val="auto"/>
          <w:kern w:val="0"/>
          <w:szCs w:val="21"/>
          <w:highlight w:val="none"/>
          <w:lang w:eastAsia="zh-CN"/>
        </w:rPr>
        <w:t>承包人承担</w:t>
      </w:r>
      <w:r>
        <w:rPr>
          <w:rFonts w:hint="eastAsia" w:ascii="宋体" w:hAnsi="宋体" w:cs="Microsoft Sans Serif"/>
          <w:color w:val="auto"/>
          <w:kern w:val="0"/>
          <w:szCs w:val="21"/>
          <w:highlight w:val="none"/>
        </w:rPr>
        <w:t>；发包人继续使用的行为不免除或减轻承包人应承担的违约责任，也不影响发包人根据合同享有的索赔等权利。</w:t>
      </w:r>
    </w:p>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1063"/>
    <w:bookmarkEnd w:id="1064"/>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77" w:name="_Toc532377404"/>
      <w:bookmarkStart w:id="1078" w:name="_Toc532375665"/>
      <w:bookmarkStart w:id="1079" w:name="_Toc351203649"/>
      <w:bookmarkStart w:id="1080" w:name="_Hlk528928440"/>
      <w:r>
        <w:rPr>
          <w:rFonts w:hint="eastAsia"/>
          <w:color w:val="auto"/>
          <w:kern w:val="2"/>
          <w:sz w:val="21"/>
          <w:szCs w:val="21"/>
          <w:highlight w:val="none"/>
        </w:rPr>
        <w:t>17. 不可抗力</w:t>
      </w:r>
      <w:bookmarkEnd w:id="1077"/>
      <w:bookmarkEnd w:id="1078"/>
      <w:bookmarkEnd w:id="1079"/>
    </w:p>
    <w:p>
      <w:pPr>
        <w:pStyle w:val="7"/>
        <w:spacing w:before="0" w:beforeAutospacing="0" w:after="0" w:afterAutospacing="0" w:line="360" w:lineRule="auto"/>
        <w:ind w:firstLine="422" w:firstLineChars="200"/>
        <w:rPr>
          <w:color w:val="auto"/>
          <w:sz w:val="21"/>
          <w:szCs w:val="21"/>
          <w:highlight w:val="none"/>
        </w:rPr>
      </w:pPr>
      <w:bookmarkStart w:id="1081" w:name="_Toc532375666"/>
      <w:bookmarkStart w:id="1082" w:name="_Toc532377405"/>
      <w:r>
        <w:rPr>
          <w:rFonts w:hint="eastAsia"/>
          <w:color w:val="auto"/>
          <w:sz w:val="21"/>
          <w:szCs w:val="21"/>
          <w:highlight w:val="none"/>
        </w:rPr>
        <w:t>17.1 不可抗力的确认</w:t>
      </w:r>
      <w:bookmarkEnd w:id="1081"/>
      <w:bookmarkEnd w:id="1082"/>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除通用合同条款约定的不可抗力事件之外，视为不可抗力的其他情形：</w:t>
      </w:r>
      <w:bookmarkStart w:id="1083" w:name="_Hlk524379638"/>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（1）洪水、火山爆发、山崩、山体滑坡、泥石流、龙卷风、隧道内不可预测的突发性地质灾害等自然灾害；</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（2）骚乱、戒严、封锁、禁运、恐怖行为、等社会行为，但承包人或其分包人派遣与雇佣的人员由于合同工程施工原因引起的除外；</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（3）不能合理预见的重大交通阻滞、停运、交通事故，非双方责任引起的火灾、爆炸、船舶撞击等情形；</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（4）化学或放射性污染或核辐射；</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（5）环保治理等政府行为导致项目停工的。</w:t>
      </w:r>
      <w:bookmarkEnd w:id="1083"/>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084" w:name="_Toc351203610"/>
      <w:bookmarkStart w:id="1085" w:name="_Toc532377406"/>
      <w:bookmarkStart w:id="1086" w:name="_Toc532375667"/>
      <w:bookmarkStart w:id="1087" w:name="_Toc337558826"/>
      <w:bookmarkStart w:id="1088" w:name="_Toc296503119"/>
      <w:bookmarkStart w:id="1089" w:name="_Toc296346620"/>
      <w:r>
        <w:rPr>
          <w:rFonts w:hint="eastAsia"/>
          <w:color w:val="auto"/>
          <w:sz w:val="21"/>
          <w:szCs w:val="21"/>
          <w:highlight w:val="none"/>
        </w:rPr>
        <w:t>17.3 不可抗力后果的承担</w:t>
      </w:r>
      <w:bookmarkEnd w:id="1084"/>
      <w:bookmarkEnd w:id="1085"/>
      <w:bookmarkEnd w:id="1086"/>
    </w:p>
    <w:bookmarkEnd w:id="1087"/>
    <w:bookmarkEnd w:id="1088"/>
    <w:bookmarkEnd w:id="1089"/>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17.3.1 不可抗力引起的后果及造成的损失由合同当事人按照法律规定及合同约定各自承担。不可抗力发生前已完成的工程应当按照合同约定进行计量支付。</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17.3.2 不可抗力导致的人员伤亡、财产损失、费用增加和（或）工期延误等后果，由合同当事人按以下原则承担：</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（1）永久工程、已运至施工现场的施工材料和工程设备的损坏，以及因工程损坏造成的第三方人员伤亡和财产损失由发包人承担；</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（2）承包人施工设备的损坏由承包人承担；</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（3）发包人和承包人承担各自人员伤亡和财产的损失；</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（4）因不可抗力影响承包人履行合同约定的义务，已经引起或将引起工期延误的，应当顺延工期，由此导致承包人停工的费用损失由发包人和承包人合理共担；</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（5）因不可抗力引起或将引起工期延误，发包人要求赶工的，由此增加的赶工费用由发包人承担；</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（6）承包人在停工期间按照发包人要求照管、清理和修复工程的费用由发包人承担；</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（7）不可抗力事件发生后，合同当事人均应采取措施尽量避免和减少损失的扩大，任何一方当事人没有采取有效措施导致损失扩大的，应对扩大的损失承担责任。</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090" w:name="_Toc532377407"/>
      <w:bookmarkStart w:id="1091" w:name="_Toc532375668"/>
      <w:r>
        <w:rPr>
          <w:rFonts w:hint="eastAsia"/>
          <w:color w:val="auto"/>
          <w:sz w:val="21"/>
          <w:szCs w:val="21"/>
          <w:highlight w:val="none"/>
        </w:rPr>
        <w:t>17.4 因不可抗力解除合同</w:t>
      </w:r>
      <w:bookmarkEnd w:id="1090"/>
      <w:bookmarkEnd w:id="1091"/>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合同解除后，发包人应在商定或确定发包人应支付款项后</w:t>
      </w:r>
      <w:r>
        <w:rPr>
          <w:rFonts w:hint="eastAsia" w:ascii="宋体" w:hAnsi="宋体"/>
          <w:color w:val="auto"/>
          <w:szCs w:val="21"/>
          <w:highlight w:val="none"/>
          <w:u w:val="single"/>
        </w:rPr>
        <w:t>28</w:t>
      </w:r>
      <w:r>
        <w:rPr>
          <w:rFonts w:hint="eastAsia" w:ascii="宋体" w:hAnsi="宋体"/>
          <w:color w:val="auto"/>
          <w:szCs w:val="21"/>
          <w:highlight w:val="none"/>
        </w:rPr>
        <w:t>天内完成款项的支付。</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92" w:name="_Toc351203650"/>
      <w:bookmarkStart w:id="1093" w:name="_Toc532377408"/>
      <w:bookmarkStart w:id="1094" w:name="_Toc532375669"/>
      <w:r>
        <w:rPr>
          <w:rFonts w:hint="eastAsia"/>
          <w:color w:val="auto"/>
          <w:kern w:val="2"/>
          <w:sz w:val="21"/>
          <w:szCs w:val="21"/>
          <w:highlight w:val="none"/>
        </w:rPr>
        <w:t>18. 保险</w:t>
      </w:r>
      <w:bookmarkEnd w:id="1092"/>
      <w:bookmarkEnd w:id="1093"/>
      <w:bookmarkEnd w:id="1094"/>
    </w:p>
    <w:p>
      <w:pPr>
        <w:pStyle w:val="7"/>
        <w:spacing w:before="0" w:beforeAutospacing="0" w:after="0" w:afterAutospacing="0" w:line="360" w:lineRule="auto"/>
        <w:ind w:firstLine="422" w:firstLineChars="200"/>
        <w:rPr>
          <w:color w:val="auto"/>
          <w:sz w:val="21"/>
          <w:szCs w:val="21"/>
          <w:highlight w:val="none"/>
        </w:rPr>
      </w:pPr>
      <w:bookmarkStart w:id="1095" w:name="_Toc532377409"/>
      <w:bookmarkStart w:id="1096" w:name="_Toc532375670"/>
      <w:r>
        <w:rPr>
          <w:rFonts w:hint="eastAsia"/>
          <w:color w:val="auto"/>
          <w:sz w:val="21"/>
          <w:szCs w:val="21"/>
          <w:highlight w:val="none"/>
        </w:rPr>
        <w:t>18.1 工程保险</w:t>
      </w:r>
      <w:bookmarkEnd w:id="1095"/>
      <w:bookmarkEnd w:id="1096"/>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关于工程保险的特别约定：发包人应投保</w:t>
      </w:r>
      <w:r>
        <w:rPr>
          <w:rFonts w:hint="eastAsia" w:ascii="宋体" w:hAnsi="宋体"/>
          <w:color w:val="auto"/>
          <w:szCs w:val="21"/>
          <w:highlight w:val="none"/>
          <w:u w:val="single"/>
        </w:rPr>
        <w:t>建筑工程一切险或安装工程一切险</w:t>
      </w:r>
      <w:r>
        <w:rPr>
          <w:rFonts w:hint="eastAsia" w:ascii="宋体" w:hAnsi="宋体"/>
          <w:color w:val="auto"/>
          <w:szCs w:val="21"/>
          <w:highlight w:val="none"/>
        </w:rPr>
        <w:t>；发包人委托承包人投保的，因投保产生的保险费和其他相关费用由发包人承担。</w:t>
      </w:r>
    </w:p>
    <w:p>
      <w:pPr>
        <w:pStyle w:val="7"/>
        <w:spacing w:before="0" w:beforeAutospacing="0" w:after="0" w:afterAutospacing="0" w:line="360" w:lineRule="auto"/>
        <w:ind w:firstLine="422" w:firstLineChars="200"/>
        <w:rPr>
          <w:color w:val="auto"/>
          <w:sz w:val="21"/>
          <w:szCs w:val="21"/>
          <w:highlight w:val="none"/>
        </w:rPr>
      </w:pPr>
      <w:bookmarkStart w:id="1097" w:name="_Toc532375671"/>
      <w:bookmarkStart w:id="1098" w:name="_Toc532377410"/>
      <w:r>
        <w:rPr>
          <w:rFonts w:hint="eastAsia"/>
          <w:color w:val="auto"/>
          <w:sz w:val="21"/>
          <w:szCs w:val="21"/>
          <w:highlight w:val="none"/>
        </w:rPr>
        <w:t>18.3 其他保险</w:t>
      </w:r>
      <w:bookmarkEnd w:id="1097"/>
      <w:bookmarkEnd w:id="1098"/>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关于其他保险的约定：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承包人是否应为其施工设备等办理财产保险：</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安全生产责任险：</w:t>
      </w:r>
      <w:r>
        <w:rPr>
          <w:rFonts w:hint="eastAsia" w:ascii="宋体" w:hAnsi="宋体"/>
          <w:color w:val="auto"/>
          <w:szCs w:val="21"/>
          <w:highlight w:val="none"/>
          <w:u w:val="single"/>
        </w:rPr>
        <w:t>承包人应按《重庆市人民政府办公厅关于在高危行业领域强制推行安全生产责任保险的实施意见》（渝府办法〔2017〕182号）的要求办理安全生产责任保险</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099" w:name="_Toc532377411"/>
      <w:bookmarkStart w:id="1100" w:name="_Toc532375672"/>
      <w:r>
        <w:rPr>
          <w:rFonts w:hint="eastAsia"/>
          <w:color w:val="auto"/>
          <w:sz w:val="21"/>
          <w:szCs w:val="21"/>
          <w:highlight w:val="none"/>
        </w:rPr>
        <w:t>18.7 通知义务</w:t>
      </w:r>
      <w:bookmarkEnd w:id="1099"/>
      <w:bookmarkEnd w:id="1100"/>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关于变更保险合同时的通知义务的约定：</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101" w:name="_Toc532375673"/>
      <w:bookmarkStart w:id="1102" w:name="_Toc532377412"/>
      <w:r>
        <w:rPr>
          <w:rFonts w:hint="eastAsia"/>
          <w:color w:val="auto"/>
          <w:sz w:val="21"/>
          <w:szCs w:val="21"/>
          <w:highlight w:val="none"/>
        </w:rPr>
        <w:t>18.8 其他</w:t>
      </w:r>
      <w:bookmarkEnd w:id="1101"/>
      <w:bookmarkEnd w:id="1102"/>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18.8.1 工程开工日前，承包人向发包人提交各项生效的保险证据和保险单副本。未按本项约定提交的，每延后1天，承包人按500元/天支付违约金。</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18.8.2 承包人保险赔偿金不足以补偿发包人损失时，</w:t>
      </w:r>
      <w:bookmarkStart w:id="1103" w:name="_Hlk524378346"/>
      <w:r>
        <w:rPr>
          <w:rFonts w:hint="eastAsia" w:ascii="宋体" w:hAnsi="宋体"/>
          <w:color w:val="auto"/>
          <w:szCs w:val="21"/>
          <w:highlight w:val="none"/>
        </w:rPr>
        <w:t>差额由承包人负责补足</w:t>
      </w:r>
      <w:bookmarkEnd w:id="1103"/>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104" w:name="_Toc351203620"/>
      <w:bookmarkStart w:id="1105" w:name="_Toc532375674"/>
      <w:bookmarkStart w:id="1106" w:name="_Toc532377413"/>
      <w:bookmarkStart w:id="1107" w:name="_Toc296503140"/>
      <w:bookmarkStart w:id="1108" w:name="_Toc296346641"/>
      <w:bookmarkStart w:id="1109" w:name="_Toc337558835"/>
      <w:r>
        <w:rPr>
          <w:rFonts w:hint="eastAsia"/>
          <w:color w:val="auto"/>
          <w:kern w:val="2"/>
          <w:sz w:val="21"/>
          <w:szCs w:val="21"/>
          <w:highlight w:val="none"/>
        </w:rPr>
        <w:t>19. 索赔</w:t>
      </w:r>
      <w:bookmarkEnd w:id="1104"/>
      <w:bookmarkEnd w:id="1105"/>
      <w:bookmarkEnd w:id="1106"/>
    </w:p>
    <w:bookmarkEnd w:id="1107"/>
    <w:bookmarkEnd w:id="1108"/>
    <w:bookmarkEnd w:id="1109"/>
    <w:p>
      <w:pPr>
        <w:pStyle w:val="7"/>
        <w:spacing w:before="0" w:beforeAutospacing="0" w:after="0" w:afterAutospacing="0" w:line="360" w:lineRule="auto"/>
        <w:ind w:firstLine="422" w:firstLineChars="200"/>
        <w:rPr>
          <w:color w:val="auto"/>
          <w:sz w:val="21"/>
          <w:szCs w:val="21"/>
          <w:highlight w:val="none"/>
        </w:rPr>
      </w:pPr>
      <w:bookmarkStart w:id="1110" w:name="_Toc532375675"/>
      <w:bookmarkStart w:id="1111" w:name="_Toc532377414"/>
      <w:bookmarkStart w:id="1112" w:name="_Toc296346642"/>
      <w:bookmarkStart w:id="1113" w:name="_Toc351203621"/>
      <w:bookmarkStart w:id="1114" w:name="_Toc296503141"/>
      <w:bookmarkStart w:id="1115" w:name="_Toc337558836"/>
      <w:r>
        <w:rPr>
          <w:rFonts w:hint="eastAsia"/>
          <w:color w:val="auto"/>
          <w:sz w:val="21"/>
          <w:szCs w:val="21"/>
          <w:highlight w:val="none"/>
        </w:rPr>
        <w:t>19.1 承包人的索赔</w:t>
      </w:r>
      <w:bookmarkEnd w:id="1110"/>
      <w:bookmarkEnd w:id="1111"/>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根据合同约定，承包人认为有权得到追加付款和（或）延长工期的，应按以下程序向发包人提出索赔：</w:t>
      </w:r>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（1）承包人应在索赔事件发生后28天内，向监理人递交索赔意向通知书，并说明发生索赔事件的事由；承包人未在前述28天内发出索赔意向通知书的，丧失要求追加付款和（或）延长工期的权利；</w:t>
      </w:r>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（3）索赔事件具有持续影响的，承包人应按监理人要求的合理时间间隔继续递交延续索赔通知，说明持续影响的实际情况和记录，列出累计的追加付款金额和（或）工期延长天数；</w:t>
      </w:r>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（4）在索赔事件影响结束后28天内，承包人应向监理人递交最终索赔报告，说明最终要求索赔的追加付款金额和（或）延长的工期，并附必要的记录和证明材料。</w:t>
      </w:r>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116" w:name="_Toc532377415"/>
      <w:bookmarkStart w:id="1117" w:name="_Toc532375676"/>
      <w:r>
        <w:rPr>
          <w:rFonts w:hint="eastAsia"/>
          <w:color w:val="auto"/>
          <w:sz w:val="21"/>
          <w:szCs w:val="21"/>
          <w:highlight w:val="none"/>
        </w:rPr>
        <w:t>19.2 对承包人索赔的处理</w:t>
      </w:r>
      <w:bookmarkEnd w:id="1116"/>
      <w:bookmarkEnd w:id="1117"/>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对承包人索赔的处理如下：</w:t>
      </w:r>
    </w:p>
    <w:p>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（1）监理人应在收到索赔报告后14天内完成审查并报送发包人。监理人对索赔报告存在异议的，有权要求承包人提交全部原始记录副本</w:t>
      </w:r>
      <w:r>
        <w:rPr>
          <w:rFonts w:hint="eastAsia" w:ascii="宋体" w:hAnsi="宋体"/>
          <w:color w:val="auto"/>
          <w:szCs w:val="21"/>
          <w:highlight w:val="none"/>
        </w:rPr>
        <w:t>；</w:t>
      </w:r>
    </w:p>
    <w:p>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color w:val="auto"/>
          <w:szCs w:val="21"/>
          <w:highlight w:val="none"/>
        </w:rPr>
        <w:t>；</w:t>
      </w:r>
    </w:p>
    <w:p>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（3）承包人接受索赔处理结果的，索赔款项在当期进度款中进行支付；承包人不接受索赔处理结果的，按照第20条〔争议解决〕约定处理</w:t>
      </w:r>
      <w:r>
        <w:rPr>
          <w:rFonts w:hint="eastAsia" w:ascii="宋体" w:hAnsi="宋体"/>
          <w:color w:val="auto"/>
          <w:szCs w:val="21"/>
          <w:highlight w:val="none"/>
        </w:rPr>
        <w:t>；</w:t>
      </w:r>
    </w:p>
    <w:p>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（4）工期延误的关键线路按照经监理人、发包人审批同意的施工组织设计计算</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118" w:name="_Toc532377416"/>
      <w:bookmarkStart w:id="1119" w:name="_Toc532375677"/>
      <w:r>
        <w:rPr>
          <w:rFonts w:hint="eastAsia"/>
          <w:color w:val="auto"/>
          <w:sz w:val="21"/>
          <w:szCs w:val="21"/>
          <w:highlight w:val="none"/>
        </w:rPr>
        <w:t>19.3发包人的索赔</w:t>
      </w:r>
      <w:bookmarkEnd w:id="1118"/>
      <w:bookmarkEnd w:id="1119"/>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根据合同约定，发包人认为有权得到赔付金额和（或）延长缺陷责任期的，监理人应向承包人发出通知并附有详细的证明。</w:t>
      </w:r>
    </w:p>
    <w:p>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120" w:name="_Hlk528652769"/>
      <w:r>
        <w:rPr>
          <w:rFonts w:hint="eastAsia" w:ascii="宋体" w:hAnsi="宋体"/>
          <w:color w:val="auto"/>
          <w:szCs w:val="21"/>
          <w:highlight w:val="none"/>
        </w:rPr>
        <w:t>通过监理人向承包人正式递交最终索赔报告</w:t>
      </w:r>
      <w:bookmarkEnd w:id="1120"/>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121" w:name="_Toc532375678"/>
      <w:bookmarkStart w:id="1122" w:name="_Toc532377417"/>
      <w:r>
        <w:rPr>
          <w:rFonts w:hint="eastAsia"/>
          <w:color w:val="auto"/>
          <w:sz w:val="21"/>
          <w:szCs w:val="21"/>
          <w:highlight w:val="none"/>
        </w:rPr>
        <w:t>19.4 对发包人索赔的处理</w:t>
      </w:r>
      <w:bookmarkEnd w:id="1121"/>
      <w:bookmarkEnd w:id="1122"/>
    </w:p>
    <w:p>
      <w:pPr>
        <w:autoSpaceDE w:val="0"/>
        <w:autoSpaceDN w:val="0"/>
        <w:spacing w:line="360" w:lineRule="auto"/>
        <w:ind w:right="105" w:rightChars="50"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对发包人索赔的处理如下：</w:t>
      </w:r>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（1）承包人收到发包人提交的索赔报告后，应及时审查索赔报告的内容、查验发包人证明材料；</w:t>
      </w:r>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（3）承包人接受索赔处理结果的，发包人可从应支付给承包人的合同价款中扣除赔付的金额或延长缺陷责任期；发包人不接受索赔处理结果的，按第20条〔争议解决〕约定处理。</w:t>
      </w:r>
    </w:p>
    <w:p>
      <w:pPr>
        <w:pStyle w:val="7"/>
        <w:spacing w:before="0" w:beforeAutospacing="0" w:after="0" w:afterAutospacing="0" w:line="360" w:lineRule="auto"/>
        <w:ind w:firstLine="422" w:firstLineChars="200"/>
        <w:rPr>
          <w:color w:val="auto"/>
          <w:sz w:val="21"/>
          <w:szCs w:val="21"/>
          <w:highlight w:val="none"/>
        </w:rPr>
      </w:pPr>
      <w:bookmarkStart w:id="1123" w:name="_Toc532375679"/>
      <w:bookmarkStart w:id="1124" w:name="_Toc532377418"/>
      <w:bookmarkStart w:id="1125" w:name="_Hlk528928420"/>
      <w:r>
        <w:rPr>
          <w:rFonts w:hint="eastAsia"/>
          <w:color w:val="auto"/>
          <w:sz w:val="21"/>
          <w:szCs w:val="21"/>
          <w:highlight w:val="none"/>
        </w:rPr>
        <w:t>19.5 提出索赔的期限</w:t>
      </w:r>
      <w:bookmarkEnd w:id="1123"/>
      <w:bookmarkEnd w:id="1124"/>
    </w:p>
    <w:p>
      <w:pPr>
        <w:autoSpaceDE w:val="0"/>
        <w:autoSpaceDN w:val="0"/>
        <w:spacing w:line="360" w:lineRule="auto"/>
        <w:ind w:right="105" w:rightChars="50" w:firstLine="420" w:firstLineChars="200"/>
        <w:jc w:val="left"/>
        <w:rPr>
          <w:rFonts w:ascii="宋体" w:hAnsi="宋体"/>
          <w:color w:val="auto"/>
          <w:szCs w:val="21"/>
          <w:highlight w:val="none"/>
        </w:rPr>
      </w:pPr>
      <w:bookmarkStart w:id="1126" w:name="_Hlk524298376"/>
      <w:r>
        <w:rPr>
          <w:rFonts w:hint="eastAsia" w:ascii="宋体" w:hAnsi="宋体"/>
          <w:color w:val="auto"/>
          <w:szCs w:val="21"/>
          <w:highlight w:val="none"/>
        </w:rPr>
        <w:t>任一索赔事件发生后28天内，承包人/发包人未向对方发出索赔意向通知书的，视为其已放弃索赔权，无权再就该索赔事项提出任何索赔。</w:t>
      </w:r>
    </w:p>
    <w:bookmarkEnd w:id="1112"/>
    <w:bookmarkEnd w:id="1113"/>
    <w:bookmarkEnd w:id="1114"/>
    <w:bookmarkEnd w:id="1115"/>
    <w:bookmarkEnd w:id="1125"/>
    <w:bookmarkEnd w:id="1126"/>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127" w:name="_Toc351203651"/>
      <w:bookmarkStart w:id="1128" w:name="_Toc532377419"/>
      <w:bookmarkStart w:id="1129" w:name="_Toc532375680"/>
      <w:r>
        <w:rPr>
          <w:rFonts w:hint="eastAsia"/>
          <w:color w:val="auto"/>
          <w:kern w:val="2"/>
          <w:sz w:val="21"/>
          <w:szCs w:val="21"/>
          <w:highlight w:val="none"/>
        </w:rPr>
        <w:t>20. 争议解决</w:t>
      </w:r>
      <w:bookmarkEnd w:id="1127"/>
      <w:bookmarkEnd w:id="1128"/>
      <w:bookmarkEnd w:id="1129"/>
    </w:p>
    <w:p>
      <w:pPr>
        <w:pStyle w:val="7"/>
        <w:spacing w:before="0" w:beforeAutospacing="0" w:after="0" w:afterAutospacing="0" w:line="360" w:lineRule="auto"/>
        <w:ind w:firstLine="422" w:firstLineChars="200"/>
        <w:rPr>
          <w:color w:val="auto"/>
          <w:sz w:val="21"/>
          <w:szCs w:val="21"/>
          <w:highlight w:val="none"/>
        </w:rPr>
      </w:pPr>
      <w:bookmarkStart w:id="1130" w:name="_Toc532375681"/>
      <w:bookmarkStart w:id="1131" w:name="_Toc532377420"/>
      <w:r>
        <w:rPr>
          <w:rFonts w:hint="eastAsia"/>
          <w:color w:val="auto"/>
          <w:sz w:val="21"/>
          <w:szCs w:val="21"/>
          <w:highlight w:val="none"/>
        </w:rPr>
        <w:t>20.3 争议评审</w:t>
      </w:r>
      <w:bookmarkEnd w:id="1130"/>
      <w:bookmarkEnd w:id="1131"/>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合同当事人是否同意将工程争议提交争议评审小组决定：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132" w:name="_Toc532375682"/>
      <w:bookmarkStart w:id="1133" w:name="_Toc532377421"/>
      <w:r>
        <w:rPr>
          <w:rFonts w:hint="eastAsia"/>
          <w:color w:val="auto"/>
          <w:sz w:val="21"/>
          <w:szCs w:val="21"/>
          <w:highlight w:val="none"/>
        </w:rPr>
        <w:t>20.4 仲裁或诉讼</w:t>
      </w:r>
      <w:bookmarkEnd w:id="1132"/>
      <w:bookmarkEnd w:id="1133"/>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因合同及合同有关事项发生的争议，按下列第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pPr>
        <w:spacing w:line="360" w:lineRule="auto"/>
        <w:ind w:right="105" w:rightChars="50" w:firstLine="420" w:firstLineChars="200"/>
        <w:jc w:val="left"/>
        <w:rPr>
          <w:rFonts w:ascii="宋体" w:hAnsi="宋体"/>
          <w:color w:val="auto"/>
          <w:szCs w:val="21"/>
          <w:highlight w:val="none"/>
        </w:rPr>
      </w:pPr>
      <w:r>
        <w:rPr>
          <w:rFonts w:ascii="宋体" w:hAnsi="宋体"/>
          <w:color w:val="auto"/>
          <w:szCs w:val="21"/>
          <w:highlight w:val="none"/>
        </w:rPr>
        <w:t>（1）向</w:t>
      </w:r>
      <w:r>
        <w:rPr>
          <w:rFonts w:ascii="宋体" w:hAnsi="宋体"/>
          <w:color w:val="auto"/>
          <w:szCs w:val="21"/>
          <w:highlight w:val="none"/>
          <w:u w:val="single"/>
        </w:rPr>
        <w:t xml:space="preserve">                     </w:t>
      </w:r>
      <w:r>
        <w:rPr>
          <w:rFonts w:ascii="宋体" w:hAnsi="宋体"/>
          <w:color w:val="auto"/>
          <w:szCs w:val="21"/>
          <w:highlight w:val="none"/>
        </w:rPr>
        <w:t>仲裁委员会申请仲裁；</w:t>
      </w:r>
    </w:p>
    <w:p>
      <w:pPr>
        <w:spacing w:line="360" w:lineRule="auto"/>
        <w:ind w:right="105" w:rightChars="50" w:firstLine="420" w:firstLineChars="200"/>
        <w:jc w:val="left"/>
        <w:rPr>
          <w:rFonts w:ascii="宋体" w:hAnsi="宋体"/>
          <w:color w:val="auto"/>
          <w:szCs w:val="21"/>
          <w:highlight w:val="none"/>
        </w:rPr>
      </w:pPr>
      <w:r>
        <w:rPr>
          <w:rFonts w:ascii="宋体" w:hAnsi="宋体"/>
          <w:color w:val="auto"/>
          <w:szCs w:val="21"/>
          <w:highlight w:val="none"/>
        </w:rPr>
        <w:t>（2）向</w:t>
      </w:r>
      <w:r>
        <w:rPr>
          <w:rFonts w:ascii="宋体" w:hAnsi="宋体"/>
          <w:color w:val="auto"/>
          <w:szCs w:val="21"/>
          <w:highlight w:val="none"/>
          <w:u w:val="single"/>
        </w:rPr>
        <w:t xml:space="preserve">                     </w:t>
      </w:r>
      <w:r>
        <w:rPr>
          <w:rFonts w:ascii="宋体" w:hAnsi="宋体"/>
          <w:color w:val="auto"/>
          <w:szCs w:val="21"/>
          <w:highlight w:val="none"/>
        </w:rPr>
        <w:t>人民法院起诉。</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134" w:name="_Toc532375683"/>
      <w:bookmarkStart w:id="1135" w:name="_Toc532377422"/>
      <w:r>
        <w:rPr>
          <w:rFonts w:hint="eastAsia"/>
          <w:color w:val="auto"/>
          <w:kern w:val="2"/>
          <w:sz w:val="21"/>
          <w:szCs w:val="21"/>
          <w:highlight w:val="none"/>
        </w:rPr>
        <w:t>21. 补充条款</w:t>
      </w:r>
      <w:bookmarkEnd w:id="1134"/>
      <w:bookmarkEnd w:id="1135"/>
    </w:p>
    <w:p>
      <w:pPr>
        <w:pStyle w:val="7"/>
        <w:spacing w:before="0" w:beforeAutospacing="0" w:after="0" w:afterAutospacing="0" w:line="360" w:lineRule="auto"/>
        <w:ind w:firstLine="422" w:firstLineChars="200"/>
        <w:rPr>
          <w:color w:val="auto"/>
          <w:sz w:val="21"/>
          <w:szCs w:val="21"/>
          <w:highlight w:val="none"/>
        </w:rPr>
      </w:pPr>
      <w:bookmarkStart w:id="1136" w:name="_Toc532375684"/>
      <w:bookmarkStart w:id="1137" w:name="_Toc532377423"/>
      <w:r>
        <w:rPr>
          <w:rFonts w:hint="eastAsia"/>
          <w:color w:val="auto"/>
          <w:sz w:val="21"/>
          <w:szCs w:val="21"/>
          <w:highlight w:val="none"/>
        </w:rPr>
        <w:t>21.1 退出机制</w:t>
      </w:r>
      <w:bookmarkEnd w:id="1136"/>
      <w:bookmarkEnd w:id="1137"/>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21.1.1有下列情形之一的，发包人有权解除合同，亦有权兑付履约担保，并对承包人做清退出场处理</w:t>
      </w:r>
      <w:r>
        <w:rPr>
          <w:rFonts w:hint="eastAsia" w:ascii="宋体" w:hAnsi="宋体"/>
          <w:color w:val="auto"/>
          <w:kern w:val="0"/>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（1）因承包人原因造成较大及以上等级生产安全事故或工程质量事故的；</w:t>
      </w:r>
    </w:p>
    <w:p>
      <w:pPr>
        <w:spacing w:line="360" w:lineRule="auto"/>
        <w:ind w:right="105" w:rightChars="50"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（2）因承包人债权债务纠纷或其他纠纷导致工程无法正常施工的。</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kern w:val="0"/>
          <w:szCs w:val="21"/>
          <w:highlight w:val="none"/>
        </w:rPr>
        <w:t>（3）</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pPr>
        <w:pStyle w:val="2"/>
        <w:spacing w:after="0" w:line="360" w:lineRule="auto"/>
        <w:ind w:firstLine="420" w:firstLineChars="200"/>
        <w:rPr>
          <w:rFonts w:ascii="宋体" w:hAnsi="宋体"/>
          <w:color w:val="auto"/>
          <w:szCs w:val="21"/>
          <w:highlight w:val="none"/>
        </w:rPr>
      </w:pPr>
      <w:r>
        <w:rPr>
          <w:rFonts w:hint="eastAsia" w:ascii="宋体" w:hAnsi="宋体"/>
          <w:color w:val="auto"/>
          <w:szCs w:val="21"/>
          <w:highlight w:val="none"/>
        </w:rPr>
        <w:t>21.1.2有下列情形之一的，承包人有权解除合同，并按16.1.4约定执行：</w:t>
      </w:r>
    </w:p>
    <w:p>
      <w:pPr>
        <w:pStyle w:val="2"/>
        <w:spacing w:after="0"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（1）因发包人征地、拆迁、补偿、审批手续等原因致使本工程延期开工超过90天的。</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kern w:val="0"/>
          <w:szCs w:val="21"/>
          <w:highlight w:val="none"/>
        </w:rPr>
        <w:t>（2）</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138" w:name="_Toc532375685"/>
      <w:bookmarkStart w:id="1139" w:name="_Toc532377424"/>
      <w:r>
        <w:rPr>
          <w:rFonts w:hint="eastAsia"/>
          <w:color w:val="auto"/>
          <w:sz w:val="21"/>
          <w:szCs w:val="21"/>
          <w:highlight w:val="none"/>
        </w:rPr>
        <w:t>21.2智慧工地</w:t>
      </w:r>
      <w:bookmarkEnd w:id="1138"/>
      <w:bookmarkEnd w:id="1139"/>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工地建设可参照重庆市城乡建设委员会《关于印发“智慧工地”建设工作方案的通知》（渝建〔2017〕414号）的相关要求建设。</w:t>
      </w:r>
      <w:bookmarkEnd w:id="1080"/>
    </w:p>
    <w:p>
      <w:pPr>
        <w:pStyle w:val="7"/>
        <w:spacing w:before="0" w:beforeAutospacing="0" w:after="0" w:afterAutospacing="0" w:line="360" w:lineRule="auto"/>
        <w:ind w:firstLine="422" w:firstLineChars="200"/>
        <w:rPr>
          <w:color w:val="auto"/>
          <w:sz w:val="21"/>
          <w:szCs w:val="21"/>
          <w:highlight w:val="none"/>
          <w:u w:val="single"/>
        </w:rPr>
      </w:pPr>
      <w:r>
        <w:rPr>
          <w:rFonts w:hint="eastAsia"/>
          <w:color w:val="auto"/>
          <w:sz w:val="21"/>
          <w:szCs w:val="21"/>
          <w:highlight w:val="none"/>
        </w:rPr>
        <w:t>21.3 低价风险担保</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承包人提供低价风险担保的情形：采用经评审的最低投标价法的项目投标报价低于最高限价85%时。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承包人提供低价风险担保的形式、金额及期限：</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（1）低价风险担保的形式：现金或银行保函或现金+银行保函的组合；采用保函形式的，保函必须为不可撤销、不可转让且见索即付的独立保函；</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（2）低价风险担保的金额：</w:t>
      </w:r>
      <w:r>
        <w:rPr>
          <w:rFonts w:hint="eastAsia" w:ascii="仿宋_GB2312" w:hAnsi="宋体" w:eastAsia="仿宋_GB2312" w:cs="宋体"/>
          <w:color w:val="auto"/>
          <w:kern w:val="0"/>
          <w:szCs w:val="21"/>
          <w:highlight w:val="none"/>
          <w:u w:val="single"/>
        </w:rPr>
        <w:t xml:space="preserve">            </w:t>
      </w:r>
      <w:r>
        <w:rPr>
          <w:rFonts w:hint="eastAsia" w:ascii="宋体" w:hAnsi="宋体"/>
          <w:color w:val="auto"/>
          <w:szCs w:val="21"/>
          <w:highlight w:val="none"/>
        </w:rPr>
        <w:t>；</w:t>
      </w:r>
    </w:p>
    <w:p>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（3）低价风险担保的提交时间：</w:t>
      </w:r>
      <w:r>
        <w:rPr>
          <w:rFonts w:hint="eastAsia"/>
          <w:color w:val="auto"/>
          <w:szCs w:val="21"/>
          <w:highlight w:val="none"/>
          <w:u w:val="single"/>
        </w:rPr>
        <w:t>从比选人中标通知书送达拟中标人之日起    工作日内</w:t>
      </w:r>
      <w:r>
        <w:rPr>
          <w:rFonts w:hint="eastAsia" w:ascii="宋体" w:hAnsi="宋体"/>
          <w:color w:val="auto"/>
          <w:szCs w:val="21"/>
          <w:highlight w:val="none"/>
          <w:u w:val="single"/>
        </w:rPr>
        <w:t>；</w:t>
      </w:r>
    </w:p>
    <w:p>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（4）低价风险担保的期限：</w:t>
      </w:r>
      <w:r>
        <w:rPr>
          <w:rFonts w:hint="eastAsia"/>
          <w:color w:val="auto"/>
          <w:szCs w:val="21"/>
          <w:highlight w:val="none"/>
          <w:u w:val="single"/>
        </w:rPr>
        <w:t>自低价风险担保生效之日起至竣工验收合格之日止</w:t>
      </w:r>
      <w:r>
        <w:rPr>
          <w:rFonts w:hint="eastAsia" w:ascii="宋体" w:hAnsi="宋体"/>
          <w:color w:val="auto"/>
          <w:szCs w:val="21"/>
          <w:highlight w:val="none"/>
        </w:rPr>
        <w:t>。</w:t>
      </w:r>
    </w:p>
    <w:p>
      <w:pPr>
        <w:pStyle w:val="2"/>
        <w:spacing w:after="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低价风险担保的退还时间：</w:t>
      </w:r>
      <w:r>
        <w:rPr>
          <w:rFonts w:hint="eastAsia" w:ascii="宋体" w:hAnsi="宋体"/>
          <w:color w:val="auto"/>
          <w:szCs w:val="21"/>
          <w:highlight w:val="none"/>
          <w:u w:val="single"/>
        </w:rPr>
        <w:t xml:space="preserve">采用现金担保的，工程竣工验收合格后14天内退还，合同履行期间允许承包人用符合要求的银行保函进行置换；采用银行保函的，工程竣工验收合格后14天内退还。采用分段退还的，低价风险担保的退还时间及方式为：        </w:t>
      </w:r>
      <w:r>
        <w:rPr>
          <w:rFonts w:hint="eastAsia" w:ascii="宋体" w:hAnsi="宋体"/>
          <w:color w:val="auto"/>
          <w:szCs w:val="21"/>
          <w:highlight w:val="none"/>
        </w:rPr>
        <w:t>。</w:t>
      </w:r>
    </w:p>
    <w:p>
      <w:pPr>
        <w:pStyle w:val="2"/>
        <w:spacing w:after="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（5）低价风险担保的扣减：</w:t>
      </w:r>
    </w:p>
    <w:p>
      <w:pPr>
        <w:pStyle w:val="2"/>
        <w:spacing w:after="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①承包人在工程施工期间，以其投标时填报的工程主要材料价格低于同期工程造价管理机构发布的信息价格为由拒绝材料采购；或因其自身其他原因导致工程窝工或停工等，给发包人造成直接经济损失且拒绝承担的，按低价风险担保金额的</w:t>
      </w:r>
      <w:r>
        <w:rPr>
          <w:rFonts w:hint="eastAsia" w:ascii="宋体" w:hAnsi="宋体"/>
          <w:color w:val="auto"/>
          <w:szCs w:val="21"/>
          <w:highlight w:val="none"/>
          <w:u w:val="single"/>
        </w:rPr>
        <w:t>50～100%</w:t>
      </w:r>
      <w:r>
        <w:rPr>
          <w:rFonts w:hint="eastAsia" w:ascii="宋体" w:hAnsi="宋体"/>
          <w:color w:val="auto"/>
          <w:szCs w:val="21"/>
          <w:highlight w:val="none"/>
        </w:rPr>
        <w:t>扣减，直至解除合同；</w:t>
      </w:r>
    </w:p>
    <w:p>
      <w:pPr>
        <w:pStyle w:val="2"/>
        <w:spacing w:after="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②承包人在工程施工期间或竣工验收时，工程质量不符合国家现行有关施工质量验收规范要求的，按低价风险担保金额的</w:t>
      </w:r>
      <w:r>
        <w:rPr>
          <w:rFonts w:hint="eastAsia" w:ascii="宋体" w:hAnsi="宋体"/>
          <w:color w:val="auto"/>
          <w:szCs w:val="21"/>
          <w:highlight w:val="none"/>
          <w:u w:val="single"/>
        </w:rPr>
        <w:t>50～100%</w:t>
      </w:r>
      <w:r>
        <w:rPr>
          <w:rFonts w:hint="eastAsia" w:ascii="宋体" w:hAnsi="宋体"/>
          <w:color w:val="auto"/>
          <w:szCs w:val="21"/>
          <w:highlight w:val="none"/>
        </w:rPr>
        <w:t>扣减，直至解除合同；</w:t>
      </w:r>
    </w:p>
    <w:p>
      <w:pPr>
        <w:pStyle w:val="2"/>
        <w:spacing w:after="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③承包人因16.2.3项原因被解除合同的，低价风险担保将全额扣除；</w:t>
      </w:r>
    </w:p>
    <w:p>
      <w:pPr>
        <w:pStyle w:val="7"/>
        <w:spacing w:before="0" w:beforeAutospacing="0" w:after="0" w:afterAutospacing="0" w:line="360" w:lineRule="auto"/>
        <w:ind w:firstLine="400" w:firstLineChars="200"/>
        <w:rPr>
          <w:color w:val="auto"/>
          <w:sz w:val="21"/>
          <w:szCs w:val="21"/>
          <w:highlight w:val="none"/>
        </w:rPr>
      </w:pPr>
      <w:r>
        <w:rPr>
          <w:rFonts w:hint="eastAsia"/>
          <w:b w:val="0"/>
          <w:bCs w:val="0"/>
          <w:color w:val="auto"/>
          <w:szCs w:val="21"/>
          <w:highlight w:val="none"/>
        </w:rPr>
        <w:t>④因承包人过错导致的其他情形：</w:t>
      </w:r>
      <w:r>
        <w:rPr>
          <w:rFonts w:hint="eastAsia"/>
          <w:b w:val="0"/>
          <w:bCs w:val="0"/>
          <w:color w:val="auto"/>
          <w:szCs w:val="21"/>
          <w:highlight w:val="none"/>
          <w:u w:val="single"/>
        </w:rPr>
        <w:t xml:space="preserve">        </w:t>
      </w:r>
      <w:r>
        <w:rPr>
          <w:rFonts w:hint="eastAsia"/>
          <w:b w:val="0"/>
          <w:bCs w:val="0"/>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u w:val="single"/>
        </w:rPr>
      </w:pPr>
      <w:r>
        <w:rPr>
          <w:rFonts w:hint="eastAsia"/>
          <w:color w:val="auto"/>
          <w:sz w:val="21"/>
          <w:szCs w:val="21"/>
          <w:highlight w:val="none"/>
        </w:rPr>
        <w:t>21.4 关于不平衡报价的约定：</w:t>
      </w:r>
      <w:r>
        <w:rPr>
          <w:rFonts w:hint="eastAsia"/>
          <w:color w:val="auto"/>
          <w:sz w:val="21"/>
          <w:szCs w:val="21"/>
          <w:highlight w:val="none"/>
          <w:u w:val="single"/>
        </w:rPr>
        <w:t xml:space="preserve">       </w:t>
      </w:r>
    </w:p>
    <w:p>
      <w:pPr>
        <w:pStyle w:val="7"/>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 xml:space="preserve">21.5 </w:t>
      </w:r>
      <w:r>
        <w:rPr>
          <w:rFonts w:hint="eastAsia"/>
          <w:color w:val="auto"/>
          <w:sz w:val="21"/>
          <w:szCs w:val="21"/>
          <w:highlight w:val="none"/>
          <w:u w:val="single"/>
        </w:rPr>
        <w:t xml:space="preserve">       </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140" w:name="baidusnap3"/>
      <w:bookmarkEnd w:id="1140"/>
      <w:bookmarkStart w:id="1141" w:name="baidusnap7"/>
      <w:bookmarkEnd w:id="1141"/>
      <w:bookmarkStart w:id="1142" w:name="_Toc532375686"/>
      <w:bookmarkStart w:id="1143" w:name="_Toc532377425"/>
      <w:bookmarkStart w:id="1144" w:name="_Toc351203652"/>
      <w:r>
        <w:rPr>
          <w:rFonts w:hint="eastAsia"/>
          <w:color w:val="auto"/>
          <w:kern w:val="2"/>
          <w:sz w:val="21"/>
          <w:szCs w:val="21"/>
          <w:highlight w:val="none"/>
        </w:rPr>
        <w:t>22. 合同附件</w:t>
      </w:r>
      <w:bookmarkEnd w:id="1142"/>
      <w:bookmarkEnd w:id="1143"/>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以下十一个附件是本合同的有效组成部分：</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附件1：工程质量保修书</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附件2：主要建设工程文件目录</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附件3：承包人项目管理机构组成表</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附件4：履约担保（如有）</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5</w:t>
      </w:r>
      <w:r>
        <w:rPr>
          <w:rFonts w:hint="eastAsia" w:ascii="宋体" w:hAnsi="宋体"/>
          <w:color w:val="auto"/>
          <w:szCs w:val="21"/>
          <w:highlight w:val="none"/>
        </w:rPr>
        <w:t>：预付款担保（如有）</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6</w:t>
      </w:r>
      <w:r>
        <w:rPr>
          <w:rFonts w:hint="eastAsia" w:ascii="宋体" w:hAnsi="宋体"/>
          <w:color w:val="auto"/>
          <w:szCs w:val="21"/>
          <w:highlight w:val="none"/>
        </w:rPr>
        <w:t>：支付担保（如有）</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7</w:t>
      </w:r>
      <w:r>
        <w:rPr>
          <w:rFonts w:hint="eastAsia" w:ascii="宋体" w:hAnsi="宋体"/>
          <w:color w:val="auto"/>
          <w:szCs w:val="21"/>
          <w:highlight w:val="none"/>
        </w:rPr>
        <w:t>：专业工程暂估价表</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8</w:t>
      </w:r>
      <w:r>
        <w:rPr>
          <w:rFonts w:hint="eastAsia" w:ascii="宋体" w:hAnsi="宋体"/>
          <w:color w:val="auto"/>
          <w:szCs w:val="21"/>
          <w:highlight w:val="none"/>
        </w:rPr>
        <w:t>：廉洁从业协议</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9</w:t>
      </w:r>
      <w:r>
        <w:rPr>
          <w:rFonts w:hint="eastAsia" w:ascii="宋体" w:hAnsi="宋体"/>
          <w:color w:val="auto"/>
          <w:szCs w:val="21"/>
          <w:highlight w:val="none"/>
        </w:rPr>
        <w:t>：安全管理协议</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10</w:t>
      </w:r>
      <w:r>
        <w:rPr>
          <w:rFonts w:hint="eastAsia" w:ascii="宋体" w:hAnsi="宋体"/>
          <w:color w:val="auto"/>
          <w:szCs w:val="21"/>
          <w:highlight w:val="none"/>
        </w:rPr>
        <w:t>：保障农民工工资支付协议</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附件11：低价风险担保保函示范文本（独立保函）（如有）</w:t>
      </w:r>
    </w:p>
    <w:bookmarkEnd w:id="1144"/>
    <w:p>
      <w:pPr>
        <w:spacing w:line="36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1145" w:name="_Toc296891054"/>
      <w:bookmarkStart w:id="1146" w:name="_Toc296503226"/>
      <w:bookmarkStart w:id="1147" w:name="_Toc267261693"/>
      <w:bookmarkStart w:id="1148" w:name="_Toc296346727"/>
      <w:bookmarkStart w:id="1149" w:name="_Toc296347225"/>
      <w:bookmarkStart w:id="1150" w:name="_Toc296891266"/>
      <w:bookmarkStart w:id="1151" w:name="_Toc296944565"/>
      <w:r>
        <w:rPr>
          <w:rFonts w:hint="eastAsia" w:ascii="宋体" w:hAnsi="宋体"/>
          <w:color w:val="auto"/>
          <w:szCs w:val="21"/>
          <w:highlight w:val="none"/>
        </w:rPr>
        <w:t>件1：</w:t>
      </w:r>
      <w:bookmarkEnd w:id="1145"/>
      <w:bookmarkEnd w:id="1146"/>
      <w:bookmarkEnd w:id="1147"/>
      <w:bookmarkEnd w:id="1148"/>
      <w:bookmarkEnd w:id="1149"/>
      <w:bookmarkEnd w:id="1150"/>
      <w:bookmarkEnd w:id="1151"/>
    </w:p>
    <w:p>
      <w:pPr>
        <w:spacing w:before="156" w:beforeLines="50" w:after="156" w:afterLines="50" w:line="360" w:lineRule="auto"/>
        <w:jc w:val="center"/>
        <w:rPr>
          <w:rFonts w:ascii="宋体" w:hAnsi="宋体"/>
          <w:color w:val="auto"/>
          <w:szCs w:val="21"/>
          <w:highlight w:val="none"/>
        </w:rPr>
      </w:pPr>
      <w:r>
        <w:rPr>
          <w:rFonts w:hint="eastAsia" w:ascii="宋体" w:hAnsi="宋体"/>
          <w:color w:val="auto"/>
          <w:szCs w:val="21"/>
          <w:highlight w:val="none"/>
        </w:rPr>
        <w:t>工程质量保修书</w:t>
      </w:r>
    </w:p>
    <w:p>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发包人和承包人根据《中华人民共和国建筑法》和《建设工程质量管理条例》，经协商一致就</w:t>
      </w:r>
    </w:p>
    <w:p>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（工程全称）签订工程质量保修书。</w:t>
      </w:r>
    </w:p>
    <w:p>
      <w:pPr>
        <w:spacing w:line="360" w:lineRule="auto"/>
        <w:ind w:firstLine="420" w:firstLineChars="200"/>
        <w:rPr>
          <w:rFonts w:ascii="宋体" w:hAnsi="宋体"/>
          <w:color w:val="auto"/>
          <w:szCs w:val="21"/>
          <w:highlight w:val="none"/>
        </w:rPr>
      </w:pPr>
      <w:bookmarkStart w:id="1152" w:name="_Toc532375687"/>
      <w:r>
        <w:rPr>
          <w:rFonts w:hint="eastAsia" w:ascii="宋体" w:hAnsi="宋体"/>
          <w:color w:val="auto"/>
          <w:szCs w:val="21"/>
          <w:highlight w:val="none"/>
        </w:rPr>
        <w:t>一、工程质量保修范围和内容</w:t>
      </w:r>
      <w:bookmarkEnd w:id="1152"/>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承包人在质量保修期内，按照有关法律规定和合同约定，承担工程质量保修责任。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承包人承包范围内容均属质量保修范围内容；其中：</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1.属于设计原因造成的质量问题，承包人负责维修，不留隐患，费用由发包人承担；</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2.属于施工造成的质量问题，承包人负责维修，不留隐患；</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3.属于业主使用不当造成的质量问题，配合抢修，费用由发包人承担。</w:t>
      </w:r>
    </w:p>
    <w:p>
      <w:pPr>
        <w:spacing w:line="360" w:lineRule="auto"/>
        <w:ind w:firstLine="420" w:firstLineChars="200"/>
        <w:rPr>
          <w:rFonts w:ascii="宋体" w:hAnsi="宋体"/>
          <w:color w:val="auto"/>
          <w:szCs w:val="21"/>
          <w:highlight w:val="none"/>
        </w:rPr>
      </w:pPr>
      <w:bookmarkStart w:id="1153" w:name="_Toc532375688"/>
      <w:r>
        <w:rPr>
          <w:rFonts w:hint="eastAsia" w:ascii="宋体" w:hAnsi="宋体"/>
          <w:color w:val="auto"/>
          <w:szCs w:val="21"/>
          <w:highlight w:val="none"/>
        </w:rPr>
        <w:t>二、质量保修期</w:t>
      </w:r>
      <w:bookmarkEnd w:id="1153"/>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根据《建设工程质量管理条例》及有关规定，本工程质量保修期约定如下：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1.基础设施工程、房屋建筑的地基基础工程和主体结构工程，为设计文件规定的该工程的合理使用年限；</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2.屋面防水工程、有防水要求的卫生间、房间和外墙面的防渗漏，为5年；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3.供热与供冷系统，为2个采暖期、供冷期；</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4.电气管线、给排水管道、设备安装和装修工程，为2年；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5.其他项目保修期限：2年；</w:t>
      </w:r>
      <w:r>
        <w:rPr>
          <w:rFonts w:hint="eastAsia" w:ascii="宋体" w:hAnsi="宋体"/>
          <w:i/>
          <w:color w:val="auto"/>
          <w:szCs w:val="21"/>
          <w:highlight w:val="none"/>
        </w:rPr>
        <w:t>[提示：如有不同，根据具体情况修改]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建设工程的保修期，自工程竣工验收合格之日起计算。</w:t>
      </w:r>
    </w:p>
    <w:p>
      <w:pPr>
        <w:spacing w:line="360" w:lineRule="auto"/>
        <w:ind w:firstLine="420" w:firstLineChars="200"/>
        <w:rPr>
          <w:rFonts w:ascii="宋体" w:hAnsi="宋体"/>
          <w:color w:val="auto"/>
          <w:szCs w:val="21"/>
          <w:highlight w:val="none"/>
        </w:rPr>
      </w:pPr>
      <w:bookmarkStart w:id="1154" w:name="_Toc532375689"/>
      <w:r>
        <w:rPr>
          <w:rFonts w:hint="eastAsia" w:ascii="宋体" w:hAnsi="宋体"/>
          <w:color w:val="auto"/>
          <w:szCs w:val="21"/>
          <w:highlight w:val="none"/>
        </w:rPr>
        <w:t>三、质量保修责任</w:t>
      </w:r>
      <w:bookmarkEnd w:id="1154"/>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1.属于保修范围、内容的项目，承包人应当在接到保修通知之日起7天内派人保修。承包人不在约定期限内派人保修的，发包人可以委托他人修理。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2.发生紧急事故需抢修的，承包人在接到事故通知后，应当立即到达事故现场抢修。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4.质量保修完成后，由发包人组织验收。</w:t>
      </w:r>
    </w:p>
    <w:p>
      <w:pPr>
        <w:spacing w:line="360" w:lineRule="auto"/>
        <w:ind w:firstLine="420" w:firstLineChars="200"/>
        <w:rPr>
          <w:rFonts w:ascii="宋体" w:hAnsi="宋体"/>
          <w:color w:val="auto"/>
          <w:szCs w:val="21"/>
          <w:highlight w:val="none"/>
        </w:rPr>
      </w:pPr>
      <w:bookmarkStart w:id="1155" w:name="_Toc532375690"/>
      <w:r>
        <w:rPr>
          <w:rFonts w:hint="eastAsia" w:ascii="宋体" w:hAnsi="宋体"/>
          <w:color w:val="auto"/>
          <w:szCs w:val="21"/>
          <w:highlight w:val="none"/>
        </w:rPr>
        <w:t>四、保修费用</w:t>
      </w:r>
      <w:bookmarkEnd w:id="1155"/>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保修费用由质量缺陷的责任方承担。</w:t>
      </w:r>
    </w:p>
    <w:p>
      <w:pPr>
        <w:spacing w:line="360" w:lineRule="auto"/>
        <w:ind w:firstLine="420" w:firstLineChars="200"/>
        <w:rPr>
          <w:rFonts w:ascii="宋体" w:hAnsi="宋体"/>
          <w:color w:val="auto"/>
          <w:szCs w:val="21"/>
          <w:highlight w:val="none"/>
        </w:rPr>
      </w:pPr>
      <w:bookmarkStart w:id="1156" w:name="_Toc532375691"/>
      <w:r>
        <w:rPr>
          <w:rFonts w:hint="eastAsia" w:ascii="宋体" w:hAnsi="宋体"/>
          <w:color w:val="auto"/>
          <w:szCs w:val="21"/>
          <w:highlight w:val="none"/>
        </w:rPr>
        <w:t>五、双方约定的其他工程质量保修事项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按国家相关法律和规定执行</w:t>
      </w:r>
      <w:r>
        <w:rPr>
          <w:rFonts w:hint="eastAsia" w:ascii="宋体" w:hAnsi="宋体"/>
          <w:color w:val="auto"/>
          <w:szCs w:val="21"/>
          <w:highlight w:val="none"/>
        </w:rPr>
        <w:t>。</w:t>
      </w:r>
      <w:bookmarkEnd w:id="1156"/>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本工程质量保修书由发包人、承包人在工程竣工验收前共同签署，作为施工合同附件，其有效期限至保修期满。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六、本文件生效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本工程质量保修书经发包人与承包人盖章后生效。</w:t>
      </w:r>
    </w:p>
    <w:p>
      <w:pPr>
        <w:pStyle w:val="2"/>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发包人：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（盖单位公章）</w:t>
      </w:r>
    </w:p>
    <w:p>
      <w:pPr>
        <w:spacing w:line="360" w:lineRule="auto"/>
        <w:ind w:firstLine="420" w:firstLineChars="200"/>
        <w:rPr>
          <w:rFonts w:ascii="宋体" w:hAnsi="宋体"/>
          <w:snapToGrid w:val="0"/>
          <w:color w:val="auto"/>
          <w:kern w:val="0"/>
          <w:szCs w:val="21"/>
          <w:highlight w:val="none"/>
        </w:rPr>
      </w:pPr>
    </w:p>
    <w:p>
      <w:pPr>
        <w:spacing w:line="360" w:lineRule="auto"/>
        <w:ind w:firstLine="420" w:firstLineChars="200"/>
        <w:rPr>
          <w:rFonts w:ascii="宋体" w:hAnsi="宋体"/>
          <w:snapToGrid w:val="0"/>
          <w:color w:val="auto"/>
          <w:kern w:val="0"/>
          <w:szCs w:val="21"/>
          <w:highlight w:val="none"/>
        </w:rPr>
      </w:pPr>
    </w:p>
    <w:p>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法定代表人或其委托代理人：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（签名）</w:t>
      </w:r>
    </w:p>
    <w:p>
      <w:pPr>
        <w:spacing w:line="360" w:lineRule="auto"/>
        <w:ind w:firstLine="420" w:firstLineChars="200"/>
        <w:rPr>
          <w:rFonts w:ascii="宋体" w:hAnsi="宋体"/>
          <w:snapToGrid w:val="0"/>
          <w:color w:val="auto"/>
          <w:kern w:val="0"/>
          <w:szCs w:val="21"/>
          <w:highlight w:val="none"/>
        </w:rPr>
      </w:pPr>
    </w:p>
    <w:p>
      <w:pPr>
        <w:spacing w:line="360" w:lineRule="auto"/>
        <w:ind w:firstLine="420" w:firstLineChars="200"/>
        <w:rPr>
          <w:rFonts w:ascii="宋体" w:hAnsi="宋体"/>
          <w:snapToGrid w:val="0"/>
          <w:color w:val="auto"/>
          <w:kern w:val="0"/>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snapToGrid w:val="0"/>
          <w:color w:val="auto"/>
          <w:kern w:val="0"/>
          <w:szCs w:val="21"/>
          <w:highlight w:val="none"/>
        </w:rPr>
        <w:t>承包人：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（盖单位公章）</w:t>
      </w:r>
    </w:p>
    <w:p>
      <w:pPr>
        <w:spacing w:line="360" w:lineRule="auto"/>
        <w:ind w:firstLine="420" w:firstLineChars="200"/>
        <w:rPr>
          <w:rFonts w:ascii="宋体" w:hAnsi="宋体"/>
          <w:snapToGrid w:val="0"/>
          <w:color w:val="auto"/>
          <w:kern w:val="0"/>
          <w:szCs w:val="21"/>
          <w:highlight w:val="none"/>
        </w:rPr>
      </w:pPr>
    </w:p>
    <w:p>
      <w:pPr>
        <w:spacing w:line="360" w:lineRule="auto"/>
        <w:ind w:firstLine="420" w:firstLineChars="200"/>
        <w:rPr>
          <w:rFonts w:ascii="宋体" w:hAnsi="宋体"/>
          <w:snapToGrid w:val="0"/>
          <w:color w:val="auto"/>
          <w:kern w:val="0"/>
          <w:szCs w:val="21"/>
          <w:highlight w:val="none"/>
        </w:rPr>
      </w:pPr>
    </w:p>
    <w:p>
      <w:pPr>
        <w:spacing w:line="360" w:lineRule="auto"/>
        <w:ind w:firstLine="420" w:firstLineChars="200"/>
        <w:rPr>
          <w:rFonts w:ascii="宋体" w:hAnsi="宋体"/>
          <w:bCs/>
          <w:color w:val="auto"/>
          <w:kern w:val="0"/>
          <w:szCs w:val="21"/>
          <w:highlight w:val="none"/>
        </w:rPr>
      </w:pPr>
      <w:r>
        <w:rPr>
          <w:rFonts w:hint="eastAsia" w:ascii="宋体" w:hAnsi="宋体"/>
          <w:snapToGrid w:val="0"/>
          <w:color w:val="auto"/>
          <w:kern w:val="0"/>
          <w:szCs w:val="21"/>
          <w:highlight w:val="none"/>
        </w:rPr>
        <w:t>法定代表人或其委托代理人：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（签名）</w:t>
      </w:r>
    </w:p>
    <w:p>
      <w:pPr>
        <w:spacing w:line="360" w:lineRule="auto"/>
        <w:ind w:firstLine="418" w:firstLineChars="200"/>
        <w:rPr>
          <w:rFonts w:ascii="宋体" w:hAnsi="宋体"/>
          <w:snapToGrid w:val="0"/>
          <w:color w:val="auto"/>
          <w:spacing w:val="1"/>
          <w:w w:val="99"/>
          <w:kern w:val="0"/>
          <w:position w:val="-2"/>
          <w:szCs w:val="21"/>
          <w:highlight w:val="none"/>
        </w:rPr>
      </w:pPr>
    </w:p>
    <w:p>
      <w:pPr>
        <w:spacing w:line="360" w:lineRule="auto"/>
        <w:ind w:firstLine="418" w:firstLineChars="200"/>
        <w:rPr>
          <w:rFonts w:ascii="宋体" w:hAnsi="宋体"/>
          <w:snapToGrid w:val="0"/>
          <w:color w:val="auto"/>
          <w:spacing w:val="1"/>
          <w:w w:val="99"/>
          <w:kern w:val="0"/>
          <w:position w:val="-2"/>
          <w:szCs w:val="21"/>
          <w:highlight w:val="none"/>
        </w:rPr>
      </w:pPr>
    </w:p>
    <w:p>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p>
    <w:p>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附件2：</w:t>
      </w:r>
    </w:p>
    <w:p>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主要建设工程文件目录</w:t>
      </w:r>
    </w:p>
    <w:tbl>
      <w:tblPr>
        <w:tblStyle w:val="45"/>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文件名称</w:t>
            </w:r>
          </w:p>
        </w:tc>
        <w:tc>
          <w:tcPr>
            <w:tcW w:w="1418"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套数</w:t>
            </w:r>
          </w:p>
        </w:tc>
        <w:tc>
          <w:tcPr>
            <w:tcW w:w="1418" w:type="dxa"/>
          </w:tcPr>
          <w:p>
            <w:pPr>
              <w:spacing w:line="400" w:lineRule="exact"/>
              <w:jc w:val="center"/>
              <w:rPr>
                <w:rFonts w:ascii="宋体" w:hAnsi="宋体"/>
                <w:color w:val="auto"/>
                <w:szCs w:val="21"/>
                <w:highlight w:val="none"/>
              </w:rPr>
            </w:pPr>
            <w:r>
              <w:rPr>
                <w:rFonts w:hint="eastAsia" w:ascii="宋体" w:hAnsi="宋体"/>
                <w:color w:val="auto"/>
                <w:szCs w:val="21"/>
                <w:highlight w:val="none"/>
              </w:rPr>
              <w:t>移交时间</w:t>
            </w:r>
          </w:p>
        </w:tc>
        <w:tc>
          <w:tcPr>
            <w:tcW w:w="2917" w:type="dxa"/>
          </w:tcPr>
          <w:p>
            <w:pPr>
              <w:spacing w:line="400" w:lineRule="exact"/>
              <w:jc w:val="center"/>
              <w:rPr>
                <w:rFonts w:ascii="宋体" w:hAnsi="宋体"/>
                <w:color w:val="auto"/>
                <w:szCs w:val="21"/>
                <w:highlight w:val="none"/>
              </w:rPr>
            </w:pPr>
            <w:r>
              <w:rPr>
                <w:rFonts w:hint="eastAsia" w:ascii="宋体" w:hAnsi="宋体"/>
                <w:color w:val="auto"/>
                <w:szCs w:val="21"/>
                <w:highlight w:val="none"/>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2917"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2917"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2917"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2917"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2917"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2917"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2917"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2917"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color w:val="auto"/>
                <w:szCs w:val="21"/>
                <w:highlight w:val="none"/>
              </w:rPr>
            </w:pPr>
          </w:p>
        </w:tc>
        <w:tc>
          <w:tcPr>
            <w:tcW w:w="1418" w:type="dxa"/>
          </w:tcPr>
          <w:p>
            <w:pPr>
              <w:spacing w:line="400" w:lineRule="exact"/>
              <w:ind w:firstLine="420" w:firstLineChars="200"/>
              <w:rPr>
                <w:rFonts w:ascii="宋体" w:hAnsi="宋体"/>
                <w:color w:val="auto"/>
                <w:szCs w:val="21"/>
                <w:highlight w:val="none"/>
              </w:rPr>
            </w:pPr>
          </w:p>
        </w:tc>
        <w:tc>
          <w:tcPr>
            <w:tcW w:w="1418" w:type="dxa"/>
          </w:tcPr>
          <w:p>
            <w:pPr>
              <w:spacing w:line="400" w:lineRule="exact"/>
              <w:ind w:firstLine="420" w:firstLineChars="200"/>
              <w:rPr>
                <w:rFonts w:ascii="宋体" w:hAnsi="宋体"/>
                <w:color w:val="auto"/>
                <w:szCs w:val="21"/>
                <w:highlight w:val="none"/>
              </w:rPr>
            </w:pPr>
          </w:p>
        </w:tc>
        <w:tc>
          <w:tcPr>
            <w:tcW w:w="2917" w:type="dxa"/>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2917"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color w:val="auto"/>
                <w:szCs w:val="21"/>
                <w:highlight w:val="none"/>
              </w:rPr>
            </w:pPr>
          </w:p>
        </w:tc>
        <w:tc>
          <w:tcPr>
            <w:tcW w:w="1418" w:type="dxa"/>
          </w:tcPr>
          <w:p>
            <w:pPr>
              <w:spacing w:line="400" w:lineRule="exact"/>
              <w:ind w:firstLine="420" w:firstLineChars="200"/>
              <w:rPr>
                <w:rFonts w:ascii="宋体" w:hAnsi="宋体"/>
                <w:color w:val="auto"/>
                <w:szCs w:val="21"/>
                <w:highlight w:val="none"/>
              </w:rPr>
            </w:pPr>
          </w:p>
        </w:tc>
        <w:tc>
          <w:tcPr>
            <w:tcW w:w="1418" w:type="dxa"/>
          </w:tcPr>
          <w:p>
            <w:pPr>
              <w:spacing w:line="400" w:lineRule="exact"/>
              <w:ind w:firstLine="420" w:firstLineChars="200"/>
              <w:rPr>
                <w:rFonts w:ascii="宋体" w:hAnsi="宋体"/>
                <w:color w:val="auto"/>
                <w:szCs w:val="21"/>
                <w:highlight w:val="none"/>
              </w:rPr>
            </w:pPr>
          </w:p>
        </w:tc>
        <w:tc>
          <w:tcPr>
            <w:tcW w:w="2917" w:type="dxa"/>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color w:val="auto"/>
                <w:szCs w:val="21"/>
                <w:highlight w:val="none"/>
              </w:rPr>
            </w:pPr>
          </w:p>
        </w:tc>
        <w:tc>
          <w:tcPr>
            <w:tcW w:w="1418" w:type="dxa"/>
          </w:tcPr>
          <w:p>
            <w:pPr>
              <w:spacing w:line="400" w:lineRule="exact"/>
              <w:ind w:firstLine="420" w:firstLineChars="200"/>
              <w:rPr>
                <w:rFonts w:ascii="宋体" w:hAnsi="宋体"/>
                <w:color w:val="auto"/>
                <w:szCs w:val="21"/>
                <w:highlight w:val="none"/>
              </w:rPr>
            </w:pPr>
          </w:p>
        </w:tc>
        <w:tc>
          <w:tcPr>
            <w:tcW w:w="1418" w:type="dxa"/>
          </w:tcPr>
          <w:p>
            <w:pPr>
              <w:spacing w:line="400" w:lineRule="exact"/>
              <w:ind w:firstLine="420" w:firstLineChars="200"/>
              <w:rPr>
                <w:rFonts w:ascii="宋体" w:hAnsi="宋体"/>
                <w:color w:val="auto"/>
                <w:szCs w:val="21"/>
                <w:highlight w:val="none"/>
              </w:rPr>
            </w:pPr>
          </w:p>
        </w:tc>
        <w:tc>
          <w:tcPr>
            <w:tcW w:w="2917" w:type="dxa"/>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color w:val="auto"/>
                <w:szCs w:val="21"/>
                <w:highlight w:val="none"/>
              </w:rPr>
            </w:pPr>
          </w:p>
        </w:tc>
        <w:tc>
          <w:tcPr>
            <w:tcW w:w="1418" w:type="dxa"/>
          </w:tcPr>
          <w:p>
            <w:pPr>
              <w:spacing w:line="400" w:lineRule="exact"/>
              <w:ind w:firstLine="420" w:firstLineChars="200"/>
              <w:rPr>
                <w:rFonts w:ascii="宋体" w:hAnsi="宋体"/>
                <w:color w:val="auto"/>
                <w:szCs w:val="21"/>
                <w:highlight w:val="none"/>
              </w:rPr>
            </w:pPr>
          </w:p>
        </w:tc>
        <w:tc>
          <w:tcPr>
            <w:tcW w:w="1418" w:type="dxa"/>
          </w:tcPr>
          <w:p>
            <w:pPr>
              <w:spacing w:line="400" w:lineRule="exact"/>
              <w:ind w:firstLine="420" w:firstLineChars="200"/>
              <w:rPr>
                <w:rFonts w:ascii="宋体" w:hAnsi="宋体"/>
                <w:color w:val="auto"/>
                <w:szCs w:val="21"/>
                <w:highlight w:val="none"/>
              </w:rPr>
            </w:pPr>
          </w:p>
        </w:tc>
        <w:tc>
          <w:tcPr>
            <w:tcW w:w="2917" w:type="dxa"/>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color w:val="auto"/>
                <w:szCs w:val="21"/>
                <w:highlight w:val="none"/>
              </w:rPr>
            </w:pPr>
          </w:p>
        </w:tc>
        <w:tc>
          <w:tcPr>
            <w:tcW w:w="1418" w:type="dxa"/>
          </w:tcPr>
          <w:p>
            <w:pPr>
              <w:spacing w:line="400" w:lineRule="exact"/>
              <w:ind w:firstLine="420" w:firstLineChars="200"/>
              <w:rPr>
                <w:rFonts w:ascii="宋体" w:hAnsi="宋体"/>
                <w:color w:val="auto"/>
                <w:szCs w:val="21"/>
                <w:highlight w:val="none"/>
              </w:rPr>
            </w:pPr>
          </w:p>
        </w:tc>
        <w:tc>
          <w:tcPr>
            <w:tcW w:w="1418" w:type="dxa"/>
          </w:tcPr>
          <w:p>
            <w:pPr>
              <w:spacing w:line="400" w:lineRule="exact"/>
              <w:ind w:firstLine="420" w:firstLineChars="200"/>
              <w:rPr>
                <w:rFonts w:ascii="宋体" w:hAnsi="宋体"/>
                <w:color w:val="auto"/>
                <w:szCs w:val="21"/>
                <w:highlight w:val="none"/>
              </w:rPr>
            </w:pPr>
          </w:p>
        </w:tc>
        <w:tc>
          <w:tcPr>
            <w:tcW w:w="2917" w:type="dxa"/>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color w:val="auto"/>
                <w:szCs w:val="21"/>
                <w:highlight w:val="none"/>
              </w:rPr>
            </w:pPr>
          </w:p>
        </w:tc>
        <w:tc>
          <w:tcPr>
            <w:tcW w:w="1418" w:type="dxa"/>
          </w:tcPr>
          <w:p>
            <w:pPr>
              <w:spacing w:line="400" w:lineRule="exact"/>
              <w:ind w:firstLine="420" w:firstLineChars="200"/>
              <w:rPr>
                <w:rFonts w:ascii="宋体" w:hAnsi="宋体"/>
                <w:color w:val="auto"/>
                <w:szCs w:val="21"/>
                <w:highlight w:val="none"/>
              </w:rPr>
            </w:pPr>
          </w:p>
        </w:tc>
        <w:tc>
          <w:tcPr>
            <w:tcW w:w="1418" w:type="dxa"/>
          </w:tcPr>
          <w:p>
            <w:pPr>
              <w:spacing w:line="400" w:lineRule="exact"/>
              <w:ind w:firstLine="420" w:firstLineChars="200"/>
              <w:rPr>
                <w:rFonts w:ascii="宋体" w:hAnsi="宋体"/>
                <w:color w:val="auto"/>
                <w:szCs w:val="21"/>
                <w:highlight w:val="none"/>
              </w:rPr>
            </w:pPr>
          </w:p>
        </w:tc>
        <w:tc>
          <w:tcPr>
            <w:tcW w:w="2917" w:type="dxa"/>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color w:val="auto"/>
                <w:szCs w:val="21"/>
                <w:highlight w:val="none"/>
              </w:rPr>
            </w:pPr>
          </w:p>
        </w:tc>
        <w:tc>
          <w:tcPr>
            <w:tcW w:w="1418" w:type="dxa"/>
          </w:tcPr>
          <w:p>
            <w:pPr>
              <w:spacing w:line="400" w:lineRule="exact"/>
              <w:ind w:firstLine="420" w:firstLineChars="200"/>
              <w:rPr>
                <w:rFonts w:ascii="宋体" w:hAnsi="宋体"/>
                <w:color w:val="auto"/>
                <w:szCs w:val="21"/>
                <w:highlight w:val="none"/>
              </w:rPr>
            </w:pPr>
          </w:p>
        </w:tc>
        <w:tc>
          <w:tcPr>
            <w:tcW w:w="1418" w:type="dxa"/>
          </w:tcPr>
          <w:p>
            <w:pPr>
              <w:spacing w:line="400" w:lineRule="exact"/>
              <w:ind w:firstLine="420" w:firstLineChars="200"/>
              <w:rPr>
                <w:rFonts w:ascii="宋体" w:hAnsi="宋体"/>
                <w:color w:val="auto"/>
                <w:szCs w:val="21"/>
                <w:highlight w:val="none"/>
              </w:rPr>
            </w:pPr>
          </w:p>
        </w:tc>
        <w:tc>
          <w:tcPr>
            <w:tcW w:w="2917" w:type="dxa"/>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color w:val="auto"/>
                <w:szCs w:val="21"/>
                <w:highlight w:val="none"/>
              </w:rPr>
            </w:pPr>
          </w:p>
        </w:tc>
        <w:tc>
          <w:tcPr>
            <w:tcW w:w="1418" w:type="dxa"/>
          </w:tcPr>
          <w:p>
            <w:pPr>
              <w:spacing w:line="400" w:lineRule="exact"/>
              <w:ind w:firstLine="420" w:firstLineChars="200"/>
              <w:rPr>
                <w:rFonts w:ascii="宋体" w:hAnsi="宋体"/>
                <w:color w:val="auto"/>
                <w:szCs w:val="21"/>
                <w:highlight w:val="none"/>
              </w:rPr>
            </w:pPr>
          </w:p>
        </w:tc>
        <w:tc>
          <w:tcPr>
            <w:tcW w:w="1418" w:type="dxa"/>
          </w:tcPr>
          <w:p>
            <w:pPr>
              <w:spacing w:line="400" w:lineRule="exact"/>
              <w:ind w:firstLine="420" w:firstLineChars="200"/>
              <w:rPr>
                <w:rFonts w:ascii="宋体" w:hAnsi="宋体"/>
                <w:color w:val="auto"/>
                <w:szCs w:val="21"/>
                <w:highlight w:val="none"/>
              </w:rPr>
            </w:pPr>
          </w:p>
        </w:tc>
        <w:tc>
          <w:tcPr>
            <w:tcW w:w="2917" w:type="dxa"/>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color w:val="auto"/>
                <w:szCs w:val="21"/>
                <w:highlight w:val="none"/>
              </w:rPr>
            </w:pPr>
          </w:p>
        </w:tc>
        <w:tc>
          <w:tcPr>
            <w:tcW w:w="1418" w:type="dxa"/>
          </w:tcPr>
          <w:p>
            <w:pPr>
              <w:spacing w:line="400" w:lineRule="exact"/>
              <w:ind w:firstLine="420" w:firstLineChars="200"/>
              <w:rPr>
                <w:rFonts w:ascii="宋体" w:hAnsi="宋体"/>
                <w:color w:val="auto"/>
                <w:szCs w:val="21"/>
                <w:highlight w:val="none"/>
              </w:rPr>
            </w:pPr>
          </w:p>
        </w:tc>
        <w:tc>
          <w:tcPr>
            <w:tcW w:w="1418" w:type="dxa"/>
          </w:tcPr>
          <w:p>
            <w:pPr>
              <w:spacing w:line="400" w:lineRule="exact"/>
              <w:ind w:firstLine="420" w:firstLineChars="200"/>
              <w:rPr>
                <w:rFonts w:ascii="宋体" w:hAnsi="宋体"/>
                <w:color w:val="auto"/>
                <w:szCs w:val="21"/>
                <w:highlight w:val="none"/>
              </w:rPr>
            </w:pPr>
          </w:p>
        </w:tc>
        <w:tc>
          <w:tcPr>
            <w:tcW w:w="2917" w:type="dxa"/>
          </w:tcPr>
          <w:p>
            <w:pPr>
              <w:spacing w:line="400" w:lineRule="exact"/>
              <w:ind w:firstLine="420" w:firstLineChars="200"/>
              <w:rPr>
                <w:rFonts w:ascii="宋体" w:hAnsi="宋体"/>
                <w:color w:val="auto"/>
                <w:szCs w:val="21"/>
                <w:highlight w:val="none"/>
              </w:rPr>
            </w:pPr>
          </w:p>
        </w:tc>
      </w:tr>
    </w:tbl>
    <w:p>
      <w:pPr>
        <w:spacing w:line="360" w:lineRule="auto"/>
        <w:ind w:firstLine="420" w:firstLineChars="200"/>
        <w:rPr>
          <w:rFonts w:ascii="宋体" w:hAnsi="宋体"/>
          <w:color w:val="auto"/>
          <w:szCs w:val="21"/>
          <w:highlight w:val="none"/>
        </w:rPr>
      </w:pPr>
    </w:p>
    <w:p>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1157" w:name="_Toc296891268"/>
      <w:bookmarkStart w:id="1158" w:name="_Toc267261699"/>
      <w:bookmarkStart w:id="1159" w:name="_Toc296891056"/>
      <w:bookmarkStart w:id="1160" w:name="_Toc296347227"/>
      <w:bookmarkStart w:id="1161" w:name="_Toc296503228"/>
      <w:bookmarkStart w:id="1162" w:name="_Toc296346729"/>
      <w:bookmarkStart w:id="1163" w:name="_Toc296944567"/>
      <w:r>
        <w:rPr>
          <w:rFonts w:hint="eastAsia" w:ascii="宋体" w:hAnsi="宋体"/>
          <w:color w:val="auto"/>
          <w:szCs w:val="21"/>
          <w:highlight w:val="none"/>
        </w:rPr>
        <w:t>件3：</w:t>
      </w:r>
    </w:p>
    <w:bookmarkEnd w:id="1157"/>
    <w:bookmarkEnd w:id="1158"/>
    <w:bookmarkEnd w:id="1159"/>
    <w:bookmarkEnd w:id="1160"/>
    <w:bookmarkEnd w:id="1161"/>
    <w:bookmarkEnd w:id="1162"/>
    <w:bookmarkEnd w:id="1163"/>
    <w:p>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承包人项目管理机构组成表</w:t>
      </w:r>
    </w:p>
    <w:tbl>
      <w:tblPr>
        <w:tblStyle w:val="4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名    称</w:t>
            </w:r>
          </w:p>
        </w:tc>
        <w:tc>
          <w:tcPr>
            <w:tcW w:w="1418"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姓名</w:t>
            </w:r>
          </w:p>
        </w:tc>
        <w:tc>
          <w:tcPr>
            <w:tcW w:w="1134"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职务</w:t>
            </w:r>
          </w:p>
        </w:tc>
        <w:tc>
          <w:tcPr>
            <w:tcW w:w="1134"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职称</w:t>
            </w:r>
          </w:p>
        </w:tc>
        <w:tc>
          <w:tcPr>
            <w:tcW w:w="4252"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pPr>
              <w:spacing w:line="400" w:lineRule="exact"/>
              <w:rPr>
                <w:rFonts w:ascii="宋体" w:hAnsi="宋体"/>
                <w:color w:val="auto"/>
                <w:szCs w:val="21"/>
                <w:highlight w:val="none"/>
              </w:rPr>
            </w:pPr>
            <w:r>
              <w:rPr>
                <w:rFonts w:hint="eastAsia" w:ascii="宋体" w:hAnsi="宋体"/>
                <w:color w:val="auto"/>
                <w:szCs w:val="21"/>
                <w:highlight w:val="none"/>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项目主管</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其他人员</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pPr>
              <w:spacing w:line="400" w:lineRule="exact"/>
              <w:rPr>
                <w:rFonts w:ascii="宋体" w:hAnsi="宋体"/>
                <w:color w:val="auto"/>
                <w:szCs w:val="21"/>
                <w:highlight w:val="none"/>
              </w:rPr>
            </w:pPr>
            <w:r>
              <w:rPr>
                <w:rFonts w:hint="eastAsia" w:ascii="宋体" w:hAnsi="宋体"/>
                <w:color w:val="auto"/>
                <w:szCs w:val="21"/>
                <w:highlight w:val="none"/>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项目经理</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项目副经理</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技术负责人</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造价管理</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质量管理</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材料管理</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计划管理</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安全管理</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其他人员</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bl>
    <w:p>
      <w:pPr>
        <w:spacing w:line="480" w:lineRule="auto"/>
        <w:rPr>
          <w:rFonts w:ascii="宋体" w:hAnsi="宋体"/>
          <w:color w:val="auto"/>
          <w:szCs w:val="21"/>
          <w:highlight w:val="none"/>
        </w:rPr>
      </w:pPr>
      <w:r>
        <w:rPr>
          <w:rFonts w:hint="eastAsia" w:ascii="宋体" w:hAnsi="宋体"/>
          <w:color w:val="auto"/>
          <w:szCs w:val="21"/>
          <w:highlight w:val="none"/>
        </w:rPr>
        <w:br w:type="page"/>
      </w:r>
      <w:bookmarkStart w:id="1164" w:name="_Toc267261701"/>
      <w:r>
        <w:rPr>
          <w:rFonts w:hint="eastAsia" w:ascii="宋体" w:hAnsi="宋体"/>
          <w:color w:val="auto"/>
          <w:szCs w:val="21"/>
          <w:highlight w:val="none"/>
        </w:rPr>
        <w:t>附</w:t>
      </w:r>
      <w:bookmarkStart w:id="1165" w:name="_Toc296346732"/>
      <w:bookmarkStart w:id="1166" w:name="_Toc296891059"/>
      <w:bookmarkStart w:id="1167" w:name="_Toc296347230"/>
      <w:bookmarkStart w:id="1168" w:name="_Toc296891271"/>
      <w:bookmarkStart w:id="1169" w:name="_Toc296944570"/>
      <w:bookmarkStart w:id="1170" w:name="_Toc296503231"/>
      <w:r>
        <w:rPr>
          <w:rFonts w:hint="eastAsia" w:ascii="宋体" w:hAnsi="宋体"/>
          <w:color w:val="auto"/>
          <w:szCs w:val="21"/>
          <w:highlight w:val="none"/>
        </w:rPr>
        <w:t>件4：</w:t>
      </w:r>
    </w:p>
    <w:bookmarkEnd w:id="1164"/>
    <w:bookmarkEnd w:id="1165"/>
    <w:bookmarkEnd w:id="1166"/>
    <w:bookmarkEnd w:id="1167"/>
    <w:bookmarkEnd w:id="1168"/>
    <w:bookmarkEnd w:id="1169"/>
    <w:bookmarkEnd w:id="1170"/>
    <w:p>
      <w:pPr>
        <w:spacing w:line="360" w:lineRule="auto"/>
        <w:ind w:firstLine="420" w:firstLineChars="200"/>
        <w:jc w:val="center"/>
        <w:rPr>
          <w:rFonts w:ascii="宋体" w:hAnsi="宋体"/>
          <w:color w:val="auto"/>
          <w:szCs w:val="21"/>
          <w:highlight w:val="none"/>
        </w:rPr>
      </w:pPr>
      <w:r>
        <w:rPr>
          <w:rFonts w:hint="eastAsia" w:ascii="宋体" w:hAnsi="宋体"/>
          <w:color w:val="auto"/>
          <w:szCs w:val="21"/>
          <w:highlight w:val="none"/>
        </w:rPr>
        <w:t>履约担保（如有）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（发包人名称，以下简称“发包人”）与</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（承包人名称）（以下称“承包人”）于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日就</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（工程名称）施工及有关事项协商一致共同签订《建设工程施工合同》。我方愿意无条件地、不可撤销地就承包人履行与你方签订的合同，向你方提供连带责任担保。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担保金额人民币（大写）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担保有效期：</w:t>
      </w:r>
      <w:r>
        <w:rPr>
          <w:rFonts w:hint="eastAsia" w:ascii="宋体" w:hAnsi="宋体"/>
          <w:color w:val="auto"/>
          <w:szCs w:val="21"/>
          <w:highlight w:val="none"/>
          <w:u w:val="single"/>
        </w:rPr>
        <w:t>自</w:t>
      </w:r>
      <w:r>
        <w:rPr>
          <w:rStyle w:val="54"/>
          <w:rFonts w:hint="eastAsia"/>
          <w:color w:val="auto"/>
          <w:highlight w:val="none"/>
          <w:u w:val="single"/>
        </w:rPr>
        <w:t>我</w:t>
      </w:r>
      <w:r>
        <w:rPr>
          <w:rFonts w:hint="eastAsia" w:ascii="宋体" w:hAnsi="宋体"/>
          <w:color w:val="auto"/>
          <w:szCs w:val="21"/>
          <w:highlight w:val="none"/>
          <w:u w:val="single"/>
        </w:rPr>
        <w:t>方法定代表人（或其委托代理人）签名并加盖单位公章之日起至你方签发或应签发工程接收证书之日止</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在本担保有效期内，因承包人违反合同约定的义务给你方造成经济损失时，我方在收到你方以书面形式提出的在担保金额内的赔偿要求后，在7天内无条件支付。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你方和承包人按合同约定变更合同时，我方承担本担保规定的义务不变。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因本保函发生的纠纷，可由双方协商解决，协商不成的，按下列第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本保函自我方法定代表人（或其委托代理人）签名并加盖单位公章之日起生效。</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担 保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（盖单位公章）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pPr>
        <w:spacing w:line="360" w:lineRule="auto"/>
        <w:ind w:firstLine="420" w:firstLineChars="200"/>
        <w:jc w:val="left"/>
        <w:rPr>
          <w:rFonts w:ascii="宋体" w:hAnsi="宋体"/>
          <w:color w:val="auto"/>
          <w:szCs w:val="21"/>
          <w:highlight w:val="none"/>
          <w:u w:val="single"/>
        </w:rPr>
      </w:pPr>
    </w:p>
    <w:p>
      <w:pPr>
        <w:spacing w:line="360" w:lineRule="auto"/>
        <w:ind w:firstLine="420" w:firstLineChars="200"/>
        <w:jc w:val="left"/>
        <w:rPr>
          <w:rFonts w:ascii="宋体" w:hAnsi="宋体"/>
          <w:color w:val="auto"/>
          <w:szCs w:val="21"/>
          <w:highlight w:val="none"/>
          <w:u w:val="single"/>
        </w:rPr>
      </w:pP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widowControl/>
        <w:spacing w:line="360" w:lineRule="auto"/>
        <w:jc w:val="left"/>
        <w:rPr>
          <w:rFonts w:ascii="宋体" w:hAnsi="宋体"/>
          <w:color w:val="auto"/>
          <w:szCs w:val="21"/>
          <w:highlight w:val="none"/>
        </w:rPr>
      </w:pPr>
      <w:r>
        <w:rPr>
          <w:rFonts w:ascii="宋体" w:hAnsi="宋体"/>
          <w:color w:val="auto"/>
          <w:szCs w:val="21"/>
          <w:highlight w:val="none"/>
        </w:rPr>
        <w:br w:type="page"/>
      </w:r>
    </w:p>
    <w:p>
      <w:pPr>
        <w:spacing w:line="480" w:lineRule="auto"/>
        <w:rPr>
          <w:rFonts w:ascii="宋体" w:hAnsi="宋体"/>
          <w:color w:val="auto"/>
          <w:szCs w:val="21"/>
          <w:highlight w:val="none"/>
        </w:rPr>
      </w:pPr>
      <w:r>
        <w:rPr>
          <w:rFonts w:hint="eastAsia" w:ascii="宋体" w:hAnsi="宋体"/>
          <w:color w:val="auto"/>
          <w:szCs w:val="21"/>
          <w:highlight w:val="none"/>
        </w:rPr>
        <w:t>附</w:t>
      </w:r>
      <w:bookmarkStart w:id="1171" w:name="_Toc296503232"/>
      <w:bookmarkStart w:id="1172" w:name="_Toc296347231"/>
      <w:bookmarkStart w:id="1173" w:name="_Toc267261702"/>
      <w:bookmarkStart w:id="1174" w:name="_Toc296891272"/>
      <w:bookmarkStart w:id="1175" w:name="_Toc296944571"/>
      <w:bookmarkStart w:id="1176" w:name="_Toc296891060"/>
      <w:bookmarkStart w:id="1177" w:name="_Toc296346733"/>
      <w:r>
        <w:rPr>
          <w:rFonts w:hint="eastAsia" w:ascii="宋体" w:hAnsi="宋体"/>
          <w:color w:val="auto"/>
          <w:szCs w:val="21"/>
          <w:highlight w:val="none"/>
        </w:rPr>
        <w:t>件</w:t>
      </w:r>
      <w:r>
        <w:rPr>
          <w:rFonts w:ascii="宋体" w:hAnsi="宋体"/>
          <w:color w:val="auto"/>
          <w:szCs w:val="21"/>
          <w:highlight w:val="none"/>
        </w:rPr>
        <w:t>5</w:t>
      </w:r>
      <w:r>
        <w:rPr>
          <w:rFonts w:hint="eastAsia" w:ascii="宋体" w:hAnsi="宋体"/>
          <w:color w:val="auto"/>
          <w:szCs w:val="21"/>
          <w:highlight w:val="none"/>
        </w:rPr>
        <w:t>：</w:t>
      </w:r>
    </w:p>
    <w:bookmarkEnd w:id="1171"/>
    <w:bookmarkEnd w:id="1172"/>
    <w:bookmarkEnd w:id="1173"/>
    <w:bookmarkEnd w:id="1174"/>
    <w:bookmarkEnd w:id="1175"/>
    <w:bookmarkEnd w:id="1176"/>
    <w:bookmarkEnd w:id="1177"/>
    <w:p>
      <w:pPr>
        <w:spacing w:line="360" w:lineRule="auto"/>
        <w:jc w:val="center"/>
        <w:rPr>
          <w:rFonts w:ascii="宋体" w:hAnsi="宋体"/>
          <w:color w:val="auto"/>
          <w:szCs w:val="21"/>
          <w:highlight w:val="none"/>
        </w:rPr>
      </w:pPr>
      <w:r>
        <w:rPr>
          <w:rFonts w:hint="eastAsia" w:ascii="宋体" w:hAnsi="宋体"/>
          <w:color w:val="auto"/>
          <w:szCs w:val="21"/>
          <w:highlight w:val="none"/>
        </w:rPr>
        <w:t>预付款担保（如有）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（发包人名称）：</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w:t>
      </w:r>
      <w:r>
        <w:rPr>
          <w:rFonts w:hint="eastAsia" w:ascii="宋体" w:hAnsi="宋体"/>
          <w:color w:val="auto"/>
          <w:szCs w:val="21"/>
          <w:highlight w:val="none"/>
          <w:u w:val="single"/>
        </w:rPr>
        <w:t xml:space="preserve">       </w:t>
      </w:r>
      <w:r>
        <w:rPr>
          <w:rFonts w:hint="eastAsia" w:ascii="宋体" w:hAnsi="宋体"/>
          <w:color w:val="auto"/>
          <w:szCs w:val="21"/>
          <w:highlight w:val="none"/>
        </w:rPr>
        <w:t>（承包人名称）（以下称“承包人”）与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（发包人名称）（以下简称“发包人”）于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日签订的</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担保金额人民币（大写）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担保有效期自预付款支付给承包人起生效，至你方签发的进度款支付证书说明已完全扣清止。</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你方和承包人按合同约定变更合同时，我方承担本保函规定的义务不变。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因本保函发生的纠纷，可由双方协商解决，协商不成的，按下列第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本保函自我方法定代表人（或其委托代理人）签名并加盖单位公章之日起生效。</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（盖单位公章）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邮政编码：</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传    真：</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pPr>
        <w:spacing w:line="360" w:lineRule="auto"/>
        <w:ind w:firstLine="420" w:firstLineChars="200"/>
        <w:rPr>
          <w:rFonts w:ascii="宋体" w:hAnsi="宋体"/>
          <w:color w:val="auto"/>
          <w:szCs w:val="21"/>
          <w:highlight w:val="none"/>
          <w:u w:val="single"/>
        </w:rPr>
      </w:pPr>
    </w:p>
    <w:p>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1178" w:name="_Toc296347232"/>
      <w:bookmarkStart w:id="1179" w:name="_Toc296891061"/>
      <w:bookmarkStart w:id="1180" w:name="_Toc296891273"/>
      <w:bookmarkStart w:id="1181" w:name="_Toc296944572"/>
      <w:bookmarkStart w:id="1182" w:name="_Toc296503233"/>
      <w:bookmarkStart w:id="1183" w:name="_Toc296346734"/>
      <w:r>
        <w:rPr>
          <w:rFonts w:hint="eastAsia" w:ascii="宋体" w:hAnsi="宋体"/>
          <w:color w:val="auto"/>
          <w:szCs w:val="21"/>
          <w:highlight w:val="none"/>
        </w:rPr>
        <w:t>件</w:t>
      </w:r>
      <w:r>
        <w:rPr>
          <w:rFonts w:ascii="宋体" w:hAnsi="宋体"/>
          <w:color w:val="auto"/>
          <w:szCs w:val="21"/>
          <w:highlight w:val="none"/>
        </w:rPr>
        <w:t>6</w:t>
      </w:r>
      <w:r>
        <w:rPr>
          <w:rFonts w:hint="eastAsia" w:ascii="宋体" w:hAnsi="宋体"/>
          <w:color w:val="auto"/>
          <w:szCs w:val="21"/>
          <w:highlight w:val="none"/>
        </w:rPr>
        <w:t>：</w:t>
      </w:r>
    </w:p>
    <w:bookmarkEnd w:id="1178"/>
    <w:bookmarkEnd w:id="1179"/>
    <w:bookmarkEnd w:id="1180"/>
    <w:bookmarkEnd w:id="1181"/>
    <w:bookmarkEnd w:id="1182"/>
    <w:bookmarkEnd w:id="1183"/>
    <w:p>
      <w:pPr>
        <w:spacing w:line="360" w:lineRule="auto"/>
        <w:ind w:firstLine="420" w:firstLineChars="200"/>
        <w:jc w:val="center"/>
        <w:rPr>
          <w:rFonts w:ascii="宋体" w:hAnsi="宋体"/>
          <w:color w:val="auto"/>
          <w:szCs w:val="21"/>
          <w:highlight w:val="none"/>
        </w:rPr>
      </w:pPr>
      <w:r>
        <w:rPr>
          <w:rFonts w:hint="eastAsia" w:ascii="宋体" w:hAnsi="宋体"/>
          <w:color w:val="auto"/>
          <w:szCs w:val="21"/>
          <w:highlight w:val="none"/>
        </w:rPr>
        <w:t>支付担保（如有）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（承包人）：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鉴于你方作为承包人已经与 </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日签订了</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（工程名称）《建设工程施工合同》（以下称“主合同”），应发包人的申请，我方愿就发包人履行主合同约定的工程款支付义务以保证的方式向你方提供如下担保：</w:t>
      </w:r>
    </w:p>
    <w:p>
      <w:pPr>
        <w:spacing w:line="360" w:lineRule="auto"/>
        <w:ind w:firstLine="420" w:firstLineChars="200"/>
        <w:rPr>
          <w:rFonts w:ascii="宋体" w:hAnsi="宋体"/>
          <w:color w:val="auto"/>
          <w:szCs w:val="21"/>
          <w:highlight w:val="none"/>
        </w:rPr>
      </w:pPr>
      <w:bookmarkStart w:id="1184" w:name="_Toc532375692"/>
      <w:r>
        <w:rPr>
          <w:rFonts w:hint="eastAsia" w:ascii="宋体" w:hAnsi="宋体"/>
          <w:color w:val="auto"/>
          <w:szCs w:val="21"/>
          <w:highlight w:val="none"/>
        </w:rPr>
        <w:t>一、保证的范围及保证金额</w:t>
      </w:r>
      <w:bookmarkEnd w:id="1184"/>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我方的保证范围是主合同约定的工程款。</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本保函所称主合同约定的工程款是指主合同约定的除工程质量保证金以外的合同价款。</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我方保证的金额是主合同约定的工程款的</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%，数额最高不超过人民币元（大写：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bookmarkStart w:id="1185" w:name="_Toc532375693"/>
      <w:r>
        <w:rPr>
          <w:rFonts w:hint="eastAsia" w:ascii="宋体" w:hAnsi="宋体"/>
          <w:color w:val="auto"/>
          <w:szCs w:val="21"/>
          <w:highlight w:val="none"/>
        </w:rPr>
        <w:t>二、保证的方式及保证期间</w:t>
      </w:r>
      <w:bookmarkEnd w:id="1185"/>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我方保证的方式为：连带责任保证。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我方保证的期间为：自合同生效之日起至主合同约定的工程款支付完毕之日后</w:t>
      </w:r>
      <w:r>
        <w:rPr>
          <w:rFonts w:hint="eastAsia" w:ascii="宋体" w:hAnsi="宋体"/>
          <w:color w:val="auto"/>
          <w:szCs w:val="21"/>
          <w:highlight w:val="none"/>
          <w:u w:val="single"/>
        </w:rPr>
        <w:t xml:space="preserve">    </w:t>
      </w:r>
      <w:r>
        <w:rPr>
          <w:rFonts w:hint="eastAsia" w:ascii="宋体" w:hAnsi="宋体"/>
          <w:color w:val="auto"/>
          <w:szCs w:val="21"/>
          <w:highlight w:val="none"/>
        </w:rPr>
        <w:t>日内。</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你方与发包人协议变更工程款支付日期的，经我方书面同意后，保证期间按照变更后的支付日期做相应调整。</w:t>
      </w:r>
    </w:p>
    <w:p>
      <w:pPr>
        <w:spacing w:line="360" w:lineRule="auto"/>
        <w:ind w:firstLine="420" w:firstLineChars="200"/>
        <w:rPr>
          <w:rFonts w:ascii="宋体" w:hAnsi="宋体"/>
          <w:color w:val="auto"/>
          <w:szCs w:val="21"/>
          <w:highlight w:val="none"/>
        </w:rPr>
      </w:pPr>
      <w:bookmarkStart w:id="1186" w:name="_Toc532375694"/>
      <w:r>
        <w:rPr>
          <w:rFonts w:hint="eastAsia" w:ascii="宋体" w:hAnsi="宋体"/>
          <w:color w:val="auto"/>
          <w:szCs w:val="21"/>
          <w:highlight w:val="none"/>
        </w:rPr>
        <w:t>三、承担保证责任的形式</w:t>
      </w:r>
      <w:bookmarkEnd w:id="1186"/>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我方承担保证责任的形式是代为支付。发包人未按主合同约定向你方支付工程款的，由我方在保证金额内代为支付。</w:t>
      </w:r>
    </w:p>
    <w:p>
      <w:pPr>
        <w:spacing w:line="360" w:lineRule="auto"/>
        <w:ind w:firstLine="420" w:firstLineChars="200"/>
        <w:rPr>
          <w:rFonts w:ascii="宋体" w:hAnsi="宋体"/>
          <w:color w:val="auto"/>
          <w:szCs w:val="21"/>
          <w:highlight w:val="none"/>
        </w:rPr>
      </w:pPr>
      <w:bookmarkStart w:id="1187" w:name="_Toc532375695"/>
      <w:r>
        <w:rPr>
          <w:rFonts w:hint="eastAsia" w:ascii="宋体" w:hAnsi="宋体"/>
          <w:color w:val="auto"/>
          <w:szCs w:val="21"/>
          <w:highlight w:val="none"/>
        </w:rPr>
        <w:t>四、代偿的安排</w:t>
      </w:r>
      <w:bookmarkEnd w:id="1187"/>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我方收到你方的书面索赔通知及相应的证明材料后７天内无条件支付。</w:t>
      </w:r>
    </w:p>
    <w:p>
      <w:pPr>
        <w:spacing w:line="360" w:lineRule="auto"/>
        <w:ind w:firstLine="420" w:firstLineChars="200"/>
        <w:rPr>
          <w:rFonts w:ascii="宋体" w:hAnsi="宋体"/>
          <w:color w:val="auto"/>
          <w:szCs w:val="21"/>
          <w:highlight w:val="none"/>
        </w:rPr>
      </w:pPr>
      <w:bookmarkStart w:id="1188" w:name="_Toc532375696"/>
      <w:r>
        <w:rPr>
          <w:rFonts w:hint="eastAsia" w:ascii="宋体" w:hAnsi="宋体"/>
          <w:color w:val="auto"/>
          <w:szCs w:val="21"/>
          <w:highlight w:val="none"/>
        </w:rPr>
        <w:t>五、保证责任的解除</w:t>
      </w:r>
      <w:bookmarkEnd w:id="1188"/>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在本保函承诺的保证期间内，你方未书面向我方主张保证责任的，自保证期间届满次日起，我方保证责任解除。</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发包人按主合同约定履行了工程款的全部支付义务的，自本保函承诺的保证期间届满次日起，我方保证责任解除。</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我方按照本保函向你方履行保证责任所支付金额达到本保函保证金额时，自我方向你方支付（支付款项从我方账户划出）之日起，保证责任即解除。</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按照法律法规的规定或出现应解除我方保证责任的其他情形的，我方在本保函项下的保证责任亦解除。</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我方解除保证责任后，你方应自我方保证责任解除之日起  个工作日内，将本保函原件返还我方。</w:t>
      </w:r>
    </w:p>
    <w:p>
      <w:pPr>
        <w:spacing w:line="360" w:lineRule="auto"/>
        <w:ind w:firstLine="420" w:firstLineChars="200"/>
        <w:rPr>
          <w:rFonts w:ascii="宋体" w:hAnsi="宋体"/>
          <w:color w:val="auto"/>
          <w:szCs w:val="21"/>
          <w:highlight w:val="none"/>
        </w:rPr>
      </w:pPr>
      <w:bookmarkStart w:id="1189" w:name="_Toc532375697"/>
      <w:r>
        <w:rPr>
          <w:rFonts w:hint="eastAsia" w:ascii="宋体" w:hAnsi="宋体"/>
          <w:color w:val="auto"/>
          <w:szCs w:val="21"/>
          <w:highlight w:val="none"/>
        </w:rPr>
        <w:t>六、免责条款</w:t>
      </w:r>
      <w:bookmarkEnd w:id="1189"/>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因你方违约致使发包人不能履行义务的，我方不承担保证责任。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依照法律法规的规定或你方与发包人的另行约定，免除发包人部分或全部义务的，我方亦免除其相应的保证责任。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因不可抗力造成发包人不能履行义务的，我方不承担保证责任。</w:t>
      </w:r>
    </w:p>
    <w:p>
      <w:pPr>
        <w:spacing w:line="360" w:lineRule="auto"/>
        <w:ind w:firstLine="420" w:firstLineChars="200"/>
        <w:rPr>
          <w:rFonts w:ascii="宋体" w:hAnsi="宋体"/>
          <w:color w:val="auto"/>
          <w:szCs w:val="21"/>
          <w:highlight w:val="none"/>
        </w:rPr>
      </w:pPr>
      <w:bookmarkStart w:id="1190" w:name="_Toc532375698"/>
      <w:r>
        <w:rPr>
          <w:rFonts w:hint="eastAsia" w:ascii="宋体" w:hAnsi="宋体"/>
          <w:color w:val="auto"/>
          <w:szCs w:val="21"/>
          <w:highlight w:val="none"/>
        </w:rPr>
        <w:t>七、争议解决</w:t>
      </w:r>
      <w:bookmarkEnd w:id="1190"/>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因本保函或本保函相关事项发生的纠纷，可由双方协商解决，协商不成的，按下列第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pPr>
        <w:spacing w:line="360" w:lineRule="auto"/>
        <w:ind w:firstLine="420" w:firstLineChars="200"/>
        <w:rPr>
          <w:rFonts w:ascii="宋体" w:hAnsi="宋体"/>
          <w:color w:val="auto"/>
          <w:szCs w:val="21"/>
          <w:highlight w:val="none"/>
        </w:rPr>
      </w:pPr>
      <w:bookmarkStart w:id="1191" w:name="_Toc532375699"/>
      <w:r>
        <w:rPr>
          <w:rFonts w:hint="eastAsia" w:ascii="宋体" w:hAnsi="宋体"/>
          <w:color w:val="auto"/>
          <w:szCs w:val="21"/>
          <w:highlight w:val="none"/>
        </w:rPr>
        <w:t>八、保函的生效</w:t>
      </w:r>
      <w:bookmarkEnd w:id="1191"/>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本保函自我方法定代表人（或其委托代理人）签名并加盖单位公章之日起生效。</w:t>
      </w:r>
    </w:p>
    <w:p>
      <w:pPr>
        <w:spacing w:line="360" w:lineRule="auto"/>
        <w:ind w:firstLine="420" w:firstLineChars="200"/>
        <w:jc w:val="left"/>
        <w:rPr>
          <w:rFonts w:ascii="宋体" w:hAnsi="宋体"/>
          <w:color w:val="auto"/>
          <w:szCs w:val="21"/>
          <w:highlight w:val="none"/>
        </w:rPr>
      </w:pPr>
    </w:p>
    <w:p>
      <w:pPr>
        <w:spacing w:line="360" w:lineRule="auto"/>
        <w:ind w:firstLine="420" w:firstLineChars="200"/>
        <w:jc w:val="left"/>
        <w:rPr>
          <w:rFonts w:ascii="宋体" w:hAnsi="宋体"/>
          <w:color w:val="auto"/>
          <w:szCs w:val="21"/>
          <w:highlight w:val="none"/>
        </w:rPr>
      </w:pP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（盖单位公章）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rPr>
        <w:br w:type="page"/>
      </w:r>
    </w:p>
    <w:p>
      <w:pPr>
        <w:spacing w:line="480" w:lineRule="auto"/>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7</w:t>
      </w:r>
      <w:r>
        <w:rPr>
          <w:rFonts w:hint="eastAsia" w:ascii="宋体" w:hAnsi="宋体"/>
          <w:color w:val="auto"/>
          <w:szCs w:val="21"/>
          <w:highlight w:val="none"/>
        </w:rPr>
        <w:t>：</w:t>
      </w:r>
    </w:p>
    <w:p>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专业工程暂估价表</w:t>
      </w:r>
    </w:p>
    <w:tbl>
      <w:tblPr>
        <w:tblStyle w:val="45"/>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1984" w:type="dxa"/>
          </w:tcPr>
          <w:p>
            <w:pPr>
              <w:spacing w:line="400" w:lineRule="exact"/>
              <w:jc w:val="center"/>
              <w:rPr>
                <w:rFonts w:ascii="宋体" w:hAnsi="宋体"/>
                <w:color w:val="auto"/>
                <w:szCs w:val="21"/>
                <w:highlight w:val="none"/>
              </w:rPr>
            </w:pPr>
            <w:r>
              <w:rPr>
                <w:rFonts w:hint="eastAsia" w:ascii="宋体" w:hAnsi="宋体"/>
                <w:color w:val="auto"/>
                <w:szCs w:val="21"/>
                <w:highlight w:val="none"/>
              </w:rPr>
              <w:t>专业工程名称</w:t>
            </w:r>
          </w:p>
        </w:tc>
        <w:tc>
          <w:tcPr>
            <w:tcW w:w="5103" w:type="dxa"/>
          </w:tcPr>
          <w:p>
            <w:pPr>
              <w:spacing w:line="400" w:lineRule="exact"/>
              <w:jc w:val="center"/>
              <w:rPr>
                <w:rFonts w:ascii="宋体" w:hAnsi="宋体"/>
                <w:color w:val="auto"/>
                <w:szCs w:val="21"/>
                <w:highlight w:val="none"/>
              </w:rPr>
            </w:pPr>
            <w:r>
              <w:rPr>
                <w:rFonts w:hint="eastAsia" w:ascii="宋体" w:hAnsi="宋体"/>
                <w:color w:val="auto"/>
                <w:szCs w:val="21"/>
                <w:highlight w:val="none"/>
              </w:rPr>
              <w:t>工程内容</w:t>
            </w:r>
          </w:p>
        </w:tc>
        <w:tc>
          <w:tcPr>
            <w:tcW w:w="1560" w:type="dxa"/>
          </w:tcPr>
          <w:p>
            <w:pPr>
              <w:spacing w:line="400" w:lineRule="exact"/>
              <w:jc w:val="center"/>
              <w:rPr>
                <w:rFonts w:ascii="宋体" w:hAnsi="宋体"/>
                <w:color w:val="auto"/>
                <w:szCs w:val="21"/>
                <w:highlight w:val="none"/>
              </w:rPr>
            </w:pPr>
            <w:r>
              <w:rPr>
                <w:rFonts w:hint="eastAsia" w:ascii="宋体" w:hAnsi="宋体"/>
                <w:color w:val="auto"/>
                <w:szCs w:val="21"/>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highlight w:val="none"/>
              </w:rPr>
            </w:pPr>
          </w:p>
        </w:tc>
        <w:tc>
          <w:tcPr>
            <w:tcW w:w="1984" w:type="dxa"/>
          </w:tcPr>
          <w:p>
            <w:pPr>
              <w:spacing w:line="400" w:lineRule="exact"/>
              <w:ind w:firstLine="420" w:firstLineChars="200"/>
              <w:rPr>
                <w:rFonts w:ascii="宋体" w:hAnsi="宋体"/>
                <w:color w:val="auto"/>
                <w:szCs w:val="21"/>
                <w:highlight w:val="none"/>
              </w:rPr>
            </w:pPr>
          </w:p>
        </w:tc>
        <w:tc>
          <w:tcPr>
            <w:tcW w:w="5103" w:type="dxa"/>
          </w:tcPr>
          <w:p>
            <w:pPr>
              <w:spacing w:line="400" w:lineRule="exact"/>
              <w:ind w:firstLine="420" w:firstLineChars="200"/>
              <w:rPr>
                <w:rFonts w:ascii="宋体" w:hAnsi="宋体"/>
                <w:color w:val="auto"/>
                <w:szCs w:val="21"/>
                <w:highlight w:val="none"/>
              </w:rPr>
            </w:pPr>
          </w:p>
        </w:tc>
        <w:tc>
          <w:tcPr>
            <w:tcW w:w="1560" w:type="dxa"/>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highlight w:val="none"/>
              </w:rPr>
            </w:pPr>
          </w:p>
        </w:tc>
        <w:tc>
          <w:tcPr>
            <w:tcW w:w="1984" w:type="dxa"/>
          </w:tcPr>
          <w:p>
            <w:pPr>
              <w:spacing w:line="400" w:lineRule="exact"/>
              <w:ind w:firstLine="420" w:firstLineChars="200"/>
              <w:rPr>
                <w:rFonts w:ascii="宋体" w:hAnsi="宋体"/>
                <w:color w:val="auto"/>
                <w:szCs w:val="21"/>
                <w:highlight w:val="none"/>
              </w:rPr>
            </w:pPr>
          </w:p>
        </w:tc>
        <w:tc>
          <w:tcPr>
            <w:tcW w:w="5103" w:type="dxa"/>
          </w:tcPr>
          <w:p>
            <w:pPr>
              <w:spacing w:line="400" w:lineRule="exact"/>
              <w:ind w:firstLine="420" w:firstLineChars="200"/>
              <w:rPr>
                <w:rFonts w:ascii="宋体" w:hAnsi="宋体"/>
                <w:color w:val="auto"/>
                <w:szCs w:val="21"/>
                <w:highlight w:val="none"/>
              </w:rPr>
            </w:pPr>
          </w:p>
        </w:tc>
        <w:tc>
          <w:tcPr>
            <w:tcW w:w="1560" w:type="dxa"/>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highlight w:val="none"/>
              </w:rPr>
            </w:pPr>
          </w:p>
        </w:tc>
        <w:tc>
          <w:tcPr>
            <w:tcW w:w="1984" w:type="dxa"/>
          </w:tcPr>
          <w:p>
            <w:pPr>
              <w:spacing w:line="400" w:lineRule="exact"/>
              <w:ind w:firstLine="420" w:firstLineChars="200"/>
              <w:rPr>
                <w:rFonts w:ascii="宋体" w:hAnsi="宋体"/>
                <w:color w:val="auto"/>
                <w:szCs w:val="21"/>
                <w:highlight w:val="none"/>
              </w:rPr>
            </w:pPr>
          </w:p>
        </w:tc>
        <w:tc>
          <w:tcPr>
            <w:tcW w:w="5103" w:type="dxa"/>
          </w:tcPr>
          <w:p>
            <w:pPr>
              <w:spacing w:line="400" w:lineRule="exact"/>
              <w:ind w:firstLine="420" w:firstLineChars="200"/>
              <w:rPr>
                <w:rFonts w:ascii="宋体" w:hAnsi="宋体"/>
                <w:color w:val="auto"/>
                <w:szCs w:val="21"/>
                <w:highlight w:val="none"/>
              </w:rPr>
            </w:pPr>
          </w:p>
        </w:tc>
        <w:tc>
          <w:tcPr>
            <w:tcW w:w="1560" w:type="dxa"/>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highlight w:val="none"/>
              </w:rPr>
            </w:pPr>
          </w:p>
        </w:tc>
        <w:tc>
          <w:tcPr>
            <w:tcW w:w="1984" w:type="dxa"/>
          </w:tcPr>
          <w:p>
            <w:pPr>
              <w:spacing w:line="400" w:lineRule="exact"/>
              <w:ind w:firstLine="420" w:firstLineChars="200"/>
              <w:rPr>
                <w:rFonts w:ascii="宋体" w:hAnsi="宋体"/>
                <w:color w:val="auto"/>
                <w:szCs w:val="21"/>
                <w:highlight w:val="none"/>
              </w:rPr>
            </w:pPr>
          </w:p>
        </w:tc>
        <w:tc>
          <w:tcPr>
            <w:tcW w:w="5103" w:type="dxa"/>
          </w:tcPr>
          <w:p>
            <w:pPr>
              <w:spacing w:line="400" w:lineRule="exact"/>
              <w:ind w:firstLine="420" w:firstLineChars="200"/>
              <w:rPr>
                <w:rFonts w:ascii="宋体" w:hAnsi="宋体"/>
                <w:color w:val="auto"/>
                <w:szCs w:val="21"/>
                <w:highlight w:val="none"/>
              </w:rPr>
            </w:pPr>
          </w:p>
        </w:tc>
        <w:tc>
          <w:tcPr>
            <w:tcW w:w="1560" w:type="dxa"/>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highlight w:val="none"/>
              </w:rPr>
            </w:pPr>
          </w:p>
        </w:tc>
        <w:tc>
          <w:tcPr>
            <w:tcW w:w="1984" w:type="dxa"/>
          </w:tcPr>
          <w:p>
            <w:pPr>
              <w:spacing w:line="400" w:lineRule="exact"/>
              <w:ind w:firstLine="420" w:firstLineChars="200"/>
              <w:rPr>
                <w:rFonts w:ascii="宋体" w:hAnsi="宋体"/>
                <w:color w:val="auto"/>
                <w:szCs w:val="21"/>
                <w:highlight w:val="none"/>
              </w:rPr>
            </w:pPr>
          </w:p>
        </w:tc>
        <w:tc>
          <w:tcPr>
            <w:tcW w:w="5103" w:type="dxa"/>
          </w:tcPr>
          <w:p>
            <w:pPr>
              <w:spacing w:line="400" w:lineRule="exact"/>
              <w:ind w:firstLine="420" w:firstLineChars="200"/>
              <w:rPr>
                <w:rFonts w:ascii="宋体" w:hAnsi="宋体"/>
                <w:color w:val="auto"/>
                <w:szCs w:val="21"/>
                <w:highlight w:val="none"/>
              </w:rPr>
            </w:pPr>
          </w:p>
        </w:tc>
        <w:tc>
          <w:tcPr>
            <w:tcW w:w="1560" w:type="dxa"/>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highlight w:val="none"/>
              </w:rPr>
            </w:pPr>
          </w:p>
        </w:tc>
        <w:tc>
          <w:tcPr>
            <w:tcW w:w="1984" w:type="dxa"/>
          </w:tcPr>
          <w:p>
            <w:pPr>
              <w:spacing w:line="400" w:lineRule="exact"/>
              <w:ind w:firstLine="420" w:firstLineChars="200"/>
              <w:rPr>
                <w:rFonts w:ascii="宋体" w:hAnsi="宋体"/>
                <w:color w:val="auto"/>
                <w:szCs w:val="21"/>
                <w:highlight w:val="none"/>
              </w:rPr>
            </w:pPr>
          </w:p>
        </w:tc>
        <w:tc>
          <w:tcPr>
            <w:tcW w:w="5103" w:type="dxa"/>
          </w:tcPr>
          <w:p>
            <w:pPr>
              <w:spacing w:line="400" w:lineRule="exact"/>
              <w:ind w:firstLine="420" w:firstLineChars="200"/>
              <w:rPr>
                <w:rFonts w:ascii="宋体" w:hAnsi="宋体"/>
                <w:color w:val="auto"/>
                <w:szCs w:val="21"/>
                <w:highlight w:val="none"/>
              </w:rPr>
            </w:pPr>
          </w:p>
        </w:tc>
        <w:tc>
          <w:tcPr>
            <w:tcW w:w="1560" w:type="dxa"/>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highlight w:val="none"/>
              </w:rPr>
            </w:pPr>
          </w:p>
        </w:tc>
        <w:tc>
          <w:tcPr>
            <w:tcW w:w="1984" w:type="dxa"/>
          </w:tcPr>
          <w:p>
            <w:pPr>
              <w:spacing w:line="400" w:lineRule="exact"/>
              <w:ind w:firstLine="420" w:firstLineChars="200"/>
              <w:rPr>
                <w:rFonts w:ascii="宋体" w:hAnsi="宋体"/>
                <w:color w:val="auto"/>
                <w:szCs w:val="21"/>
                <w:highlight w:val="none"/>
              </w:rPr>
            </w:pPr>
          </w:p>
        </w:tc>
        <w:tc>
          <w:tcPr>
            <w:tcW w:w="5103" w:type="dxa"/>
          </w:tcPr>
          <w:p>
            <w:pPr>
              <w:spacing w:line="400" w:lineRule="exact"/>
              <w:ind w:firstLine="420" w:firstLineChars="200"/>
              <w:rPr>
                <w:rFonts w:ascii="宋体" w:hAnsi="宋体"/>
                <w:color w:val="auto"/>
                <w:szCs w:val="21"/>
                <w:highlight w:val="none"/>
              </w:rPr>
            </w:pPr>
          </w:p>
        </w:tc>
        <w:tc>
          <w:tcPr>
            <w:tcW w:w="1560" w:type="dxa"/>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highlight w:val="none"/>
              </w:rPr>
            </w:pPr>
          </w:p>
        </w:tc>
        <w:tc>
          <w:tcPr>
            <w:tcW w:w="1984" w:type="dxa"/>
          </w:tcPr>
          <w:p>
            <w:pPr>
              <w:spacing w:line="400" w:lineRule="exact"/>
              <w:ind w:firstLine="420" w:firstLineChars="200"/>
              <w:rPr>
                <w:rFonts w:ascii="宋体" w:hAnsi="宋体"/>
                <w:color w:val="auto"/>
                <w:szCs w:val="21"/>
                <w:highlight w:val="none"/>
              </w:rPr>
            </w:pPr>
          </w:p>
        </w:tc>
        <w:tc>
          <w:tcPr>
            <w:tcW w:w="5103" w:type="dxa"/>
          </w:tcPr>
          <w:p>
            <w:pPr>
              <w:spacing w:line="400" w:lineRule="exact"/>
              <w:ind w:firstLine="420" w:firstLineChars="200"/>
              <w:rPr>
                <w:rFonts w:ascii="宋体" w:hAnsi="宋体"/>
                <w:color w:val="auto"/>
                <w:szCs w:val="21"/>
                <w:highlight w:val="none"/>
              </w:rPr>
            </w:pPr>
          </w:p>
        </w:tc>
        <w:tc>
          <w:tcPr>
            <w:tcW w:w="1560" w:type="dxa"/>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highlight w:val="none"/>
              </w:rPr>
            </w:pPr>
          </w:p>
        </w:tc>
        <w:tc>
          <w:tcPr>
            <w:tcW w:w="1984" w:type="dxa"/>
          </w:tcPr>
          <w:p>
            <w:pPr>
              <w:spacing w:line="400" w:lineRule="exact"/>
              <w:ind w:firstLine="420" w:firstLineChars="200"/>
              <w:rPr>
                <w:rFonts w:ascii="宋体" w:hAnsi="宋体"/>
                <w:color w:val="auto"/>
                <w:szCs w:val="21"/>
                <w:highlight w:val="none"/>
              </w:rPr>
            </w:pPr>
          </w:p>
        </w:tc>
        <w:tc>
          <w:tcPr>
            <w:tcW w:w="5103" w:type="dxa"/>
          </w:tcPr>
          <w:p>
            <w:pPr>
              <w:spacing w:line="400" w:lineRule="exact"/>
              <w:ind w:firstLine="420" w:firstLineChars="200"/>
              <w:rPr>
                <w:rFonts w:ascii="宋体" w:hAnsi="宋体"/>
                <w:color w:val="auto"/>
                <w:szCs w:val="21"/>
                <w:highlight w:val="none"/>
              </w:rPr>
            </w:pPr>
          </w:p>
        </w:tc>
        <w:tc>
          <w:tcPr>
            <w:tcW w:w="1560" w:type="dxa"/>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highlight w:val="none"/>
              </w:rPr>
            </w:pPr>
          </w:p>
        </w:tc>
        <w:tc>
          <w:tcPr>
            <w:tcW w:w="1984" w:type="dxa"/>
          </w:tcPr>
          <w:p>
            <w:pPr>
              <w:spacing w:line="400" w:lineRule="exact"/>
              <w:ind w:firstLine="420" w:firstLineChars="200"/>
              <w:rPr>
                <w:rFonts w:ascii="宋体" w:hAnsi="宋体"/>
                <w:color w:val="auto"/>
                <w:szCs w:val="21"/>
                <w:highlight w:val="none"/>
              </w:rPr>
            </w:pPr>
          </w:p>
        </w:tc>
        <w:tc>
          <w:tcPr>
            <w:tcW w:w="5103" w:type="dxa"/>
          </w:tcPr>
          <w:p>
            <w:pPr>
              <w:spacing w:line="400" w:lineRule="exact"/>
              <w:ind w:firstLine="420" w:firstLineChars="200"/>
              <w:rPr>
                <w:rFonts w:ascii="宋体" w:hAnsi="宋体"/>
                <w:color w:val="auto"/>
                <w:szCs w:val="21"/>
                <w:highlight w:val="none"/>
              </w:rPr>
            </w:pPr>
          </w:p>
        </w:tc>
        <w:tc>
          <w:tcPr>
            <w:tcW w:w="1560" w:type="dxa"/>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highlight w:val="none"/>
              </w:rPr>
            </w:pPr>
          </w:p>
        </w:tc>
        <w:tc>
          <w:tcPr>
            <w:tcW w:w="1984" w:type="dxa"/>
          </w:tcPr>
          <w:p>
            <w:pPr>
              <w:spacing w:line="400" w:lineRule="exact"/>
              <w:ind w:firstLine="420" w:firstLineChars="200"/>
              <w:rPr>
                <w:rFonts w:ascii="宋体" w:hAnsi="宋体"/>
                <w:color w:val="auto"/>
                <w:szCs w:val="21"/>
                <w:highlight w:val="none"/>
              </w:rPr>
            </w:pPr>
          </w:p>
        </w:tc>
        <w:tc>
          <w:tcPr>
            <w:tcW w:w="5103" w:type="dxa"/>
          </w:tcPr>
          <w:p>
            <w:pPr>
              <w:spacing w:line="400" w:lineRule="exact"/>
              <w:ind w:firstLine="420" w:firstLineChars="200"/>
              <w:rPr>
                <w:rFonts w:ascii="宋体" w:hAnsi="宋体"/>
                <w:color w:val="auto"/>
                <w:szCs w:val="21"/>
                <w:highlight w:val="none"/>
              </w:rPr>
            </w:pPr>
          </w:p>
        </w:tc>
        <w:tc>
          <w:tcPr>
            <w:tcW w:w="1560" w:type="dxa"/>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highlight w:val="none"/>
              </w:rPr>
            </w:pPr>
          </w:p>
        </w:tc>
        <w:tc>
          <w:tcPr>
            <w:tcW w:w="1984" w:type="dxa"/>
          </w:tcPr>
          <w:p>
            <w:pPr>
              <w:spacing w:line="400" w:lineRule="exact"/>
              <w:ind w:firstLine="420" w:firstLineChars="200"/>
              <w:rPr>
                <w:rFonts w:ascii="宋体" w:hAnsi="宋体"/>
                <w:color w:val="auto"/>
                <w:szCs w:val="21"/>
                <w:highlight w:val="none"/>
              </w:rPr>
            </w:pPr>
          </w:p>
        </w:tc>
        <w:tc>
          <w:tcPr>
            <w:tcW w:w="5103" w:type="dxa"/>
          </w:tcPr>
          <w:p>
            <w:pPr>
              <w:spacing w:line="400" w:lineRule="exact"/>
              <w:ind w:firstLine="420" w:firstLineChars="200"/>
              <w:rPr>
                <w:rFonts w:ascii="宋体" w:hAnsi="宋体"/>
                <w:color w:val="auto"/>
                <w:szCs w:val="21"/>
                <w:highlight w:val="none"/>
              </w:rPr>
            </w:pPr>
          </w:p>
        </w:tc>
        <w:tc>
          <w:tcPr>
            <w:tcW w:w="1560" w:type="dxa"/>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highlight w:val="none"/>
              </w:rPr>
            </w:pPr>
          </w:p>
        </w:tc>
        <w:tc>
          <w:tcPr>
            <w:tcW w:w="1984" w:type="dxa"/>
          </w:tcPr>
          <w:p>
            <w:pPr>
              <w:spacing w:line="400" w:lineRule="exact"/>
              <w:ind w:firstLine="420" w:firstLineChars="200"/>
              <w:rPr>
                <w:rFonts w:ascii="宋体" w:hAnsi="宋体"/>
                <w:color w:val="auto"/>
                <w:szCs w:val="21"/>
                <w:highlight w:val="none"/>
              </w:rPr>
            </w:pPr>
          </w:p>
        </w:tc>
        <w:tc>
          <w:tcPr>
            <w:tcW w:w="5103" w:type="dxa"/>
          </w:tcPr>
          <w:p>
            <w:pPr>
              <w:spacing w:line="400" w:lineRule="exact"/>
              <w:ind w:firstLine="420" w:firstLineChars="200"/>
              <w:rPr>
                <w:rFonts w:ascii="宋体" w:hAnsi="宋体"/>
                <w:color w:val="auto"/>
                <w:szCs w:val="21"/>
                <w:highlight w:val="none"/>
              </w:rPr>
            </w:pPr>
          </w:p>
        </w:tc>
        <w:tc>
          <w:tcPr>
            <w:tcW w:w="1560" w:type="dxa"/>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highlight w:val="none"/>
              </w:rPr>
            </w:pPr>
          </w:p>
        </w:tc>
        <w:tc>
          <w:tcPr>
            <w:tcW w:w="1984" w:type="dxa"/>
          </w:tcPr>
          <w:p>
            <w:pPr>
              <w:spacing w:line="400" w:lineRule="exact"/>
              <w:ind w:firstLine="420" w:firstLineChars="200"/>
              <w:rPr>
                <w:rFonts w:ascii="宋体" w:hAnsi="宋体"/>
                <w:color w:val="auto"/>
                <w:szCs w:val="21"/>
                <w:highlight w:val="none"/>
              </w:rPr>
            </w:pPr>
          </w:p>
        </w:tc>
        <w:tc>
          <w:tcPr>
            <w:tcW w:w="5103" w:type="dxa"/>
          </w:tcPr>
          <w:p>
            <w:pPr>
              <w:spacing w:line="400" w:lineRule="exact"/>
              <w:ind w:firstLine="420" w:firstLineChars="200"/>
              <w:rPr>
                <w:rFonts w:ascii="宋体" w:hAnsi="宋体"/>
                <w:color w:val="auto"/>
                <w:szCs w:val="21"/>
                <w:highlight w:val="none"/>
              </w:rPr>
            </w:pPr>
          </w:p>
        </w:tc>
        <w:tc>
          <w:tcPr>
            <w:tcW w:w="1560" w:type="dxa"/>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highlight w:val="none"/>
              </w:rPr>
            </w:pPr>
          </w:p>
        </w:tc>
        <w:tc>
          <w:tcPr>
            <w:tcW w:w="1984" w:type="dxa"/>
          </w:tcPr>
          <w:p>
            <w:pPr>
              <w:spacing w:line="400" w:lineRule="exact"/>
              <w:ind w:firstLine="420" w:firstLineChars="200"/>
              <w:rPr>
                <w:rFonts w:ascii="宋体" w:hAnsi="宋体"/>
                <w:color w:val="auto"/>
                <w:szCs w:val="21"/>
                <w:highlight w:val="none"/>
              </w:rPr>
            </w:pPr>
          </w:p>
        </w:tc>
        <w:tc>
          <w:tcPr>
            <w:tcW w:w="5103" w:type="dxa"/>
          </w:tcPr>
          <w:p>
            <w:pPr>
              <w:spacing w:line="400" w:lineRule="exact"/>
              <w:ind w:firstLine="420" w:firstLineChars="200"/>
              <w:rPr>
                <w:rFonts w:ascii="宋体" w:hAnsi="宋体"/>
                <w:color w:val="auto"/>
                <w:szCs w:val="21"/>
                <w:highlight w:val="none"/>
              </w:rPr>
            </w:pPr>
          </w:p>
        </w:tc>
        <w:tc>
          <w:tcPr>
            <w:tcW w:w="1560" w:type="dxa"/>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highlight w:val="none"/>
              </w:rPr>
            </w:pPr>
          </w:p>
        </w:tc>
        <w:tc>
          <w:tcPr>
            <w:tcW w:w="1984" w:type="dxa"/>
          </w:tcPr>
          <w:p>
            <w:pPr>
              <w:spacing w:line="400" w:lineRule="exact"/>
              <w:ind w:firstLine="420" w:firstLineChars="200"/>
              <w:rPr>
                <w:rFonts w:ascii="宋体" w:hAnsi="宋体"/>
                <w:color w:val="auto"/>
                <w:szCs w:val="21"/>
                <w:highlight w:val="none"/>
              </w:rPr>
            </w:pPr>
          </w:p>
        </w:tc>
        <w:tc>
          <w:tcPr>
            <w:tcW w:w="5103" w:type="dxa"/>
          </w:tcPr>
          <w:p>
            <w:pPr>
              <w:spacing w:line="400" w:lineRule="exact"/>
              <w:ind w:firstLine="420" w:firstLineChars="200"/>
              <w:rPr>
                <w:rFonts w:ascii="宋体" w:hAnsi="宋体"/>
                <w:color w:val="auto"/>
                <w:szCs w:val="21"/>
                <w:highlight w:val="none"/>
              </w:rPr>
            </w:pPr>
          </w:p>
        </w:tc>
        <w:tc>
          <w:tcPr>
            <w:tcW w:w="1560" w:type="dxa"/>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highlight w:val="none"/>
              </w:rPr>
            </w:pPr>
          </w:p>
        </w:tc>
        <w:tc>
          <w:tcPr>
            <w:tcW w:w="1984" w:type="dxa"/>
          </w:tcPr>
          <w:p>
            <w:pPr>
              <w:spacing w:line="400" w:lineRule="exact"/>
              <w:ind w:firstLine="420" w:firstLineChars="200"/>
              <w:rPr>
                <w:rFonts w:ascii="宋体" w:hAnsi="宋体"/>
                <w:color w:val="auto"/>
                <w:szCs w:val="21"/>
                <w:highlight w:val="none"/>
              </w:rPr>
            </w:pPr>
          </w:p>
        </w:tc>
        <w:tc>
          <w:tcPr>
            <w:tcW w:w="5103" w:type="dxa"/>
          </w:tcPr>
          <w:p>
            <w:pPr>
              <w:spacing w:line="400" w:lineRule="exact"/>
              <w:ind w:firstLine="420" w:firstLineChars="200"/>
              <w:rPr>
                <w:rFonts w:ascii="宋体" w:hAnsi="宋体"/>
                <w:color w:val="auto"/>
                <w:szCs w:val="21"/>
                <w:highlight w:val="none"/>
              </w:rPr>
            </w:pPr>
          </w:p>
        </w:tc>
        <w:tc>
          <w:tcPr>
            <w:tcW w:w="1560" w:type="dxa"/>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highlight w:val="none"/>
              </w:rPr>
            </w:pPr>
          </w:p>
        </w:tc>
        <w:tc>
          <w:tcPr>
            <w:tcW w:w="1984" w:type="dxa"/>
          </w:tcPr>
          <w:p>
            <w:pPr>
              <w:spacing w:line="400" w:lineRule="exact"/>
              <w:ind w:firstLine="420" w:firstLineChars="200"/>
              <w:rPr>
                <w:rFonts w:ascii="宋体" w:hAnsi="宋体"/>
                <w:color w:val="auto"/>
                <w:szCs w:val="21"/>
                <w:highlight w:val="none"/>
              </w:rPr>
            </w:pPr>
          </w:p>
        </w:tc>
        <w:tc>
          <w:tcPr>
            <w:tcW w:w="5103" w:type="dxa"/>
          </w:tcPr>
          <w:p>
            <w:pPr>
              <w:spacing w:line="400" w:lineRule="exact"/>
              <w:ind w:firstLine="420" w:firstLineChars="200"/>
              <w:rPr>
                <w:rFonts w:ascii="宋体" w:hAnsi="宋体"/>
                <w:color w:val="auto"/>
                <w:szCs w:val="21"/>
                <w:highlight w:val="none"/>
              </w:rPr>
            </w:pPr>
          </w:p>
        </w:tc>
        <w:tc>
          <w:tcPr>
            <w:tcW w:w="1560" w:type="dxa"/>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highlight w:val="none"/>
              </w:rPr>
            </w:pPr>
          </w:p>
        </w:tc>
        <w:tc>
          <w:tcPr>
            <w:tcW w:w="1984" w:type="dxa"/>
          </w:tcPr>
          <w:p>
            <w:pPr>
              <w:spacing w:line="400" w:lineRule="exact"/>
              <w:ind w:firstLine="420" w:firstLineChars="200"/>
              <w:rPr>
                <w:rFonts w:ascii="宋体" w:hAnsi="宋体"/>
                <w:color w:val="auto"/>
                <w:szCs w:val="21"/>
                <w:highlight w:val="none"/>
              </w:rPr>
            </w:pPr>
          </w:p>
        </w:tc>
        <w:tc>
          <w:tcPr>
            <w:tcW w:w="5103" w:type="dxa"/>
          </w:tcPr>
          <w:p>
            <w:pPr>
              <w:spacing w:line="400" w:lineRule="exact"/>
              <w:ind w:firstLine="420" w:firstLineChars="200"/>
              <w:rPr>
                <w:rFonts w:ascii="宋体" w:hAnsi="宋体"/>
                <w:color w:val="auto"/>
                <w:szCs w:val="21"/>
                <w:highlight w:val="none"/>
              </w:rPr>
            </w:pPr>
          </w:p>
        </w:tc>
        <w:tc>
          <w:tcPr>
            <w:tcW w:w="1560" w:type="dxa"/>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highlight w:val="none"/>
              </w:rPr>
            </w:pPr>
          </w:p>
        </w:tc>
        <w:tc>
          <w:tcPr>
            <w:tcW w:w="1984" w:type="dxa"/>
          </w:tcPr>
          <w:p>
            <w:pPr>
              <w:spacing w:line="400" w:lineRule="exact"/>
              <w:ind w:firstLine="420" w:firstLineChars="200"/>
              <w:rPr>
                <w:rFonts w:ascii="宋体" w:hAnsi="宋体"/>
                <w:color w:val="auto"/>
                <w:szCs w:val="21"/>
                <w:highlight w:val="none"/>
              </w:rPr>
            </w:pPr>
          </w:p>
        </w:tc>
        <w:tc>
          <w:tcPr>
            <w:tcW w:w="5103" w:type="dxa"/>
          </w:tcPr>
          <w:p>
            <w:pPr>
              <w:spacing w:line="400" w:lineRule="exact"/>
              <w:ind w:firstLine="420" w:firstLineChars="200"/>
              <w:rPr>
                <w:rFonts w:ascii="宋体" w:hAnsi="宋体"/>
                <w:color w:val="auto"/>
                <w:szCs w:val="21"/>
                <w:highlight w:val="none"/>
              </w:rPr>
            </w:pPr>
          </w:p>
        </w:tc>
        <w:tc>
          <w:tcPr>
            <w:tcW w:w="1560" w:type="dxa"/>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highlight w:val="none"/>
              </w:rPr>
            </w:pPr>
          </w:p>
        </w:tc>
        <w:tc>
          <w:tcPr>
            <w:tcW w:w="1984" w:type="dxa"/>
          </w:tcPr>
          <w:p>
            <w:pPr>
              <w:spacing w:line="400" w:lineRule="exact"/>
              <w:ind w:firstLine="420" w:firstLineChars="200"/>
              <w:rPr>
                <w:rFonts w:ascii="宋体" w:hAnsi="宋体"/>
                <w:color w:val="auto"/>
                <w:szCs w:val="21"/>
                <w:highlight w:val="none"/>
              </w:rPr>
            </w:pPr>
          </w:p>
        </w:tc>
        <w:tc>
          <w:tcPr>
            <w:tcW w:w="5103" w:type="dxa"/>
          </w:tcPr>
          <w:p>
            <w:pPr>
              <w:spacing w:line="400" w:lineRule="exact"/>
              <w:ind w:firstLine="420" w:firstLineChars="200"/>
              <w:rPr>
                <w:rFonts w:ascii="宋体" w:hAnsi="宋体"/>
                <w:color w:val="auto"/>
                <w:szCs w:val="21"/>
                <w:highlight w:val="none"/>
              </w:rPr>
            </w:pPr>
          </w:p>
        </w:tc>
        <w:tc>
          <w:tcPr>
            <w:tcW w:w="1560" w:type="dxa"/>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highlight w:val="none"/>
              </w:rPr>
            </w:pPr>
          </w:p>
        </w:tc>
        <w:tc>
          <w:tcPr>
            <w:tcW w:w="1984" w:type="dxa"/>
          </w:tcPr>
          <w:p>
            <w:pPr>
              <w:spacing w:line="400" w:lineRule="exact"/>
              <w:ind w:firstLine="420" w:firstLineChars="200"/>
              <w:rPr>
                <w:rFonts w:ascii="宋体" w:hAnsi="宋体"/>
                <w:color w:val="auto"/>
                <w:szCs w:val="21"/>
                <w:highlight w:val="none"/>
              </w:rPr>
            </w:pPr>
          </w:p>
        </w:tc>
        <w:tc>
          <w:tcPr>
            <w:tcW w:w="5103" w:type="dxa"/>
          </w:tcPr>
          <w:p>
            <w:pPr>
              <w:spacing w:line="400" w:lineRule="exact"/>
              <w:ind w:firstLine="420" w:firstLineChars="200"/>
              <w:rPr>
                <w:rFonts w:ascii="宋体" w:hAnsi="宋体"/>
                <w:color w:val="auto"/>
                <w:szCs w:val="21"/>
                <w:highlight w:val="none"/>
              </w:rPr>
            </w:pPr>
          </w:p>
        </w:tc>
        <w:tc>
          <w:tcPr>
            <w:tcW w:w="1560" w:type="dxa"/>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小计：</w:t>
            </w:r>
          </w:p>
        </w:tc>
      </w:tr>
    </w:tbl>
    <w:p>
      <w:pPr>
        <w:spacing w:line="360" w:lineRule="auto"/>
        <w:ind w:firstLine="420" w:firstLineChars="200"/>
        <w:rPr>
          <w:rFonts w:ascii="宋体" w:hAnsi="宋体"/>
          <w:color w:val="auto"/>
          <w:szCs w:val="21"/>
          <w:highlight w:val="none"/>
        </w:rPr>
      </w:pPr>
    </w:p>
    <w:p>
      <w:pPr>
        <w:pStyle w:val="2"/>
        <w:spacing w:line="360" w:lineRule="auto"/>
        <w:rPr>
          <w:rFonts w:ascii="宋体" w:hAnsi="宋体"/>
          <w:color w:val="auto"/>
          <w:szCs w:val="21"/>
          <w:highlight w:val="none"/>
        </w:rPr>
      </w:pPr>
    </w:p>
    <w:p>
      <w:pPr>
        <w:spacing w:line="480" w:lineRule="auto"/>
        <w:ind w:firstLine="420" w:firstLineChars="200"/>
        <w:rPr>
          <w:rFonts w:ascii="宋体" w:hAnsi="宋体"/>
          <w:color w:val="auto"/>
          <w:szCs w:val="21"/>
          <w:highlight w:val="none"/>
        </w:rPr>
      </w:pPr>
      <w:r>
        <w:rPr>
          <w:rFonts w:ascii="宋体" w:hAnsi="宋体"/>
          <w:color w:val="auto"/>
          <w:szCs w:val="21"/>
          <w:highlight w:val="none"/>
        </w:rPr>
        <w:br w:type="page"/>
      </w:r>
    </w:p>
    <w:p>
      <w:pPr>
        <w:spacing w:line="480" w:lineRule="auto"/>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8</w:t>
      </w:r>
      <w:r>
        <w:rPr>
          <w:rFonts w:hint="eastAsia" w:ascii="宋体" w:hAnsi="宋体"/>
          <w:color w:val="auto"/>
          <w:szCs w:val="21"/>
          <w:highlight w:val="none"/>
        </w:rPr>
        <w:t>：</w:t>
      </w:r>
    </w:p>
    <w:p>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廉洁从业协议</w:t>
      </w:r>
    </w:p>
    <w:p>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1. 发包人承包人的权利和义务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（1）严格遵守党的政策规定和国家有关法律法规及相关部门的有关规定。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（2）严格执行 工程的合同文件，自觉按合同办事。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（3）双方的业务活动坚持公开、公正、诚信、透明的原则（法律认定的商业秘密和合同文件另有规定除外），不得损害国家和集体利益，违反工程建设管理规章制度。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（4）建立健全廉政制度，开展廉政教育，设立廉政告示牌，公布举报电话，监督并认真查处违法违纪行为。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（5）发现对方在业务活动中有违反廉政规定的行为，有及时提醒对方纠正的权利和义务。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（6）发现对方严重违反协议义务条款的行为，有向其上级有关部门举报、建议给予处理并要求告知处理结果的权利。</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发包人的义务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（1）发包人及其工作人员不得索要或接受承包人的礼金、有价证券和贵重物品，不得在承包人报销任何应由发包人或发包人工作人员个人支付的费用等。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（2）发包人工作人员不得参加承包人安排的超标准宴请和娱乐活动；不得接受承包人提供的通讯工具、交通工具和高档办公用品等。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（3）发包人及其工作人员不得要求或者接受承包人为其住房装修、婚丧嫁娶活动、配偶子女的工作安排以及出国出境、旅游等提供方便等。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（4）发包人工作人员及其配偶、子女不得从事与发包人工程有关的材料设备供应、工程分包、劳务等经济活动等。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（5）发包人及其工作人员不得以任何理由向承包人推荐分包单位或推销材料，不得要求承包人购买合同规定外的材料和设备。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（6）发包人工作人员要秉公办事，不准营私舞弊，不准利用职权从事各种个人有偿中介活动和安排个人施工队伍。</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承包人义务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（1）承包人不得以任何理由向发包人及其工作人员行贿或馈赠礼金、有价证券、贵重礼品。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（2）承包人不得以任何名义为发包人及其工作人员报销应由发包人单位或个人支付的任何费用。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（3）承包人不得以任何理由安排发包人工作人员参加超标准宴请及娱乐活动。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（4）承包人不得为发包人单位和个人购置或提供通讯工具、交通工具和高档办公用品等。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违约责任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（1）发包人及其工作人员违反合同第1、2条，按管理权限，依据有关规定给予党纪、政纪或组织处理；涉嫌犯罪的，移交司法机关追究刑事责任；给承包人单位造成经济损失的，应予以赔偿。</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（2）承包人及其工作人员违反合同第1、3条，按管理权限，依据有关规定给予党纪、政纪或组织处理；给发包人单位造成经济损失的，应予以赔偿。</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协议有效期为甲乙双方签署之日起至该工程项目竣工验收后止。</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7.协议作为 工程施工合同的附件，与工程施工合同具有同等的法律效力，经合同双方签署立即生效。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（以下无正文）</w:t>
      </w:r>
    </w:p>
    <w:p>
      <w:pPr>
        <w:spacing w:line="360" w:lineRule="auto"/>
        <w:rPr>
          <w:rFonts w:ascii="宋体" w:hAnsi="宋体"/>
          <w:color w:val="auto"/>
          <w:szCs w:val="21"/>
          <w:highlight w:val="none"/>
        </w:rPr>
      </w:pPr>
    </w:p>
    <w:p>
      <w:pPr>
        <w:pStyle w:val="2"/>
        <w:spacing w:line="360" w:lineRule="auto"/>
        <w:rPr>
          <w:rFonts w:ascii="宋体" w:hAnsi="宋体"/>
          <w:color w:val="auto"/>
          <w:szCs w:val="21"/>
          <w:highlight w:val="none"/>
        </w:rPr>
      </w:pPr>
    </w:p>
    <w:p>
      <w:pPr>
        <w:pStyle w:val="2"/>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甲     方：                         乙     方：</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 xml:space="preserve">法定代表人                          法定代表人                      </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或其授权的代理人：                  或授权的代理人：</w:t>
      </w:r>
    </w:p>
    <w:p>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w:t>
      </w:r>
      <w:r>
        <w:rPr>
          <w:rFonts w:ascii="宋体" w:hAnsi="宋体"/>
          <w:color w:val="auto"/>
          <w:szCs w:val="21"/>
          <w:highlight w:val="none"/>
        </w:rPr>
        <w:t>9</w:t>
      </w:r>
      <w:r>
        <w:rPr>
          <w:rFonts w:hint="eastAsia" w:ascii="宋体" w:hAnsi="宋体"/>
          <w:color w:val="auto"/>
          <w:szCs w:val="21"/>
          <w:highlight w:val="none"/>
        </w:rPr>
        <w:t>：</w:t>
      </w:r>
    </w:p>
    <w:p>
      <w:pPr>
        <w:spacing w:before="156" w:beforeLines="50" w:after="156" w:afterLines="50" w:line="480" w:lineRule="auto"/>
        <w:jc w:val="center"/>
        <w:rPr>
          <w:rFonts w:ascii="宋体" w:hAnsi="宋体"/>
          <w:color w:val="auto"/>
          <w:szCs w:val="21"/>
          <w:highlight w:val="none"/>
        </w:rPr>
      </w:pPr>
      <w:bookmarkStart w:id="1192" w:name="_Toc247431422"/>
      <w:bookmarkStart w:id="1193" w:name="_Toc435689499"/>
      <w:bookmarkStart w:id="1194" w:name="_Toc435690184"/>
      <w:bookmarkStart w:id="1195" w:name="_Toc448406299"/>
      <w:bookmarkStart w:id="1196" w:name="_Toc239510288"/>
      <w:bookmarkStart w:id="1197" w:name="_Toc336680145"/>
      <w:r>
        <w:rPr>
          <w:rFonts w:hint="eastAsia" w:ascii="宋体" w:hAnsi="宋体"/>
          <w:color w:val="auto"/>
          <w:szCs w:val="21"/>
          <w:highlight w:val="none"/>
        </w:rPr>
        <w:t>安全管理协议</w:t>
      </w:r>
      <w:bookmarkEnd w:id="1192"/>
      <w:bookmarkEnd w:id="1193"/>
      <w:bookmarkEnd w:id="1194"/>
      <w:bookmarkEnd w:id="1195"/>
      <w:bookmarkEnd w:id="1196"/>
      <w:bookmarkEnd w:id="1197"/>
    </w:p>
    <w:p>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为了确保实现</w:t>
      </w:r>
      <w:r>
        <w:rPr>
          <w:rFonts w:hint="eastAsia" w:ascii="宋体" w:hAnsi="宋体"/>
          <w:color w:val="auto"/>
          <w:szCs w:val="21"/>
          <w:highlight w:val="none"/>
          <w:u w:val="single"/>
        </w:rPr>
        <w:t xml:space="preserve">        </w:t>
      </w:r>
      <w:r>
        <w:rPr>
          <w:rFonts w:hint="eastAsia" w:ascii="宋体" w:hAnsi="宋体"/>
          <w:color w:val="auto"/>
          <w:szCs w:val="21"/>
          <w:highlight w:val="none"/>
        </w:rPr>
        <w:t>安全生产目标，进一步明确双方的安全管理责任，加强安全生产管理工作的协调、管理力度，</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（以下简称“发包人”）与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pPr>
        <w:spacing w:line="360" w:lineRule="auto"/>
        <w:ind w:firstLine="420" w:firstLineChars="200"/>
        <w:rPr>
          <w:rFonts w:ascii="宋体" w:hAnsi="宋体"/>
          <w:color w:val="auto"/>
          <w:szCs w:val="21"/>
          <w:highlight w:val="none"/>
        </w:rPr>
      </w:pPr>
      <w:bookmarkStart w:id="1198" w:name="_Toc532375700"/>
      <w:bookmarkStart w:id="1199" w:name="_Toc239510289"/>
      <w:bookmarkStart w:id="1200" w:name="_Toc247418263"/>
      <w:bookmarkStart w:id="1201" w:name="_Toc247431423"/>
      <w:r>
        <w:rPr>
          <w:rFonts w:hint="eastAsia" w:ascii="宋体" w:hAnsi="宋体"/>
          <w:color w:val="auto"/>
          <w:szCs w:val="21"/>
          <w:highlight w:val="none"/>
        </w:rPr>
        <w:t>一、协议有效期限</w:t>
      </w:r>
      <w:bookmarkEnd w:id="1198"/>
      <w:bookmarkEnd w:id="1199"/>
      <w:bookmarkEnd w:id="1200"/>
      <w:bookmarkEnd w:id="1201"/>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本协议中所涉及的安全管理责任自合同签订之日起开始生效，至合同工程全部完工验收且经发包人与承包人签订移交协议生效后之日终止。</w:t>
      </w:r>
    </w:p>
    <w:p>
      <w:pPr>
        <w:spacing w:line="360" w:lineRule="auto"/>
        <w:ind w:firstLine="420" w:firstLineChars="200"/>
        <w:rPr>
          <w:rFonts w:ascii="宋体" w:hAnsi="宋体"/>
          <w:color w:val="auto"/>
          <w:szCs w:val="21"/>
          <w:highlight w:val="none"/>
        </w:rPr>
      </w:pPr>
      <w:bookmarkStart w:id="1202" w:name="_Toc247418264"/>
      <w:bookmarkStart w:id="1203" w:name="_Toc239510290"/>
      <w:bookmarkStart w:id="1204" w:name="_Toc532375701"/>
      <w:bookmarkStart w:id="1205" w:name="_Toc247431424"/>
      <w:r>
        <w:rPr>
          <w:rFonts w:hint="eastAsia" w:ascii="宋体" w:hAnsi="宋体"/>
          <w:color w:val="auto"/>
          <w:szCs w:val="21"/>
          <w:highlight w:val="none"/>
        </w:rPr>
        <w:t>二、责任目标</w:t>
      </w:r>
      <w:bookmarkEnd w:id="1202"/>
      <w:bookmarkEnd w:id="1203"/>
      <w:bookmarkEnd w:id="1204"/>
      <w:bookmarkEnd w:id="1205"/>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（一）承包人承诺承担和履行合同和发包人所规定的安全责任，且满足要求。</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（二）承包人的安全控制目标是确保本工程在实施过程中：</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1．不发生人身重伤事故；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2．不发生火灾事故；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3．不发生负有同等及以上事故责任的造成人身重伤的一般交通事故；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4．不发生集体食物中毒事件（同时5人及以上的食物中毒）；</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5．不发生流行性传染病 （无甲型传染病、其他常见传染病未形成多人同时患病）；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6．不发生重大环境污染事件（生活、工业垃圾及其他污染物造成环境污染和大面积水土流失）；</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7．不发生对施工区附近生产、生活造成重大影响的事件（如造成重大设备损坏、重大财产损失、人员伤害等）；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8．不发生治安保卫事件（构成刑事拘留及以上的事件、盗窃直接损失超过1万元人民币的事件）。</w:t>
      </w:r>
    </w:p>
    <w:p>
      <w:pPr>
        <w:spacing w:line="360" w:lineRule="auto"/>
        <w:ind w:firstLine="420" w:firstLineChars="200"/>
        <w:jc w:val="left"/>
        <w:rPr>
          <w:rFonts w:ascii="宋体" w:hAnsi="宋体"/>
          <w:color w:val="auto"/>
          <w:szCs w:val="21"/>
          <w:highlight w:val="none"/>
        </w:rPr>
      </w:pPr>
      <w:bookmarkStart w:id="1206" w:name="_Toc247431425"/>
      <w:bookmarkStart w:id="1207" w:name="_Toc239510291"/>
      <w:bookmarkStart w:id="1208" w:name="_Toc247418265"/>
      <w:r>
        <w:rPr>
          <w:rFonts w:hint="eastAsia" w:ascii="宋体" w:hAnsi="宋体"/>
          <w:color w:val="auto"/>
          <w:szCs w:val="21"/>
          <w:highlight w:val="none"/>
        </w:rPr>
        <w:t>（三）承包人承诺在施工中控制以下安全事故的发生：</w:t>
      </w:r>
      <w:bookmarkEnd w:id="1206"/>
      <w:bookmarkEnd w:id="1207"/>
      <w:bookmarkEnd w:id="1208"/>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1．人员轻伤事故。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2．负有同等及以上事故责任的人身轻伤交通事故。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3．其他安全未遂事故和异常事件。</w:t>
      </w:r>
    </w:p>
    <w:p>
      <w:pPr>
        <w:spacing w:line="360" w:lineRule="auto"/>
        <w:ind w:firstLine="420" w:firstLineChars="200"/>
        <w:rPr>
          <w:rFonts w:ascii="宋体" w:hAnsi="宋体"/>
          <w:color w:val="auto"/>
          <w:szCs w:val="21"/>
          <w:highlight w:val="none"/>
        </w:rPr>
      </w:pPr>
      <w:bookmarkStart w:id="1209" w:name="_Toc532375702"/>
      <w:bookmarkStart w:id="1210" w:name="_Toc247431426"/>
      <w:bookmarkStart w:id="1211" w:name="_Toc247418266"/>
      <w:bookmarkStart w:id="1212" w:name="_Toc239510292"/>
      <w:r>
        <w:rPr>
          <w:rFonts w:hint="eastAsia" w:ascii="宋体" w:hAnsi="宋体"/>
          <w:color w:val="auto"/>
          <w:szCs w:val="21"/>
          <w:highlight w:val="none"/>
        </w:rPr>
        <w:t>三、安全责任</w:t>
      </w:r>
      <w:bookmarkEnd w:id="1209"/>
      <w:bookmarkEnd w:id="1210"/>
      <w:bookmarkEnd w:id="1211"/>
      <w:bookmarkEnd w:id="1212"/>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1．承包人负有安全生产的管理责任和直接责任。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2．承包人的法人或签署合同的公司总经理或受委托的代理人对合同安全负有全面的领导责任。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3．承包人项目经理对施工现场的安全工作负有全面的直接领导责任。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4．承包人保证执行“谁施工、谁负责”的施工安全原则。</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5．承包人保证服从发包人对安全工作的统一协调和管理。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6．承包人保证对本工程项目安全生产条件及其管理资源自行投入，保证安全资金的专款专用。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7．承包人保证建立本工程项目的安全管理体系及安全保证体系（注：项目安全管理大纲/手册、管理性的程序文件等）。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8．承包人保证现场的安全管理专职人员必须持有建设主管部门安全生产培训考核合格证书。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9．承包人保证为现场所有工作人员（含分包商员工及劳务人员）配备符合国家标准的有承包人和/或其下属分包商标志的个人基本劳动保护用品。</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10．承包人保证按照国家法律规定为现场所有工作人员（含分包商员工及劳务人员）购买意外伤害保险。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11．承包人保证施工生活营地（包括自建的和租用的营地）满足消防、安全用电、卫生防疫、防暴雨、防雷击等方面的安全要求。</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12．承包人保证对带入现场的设备、工具、材料按照国家法规和标准进行检测、试验，并持有法定部门出具的检验证书。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13．承包人保证制订施工现场的文明施工措施，保护环境、树木和植被，保持施工现场的良好秩序和整洁的作业环境。</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14．承包人负责在施工过程中与当地政府、周边群众及其他承包商保持良好的沟通和交流。承包人遇到与周边群众发生纠纷时，应负责协调工作，确保工程能够顺利进行。</w:t>
      </w:r>
    </w:p>
    <w:p>
      <w:pPr>
        <w:spacing w:line="360" w:lineRule="auto"/>
        <w:ind w:firstLine="420" w:firstLineChars="200"/>
        <w:rPr>
          <w:rFonts w:ascii="宋体" w:hAnsi="宋体"/>
          <w:color w:val="auto"/>
          <w:szCs w:val="21"/>
          <w:highlight w:val="none"/>
        </w:rPr>
      </w:pPr>
      <w:bookmarkStart w:id="1213" w:name="_Toc532375703"/>
      <w:bookmarkStart w:id="1214" w:name="_Toc247431427"/>
      <w:bookmarkStart w:id="1215" w:name="_Toc239510293"/>
      <w:bookmarkStart w:id="1216" w:name="_Toc247418267"/>
      <w:r>
        <w:rPr>
          <w:rFonts w:hint="eastAsia" w:ascii="宋体" w:hAnsi="宋体"/>
          <w:color w:val="auto"/>
          <w:szCs w:val="21"/>
          <w:highlight w:val="none"/>
        </w:rPr>
        <w:t>四、接口及协调</w:t>
      </w:r>
      <w:bookmarkEnd w:id="1213"/>
      <w:bookmarkEnd w:id="1214"/>
      <w:bookmarkEnd w:id="1215"/>
      <w:bookmarkEnd w:id="1216"/>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1．发包人委托监理公司对该工程实施监理，监理公司在安全管理方面代表发包人行使监督检查职能，承包人必须给予配合和支持。</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2．承包人人员、车辆的出入，带入现场的设备、机具、材料，在现场使用的或直接管理的办公、生活、生产性设施的安全管理须满足发包人现场管理的基本要求。</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5．承包人指定的专职安全管理人员应与发包人委托的监理公司建立联系，在业务上接受发包人委托的监理公司的协调和指导。</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6．开工后承包人的专职安全管理人员应按照发包人委托的监理公司的规定，定期报送安全月度快报、季报、年报和各种专项事故报告等。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7．在工程实体未全部正式移交发包人施工管理部门之前，承包人依旧对施工范围内的安全管理负责。</w:t>
      </w:r>
    </w:p>
    <w:p>
      <w:pPr>
        <w:spacing w:line="360" w:lineRule="auto"/>
        <w:ind w:firstLine="420" w:firstLineChars="200"/>
        <w:rPr>
          <w:rFonts w:ascii="宋体" w:hAnsi="宋体"/>
          <w:color w:val="auto"/>
          <w:szCs w:val="21"/>
          <w:highlight w:val="none"/>
        </w:rPr>
      </w:pPr>
      <w:bookmarkStart w:id="1217" w:name="_Toc239510294"/>
      <w:bookmarkStart w:id="1218" w:name="_Toc532375704"/>
      <w:bookmarkStart w:id="1219" w:name="_Toc247431428"/>
      <w:bookmarkStart w:id="1220" w:name="_Toc247418268"/>
      <w:r>
        <w:rPr>
          <w:rFonts w:hint="eastAsia" w:ascii="宋体" w:hAnsi="宋体"/>
          <w:color w:val="auto"/>
          <w:szCs w:val="21"/>
          <w:highlight w:val="none"/>
        </w:rPr>
        <w:t>五、安全资质审查</w:t>
      </w:r>
      <w:bookmarkEnd w:id="1217"/>
      <w:bookmarkEnd w:id="1218"/>
      <w:bookmarkEnd w:id="1219"/>
      <w:bookmarkEnd w:id="1220"/>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承包人在项目开工前5个工作天内向发包人委托的监理公司提供以下安全资质供审查和存档：</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1．企业安全生产许可证书复印件。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2．企业近三年的施工简历及安全施工业绩证明文件。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3．企业主要安全管理人员（包括项目经理、专职安全管理人员）经建设主管部门安全生产知识考核合格证书。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4．特种作业人员资格证书。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5．项目安全管理机构及其人员配备（承包人必须配有专职的安全员）。</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6．适用于项目的安全管理体系及保证体系文件（安全管理大纲及管理程序文件）。</w:t>
      </w:r>
    </w:p>
    <w:p>
      <w:pPr>
        <w:spacing w:line="360" w:lineRule="auto"/>
        <w:ind w:firstLine="420" w:firstLineChars="200"/>
        <w:rPr>
          <w:rFonts w:ascii="宋体" w:hAnsi="宋体"/>
          <w:color w:val="auto"/>
          <w:szCs w:val="21"/>
          <w:highlight w:val="none"/>
        </w:rPr>
      </w:pPr>
      <w:bookmarkStart w:id="1221" w:name="_Toc247418269"/>
      <w:bookmarkStart w:id="1222" w:name="_Toc532375705"/>
      <w:bookmarkStart w:id="1223" w:name="_Toc247431429"/>
      <w:bookmarkStart w:id="1224" w:name="_Toc239510295"/>
      <w:r>
        <w:rPr>
          <w:rFonts w:hint="eastAsia" w:ascii="宋体" w:hAnsi="宋体"/>
          <w:color w:val="auto"/>
          <w:szCs w:val="21"/>
          <w:highlight w:val="none"/>
        </w:rPr>
        <w:t>六、人员基本素质</w:t>
      </w:r>
      <w:bookmarkEnd w:id="1221"/>
      <w:bookmarkEnd w:id="1222"/>
      <w:bookmarkEnd w:id="1223"/>
      <w:bookmarkEnd w:id="1224"/>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承包人提供的人员必须满足下列要求：</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2．无刑事案件牵连。</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3．无吸毒、酗酒、赌博、嫖娼等恶习及违法行为。</w:t>
      </w:r>
    </w:p>
    <w:p>
      <w:pPr>
        <w:spacing w:line="360" w:lineRule="auto"/>
        <w:ind w:firstLine="420" w:firstLineChars="200"/>
        <w:rPr>
          <w:rFonts w:ascii="宋体" w:hAnsi="宋体"/>
          <w:color w:val="auto"/>
          <w:szCs w:val="21"/>
          <w:highlight w:val="none"/>
        </w:rPr>
      </w:pPr>
      <w:bookmarkStart w:id="1225" w:name="_Toc247431430"/>
      <w:bookmarkStart w:id="1226" w:name="_Toc247418270"/>
      <w:bookmarkStart w:id="1227" w:name="_Toc532375706"/>
      <w:bookmarkStart w:id="1228" w:name="_Toc239510296"/>
      <w:r>
        <w:rPr>
          <w:rFonts w:hint="eastAsia" w:ascii="宋体" w:hAnsi="宋体"/>
          <w:color w:val="auto"/>
          <w:szCs w:val="21"/>
          <w:highlight w:val="none"/>
        </w:rPr>
        <w:t>七、劳动保护</w:t>
      </w:r>
      <w:bookmarkEnd w:id="1225"/>
      <w:bookmarkEnd w:id="1226"/>
      <w:bookmarkEnd w:id="1227"/>
      <w:bookmarkEnd w:id="1228"/>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1．承包人负责为本单位任何用工形式的员工提供个人劳动保护用品（包括工作服、安全帽、安全鞋等）。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2．承包人负责向特殊工种的员工提供特殊劳动保护，否则不得从事特殊工种作业。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3．发包人委托的监理公司有权检查承包人的个人劳动保护用品是否符合国家的相应标准。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 承包人在特殊风险场所作业而需要特殊防护用品或安全仪表时，必须在上述防护用品全部到位后才能开工。</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5．承包人应配备临时安全围栏、警示带、警告标志、防火布等集体防护用品。</w:t>
      </w:r>
    </w:p>
    <w:p>
      <w:pPr>
        <w:spacing w:line="360" w:lineRule="auto"/>
        <w:ind w:firstLine="420" w:firstLineChars="200"/>
        <w:rPr>
          <w:rFonts w:ascii="宋体" w:hAnsi="宋体"/>
          <w:color w:val="auto"/>
          <w:szCs w:val="21"/>
          <w:highlight w:val="none"/>
        </w:rPr>
      </w:pPr>
      <w:bookmarkStart w:id="1229" w:name="_Toc532375707"/>
      <w:bookmarkStart w:id="1230" w:name="_Toc247418271"/>
      <w:bookmarkStart w:id="1231" w:name="_Toc247431431"/>
      <w:bookmarkStart w:id="1232" w:name="_Toc239510297"/>
      <w:r>
        <w:rPr>
          <w:rFonts w:hint="eastAsia" w:ascii="宋体" w:hAnsi="宋体"/>
          <w:color w:val="auto"/>
          <w:szCs w:val="21"/>
          <w:highlight w:val="none"/>
        </w:rPr>
        <w:t>八、施工机具与材料</w:t>
      </w:r>
      <w:bookmarkEnd w:id="1229"/>
      <w:bookmarkEnd w:id="1230"/>
      <w:bookmarkEnd w:id="1231"/>
      <w:bookmarkEnd w:id="1232"/>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1．承包人对带入现场的施工机械和工器具的安全负责。</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2．对于承包人带入现场的特殊工器具，如起重设备、索具、机动车辆、压缩气瓶等，承包人必须按国家法规和标准进行检测、试验，并持有法定部门出具的检验证书。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3．对于不属于法定检测的工器具，承包人也必须建立相应的管理、检测制度，这些工器具包括登高工具、脚手架材料、电动工具、安全防护设备及用具等。</w:t>
      </w:r>
    </w:p>
    <w:p>
      <w:pPr>
        <w:spacing w:line="360" w:lineRule="auto"/>
        <w:ind w:firstLine="420" w:firstLineChars="200"/>
        <w:rPr>
          <w:rFonts w:ascii="宋体" w:hAnsi="宋体"/>
          <w:color w:val="auto"/>
          <w:szCs w:val="21"/>
          <w:highlight w:val="none"/>
        </w:rPr>
      </w:pPr>
      <w:bookmarkStart w:id="1233" w:name="_Toc239510298"/>
      <w:bookmarkStart w:id="1234" w:name="_Toc247418272"/>
      <w:bookmarkStart w:id="1235" w:name="_Toc247431432"/>
      <w:bookmarkStart w:id="1236" w:name="_Toc532375708"/>
      <w:r>
        <w:rPr>
          <w:rFonts w:hint="eastAsia" w:ascii="宋体" w:hAnsi="宋体"/>
          <w:color w:val="auto"/>
          <w:szCs w:val="21"/>
          <w:highlight w:val="none"/>
        </w:rPr>
        <w:t>九、开工前安全条件检查</w:t>
      </w:r>
      <w:bookmarkEnd w:id="1233"/>
      <w:bookmarkEnd w:id="1234"/>
      <w:bookmarkEnd w:id="1235"/>
      <w:bookmarkEnd w:id="1236"/>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3．发包人委托的监理公司检查发现的缺陷，承包人应在规定期限内完成整改。对于重大缺陷，发包人委托的监理公司有权要求承包人推迟开工，由此对工期产生的影响或经济损失，由承包人承担。</w:t>
      </w:r>
    </w:p>
    <w:p>
      <w:pPr>
        <w:spacing w:line="360" w:lineRule="auto"/>
        <w:ind w:firstLine="420" w:firstLineChars="200"/>
        <w:rPr>
          <w:rFonts w:ascii="宋体" w:hAnsi="宋体"/>
          <w:color w:val="auto"/>
          <w:szCs w:val="21"/>
          <w:highlight w:val="none"/>
        </w:rPr>
      </w:pPr>
      <w:bookmarkStart w:id="1237" w:name="_Toc247418273"/>
      <w:bookmarkStart w:id="1238" w:name="_Toc239510299"/>
      <w:bookmarkStart w:id="1239" w:name="_Toc532375709"/>
      <w:bookmarkStart w:id="1240" w:name="_Toc247431433"/>
      <w:r>
        <w:rPr>
          <w:rFonts w:hint="eastAsia" w:ascii="宋体" w:hAnsi="宋体"/>
          <w:color w:val="auto"/>
          <w:szCs w:val="21"/>
          <w:highlight w:val="none"/>
        </w:rPr>
        <w:t>十、安全监督</w:t>
      </w:r>
      <w:bookmarkEnd w:id="1237"/>
      <w:bookmarkEnd w:id="1238"/>
      <w:bookmarkEnd w:id="1239"/>
      <w:bookmarkEnd w:id="1240"/>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1．承包人应配备有满足项目安全管理需要的专职安全管理人员。</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2．承包人的专职安全管理人员必须持建设主管部门颁发的安全生产知识考核合格证书。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3．承包人的专职安全管理人员在业务上接受发包人委托的监理公司和发包人安全管理部门的协调和指导。</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4．承包人应建立班前安全交底制度；施工期间坚持开展安全检查和日常安全监督并形成相应的记录。</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5．承包人应在每个作业区任命兼职安全员，赋予兼职安全员相应的授权和义务，并对兼职安全员进行定期考核。</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6．承包人应接受和配合发包人专业部门及委托的监理公司的监督与安全评价。</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pPr>
        <w:spacing w:line="360" w:lineRule="auto"/>
        <w:ind w:firstLine="420" w:firstLineChars="200"/>
        <w:rPr>
          <w:rFonts w:ascii="宋体" w:hAnsi="宋体"/>
          <w:color w:val="auto"/>
          <w:szCs w:val="21"/>
          <w:highlight w:val="none"/>
        </w:rPr>
      </w:pPr>
      <w:bookmarkStart w:id="1241" w:name="_Toc247418274"/>
      <w:bookmarkStart w:id="1242" w:name="_Toc239510300"/>
      <w:bookmarkStart w:id="1243" w:name="_Toc247431434"/>
      <w:bookmarkStart w:id="1244" w:name="_Toc532375710"/>
      <w:r>
        <w:rPr>
          <w:rFonts w:hint="eastAsia" w:ascii="宋体" w:hAnsi="宋体"/>
          <w:color w:val="auto"/>
          <w:szCs w:val="21"/>
          <w:highlight w:val="none"/>
        </w:rPr>
        <w:t>十一、安全培训与授权</w:t>
      </w:r>
      <w:bookmarkEnd w:id="1241"/>
      <w:bookmarkEnd w:id="1242"/>
      <w:bookmarkEnd w:id="1243"/>
      <w:bookmarkEnd w:id="1244"/>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2．承包人应在特殊工种之外的其他工种中，筛选出高风险工种，并对其开展针对性的专题安全培训。</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3．承包人应组织 “入场培训”和考核。发包人委托的监理公司有权监督培训、考核情况或组织抽查考核。</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4．承包人应建立安全培训和考核机制，编制培训教材和培训滚动计划。承包人应组织安全考试/考核，建立培训考核记录，发包人委托的监理公司有权查看这些记录。</w:t>
      </w:r>
    </w:p>
    <w:p>
      <w:pPr>
        <w:spacing w:line="360" w:lineRule="auto"/>
        <w:ind w:firstLine="420" w:firstLineChars="200"/>
        <w:rPr>
          <w:rFonts w:ascii="宋体" w:hAnsi="宋体"/>
          <w:color w:val="auto"/>
          <w:szCs w:val="21"/>
          <w:highlight w:val="none"/>
        </w:rPr>
      </w:pPr>
      <w:bookmarkStart w:id="1245" w:name="_Toc239510301"/>
      <w:bookmarkStart w:id="1246" w:name="_Toc247418275"/>
      <w:bookmarkStart w:id="1247" w:name="_Toc532375711"/>
      <w:bookmarkStart w:id="1248" w:name="_Toc247431435"/>
      <w:r>
        <w:rPr>
          <w:rFonts w:hint="eastAsia" w:ascii="宋体" w:hAnsi="宋体"/>
          <w:color w:val="auto"/>
          <w:szCs w:val="21"/>
          <w:highlight w:val="none"/>
        </w:rPr>
        <w:t>十二、职业健康与卫生防疫</w:t>
      </w:r>
      <w:bookmarkEnd w:id="1245"/>
      <w:bookmarkEnd w:id="1246"/>
      <w:bookmarkEnd w:id="1247"/>
      <w:bookmarkEnd w:id="1248"/>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1．承包人应有特殊健康检查制度，预防有禁忌症患者从事有关职业，如恐高症患者不得从事高空作业，患有心血管疾病的人员不得从事繁重的体力劳动，特殊工种人员的体检应符合国家的规定。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2．承包人应保证卫生防疫基本设施的投入，以满足医疗、急救的要求，建立外部医疗支持渠道。</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pPr>
        <w:spacing w:line="360" w:lineRule="auto"/>
        <w:ind w:firstLine="420" w:firstLineChars="200"/>
        <w:rPr>
          <w:rFonts w:ascii="宋体" w:hAnsi="宋体"/>
          <w:color w:val="auto"/>
          <w:szCs w:val="21"/>
          <w:highlight w:val="none"/>
        </w:rPr>
      </w:pPr>
      <w:bookmarkStart w:id="1249" w:name="_Toc239510302"/>
      <w:bookmarkStart w:id="1250" w:name="_Toc532375712"/>
      <w:bookmarkStart w:id="1251" w:name="_Toc247431436"/>
      <w:bookmarkStart w:id="1252" w:name="_Toc247418276"/>
      <w:r>
        <w:rPr>
          <w:rFonts w:hint="eastAsia" w:ascii="宋体" w:hAnsi="宋体"/>
          <w:color w:val="auto"/>
          <w:szCs w:val="21"/>
          <w:highlight w:val="none"/>
        </w:rPr>
        <w:t>十三、文明施工与环保要求</w:t>
      </w:r>
      <w:bookmarkEnd w:id="1249"/>
      <w:bookmarkEnd w:id="1250"/>
      <w:bookmarkEnd w:id="1251"/>
      <w:bookmarkEnd w:id="1252"/>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1．承包人需制订施工现场的文明施工措施，保持良好的施工现场秩序。施工现场的物料堆放要摆放整齐，安全标志和宣传标志要清楚醒目，废料、废物要分类收集，安全通道要畅通。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2．承包人作业时应避免建筑材料抛洒、飞扬、流淌；应尽可能降低噪音、震动。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3．承包人应根据实际需要，在施工现场布置临时卫生设施（洗手间、卫生间等），施工作业不破坏环境卫生，不污染现场环境。</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4．承包人在施工中应充分重视对环境的保护，保护绿色植被，保护古树。施工如需伤害古树，必须报告发包人委托的监理公司，在未得到指令前，禁止擅自伤害古树。</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6．承包人在施工中应禁止向环境，排放工业污水、生活污水、废油或其他有害物质。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pPr>
        <w:spacing w:line="360" w:lineRule="auto"/>
        <w:ind w:firstLine="420" w:firstLineChars="200"/>
        <w:rPr>
          <w:rFonts w:ascii="宋体" w:hAnsi="宋体"/>
          <w:color w:val="auto"/>
          <w:szCs w:val="21"/>
          <w:highlight w:val="none"/>
        </w:rPr>
      </w:pPr>
      <w:bookmarkStart w:id="1253" w:name="_Toc247431437"/>
      <w:bookmarkStart w:id="1254" w:name="_Toc247418277"/>
      <w:bookmarkStart w:id="1255" w:name="_Toc532375713"/>
      <w:bookmarkStart w:id="1256" w:name="_Toc239510303"/>
      <w:r>
        <w:rPr>
          <w:rFonts w:hint="eastAsia" w:ascii="宋体" w:hAnsi="宋体"/>
          <w:color w:val="auto"/>
          <w:szCs w:val="21"/>
          <w:highlight w:val="none"/>
        </w:rPr>
        <w:t>十四、工程风险管理与事故预防</w:t>
      </w:r>
      <w:bookmarkEnd w:id="1253"/>
      <w:bookmarkEnd w:id="1254"/>
      <w:bookmarkEnd w:id="1255"/>
      <w:bookmarkEnd w:id="1256"/>
    </w:p>
    <w:p>
      <w:pPr>
        <w:spacing w:line="360" w:lineRule="auto"/>
        <w:ind w:firstLine="420" w:firstLineChars="200"/>
        <w:jc w:val="left"/>
        <w:rPr>
          <w:rFonts w:ascii="宋体" w:hAnsi="宋体"/>
          <w:color w:val="auto"/>
          <w:szCs w:val="21"/>
          <w:highlight w:val="none"/>
        </w:rPr>
      </w:pPr>
      <w:bookmarkStart w:id="1257" w:name="_Toc247431438"/>
      <w:bookmarkStart w:id="1258" w:name="_Toc247418278"/>
      <w:bookmarkStart w:id="1259" w:name="_Toc239510304"/>
      <w:r>
        <w:rPr>
          <w:rFonts w:hint="eastAsia" w:ascii="宋体" w:hAnsi="宋体"/>
          <w:color w:val="auto"/>
          <w:szCs w:val="21"/>
          <w:highlight w:val="none"/>
        </w:rPr>
        <w:t>（一）基本要求</w:t>
      </w:r>
      <w:bookmarkEnd w:id="1257"/>
      <w:bookmarkEnd w:id="1258"/>
      <w:bookmarkEnd w:id="1259"/>
    </w:p>
    <w:p>
      <w:pPr>
        <w:spacing w:line="360" w:lineRule="auto"/>
        <w:ind w:firstLine="420" w:firstLineChars="200"/>
        <w:jc w:val="left"/>
        <w:rPr>
          <w:rFonts w:ascii="宋体" w:hAnsi="宋体"/>
          <w:color w:val="auto"/>
          <w:szCs w:val="21"/>
          <w:highlight w:val="none"/>
        </w:rPr>
      </w:pPr>
      <w:bookmarkStart w:id="1260" w:name="_Toc532375714"/>
      <w:r>
        <w:rPr>
          <w:rFonts w:hint="eastAsia" w:ascii="宋体" w:hAnsi="宋体"/>
          <w:color w:val="auto"/>
          <w:szCs w:val="21"/>
          <w:highlight w:val="none"/>
        </w:rPr>
        <w:t>1．承包人应对施工过程进行全面、深入的危险源识别和风险分析。在施工安全组织设计中提供危险源及重要危险源清单、作业风险分析报告，该报告应包括（但不限于）如下信息：</w:t>
      </w:r>
      <w:bookmarkEnd w:id="1260"/>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（1）高风险作业和工种清单：作业名称、类别和数量、主要事故风险。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（2）施工能源和机械的种类、数量和主要事故风险。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（3）施工作业条件的类型和主要事故风险。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（4）主要工艺过程（或施工活动）的类别及其相关的事故风险。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（5）主要火灾危险（可燃物、点火源）。</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（6）主要自然灾害（洪水、大风、雷暴、暴雨、地质灾害等）。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（7）主要环境保护事件（有害垃圾、机械的跑冒滴漏、原材料流失、水土流失等）。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（8）其他。</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2．承包人应针对识别出的危险源制定有针对性的事故预防措施并确保在施工中得到有效落实。</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3．承包人应建立日常施工活动的动态作业风险分析和安全交底制度。该制度应明确规定风险分析的方法、责任和交底的内容、时间及记录。</w:t>
      </w:r>
    </w:p>
    <w:p>
      <w:pPr>
        <w:spacing w:line="360" w:lineRule="auto"/>
        <w:ind w:firstLine="420" w:firstLineChars="200"/>
        <w:jc w:val="left"/>
        <w:rPr>
          <w:rFonts w:ascii="宋体" w:hAnsi="宋体"/>
          <w:color w:val="auto"/>
          <w:szCs w:val="21"/>
          <w:highlight w:val="none"/>
        </w:rPr>
      </w:pPr>
      <w:bookmarkStart w:id="1261" w:name="_Toc247418279"/>
      <w:bookmarkStart w:id="1262" w:name="_Toc239510305"/>
      <w:bookmarkStart w:id="1263" w:name="_Toc247431439"/>
      <w:r>
        <w:rPr>
          <w:rFonts w:hint="eastAsia" w:ascii="宋体" w:hAnsi="宋体"/>
          <w:color w:val="auto"/>
          <w:szCs w:val="21"/>
          <w:highlight w:val="none"/>
        </w:rPr>
        <w:t>（二）现场作业基本安全条件</w:t>
      </w:r>
      <w:bookmarkEnd w:id="1261"/>
      <w:bookmarkEnd w:id="1262"/>
      <w:bookmarkEnd w:id="1263"/>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pPr>
        <w:spacing w:line="360" w:lineRule="auto"/>
        <w:ind w:firstLine="420" w:firstLineChars="200"/>
        <w:rPr>
          <w:rFonts w:ascii="宋体" w:hAnsi="宋体"/>
          <w:color w:val="auto"/>
          <w:szCs w:val="21"/>
          <w:highlight w:val="none"/>
        </w:rPr>
      </w:pPr>
      <w:bookmarkStart w:id="1264" w:name="_Toc247418280"/>
      <w:bookmarkStart w:id="1265" w:name="_Toc532375715"/>
      <w:bookmarkStart w:id="1266" w:name="_Toc247431440"/>
      <w:bookmarkStart w:id="1267" w:name="_Toc239510306"/>
      <w:r>
        <w:rPr>
          <w:rFonts w:hint="eastAsia" w:ascii="宋体" w:hAnsi="宋体"/>
          <w:color w:val="auto"/>
          <w:szCs w:val="21"/>
          <w:highlight w:val="none"/>
        </w:rPr>
        <w:t>十五、事故报告与应急救援</w:t>
      </w:r>
      <w:bookmarkEnd w:id="1264"/>
      <w:bookmarkEnd w:id="1265"/>
      <w:bookmarkEnd w:id="1266"/>
      <w:bookmarkEnd w:id="1267"/>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1．承包人应制定对于未遂事故及以上级别的安全事件和事故，定期报送安全月度快报、季报、年报和各种专项事故报告等。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2．承包人应建立安全事故统计记录、未遂事故统计记录、违章统计记录，并根据统计情况进行分析，并就分析结果制定相应的预防措施。</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3．承包人应建立事故应急救援机制，明确事故处置的基本原则，即现场发生事故时，首先抢救生命，向救援组织报警，并采取措施限制事故扩大。</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4．承包人应建立相应的应急响应组织，以便能迅速处理突发意外。</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5．承包人应建立专项应急响应预案，包括重大人身伤亡事故的救护预案、火灾响应预案、“四防”预案（防风、防冻、防雷、防暴雨）、重大疫病防护预案、环境污染防护预案、地质灾害防护预案等。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6．承包人应对应急预案进行适当演练，保证应急预案的可操作性。</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7．在工地的其他施工单位发生重大事故时，承包人应无条件立即配合、支持事故抢险。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8．承包人必须为事故处置支付各项费用，包括受伤者的抚恤、补偿等费用，并按合同要求赔偿对发包人造成的损失。</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9．由于发包人原因而造成的事故，发包人应负责按事故的具体损失情况给予承包人经济赔偿。</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10．涉及承包人员工的伤害事故，承包人除要报告发包人委托的监理公司外，还应负责按照国家、行业和本单位上级公司的要求，上报事故。</w:t>
      </w:r>
    </w:p>
    <w:p>
      <w:pPr>
        <w:spacing w:line="360" w:lineRule="auto"/>
        <w:ind w:firstLine="420" w:firstLineChars="200"/>
        <w:rPr>
          <w:rFonts w:ascii="宋体" w:hAnsi="宋体"/>
          <w:color w:val="auto"/>
          <w:szCs w:val="21"/>
          <w:highlight w:val="none"/>
        </w:rPr>
      </w:pPr>
      <w:bookmarkStart w:id="1268" w:name="_Toc532375716"/>
      <w:bookmarkStart w:id="1269" w:name="_Toc239510307"/>
      <w:bookmarkStart w:id="1270" w:name="_Toc247431441"/>
      <w:bookmarkStart w:id="1271" w:name="_Toc247418281"/>
      <w:r>
        <w:rPr>
          <w:rFonts w:hint="eastAsia" w:ascii="宋体" w:hAnsi="宋体"/>
          <w:color w:val="auto"/>
          <w:szCs w:val="21"/>
          <w:highlight w:val="none"/>
        </w:rPr>
        <w:t>十六、安全业绩考核</w:t>
      </w:r>
      <w:bookmarkEnd w:id="1268"/>
      <w:bookmarkEnd w:id="1269"/>
      <w:bookmarkEnd w:id="1270"/>
      <w:bookmarkEnd w:id="1271"/>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为了落实安全管理的责任，承包人在施工过程中发生安全事故时，承包人除应按国家有关规定承担责任和处罚外，发包人还将按照以下标准进行考核：</w:t>
      </w:r>
    </w:p>
    <w:tbl>
      <w:tblPr>
        <w:tblStyle w:val="45"/>
        <w:tblW w:w="7005" w:type="dxa"/>
        <w:jc w:val="center"/>
        <w:tblLayout w:type="fixed"/>
        <w:tblCellMar>
          <w:top w:w="0" w:type="dxa"/>
          <w:left w:w="0" w:type="dxa"/>
          <w:bottom w:w="0" w:type="dxa"/>
          <w:right w:w="0" w:type="dxa"/>
        </w:tblCellMar>
      </w:tblPr>
      <w:tblGrid>
        <w:gridCol w:w="3240"/>
        <w:gridCol w:w="3765"/>
      </w:tblGrid>
      <w:tr>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违约金额</w:t>
            </w:r>
          </w:p>
        </w:tc>
      </w:tr>
      <w:tr>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较大事故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签约合同价</w:t>
            </w:r>
            <w:r>
              <w:rPr>
                <w:rFonts w:hint="eastAsia" w:ascii="宋体" w:hAnsi="宋体"/>
                <w:color w:val="auto"/>
                <w:szCs w:val="21"/>
                <w:highlight w:val="none"/>
              </w:rPr>
              <w:t>的0.5‰</w:t>
            </w:r>
          </w:p>
        </w:tc>
      </w:tr>
      <w:tr>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重大事故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签约合同价的2‰</w:t>
            </w:r>
          </w:p>
        </w:tc>
      </w:tr>
      <w:tr>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特别重大事故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签约合同价的4‰</w:t>
            </w:r>
          </w:p>
        </w:tc>
      </w:tr>
    </w:tbl>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（1）较大事故，是指造成3人以上10人以下死亡，或者10人以上50人以下重伤，或者1000万元以上5000万元以下直接经济损失的事故；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（2）重大事故，是指造成10人以上30人以下死亡，或者50人以上100人以下重伤，或者5000万元以上1亿元以下直接经济损失的事故；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（3）特别重大事故，是指造成30人以上死亡，或者100人以上重伤（包括急性工业中毒，下同），或者1亿元以上直接经济损失的事故；</w:t>
      </w:r>
    </w:p>
    <w:p>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（4）所称的“以上”包括本数，所称的“以下”不包括本数。</w:t>
      </w:r>
    </w:p>
    <w:p>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（5）如整个施工过程未发生以上安全事故，则给予承包人建安费总额的1‰的安全奖励。</w:t>
      </w:r>
    </w:p>
    <w:p>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pPr>
        <w:spacing w:line="276" w:lineRule="auto"/>
        <w:ind w:firstLine="420" w:firstLineChars="200"/>
        <w:rPr>
          <w:rFonts w:ascii="宋体" w:hAnsi="宋体"/>
          <w:color w:val="auto"/>
          <w:szCs w:val="21"/>
          <w:highlight w:val="none"/>
        </w:rPr>
      </w:pPr>
      <w:bookmarkStart w:id="1272" w:name="_Toc239510308"/>
      <w:bookmarkStart w:id="1273" w:name="_Toc247418282"/>
      <w:bookmarkStart w:id="1274" w:name="_Toc247431442"/>
      <w:bookmarkStart w:id="1275" w:name="_Toc532375717"/>
      <w:r>
        <w:rPr>
          <w:rFonts w:hint="eastAsia" w:ascii="宋体" w:hAnsi="宋体"/>
          <w:color w:val="auto"/>
          <w:szCs w:val="21"/>
          <w:highlight w:val="none"/>
        </w:rPr>
        <w:t>十七、协议条款的修订</w:t>
      </w:r>
      <w:bookmarkEnd w:id="1272"/>
      <w:bookmarkEnd w:id="1273"/>
      <w:bookmarkEnd w:id="1274"/>
      <w:bookmarkEnd w:id="1275"/>
    </w:p>
    <w:p>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在项目实施过程中，经双方友好协商，本协议的有关条款也可做出相应的修改。</w:t>
      </w:r>
    </w:p>
    <w:p>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本工程安全管理协议，由发包人、承包人双方在施工承包合同签订后7天内共同签署，作为施工合同附件。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  包  人（单位公章）：</w:t>
      </w:r>
      <w:r>
        <w:rPr>
          <w:rFonts w:hint="eastAsia" w:ascii="宋体" w:hAnsi="宋体" w:cs="宋体"/>
          <w:color w:val="auto"/>
          <w:szCs w:val="21"/>
          <w:highlight w:val="none"/>
          <w:u w:val="singl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或其委托代理人（签名）：</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p>
    <w:p>
      <w:pPr>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承  包  人（单位公章）：</w:t>
      </w:r>
      <w:r>
        <w:rPr>
          <w:rFonts w:hint="eastAsia" w:ascii="宋体" w:hAnsi="宋体" w:cs="宋体"/>
          <w:color w:val="auto"/>
          <w:szCs w:val="21"/>
          <w:highlight w:val="none"/>
          <w:u w:val="singl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s="宋体"/>
          <w:color w:val="auto"/>
          <w:szCs w:val="21"/>
          <w:highlight w:val="none"/>
          <w:u w:val="single"/>
        </w:rPr>
        <w:t xml:space="preserve">                       </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或其委托代理人（签名）：</w:t>
      </w:r>
      <w:r>
        <w:rPr>
          <w:rFonts w:hint="eastAsia" w:ascii="宋体" w:hAnsi="宋体" w:cs="宋体"/>
          <w:color w:val="auto"/>
          <w:szCs w:val="21"/>
          <w:highlight w:val="none"/>
          <w:u w:val="single"/>
        </w:rPr>
        <w:t xml:space="preserve">                   </w:t>
      </w:r>
    </w:p>
    <w:p>
      <w:pPr>
        <w:snapToGrid w:val="0"/>
        <w:spacing w:line="360" w:lineRule="auto"/>
        <w:jc w:val="left"/>
        <w:rPr>
          <w:rFonts w:ascii="宋体" w:hAnsi="宋体"/>
          <w:color w:val="auto"/>
          <w:kern w:val="0"/>
          <w:szCs w:val="21"/>
          <w:highlight w:val="none"/>
        </w:rPr>
      </w:pPr>
      <w:r>
        <w:rPr>
          <w:rFonts w:hint="eastAsia" w:ascii="宋体" w:hAnsi="宋体"/>
          <w:color w:val="auto"/>
          <w:szCs w:val="21"/>
          <w:highlight w:val="none"/>
        </w:rPr>
        <w:br w:type="page"/>
      </w:r>
    </w:p>
    <w:p>
      <w:pPr>
        <w:spacing w:line="480" w:lineRule="auto"/>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10</w:t>
      </w:r>
      <w:r>
        <w:rPr>
          <w:rFonts w:hint="eastAsia" w:ascii="宋体" w:hAnsi="宋体"/>
          <w:color w:val="auto"/>
          <w:szCs w:val="21"/>
          <w:highlight w:val="none"/>
        </w:rPr>
        <w:t>：</w:t>
      </w:r>
    </w:p>
    <w:p>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保障农民工工资支付协议</w:t>
      </w:r>
    </w:p>
    <w:p>
      <w:pPr>
        <w:snapToGrid w:val="0"/>
        <w:spacing w:line="480" w:lineRule="auto"/>
        <w:rPr>
          <w:rFonts w:ascii="宋体" w:hAnsi="宋体"/>
          <w:color w:val="auto"/>
          <w:szCs w:val="21"/>
          <w:highlight w:val="none"/>
        </w:rPr>
      </w:pPr>
      <w:r>
        <w:rPr>
          <w:rFonts w:hint="eastAsia" w:ascii="宋体" w:hAnsi="宋体"/>
          <w:color w:val="auto"/>
          <w:szCs w:val="21"/>
          <w:highlight w:val="none"/>
        </w:rPr>
        <w:t xml:space="preserve"> 发包人：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（发包人）</w:t>
      </w: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承包人：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（承包人）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四、若发现承包人有下列事项的，发包人在支付当期进度款时暂扣当期应支付进度款5%比例的款项。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（一）现场检查发现项目存在拖欠农民工工资情况并经核查属实的；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（二）相关行政管理部门检查发现存在拖欠农民工工资情况并经核查属实的；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（三）有拖欠农民工工资投诉事项并经核查属实的。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pPr>
        <w:tabs>
          <w:tab w:val="left" w:pos="1080"/>
          <w:tab w:val="left" w:pos="1260"/>
          <w:tab w:val="left" w:pos="1440"/>
        </w:tabs>
        <w:spacing w:line="360" w:lineRule="auto"/>
        <w:ind w:firstLine="420" w:firstLineChars="200"/>
        <w:rPr>
          <w:rFonts w:ascii="宋体" w:hAnsi="宋体"/>
          <w:snapToGrid w:val="0"/>
          <w:color w:val="auto"/>
          <w:spacing w:val="-4"/>
          <w:kern w:val="0"/>
          <w:szCs w:val="21"/>
          <w:highlight w:val="none"/>
        </w:rPr>
      </w:pPr>
      <w:r>
        <w:rPr>
          <w:rFonts w:hint="eastAsia" w:ascii="宋体" w:hAnsi="宋体"/>
          <w:color w:val="auto"/>
          <w:szCs w:val="21"/>
          <w:highlight w:val="none"/>
        </w:rPr>
        <w:t>六、本协议经双方法定代表人或委托代理人签名并加盖单位公章后生效，履行完毕后自然失效。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1、关于农民工工资发放情况的说明表</w:t>
      </w:r>
    </w:p>
    <w:p>
      <w:pPr>
        <w:pStyle w:val="2"/>
        <w:spacing w:line="360" w:lineRule="auto"/>
        <w:ind w:firstLine="420" w:firstLineChars="200"/>
        <w:rPr>
          <w:rFonts w:ascii="宋体" w:hAnsi="宋体"/>
          <w:color w:val="auto"/>
          <w:szCs w:val="21"/>
          <w:highlight w:val="none"/>
        </w:rPr>
      </w:pPr>
    </w:p>
    <w:p>
      <w:pPr>
        <w:pStyle w:val="2"/>
        <w:spacing w:line="360" w:lineRule="auto"/>
        <w:ind w:firstLine="420" w:firstLineChars="200"/>
        <w:rPr>
          <w:rFonts w:ascii="宋体" w:hAnsi="宋体"/>
          <w:color w:val="auto"/>
          <w:szCs w:val="21"/>
          <w:highlight w:val="none"/>
        </w:rPr>
      </w:pPr>
    </w:p>
    <w:p>
      <w:pPr>
        <w:pStyle w:val="2"/>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（以下无正文）</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p>
    <w:p>
      <w:pPr>
        <w:pStyle w:val="2"/>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（发包人）</w:t>
      </w:r>
    </w:p>
    <w:p>
      <w:pPr>
        <w:spacing w:line="360" w:lineRule="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szCs w:val="21"/>
          <w:highlight w:val="none"/>
          <w:u w:val="singl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rPr>
        <w:t>或委托代理人：</w:t>
      </w:r>
      <w:r>
        <w:rPr>
          <w:rFonts w:hint="eastAsia" w:ascii="宋体" w:hAnsi="宋体" w:cs="宋体"/>
          <w:color w:val="auto"/>
          <w:szCs w:val="21"/>
          <w:highlight w:val="none"/>
          <w:u w:val="singl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s="宋体"/>
          <w:color w:val="auto"/>
          <w:szCs w:val="21"/>
          <w:highlight w:val="none"/>
          <w:u w:val="single"/>
        </w:rPr>
        <w:t xml:space="preserve">       </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承包人：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（承包人）</w:t>
      </w:r>
    </w:p>
    <w:p>
      <w:pPr>
        <w:spacing w:line="360" w:lineRule="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szCs w:val="21"/>
          <w:highlight w:val="none"/>
          <w:u w:val="singl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rPr>
        <w:t>或委托代理人：</w:t>
      </w:r>
      <w:r>
        <w:rPr>
          <w:rFonts w:hint="eastAsia" w:ascii="宋体" w:hAnsi="宋体" w:cs="宋体"/>
          <w:color w:val="auto"/>
          <w:szCs w:val="21"/>
          <w:highlight w:val="none"/>
          <w:u w:val="singl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s="宋体"/>
          <w:color w:val="auto"/>
          <w:szCs w:val="21"/>
          <w:highlight w:val="none"/>
          <w:u w:val="single"/>
        </w:rPr>
        <w:t xml:space="preserve">       </w:t>
      </w:r>
    </w:p>
    <w:p>
      <w:pPr>
        <w:snapToGrid w:val="0"/>
        <w:spacing w:line="360" w:lineRule="auto"/>
        <w:ind w:firstLine="560"/>
        <w:rPr>
          <w:rFonts w:ascii="宋体" w:hAnsi="宋体"/>
          <w:color w:val="auto"/>
          <w:szCs w:val="21"/>
          <w:highlight w:val="none"/>
        </w:rPr>
      </w:pPr>
    </w:p>
    <w:p>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保障农民工工资支付协议附件1：</w:t>
      </w:r>
    </w:p>
    <w:p>
      <w:pPr>
        <w:widowControl/>
        <w:snapToGrid w:val="0"/>
        <w:spacing w:after="100" w:afterAutospacing="1" w:line="480" w:lineRule="auto"/>
        <w:jc w:val="center"/>
        <w:rPr>
          <w:rFonts w:ascii="宋体" w:hAnsi="宋体"/>
          <w:color w:val="auto"/>
          <w:szCs w:val="21"/>
          <w:highlight w:val="none"/>
        </w:rPr>
      </w:pPr>
      <w:r>
        <w:rPr>
          <w:rFonts w:hint="eastAsia" w:ascii="宋体" w:hAnsi="宋体"/>
          <w:color w:val="auto"/>
          <w:szCs w:val="21"/>
          <w:highlight w:val="none"/>
        </w:rPr>
        <w:t>关于农民工工资发放情况的说明表</w:t>
      </w:r>
    </w:p>
    <w:tbl>
      <w:tblPr>
        <w:tblStyle w:val="45"/>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pPr>
              <w:widowControl/>
              <w:snapToGrid w:val="0"/>
              <w:spacing w:after="100" w:afterAutospacing="1" w:line="400" w:lineRule="exact"/>
              <w:jc w:val="left"/>
              <w:rPr>
                <w:rFonts w:ascii="宋体" w:hAnsi="宋体"/>
                <w:color w:val="auto"/>
                <w:kern w:val="0"/>
                <w:szCs w:val="21"/>
                <w:highlight w:val="none"/>
              </w:rPr>
            </w:pPr>
            <w:r>
              <w:rPr>
                <w:rFonts w:hint="eastAsia" w:ascii="宋体" w:hAnsi="宋体"/>
                <w:color w:val="auto"/>
                <w:kern w:val="0"/>
                <w:szCs w:val="21"/>
                <w:highlight w:val="none"/>
              </w:rPr>
              <w:t>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施工单位：</w:t>
            </w:r>
          </w:p>
        </w:tc>
        <w:tc>
          <w:tcPr>
            <w:tcW w:w="6201" w:type="dxa"/>
          </w:tcPr>
          <w:p>
            <w:pPr>
              <w:widowControl/>
              <w:snapToGrid w:val="0"/>
              <w:spacing w:after="100" w:afterAutospacing="1" w:line="400" w:lineRule="exact"/>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监理单位：</w:t>
            </w:r>
          </w:p>
        </w:tc>
        <w:tc>
          <w:tcPr>
            <w:tcW w:w="6201" w:type="dxa"/>
          </w:tcPr>
          <w:p>
            <w:pPr>
              <w:widowControl/>
              <w:snapToGrid w:val="0"/>
              <w:spacing w:after="100" w:afterAutospacing="1" w:line="400" w:lineRule="exact"/>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pPr>
              <w:widowControl/>
              <w:snapToGrid w:val="0"/>
              <w:spacing w:after="100" w:afterAutospacing="1" w:line="400" w:lineRule="exact"/>
              <w:rPr>
                <w:rFonts w:ascii="宋体" w:hAnsi="宋体"/>
                <w:color w:val="auto"/>
                <w:kern w:val="0"/>
                <w:szCs w:val="21"/>
                <w:highlight w:val="none"/>
                <w:u w:val="single"/>
              </w:rPr>
            </w:pPr>
          </w:p>
          <w:p>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（项目业主单位名称）：</w:t>
            </w:r>
          </w:p>
          <w:p>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 xml:space="preserve">    我单位负责承建的（工程名称）无拖欠农民工资的情况，贵单位先期支付我单位的工程款已优先用于支付了农民工工资，农民工工资全部按时足额进行了发放，请贵单位予以审核。</w:t>
            </w:r>
          </w:p>
          <w:p>
            <w:pPr>
              <w:pStyle w:val="2"/>
              <w:rPr>
                <w:color w:val="auto"/>
                <w:highlight w:val="none"/>
              </w:rPr>
            </w:pPr>
          </w:p>
          <w:p>
            <w:pPr>
              <w:widowControl/>
              <w:snapToGrid w:val="0"/>
              <w:spacing w:after="100" w:afterAutospacing="1" w:line="400" w:lineRule="exact"/>
              <w:ind w:firstLine="1260" w:firstLineChars="600"/>
              <w:rPr>
                <w:rFonts w:ascii="宋体" w:hAnsi="宋体"/>
                <w:color w:val="auto"/>
                <w:kern w:val="0"/>
                <w:szCs w:val="21"/>
                <w:highlight w:val="none"/>
                <w:u w:val="single"/>
              </w:rPr>
            </w:pPr>
            <w:r>
              <w:rPr>
                <w:rFonts w:hint="eastAsia" w:ascii="宋体" w:hAnsi="宋体"/>
                <w:color w:val="auto"/>
                <w:kern w:val="0"/>
                <w:szCs w:val="21"/>
                <w:highlight w:val="none"/>
              </w:rPr>
              <w:t>施工单位项目负责人签名（加盖项目章）：</w:t>
            </w:r>
            <w:r>
              <w:rPr>
                <w:rFonts w:hint="eastAsia" w:ascii="宋体" w:hAnsi="宋体"/>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pPr>
              <w:widowControl/>
              <w:snapToGrid w:val="0"/>
              <w:spacing w:after="100" w:afterAutospacing="1"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监理单位意见：</w:t>
            </w:r>
          </w:p>
        </w:tc>
        <w:tc>
          <w:tcPr>
            <w:tcW w:w="6201" w:type="dxa"/>
          </w:tcPr>
          <w:p>
            <w:pPr>
              <w:widowControl/>
              <w:snapToGrid w:val="0"/>
              <w:spacing w:after="100" w:afterAutospacing="1" w:line="400" w:lineRule="exact"/>
              <w:rPr>
                <w:rFonts w:ascii="宋体" w:hAnsi="宋体"/>
                <w:color w:val="auto"/>
                <w:kern w:val="0"/>
                <w:szCs w:val="21"/>
                <w:highlight w:val="none"/>
                <w:u w:val="single"/>
              </w:rPr>
            </w:pPr>
          </w:p>
          <w:p>
            <w:pPr>
              <w:widowControl/>
              <w:snapToGrid w:val="0"/>
              <w:spacing w:after="100" w:afterAutospacing="1" w:line="400" w:lineRule="exact"/>
              <w:rPr>
                <w:rFonts w:ascii="宋体" w:hAnsi="宋体"/>
                <w:color w:val="auto"/>
                <w:kern w:val="0"/>
                <w:szCs w:val="21"/>
                <w:highlight w:val="none"/>
                <w:u w:val="single"/>
              </w:rPr>
            </w:pPr>
            <w:r>
              <w:rPr>
                <w:rFonts w:hint="eastAsia" w:ascii="宋体" w:hAnsi="宋体"/>
                <w:color w:val="auto"/>
                <w:kern w:val="0"/>
                <w:szCs w:val="21"/>
                <w:highlight w:val="none"/>
              </w:rPr>
              <w:t xml:space="preserve">             总监签名并加盖项目章：</w:t>
            </w:r>
            <w:r>
              <w:rPr>
                <w:rFonts w:hint="eastAsia" w:ascii="宋体" w:hAnsi="宋体"/>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pPr>
              <w:widowControl/>
              <w:snapToGrid w:val="0"/>
              <w:spacing w:after="100" w:afterAutospacing="1" w:line="400" w:lineRule="exact"/>
              <w:jc w:val="center"/>
              <w:rPr>
                <w:rFonts w:ascii="宋体" w:hAnsi="宋体"/>
                <w:color w:val="auto"/>
                <w:kern w:val="0"/>
                <w:szCs w:val="21"/>
                <w:highlight w:val="none"/>
              </w:rPr>
            </w:pPr>
            <w:r>
              <w:rPr>
                <w:rFonts w:hint="eastAsia" w:ascii="宋体" w:hAnsi="宋体"/>
                <w:color w:val="auto"/>
                <w:kern w:val="0"/>
                <w:szCs w:val="21"/>
                <w:highlight w:val="none"/>
              </w:rPr>
              <w:t>工程部项目负责人意见：</w:t>
            </w:r>
          </w:p>
        </w:tc>
        <w:tc>
          <w:tcPr>
            <w:tcW w:w="6201" w:type="dxa"/>
          </w:tcPr>
          <w:p>
            <w:pPr>
              <w:widowControl/>
              <w:snapToGrid w:val="0"/>
              <w:spacing w:after="100" w:afterAutospacing="1" w:line="400" w:lineRule="exact"/>
              <w:rPr>
                <w:rFonts w:ascii="宋体" w:hAnsi="宋体"/>
                <w:color w:val="auto"/>
                <w:kern w:val="0"/>
                <w:szCs w:val="21"/>
                <w:highlight w:val="none"/>
                <w:u w:val="single"/>
              </w:rPr>
            </w:pPr>
          </w:p>
          <w:p>
            <w:pPr>
              <w:widowControl/>
              <w:snapToGrid w:val="0"/>
              <w:spacing w:after="100" w:afterAutospacing="1" w:line="400" w:lineRule="exact"/>
              <w:rPr>
                <w:rFonts w:ascii="宋体" w:hAnsi="宋体"/>
                <w:color w:val="auto"/>
                <w:kern w:val="0"/>
                <w:szCs w:val="21"/>
                <w:highlight w:val="none"/>
                <w:u w:val="single"/>
              </w:rPr>
            </w:pPr>
            <w:r>
              <w:rPr>
                <w:rFonts w:hint="eastAsia" w:ascii="宋体" w:hAnsi="宋体"/>
                <w:color w:val="auto"/>
                <w:kern w:val="0"/>
                <w:szCs w:val="21"/>
                <w:highlight w:val="none"/>
              </w:rPr>
              <w:t xml:space="preserve">                   项目负责人签名：</w:t>
            </w:r>
            <w:r>
              <w:rPr>
                <w:rFonts w:hint="eastAsia" w:ascii="宋体" w:hAnsi="宋体"/>
                <w:color w:val="auto"/>
                <w:kern w:val="0"/>
                <w:szCs w:val="21"/>
                <w:highlight w:val="none"/>
                <w:u w:val="single"/>
              </w:rPr>
              <w:t xml:space="preserve">        </w:t>
            </w:r>
          </w:p>
        </w:tc>
      </w:tr>
    </w:tbl>
    <w:p>
      <w:pPr>
        <w:rPr>
          <w:rFonts w:ascii="宋体" w:hAnsi="宋体"/>
          <w:color w:val="auto"/>
          <w:sz w:val="24"/>
          <w:highlight w:val="none"/>
        </w:rPr>
      </w:pPr>
      <w:r>
        <w:rPr>
          <w:rFonts w:ascii="宋体" w:hAnsi="宋体"/>
          <w:color w:val="auto"/>
          <w:sz w:val="24"/>
          <w:highlight w:val="none"/>
        </w:rPr>
        <w:br w:type="page"/>
      </w:r>
    </w:p>
    <w:p>
      <w:pPr>
        <w:spacing w:line="360" w:lineRule="auto"/>
        <w:rPr>
          <w:rFonts w:ascii="宋体" w:hAnsi="宋体"/>
          <w:color w:val="auto"/>
          <w:szCs w:val="21"/>
          <w:highlight w:val="none"/>
        </w:rPr>
      </w:pPr>
      <w:r>
        <w:rPr>
          <w:rFonts w:hint="eastAsia" w:ascii="宋体" w:hAnsi="宋体"/>
          <w:color w:val="auto"/>
          <w:szCs w:val="21"/>
          <w:highlight w:val="none"/>
        </w:rPr>
        <w:t>附件11：低价风险担保保函示范文本（独立保函）（如有）</w:t>
      </w:r>
    </w:p>
    <w:p>
      <w:pPr>
        <w:spacing w:line="360" w:lineRule="auto"/>
        <w:jc w:val="center"/>
        <w:rPr>
          <w:rFonts w:ascii="宋体" w:hAnsi="宋体" w:cs="宋体"/>
          <w:b/>
          <w:bCs/>
          <w:color w:val="auto"/>
          <w:szCs w:val="21"/>
          <w:highlight w:val="none"/>
        </w:rPr>
      </w:pP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低价风险担保保函示范文本</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（独立保函）</w:t>
      </w:r>
    </w:p>
    <w:p>
      <w:pPr>
        <w:wordWrap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编号：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申请人：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地址：</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受益人：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地址：</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开立人：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地址：</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w:t>
      </w:r>
    </w:p>
    <w:p>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p>
      <w:pPr>
        <w:pStyle w:val="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（以下简称“申请人”）于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（项目名称）的投标，收到受益人于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发的中标通知书，成为该项目的中标人。基于申请人的请求，我方同意就申请人履行该项目中标通知书、招标文件和竞选文件约定的义务，向贵方提供不可撤销、不可转让的见索即付独立保函（以下简称“本保函”）。</w:t>
      </w:r>
    </w:p>
    <w:p>
      <w:pPr>
        <w:pStyle w:val="2"/>
        <w:numPr>
          <w:ilvl w:val="0"/>
          <w:numId w:val="2"/>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保函担保范围：申请人未按照中标通知书、招标文件和竞选文件约定签订合同或未按签订的合同约定履行相关义务，应当向贵方承担的违约责任和赔偿因此造成的损失、利息、律师费、诉讼费用等实现债权的费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三、本保函有效期自开立之日起至合同约定的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日止，最迟不超过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四、我方承诺，在收到受益人发来的书面付款通知后的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工作日内无条件支付，前述书面付款通知即为付款要求之单据，且应满足以下要求：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（2）载明要求支付的金额；</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（3）载明申请人未按照中标通知书、招标文件和竞选文件约定签订合同或违反合同义务的条款和内容；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（4）付款通知中应声明不存在招标文件约定、合同文件约定或我国法律规定免除申请人或开立人支付责任的情形；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受益人发出的书面付款通知应由其为鉴明受益人法定代表人（负责人）或授权代理人签名加盖公章。</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五、本保函项下的权利不得转让，不得设定担保。贵方未经我方书面同意转让本保函或其项下任何权利，对我方不发生法律效力。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六、与本保函有关的合同不成立、不生效、无效、被撤销、被解除，不影响本保函的独立有效。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八、本保函适用的法律为中华人民共和国法律，争议裁判管辖地为中华人民共和国</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九、本保函自我方法定代表人或授权代表签名并加盖公章之日起生效。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开 立 人：                              （公章）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法定代表人（或授权代表）：              （签名）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地    址：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邮政编码：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电    话：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传    真：                 </w:t>
      </w:r>
    </w:p>
    <w:p>
      <w:pPr>
        <w:spacing w:line="360" w:lineRule="auto"/>
        <w:ind w:firstLine="420" w:firstLineChars="200"/>
        <w:rPr>
          <w:color w:val="auto"/>
          <w:highlight w:val="none"/>
        </w:rPr>
      </w:pPr>
      <w:r>
        <w:rPr>
          <w:rFonts w:hint="eastAsia" w:ascii="宋体" w:hAnsi="宋体" w:cs="宋体"/>
          <w:color w:val="auto"/>
          <w:szCs w:val="21"/>
          <w:highlight w:val="none"/>
        </w:rPr>
        <w:t>开立时间：      年      月     日</w:t>
      </w:r>
      <w:bookmarkEnd w:id="335"/>
      <w:bookmarkStart w:id="1276" w:name="招标文件05章工程量清单"/>
      <w:bookmarkEnd w:id="1276"/>
    </w:p>
    <w:p>
      <w:pPr>
        <w:rPr>
          <w:color w:val="auto"/>
          <w:highlight w:val="none"/>
        </w:rPr>
      </w:pPr>
    </w:p>
    <w:p>
      <w:pPr>
        <w:rPr>
          <w:rFonts w:hint="eastAsia" w:ascii="宋体" w:hAnsi="宋体"/>
          <w:color w:val="auto"/>
          <w:highlight w:val="none"/>
        </w:rPr>
      </w:pPr>
      <w:r>
        <w:rPr>
          <w:rFonts w:hint="eastAsia" w:ascii="宋体" w:hAnsi="宋体"/>
          <w:color w:val="auto"/>
          <w:highlight w:val="none"/>
        </w:rPr>
        <w:br w:type="page"/>
      </w:r>
    </w:p>
    <w:p>
      <w:pPr>
        <w:pStyle w:val="2"/>
        <w:rPr>
          <w:rFonts w:hint="eastAsia"/>
          <w:color w:val="auto"/>
          <w:highlight w:val="none"/>
        </w:rPr>
      </w:pPr>
    </w:p>
    <w:p>
      <w:pPr>
        <w:pStyle w:val="3"/>
        <w:spacing w:before="0" w:after="0" w:line="360" w:lineRule="auto"/>
        <w:jc w:val="center"/>
        <w:rPr>
          <w:rFonts w:ascii="宋体" w:hAnsi="宋体"/>
          <w:color w:val="auto"/>
          <w:highlight w:val="none"/>
        </w:rPr>
      </w:pPr>
      <w:r>
        <w:rPr>
          <w:rFonts w:hint="eastAsia" w:ascii="宋体" w:hAnsi="宋体"/>
          <w:color w:val="auto"/>
          <w:highlight w:val="none"/>
        </w:rPr>
        <w:t>第五章  工程量清单</w:t>
      </w:r>
      <w:bookmarkEnd w:id="323"/>
      <w:bookmarkEnd w:id="324"/>
      <w:bookmarkEnd w:id="325"/>
      <w:bookmarkEnd w:id="326"/>
      <w:bookmarkEnd w:id="327"/>
      <w:bookmarkEnd w:id="328"/>
      <w:bookmarkEnd w:id="329"/>
      <w:bookmarkStart w:id="1277" w:name="招标文件05章工程量清单01"/>
      <w:bookmarkEnd w:id="1277"/>
      <w:bookmarkStart w:id="1278" w:name="_Toc430530514"/>
      <w:bookmarkStart w:id="1279" w:name="_Toc224103477"/>
      <w:bookmarkStart w:id="1280" w:name="_Toc287620798"/>
      <w:bookmarkStart w:id="1281" w:name="_Toc287607856"/>
      <w:bookmarkStart w:id="1282" w:name="_Toc277082638"/>
    </w:p>
    <w:bookmarkEnd w:id="1278"/>
    <w:bookmarkEnd w:id="1279"/>
    <w:bookmarkEnd w:id="1280"/>
    <w:bookmarkEnd w:id="1281"/>
    <w:bookmarkEnd w:id="1282"/>
    <w:p>
      <w:pPr>
        <w:snapToGrid w:val="0"/>
        <w:spacing w:line="360" w:lineRule="auto"/>
        <w:jc w:val="center"/>
        <w:rPr>
          <w:rFonts w:ascii="宋体" w:hAnsi="宋体"/>
          <w:color w:val="auto"/>
          <w:sz w:val="24"/>
          <w:highlight w:val="none"/>
        </w:rPr>
      </w:pPr>
    </w:p>
    <w:p>
      <w:pPr>
        <w:snapToGrid w:val="0"/>
        <w:spacing w:line="360" w:lineRule="auto"/>
        <w:jc w:val="center"/>
        <w:rPr>
          <w:rFonts w:ascii="宋体" w:hAnsi="宋体"/>
          <w:color w:val="auto"/>
          <w:szCs w:val="21"/>
          <w:highlight w:val="none"/>
        </w:rPr>
      </w:pPr>
      <w:r>
        <w:rPr>
          <w:rFonts w:hint="eastAsia" w:ascii="宋体" w:hAnsi="宋体"/>
          <w:color w:val="auto"/>
          <w:szCs w:val="20"/>
          <w:highlight w:val="none"/>
          <w:lang w:val="en-US" w:eastAsia="zh-CN"/>
        </w:rPr>
        <w:t>同招标文件一并发布</w:t>
      </w:r>
      <w:r>
        <w:rPr>
          <w:rFonts w:hint="eastAsia" w:ascii="宋体" w:hAnsi="宋体"/>
          <w:color w:val="auto"/>
          <w:szCs w:val="20"/>
          <w:highlight w:val="none"/>
        </w:rPr>
        <w:t>。</w:t>
      </w:r>
    </w:p>
    <w:p>
      <w:pPr>
        <w:ind w:right="561"/>
        <w:rPr>
          <w:rFonts w:ascii="宋体" w:hAnsi="宋体"/>
          <w:color w:val="auto"/>
          <w:szCs w:val="21"/>
          <w:highlight w:val="none"/>
        </w:rPr>
      </w:pPr>
      <w:r>
        <w:rPr>
          <w:rFonts w:ascii="宋体" w:hAnsi="宋体"/>
          <w:color w:val="auto"/>
          <w:sz w:val="24"/>
          <w:highlight w:val="none"/>
        </w:rPr>
        <w:br w:type="page"/>
      </w:r>
    </w:p>
    <w:p>
      <w:pPr>
        <w:pStyle w:val="3"/>
        <w:spacing w:before="0" w:after="0" w:line="360" w:lineRule="auto"/>
        <w:jc w:val="center"/>
        <w:rPr>
          <w:rFonts w:ascii="宋体" w:hAnsi="宋体"/>
          <w:color w:val="auto"/>
          <w:sz w:val="52"/>
          <w:szCs w:val="52"/>
          <w:highlight w:val="none"/>
        </w:rPr>
      </w:pPr>
      <w:bookmarkStart w:id="1283" w:name="_Toc509218844"/>
      <w:bookmarkStart w:id="1284" w:name="_Toc534185823"/>
      <w:bookmarkStart w:id="1285" w:name="_Toc13474"/>
      <w:bookmarkStart w:id="1286" w:name="_Toc27984"/>
      <w:r>
        <w:rPr>
          <w:rFonts w:ascii="宋体" w:hAnsi="宋体"/>
          <w:color w:val="auto"/>
          <w:sz w:val="52"/>
          <w:szCs w:val="52"/>
          <w:highlight w:val="none"/>
        </w:rPr>
        <w:t>第 二 卷</w:t>
      </w:r>
      <w:bookmarkEnd w:id="1283"/>
      <w:bookmarkEnd w:id="1284"/>
      <w:bookmarkEnd w:id="1285"/>
      <w:bookmarkEnd w:id="1286"/>
    </w:p>
    <w:p>
      <w:pPr>
        <w:spacing w:line="360" w:lineRule="auto"/>
        <w:rPr>
          <w:rFonts w:ascii="宋体" w:hAnsi="宋体"/>
          <w:color w:val="auto"/>
          <w:szCs w:val="20"/>
          <w:highlight w:val="none"/>
        </w:rPr>
      </w:pPr>
      <w:r>
        <w:rPr>
          <w:rFonts w:ascii="宋体" w:hAnsi="宋体"/>
          <w:color w:val="auto"/>
          <w:szCs w:val="20"/>
          <w:highlight w:val="none"/>
        </w:rPr>
        <w:br w:type="page"/>
      </w:r>
    </w:p>
    <w:p>
      <w:pPr>
        <w:pStyle w:val="3"/>
        <w:spacing w:line="360" w:lineRule="auto"/>
        <w:jc w:val="center"/>
        <w:rPr>
          <w:rFonts w:ascii="宋体" w:hAnsi="宋体"/>
          <w:color w:val="auto"/>
          <w:highlight w:val="none"/>
        </w:rPr>
      </w:pPr>
      <w:bookmarkStart w:id="1287" w:name="招标文件06章图纸"/>
      <w:bookmarkEnd w:id="1287"/>
      <w:bookmarkStart w:id="1288" w:name="_Toc509218846"/>
      <w:bookmarkStart w:id="1289" w:name="_Toc287620803"/>
      <w:bookmarkStart w:id="1290" w:name="_Toc534185825"/>
      <w:bookmarkStart w:id="1291" w:name="_Toc22154"/>
      <w:bookmarkStart w:id="1292" w:name="_Toc287607861"/>
      <w:bookmarkStart w:id="1293" w:name="_Toc430530519"/>
      <w:bookmarkStart w:id="1294" w:name="_Toc10989"/>
      <w:r>
        <w:rPr>
          <w:rFonts w:hint="eastAsia" w:ascii="宋体" w:hAnsi="宋体"/>
          <w:color w:val="auto"/>
          <w:highlight w:val="none"/>
        </w:rPr>
        <w:t>第六章  图纸</w:t>
      </w:r>
      <w:bookmarkEnd w:id="1288"/>
      <w:bookmarkEnd w:id="1289"/>
      <w:bookmarkEnd w:id="1290"/>
      <w:bookmarkEnd w:id="1291"/>
      <w:bookmarkEnd w:id="1292"/>
      <w:bookmarkEnd w:id="1293"/>
      <w:bookmarkEnd w:id="1294"/>
    </w:p>
    <w:p>
      <w:pPr>
        <w:snapToGrid w:val="0"/>
        <w:spacing w:line="360" w:lineRule="auto"/>
        <w:jc w:val="center"/>
        <w:rPr>
          <w:rFonts w:ascii="宋体" w:hAnsi="宋体"/>
          <w:color w:val="auto"/>
          <w:szCs w:val="21"/>
          <w:highlight w:val="none"/>
        </w:rPr>
      </w:pPr>
      <w:r>
        <w:rPr>
          <w:rFonts w:hint="eastAsia" w:ascii="宋体" w:hAnsi="宋体"/>
          <w:color w:val="auto"/>
          <w:szCs w:val="20"/>
          <w:highlight w:val="none"/>
          <w:lang w:val="en-US" w:eastAsia="zh-CN"/>
        </w:rPr>
        <w:t>同招标文件一并发布</w:t>
      </w:r>
      <w:r>
        <w:rPr>
          <w:rFonts w:hint="eastAsia" w:ascii="宋体" w:hAnsi="宋体"/>
          <w:color w:val="auto"/>
          <w:szCs w:val="20"/>
          <w:highlight w:val="none"/>
        </w:rPr>
        <w:t>。</w:t>
      </w:r>
    </w:p>
    <w:p>
      <w:pPr>
        <w:spacing w:line="360" w:lineRule="auto"/>
        <w:jc w:val="center"/>
        <w:rPr>
          <w:rFonts w:ascii="宋体" w:hAnsi="宋体"/>
          <w:color w:val="auto"/>
          <w:szCs w:val="20"/>
          <w:highlight w:val="none"/>
        </w:rPr>
      </w:pPr>
    </w:p>
    <w:p>
      <w:pPr>
        <w:spacing w:line="360" w:lineRule="auto"/>
        <w:rPr>
          <w:rFonts w:ascii="宋体" w:hAnsi="宋体"/>
          <w:color w:val="auto"/>
          <w:szCs w:val="20"/>
          <w:highlight w:val="none"/>
        </w:rPr>
      </w:pPr>
      <w:bookmarkStart w:id="1295" w:name="招标文件06章图纸01"/>
      <w:bookmarkEnd w:id="1295"/>
      <w:bookmarkStart w:id="1296" w:name="_Toc287620804"/>
      <w:bookmarkStart w:id="1297" w:name="_Toc430530520"/>
    </w:p>
    <w:bookmarkEnd w:id="1296"/>
    <w:bookmarkEnd w:id="1297"/>
    <w:p>
      <w:pPr>
        <w:spacing w:line="360" w:lineRule="auto"/>
        <w:rPr>
          <w:rFonts w:ascii="宋体" w:hAnsi="宋体"/>
          <w:color w:val="auto"/>
          <w:highlight w:val="none"/>
        </w:rPr>
      </w:pPr>
      <w:r>
        <w:rPr>
          <w:rFonts w:ascii="宋体" w:hAnsi="宋体"/>
          <w:color w:val="auto"/>
          <w:szCs w:val="20"/>
          <w:highlight w:val="none"/>
        </w:rPr>
        <w:br w:type="page"/>
      </w:r>
    </w:p>
    <w:p>
      <w:pPr>
        <w:pStyle w:val="3"/>
        <w:spacing w:before="0" w:after="0" w:line="360" w:lineRule="auto"/>
        <w:jc w:val="center"/>
        <w:rPr>
          <w:rFonts w:ascii="宋体" w:hAnsi="宋体"/>
          <w:color w:val="auto"/>
          <w:sz w:val="52"/>
          <w:szCs w:val="52"/>
          <w:highlight w:val="none"/>
        </w:rPr>
      </w:pPr>
      <w:bookmarkStart w:id="1298" w:name="_Toc8804"/>
      <w:bookmarkStart w:id="1299" w:name="_Toc13645"/>
      <w:r>
        <w:rPr>
          <w:rFonts w:hint="eastAsia" w:ascii="宋体" w:hAnsi="宋体"/>
          <w:color w:val="auto"/>
          <w:sz w:val="52"/>
          <w:szCs w:val="52"/>
          <w:highlight w:val="none"/>
        </w:rPr>
        <w:t>第 三 卷</w:t>
      </w:r>
      <w:bookmarkEnd w:id="1298"/>
      <w:bookmarkEnd w:id="1299"/>
      <w:bookmarkStart w:id="1300" w:name="_Toc509218847"/>
      <w:bookmarkStart w:id="1301" w:name="_Toc13210772"/>
      <w:bookmarkStart w:id="1302" w:name="_Toc536796850"/>
      <w:bookmarkStart w:id="1303" w:name="_Toc13211764"/>
      <w:bookmarkStart w:id="1304" w:name="_Toc536621880"/>
      <w:bookmarkStart w:id="1305" w:name="_Toc536620100"/>
      <w:bookmarkStart w:id="1306" w:name="_Toc536797121"/>
      <w:bookmarkStart w:id="1307" w:name="_Toc536797390"/>
      <w:bookmarkStart w:id="1308" w:name="_Toc536796986"/>
      <w:bookmarkStart w:id="1309" w:name="_Toc536797255"/>
      <w:bookmarkStart w:id="1310" w:name="_Toc536619968"/>
      <w:bookmarkStart w:id="1311" w:name="_Toc536628344"/>
      <w:bookmarkStart w:id="1312" w:name="_Toc534185826"/>
      <w:bookmarkStart w:id="1313" w:name="_Toc13211206"/>
    </w:p>
    <w:bookmarkEnd w:id="1300"/>
    <w:p>
      <w:pPr>
        <w:rPr>
          <w:color w:val="auto"/>
          <w:highlight w:val="none"/>
        </w:rPr>
      </w:pPr>
      <w:r>
        <w:rPr>
          <w:color w:val="auto"/>
          <w:highlight w:val="none"/>
        </w:rPr>
        <w:br w:type="page"/>
      </w:r>
      <w:bookmarkEnd w:id="1301"/>
      <w:bookmarkEnd w:id="1302"/>
      <w:bookmarkEnd w:id="1303"/>
      <w:bookmarkEnd w:id="1304"/>
      <w:bookmarkEnd w:id="1305"/>
      <w:bookmarkEnd w:id="1306"/>
      <w:bookmarkEnd w:id="1307"/>
      <w:bookmarkEnd w:id="1308"/>
      <w:bookmarkEnd w:id="1309"/>
      <w:bookmarkEnd w:id="1310"/>
      <w:bookmarkEnd w:id="1311"/>
      <w:bookmarkEnd w:id="1312"/>
      <w:bookmarkEnd w:id="1313"/>
    </w:p>
    <w:p>
      <w:pPr>
        <w:pStyle w:val="3"/>
        <w:spacing w:line="360" w:lineRule="auto"/>
        <w:jc w:val="center"/>
        <w:rPr>
          <w:rFonts w:ascii="宋体" w:hAnsi="宋体"/>
          <w:color w:val="auto"/>
          <w:highlight w:val="none"/>
        </w:rPr>
      </w:pPr>
      <w:bookmarkStart w:id="1314" w:name="招标文件07章技术标准和要求"/>
      <w:bookmarkEnd w:id="1314"/>
      <w:bookmarkStart w:id="1315" w:name="_Toc17170"/>
      <w:bookmarkStart w:id="1316" w:name="_Toc30776"/>
      <w:r>
        <w:rPr>
          <w:rFonts w:ascii="宋体" w:hAnsi="宋体"/>
          <w:color w:val="auto"/>
          <w:highlight w:val="none"/>
        </w:rPr>
        <w:t>第七章</w:t>
      </w:r>
      <w:r>
        <w:rPr>
          <w:rFonts w:hint="eastAsia" w:ascii="宋体" w:hAnsi="宋体"/>
          <w:color w:val="auto"/>
          <w:highlight w:val="none"/>
        </w:rPr>
        <w:t xml:space="preserve">  </w:t>
      </w:r>
      <w:r>
        <w:rPr>
          <w:rFonts w:ascii="宋体" w:hAnsi="宋体"/>
          <w:color w:val="auto"/>
          <w:highlight w:val="none"/>
        </w:rPr>
        <w:t>技术标准和要求</w:t>
      </w:r>
      <w:bookmarkEnd w:id="1315"/>
      <w:bookmarkEnd w:id="1316"/>
      <w:bookmarkStart w:id="1317" w:name="招标文件07章技术标准和要求01"/>
      <w:bookmarkEnd w:id="1317"/>
      <w:bookmarkStart w:id="1318" w:name="_Toc287620808"/>
      <w:bookmarkStart w:id="1319" w:name="_Toc430530524"/>
    </w:p>
    <w:bookmarkEnd w:id="1318"/>
    <w:bookmarkEnd w:id="1319"/>
    <w:p>
      <w:pPr>
        <w:spacing w:line="360" w:lineRule="auto"/>
        <w:jc w:val="center"/>
        <w:rPr>
          <w:rFonts w:ascii="宋体" w:hAnsi="宋体"/>
          <w:color w:val="auto"/>
          <w:szCs w:val="21"/>
          <w:highlight w:val="none"/>
        </w:rPr>
      </w:pPr>
      <w:r>
        <w:rPr>
          <w:rFonts w:ascii="宋体" w:hAnsi="宋体"/>
          <w:color w:val="auto"/>
          <w:szCs w:val="21"/>
          <w:highlight w:val="none"/>
        </w:rPr>
        <w:t>由</w:t>
      </w:r>
      <w:r>
        <w:rPr>
          <w:rFonts w:hint="eastAsia" w:ascii="宋体" w:hAnsi="宋体"/>
          <w:color w:val="auto"/>
          <w:szCs w:val="21"/>
          <w:highlight w:val="none"/>
          <w:lang w:eastAsia="zh-CN"/>
        </w:rPr>
        <w:t>比选人</w:t>
      </w:r>
      <w:r>
        <w:rPr>
          <w:rFonts w:ascii="宋体" w:hAnsi="宋体"/>
          <w:color w:val="auto"/>
          <w:szCs w:val="21"/>
          <w:highlight w:val="none"/>
        </w:rPr>
        <w:t>根据招标项目的实际情况编写</w:t>
      </w:r>
      <w:r>
        <w:rPr>
          <w:rFonts w:hint="eastAsia" w:ascii="宋体" w:hAnsi="宋体"/>
          <w:color w:val="auto"/>
          <w:szCs w:val="21"/>
          <w:highlight w:val="none"/>
        </w:rPr>
        <w:t>（如有）。</w:t>
      </w:r>
    </w:p>
    <w:p>
      <w:pPr>
        <w:spacing w:line="360" w:lineRule="auto"/>
        <w:rPr>
          <w:rFonts w:ascii="宋体" w:hAnsi="宋体"/>
          <w:color w:val="auto"/>
          <w:highlight w:val="none"/>
        </w:rPr>
      </w:pPr>
      <w:r>
        <w:rPr>
          <w:rFonts w:ascii="宋体" w:hAnsi="宋体"/>
          <w:color w:val="auto"/>
          <w:highlight w:val="none"/>
        </w:rPr>
        <w:br w:type="page"/>
      </w:r>
    </w:p>
    <w:p>
      <w:pPr>
        <w:pStyle w:val="3"/>
        <w:spacing w:before="0" w:after="0" w:line="360" w:lineRule="auto"/>
        <w:jc w:val="center"/>
        <w:rPr>
          <w:rFonts w:ascii="宋体" w:hAnsi="宋体"/>
          <w:color w:val="auto"/>
          <w:sz w:val="52"/>
          <w:szCs w:val="52"/>
          <w:highlight w:val="none"/>
        </w:rPr>
      </w:pPr>
      <w:bookmarkStart w:id="1320" w:name="_Toc18822"/>
      <w:bookmarkStart w:id="1321" w:name="_Toc534185827"/>
      <w:bookmarkStart w:id="1322" w:name="_Toc509218849"/>
      <w:bookmarkStart w:id="1323" w:name="_Toc17990"/>
      <w:r>
        <w:rPr>
          <w:rFonts w:ascii="宋体" w:hAnsi="宋体"/>
          <w:color w:val="auto"/>
          <w:sz w:val="52"/>
          <w:szCs w:val="52"/>
          <w:highlight w:val="none"/>
        </w:rPr>
        <w:t>第 四 卷</w:t>
      </w:r>
      <w:bookmarkEnd w:id="1320"/>
      <w:bookmarkEnd w:id="1321"/>
      <w:bookmarkEnd w:id="1322"/>
      <w:bookmarkEnd w:id="1323"/>
      <w:bookmarkStart w:id="1324" w:name="_Toc536797124"/>
      <w:bookmarkStart w:id="1325" w:name="_Toc509218850"/>
      <w:bookmarkStart w:id="1326" w:name="_Toc536619970"/>
      <w:bookmarkStart w:id="1327" w:name="_Toc536796989"/>
      <w:bookmarkStart w:id="1328" w:name="_Toc534185828"/>
      <w:bookmarkStart w:id="1329" w:name="_Toc536797393"/>
      <w:bookmarkStart w:id="1330" w:name="_Toc13211767"/>
      <w:bookmarkStart w:id="1331" w:name="_Toc536621883"/>
      <w:bookmarkStart w:id="1332" w:name="_Toc536620102"/>
      <w:bookmarkStart w:id="1333" w:name="_Toc536628347"/>
      <w:bookmarkStart w:id="1334" w:name="_Toc536797258"/>
      <w:bookmarkStart w:id="1335" w:name="_Toc13210775"/>
      <w:bookmarkStart w:id="1336" w:name="_Toc536796853"/>
      <w:bookmarkStart w:id="1337" w:name="_Toc13211209"/>
    </w:p>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p>
      <w:pPr>
        <w:rPr>
          <w:color w:val="auto"/>
          <w:highlight w:val="none"/>
        </w:rPr>
      </w:pPr>
      <w:r>
        <w:rPr>
          <w:color w:val="auto"/>
          <w:highlight w:val="none"/>
        </w:rPr>
        <w:br w:type="page"/>
      </w:r>
      <w:bookmarkStart w:id="1338" w:name="招标文件08章投标文件格式"/>
      <w:bookmarkEnd w:id="1338"/>
      <w:bookmarkStart w:id="1339" w:name="_Toc287607865"/>
      <w:bookmarkStart w:id="1340" w:name="_Toc287620812"/>
    </w:p>
    <w:p>
      <w:pPr>
        <w:pStyle w:val="3"/>
        <w:spacing w:line="360" w:lineRule="auto"/>
        <w:jc w:val="center"/>
        <w:rPr>
          <w:rFonts w:ascii="宋体" w:hAnsi="宋体"/>
          <w:color w:val="auto"/>
          <w:highlight w:val="none"/>
        </w:rPr>
      </w:pPr>
      <w:bookmarkStart w:id="1341" w:name="_Toc509218852"/>
      <w:bookmarkStart w:id="1342" w:name="_Toc23843"/>
      <w:bookmarkStart w:id="1343" w:name="_Toc534185829"/>
      <w:bookmarkStart w:id="1344" w:name="_Toc430530528"/>
      <w:bookmarkStart w:id="1345" w:name="_Toc8410"/>
      <w:r>
        <w:rPr>
          <w:rFonts w:hint="eastAsia" w:ascii="宋体" w:hAnsi="宋体"/>
          <w:color w:val="auto"/>
          <w:highlight w:val="none"/>
        </w:rPr>
        <w:t xml:space="preserve">第八章  </w:t>
      </w:r>
      <w:r>
        <w:rPr>
          <w:rFonts w:hint="eastAsia" w:ascii="宋体" w:hAnsi="宋体"/>
          <w:color w:val="auto"/>
          <w:highlight w:val="none"/>
          <w:lang w:eastAsia="zh-CN"/>
        </w:rPr>
        <w:t>竞选文件</w:t>
      </w:r>
      <w:r>
        <w:rPr>
          <w:rFonts w:hint="eastAsia" w:ascii="宋体" w:hAnsi="宋体"/>
          <w:color w:val="auto"/>
          <w:highlight w:val="none"/>
        </w:rPr>
        <w:t>格式</w:t>
      </w:r>
      <w:bookmarkEnd w:id="1339"/>
      <w:bookmarkEnd w:id="1340"/>
      <w:bookmarkEnd w:id="1341"/>
      <w:bookmarkEnd w:id="1342"/>
      <w:bookmarkEnd w:id="1343"/>
      <w:bookmarkEnd w:id="1344"/>
      <w:bookmarkEnd w:id="1345"/>
    </w:p>
    <w:p>
      <w:pPr>
        <w:spacing w:line="360" w:lineRule="auto"/>
        <w:rPr>
          <w:rFonts w:ascii="宋体" w:hAnsi="宋体"/>
          <w:color w:val="auto"/>
          <w:sz w:val="32"/>
          <w:szCs w:val="32"/>
          <w:highlight w:val="none"/>
        </w:rPr>
      </w:pPr>
    </w:p>
    <w:p>
      <w:pPr>
        <w:spacing w:line="360" w:lineRule="auto"/>
        <w:jc w:val="center"/>
        <w:rPr>
          <w:rFonts w:ascii="宋体" w:hAnsi="宋体"/>
          <w:color w:val="auto"/>
          <w:sz w:val="36"/>
          <w:szCs w:val="36"/>
          <w:highlight w:val="none"/>
        </w:rPr>
      </w:pPr>
      <w:r>
        <w:rPr>
          <w:rFonts w:ascii="宋体" w:hAnsi="宋体"/>
          <w:color w:val="auto"/>
          <w:szCs w:val="20"/>
          <w:highlight w:val="none"/>
        </w:rPr>
        <w:br w:type="page"/>
      </w:r>
      <w:bookmarkStart w:id="1346" w:name="_Toc224103493"/>
      <w:r>
        <w:rPr>
          <w:rFonts w:hint="eastAsia" w:ascii="宋体" w:hAnsi="宋体"/>
          <w:color w:val="auto"/>
          <w:sz w:val="36"/>
          <w:szCs w:val="36"/>
          <w:highlight w:val="none"/>
        </w:rPr>
        <w:t>目  录</w:t>
      </w:r>
      <w:bookmarkEnd w:id="1346"/>
    </w:p>
    <w:p>
      <w:pPr>
        <w:spacing w:line="360" w:lineRule="auto"/>
        <w:jc w:val="center"/>
        <w:rPr>
          <w:rFonts w:ascii="宋体" w:hAnsi="宋体"/>
          <w:color w:val="auto"/>
          <w:szCs w:val="20"/>
          <w:highlight w:val="none"/>
        </w:rPr>
      </w:pPr>
    </w:p>
    <w:p>
      <w:pPr>
        <w:spacing w:line="360" w:lineRule="auto"/>
        <w:rPr>
          <w:rFonts w:ascii="宋体" w:hAnsi="宋体"/>
          <w:b/>
          <w:color w:val="auto"/>
          <w:highlight w:val="none"/>
        </w:rPr>
      </w:pPr>
      <w:r>
        <w:rPr>
          <w:rFonts w:hint="eastAsia" w:ascii="宋体" w:hAnsi="宋体"/>
          <w:b/>
          <w:color w:val="auto"/>
          <w:highlight w:val="none"/>
          <w:lang w:val="en-US" w:eastAsia="zh-CN"/>
        </w:rPr>
        <w:t>一</w:t>
      </w:r>
      <w:r>
        <w:rPr>
          <w:rFonts w:ascii="宋体" w:hAnsi="宋体"/>
          <w:b/>
          <w:color w:val="auto"/>
          <w:highlight w:val="none"/>
        </w:rPr>
        <w:t>、</w:t>
      </w:r>
      <w:r>
        <w:rPr>
          <w:rFonts w:hint="eastAsia" w:ascii="宋体" w:hAnsi="宋体"/>
          <w:b/>
          <w:color w:val="auto"/>
          <w:highlight w:val="none"/>
          <w:lang w:eastAsia="zh-CN"/>
        </w:rPr>
        <w:t>竞选函</w:t>
      </w:r>
      <w:r>
        <w:rPr>
          <w:rFonts w:ascii="宋体" w:hAnsi="宋体"/>
          <w:b/>
          <w:color w:val="auto"/>
          <w:highlight w:val="none"/>
        </w:rPr>
        <w:t>部分</w:t>
      </w:r>
    </w:p>
    <w:p>
      <w:pPr>
        <w:spacing w:line="360" w:lineRule="auto"/>
        <w:ind w:firstLine="420" w:firstLineChars="200"/>
        <w:rPr>
          <w:rFonts w:hint="eastAsia" w:ascii="宋体" w:hAnsi="宋体" w:eastAsia="宋体"/>
          <w:color w:val="auto"/>
          <w:highlight w:val="none"/>
          <w:lang w:eastAsia="zh-CN"/>
        </w:rPr>
      </w:pPr>
      <w:r>
        <w:rPr>
          <w:rFonts w:ascii="宋体" w:hAnsi="宋体"/>
          <w:color w:val="auto"/>
          <w:highlight w:val="none"/>
        </w:rPr>
        <w:t>（一）</w:t>
      </w:r>
      <w:r>
        <w:rPr>
          <w:rFonts w:hint="eastAsia" w:ascii="宋体" w:hAnsi="宋体"/>
          <w:color w:val="auto"/>
          <w:highlight w:val="none"/>
          <w:lang w:eastAsia="zh-CN"/>
        </w:rPr>
        <w:t>竞选函</w:t>
      </w:r>
    </w:p>
    <w:p>
      <w:pPr>
        <w:spacing w:line="360" w:lineRule="auto"/>
        <w:ind w:firstLine="420" w:firstLineChars="200"/>
        <w:rPr>
          <w:rFonts w:ascii="宋体" w:hAnsi="宋体"/>
          <w:color w:val="auto"/>
          <w:highlight w:val="none"/>
        </w:rPr>
      </w:pPr>
      <w:r>
        <w:rPr>
          <w:rFonts w:ascii="宋体" w:hAnsi="宋体"/>
          <w:color w:val="auto"/>
          <w:highlight w:val="none"/>
        </w:rPr>
        <w:t>（二）</w:t>
      </w:r>
      <w:r>
        <w:rPr>
          <w:rFonts w:hint="eastAsia" w:ascii="宋体" w:hAnsi="宋体"/>
          <w:color w:val="auto"/>
          <w:highlight w:val="none"/>
          <w:lang w:eastAsia="zh-CN"/>
        </w:rPr>
        <w:t>竞选函</w:t>
      </w:r>
      <w:r>
        <w:rPr>
          <w:rFonts w:ascii="宋体" w:hAnsi="宋体"/>
          <w:color w:val="auto"/>
          <w:highlight w:val="none"/>
        </w:rPr>
        <w:t>附录</w:t>
      </w:r>
    </w:p>
    <w:p>
      <w:pPr>
        <w:spacing w:line="360" w:lineRule="auto"/>
        <w:ind w:firstLine="420" w:firstLineChars="200"/>
        <w:rPr>
          <w:rFonts w:ascii="宋体" w:hAnsi="宋体"/>
          <w:color w:val="auto"/>
          <w:highlight w:val="none"/>
        </w:rPr>
      </w:pPr>
      <w:r>
        <w:rPr>
          <w:rFonts w:ascii="宋体" w:hAnsi="宋体"/>
          <w:color w:val="auto"/>
          <w:highlight w:val="none"/>
        </w:rPr>
        <w:t>（三）</w:t>
      </w:r>
      <w:r>
        <w:rPr>
          <w:rFonts w:hint="eastAsia" w:ascii="宋体" w:hAnsi="宋体"/>
          <w:color w:val="auto"/>
          <w:highlight w:val="none"/>
        </w:rPr>
        <w:t>法定代表人身份证明或附有法定代表人身份证明的授权委托书</w:t>
      </w:r>
    </w:p>
    <w:p>
      <w:pPr>
        <w:spacing w:line="360" w:lineRule="auto"/>
        <w:rPr>
          <w:rFonts w:ascii="宋体" w:hAnsi="宋体"/>
          <w:b/>
          <w:color w:val="auto"/>
          <w:highlight w:val="none"/>
        </w:rPr>
      </w:pPr>
      <w:r>
        <w:rPr>
          <w:rFonts w:hint="eastAsia" w:ascii="宋体" w:hAnsi="宋体"/>
          <w:b/>
          <w:color w:val="auto"/>
          <w:highlight w:val="none"/>
          <w:lang w:val="en-US" w:eastAsia="zh-CN"/>
        </w:rPr>
        <w:t>二</w:t>
      </w:r>
      <w:r>
        <w:rPr>
          <w:rFonts w:ascii="宋体" w:hAnsi="宋体"/>
          <w:b/>
          <w:color w:val="auto"/>
          <w:highlight w:val="none"/>
        </w:rPr>
        <w:t>、</w:t>
      </w:r>
      <w:r>
        <w:rPr>
          <w:rFonts w:hint="eastAsia" w:ascii="宋体" w:hAnsi="宋体"/>
          <w:b/>
          <w:color w:val="auto"/>
          <w:highlight w:val="none"/>
        </w:rPr>
        <w:t>经济</w:t>
      </w:r>
      <w:r>
        <w:rPr>
          <w:rFonts w:ascii="宋体" w:hAnsi="宋体"/>
          <w:b/>
          <w:color w:val="auto"/>
          <w:highlight w:val="none"/>
        </w:rPr>
        <w:t>部分</w:t>
      </w:r>
    </w:p>
    <w:p>
      <w:pPr>
        <w:spacing w:line="360" w:lineRule="auto"/>
        <w:ind w:firstLine="420" w:firstLineChars="200"/>
        <w:rPr>
          <w:rFonts w:ascii="宋体" w:hAnsi="宋体"/>
          <w:color w:val="auto"/>
          <w:highlight w:val="none"/>
        </w:rPr>
      </w:pPr>
      <w:r>
        <w:rPr>
          <w:rFonts w:ascii="宋体" w:hAnsi="宋体"/>
          <w:color w:val="auto"/>
          <w:highlight w:val="none"/>
        </w:rPr>
        <w:t>已标价工程量清单</w:t>
      </w:r>
    </w:p>
    <w:p>
      <w:pPr>
        <w:spacing w:line="360" w:lineRule="auto"/>
        <w:rPr>
          <w:rFonts w:ascii="宋体" w:hAnsi="宋体"/>
          <w:b/>
          <w:color w:val="auto"/>
          <w:highlight w:val="none"/>
        </w:rPr>
      </w:pPr>
      <w:r>
        <w:rPr>
          <w:rFonts w:hint="eastAsia" w:ascii="宋体" w:hAnsi="宋体"/>
          <w:b/>
          <w:color w:val="auto"/>
          <w:highlight w:val="none"/>
          <w:lang w:val="en-US" w:eastAsia="zh-CN"/>
        </w:rPr>
        <w:t>三</w:t>
      </w:r>
      <w:r>
        <w:rPr>
          <w:rFonts w:ascii="宋体" w:hAnsi="宋体"/>
          <w:b/>
          <w:color w:val="auto"/>
          <w:highlight w:val="none"/>
        </w:rPr>
        <w:t>、技术部分（不设置</w:t>
      </w:r>
      <w:r>
        <w:rPr>
          <w:rFonts w:hint="eastAsia" w:ascii="宋体" w:hAnsi="宋体"/>
          <w:b/>
          <w:color w:val="auto"/>
          <w:highlight w:val="none"/>
        </w:rPr>
        <w:t>技术方案</w:t>
      </w:r>
      <w:r>
        <w:rPr>
          <w:rFonts w:ascii="宋体" w:hAnsi="宋体"/>
          <w:b/>
          <w:color w:val="auto"/>
          <w:highlight w:val="none"/>
        </w:rPr>
        <w:t>评审的不设此部分）</w:t>
      </w:r>
    </w:p>
    <w:p>
      <w:pPr>
        <w:spacing w:line="360" w:lineRule="auto"/>
        <w:ind w:firstLine="420" w:firstLineChars="200"/>
        <w:rPr>
          <w:rFonts w:ascii="宋体" w:hAnsi="宋体"/>
          <w:color w:val="auto"/>
          <w:highlight w:val="none"/>
        </w:rPr>
      </w:pPr>
      <w:r>
        <w:rPr>
          <w:rFonts w:hint="eastAsia" w:ascii="宋体" w:hAnsi="宋体"/>
          <w:color w:val="auto"/>
          <w:highlight w:val="none"/>
        </w:rPr>
        <w:t>技术方案</w:t>
      </w:r>
    </w:p>
    <w:p>
      <w:pPr>
        <w:spacing w:line="360" w:lineRule="auto"/>
        <w:ind w:firstLine="420" w:firstLineChars="200"/>
        <w:rPr>
          <w:rFonts w:ascii="宋体" w:hAnsi="宋体"/>
          <w:color w:val="auto"/>
          <w:highlight w:val="none"/>
        </w:rPr>
      </w:pPr>
      <w:r>
        <w:rPr>
          <w:rFonts w:ascii="宋体" w:hAnsi="宋体"/>
          <w:color w:val="auto"/>
          <w:highlight w:val="none"/>
        </w:rPr>
        <w:t>附表一</w:t>
      </w:r>
      <w:r>
        <w:rPr>
          <w:rFonts w:hint="eastAsia" w:ascii="宋体" w:hAnsi="宋体"/>
          <w:color w:val="auto"/>
          <w:highlight w:val="none"/>
        </w:rPr>
        <w:t xml:space="preserve"> </w:t>
      </w:r>
      <w:r>
        <w:rPr>
          <w:rFonts w:ascii="宋体" w:hAnsi="宋体"/>
          <w:color w:val="auto"/>
          <w:highlight w:val="none"/>
        </w:rPr>
        <w:t>拟投入本标段的主要施工设备表</w:t>
      </w:r>
    </w:p>
    <w:p>
      <w:pPr>
        <w:spacing w:line="360" w:lineRule="auto"/>
        <w:ind w:firstLine="420" w:firstLineChars="200"/>
        <w:rPr>
          <w:rFonts w:ascii="宋体" w:hAnsi="宋体"/>
          <w:color w:val="auto"/>
          <w:highlight w:val="none"/>
        </w:rPr>
      </w:pPr>
      <w:r>
        <w:rPr>
          <w:rFonts w:ascii="宋体" w:hAnsi="宋体"/>
          <w:color w:val="auto"/>
          <w:highlight w:val="none"/>
        </w:rPr>
        <w:t>附表二</w:t>
      </w:r>
      <w:r>
        <w:rPr>
          <w:rFonts w:hint="eastAsia" w:ascii="宋体" w:hAnsi="宋体"/>
          <w:color w:val="auto"/>
          <w:highlight w:val="none"/>
        </w:rPr>
        <w:t xml:space="preserve"> </w:t>
      </w:r>
      <w:r>
        <w:rPr>
          <w:rFonts w:ascii="宋体" w:hAnsi="宋体"/>
          <w:color w:val="auto"/>
          <w:highlight w:val="none"/>
        </w:rPr>
        <w:t>拟配备本标段的试验和检测仪器设备表</w:t>
      </w:r>
    </w:p>
    <w:p>
      <w:pPr>
        <w:spacing w:line="360" w:lineRule="auto"/>
        <w:ind w:firstLine="420" w:firstLineChars="200"/>
        <w:rPr>
          <w:rFonts w:ascii="宋体" w:hAnsi="宋体"/>
          <w:color w:val="auto"/>
          <w:highlight w:val="none"/>
        </w:rPr>
      </w:pPr>
      <w:r>
        <w:rPr>
          <w:rFonts w:ascii="宋体" w:hAnsi="宋体"/>
          <w:color w:val="auto"/>
          <w:highlight w:val="none"/>
        </w:rPr>
        <w:t>附表三</w:t>
      </w:r>
      <w:r>
        <w:rPr>
          <w:rFonts w:hint="eastAsia" w:ascii="宋体" w:hAnsi="宋体"/>
          <w:color w:val="auto"/>
          <w:highlight w:val="none"/>
        </w:rPr>
        <w:t xml:space="preserve"> </w:t>
      </w:r>
      <w:r>
        <w:rPr>
          <w:rFonts w:ascii="宋体" w:hAnsi="宋体"/>
          <w:color w:val="auto"/>
          <w:highlight w:val="none"/>
        </w:rPr>
        <w:t>劳动力计划表</w:t>
      </w:r>
    </w:p>
    <w:p>
      <w:pPr>
        <w:spacing w:line="360" w:lineRule="auto"/>
        <w:ind w:firstLine="420" w:firstLineChars="200"/>
        <w:rPr>
          <w:rFonts w:ascii="宋体" w:hAnsi="宋体"/>
          <w:color w:val="auto"/>
          <w:highlight w:val="none"/>
        </w:rPr>
      </w:pPr>
      <w:r>
        <w:rPr>
          <w:rFonts w:ascii="宋体" w:hAnsi="宋体"/>
          <w:color w:val="auto"/>
          <w:highlight w:val="none"/>
        </w:rPr>
        <w:t>附表四</w:t>
      </w:r>
      <w:r>
        <w:rPr>
          <w:rFonts w:hint="eastAsia" w:ascii="宋体" w:hAnsi="宋体"/>
          <w:color w:val="auto"/>
          <w:highlight w:val="none"/>
        </w:rPr>
        <w:t xml:space="preserve"> </w:t>
      </w:r>
      <w:r>
        <w:rPr>
          <w:rFonts w:ascii="宋体" w:hAnsi="宋体"/>
          <w:color w:val="auto"/>
          <w:highlight w:val="none"/>
        </w:rPr>
        <w:t>计划开、竣工日期和施工进度网络图</w:t>
      </w:r>
    </w:p>
    <w:p>
      <w:pPr>
        <w:spacing w:line="360" w:lineRule="auto"/>
        <w:ind w:firstLine="420" w:firstLineChars="200"/>
        <w:rPr>
          <w:rFonts w:ascii="宋体" w:hAnsi="宋体"/>
          <w:color w:val="auto"/>
          <w:highlight w:val="none"/>
        </w:rPr>
      </w:pPr>
      <w:r>
        <w:rPr>
          <w:rFonts w:ascii="宋体" w:hAnsi="宋体"/>
          <w:color w:val="auto"/>
          <w:highlight w:val="none"/>
        </w:rPr>
        <w:t>附表五</w:t>
      </w:r>
      <w:r>
        <w:rPr>
          <w:rFonts w:hint="eastAsia" w:ascii="宋体" w:hAnsi="宋体"/>
          <w:color w:val="auto"/>
          <w:highlight w:val="none"/>
        </w:rPr>
        <w:t xml:space="preserve"> </w:t>
      </w:r>
      <w:r>
        <w:rPr>
          <w:rFonts w:ascii="宋体" w:hAnsi="宋体"/>
          <w:color w:val="auto"/>
          <w:highlight w:val="none"/>
        </w:rPr>
        <w:t>施工总平面图</w:t>
      </w:r>
    </w:p>
    <w:p>
      <w:pPr>
        <w:spacing w:line="360" w:lineRule="auto"/>
        <w:ind w:firstLine="420" w:firstLineChars="200"/>
        <w:rPr>
          <w:rFonts w:ascii="宋体" w:hAnsi="宋体"/>
          <w:color w:val="auto"/>
          <w:highlight w:val="none"/>
        </w:rPr>
      </w:pPr>
      <w:r>
        <w:rPr>
          <w:rFonts w:ascii="宋体" w:hAnsi="宋体"/>
          <w:color w:val="auto"/>
          <w:highlight w:val="none"/>
        </w:rPr>
        <w:t>附表六</w:t>
      </w:r>
      <w:r>
        <w:rPr>
          <w:rFonts w:hint="eastAsia" w:ascii="宋体" w:hAnsi="宋体"/>
          <w:color w:val="auto"/>
          <w:highlight w:val="none"/>
        </w:rPr>
        <w:t xml:space="preserve"> </w:t>
      </w:r>
      <w:r>
        <w:rPr>
          <w:rFonts w:ascii="宋体" w:hAnsi="宋体"/>
          <w:color w:val="auto"/>
          <w:highlight w:val="none"/>
        </w:rPr>
        <w:t>临时用地表</w:t>
      </w:r>
    </w:p>
    <w:p>
      <w:pPr>
        <w:spacing w:line="360" w:lineRule="auto"/>
        <w:rPr>
          <w:rFonts w:ascii="宋体" w:hAnsi="宋体"/>
          <w:b/>
          <w:color w:val="auto"/>
          <w:highlight w:val="none"/>
        </w:rPr>
      </w:pPr>
      <w:r>
        <w:rPr>
          <w:rFonts w:hint="eastAsia" w:ascii="宋体" w:hAnsi="宋体"/>
          <w:b/>
          <w:color w:val="auto"/>
          <w:highlight w:val="none"/>
          <w:lang w:val="en-US" w:eastAsia="zh-CN"/>
        </w:rPr>
        <w:t>四</w:t>
      </w:r>
      <w:r>
        <w:rPr>
          <w:rFonts w:ascii="宋体" w:hAnsi="宋体"/>
          <w:b/>
          <w:color w:val="auto"/>
          <w:highlight w:val="none"/>
        </w:rPr>
        <w:t>、</w:t>
      </w:r>
      <w:r>
        <w:rPr>
          <w:rFonts w:hint="eastAsia" w:ascii="宋体" w:hAnsi="宋体"/>
          <w:b/>
          <w:color w:val="auto"/>
          <w:highlight w:val="none"/>
        </w:rPr>
        <w:t>资格审查部分</w:t>
      </w:r>
    </w:p>
    <w:p>
      <w:pPr>
        <w:spacing w:line="360" w:lineRule="auto"/>
        <w:ind w:firstLine="420" w:firstLineChars="200"/>
        <w:rPr>
          <w:rFonts w:ascii="宋体" w:hAnsi="宋体"/>
          <w:color w:val="auto"/>
          <w:highlight w:val="none"/>
        </w:rPr>
      </w:pPr>
      <w:r>
        <w:rPr>
          <w:rFonts w:ascii="宋体" w:hAnsi="宋体"/>
          <w:color w:val="auto"/>
          <w:highlight w:val="none"/>
        </w:rPr>
        <w:t>（一）</w:t>
      </w:r>
      <w:r>
        <w:rPr>
          <w:rFonts w:hint="eastAsia" w:ascii="宋体" w:hAnsi="宋体"/>
          <w:color w:val="auto"/>
          <w:highlight w:val="none"/>
        </w:rPr>
        <w:t>法定代表人身份证明或附有法定代表人身份证明的授权委托书</w:t>
      </w:r>
    </w:p>
    <w:p>
      <w:pPr>
        <w:spacing w:line="360" w:lineRule="auto"/>
        <w:ind w:firstLine="420" w:firstLineChars="200"/>
        <w:rPr>
          <w:rFonts w:ascii="宋体" w:hAnsi="宋体"/>
          <w:color w:val="auto"/>
          <w:highlight w:val="none"/>
        </w:rPr>
      </w:pPr>
      <w:r>
        <w:rPr>
          <w:rFonts w:ascii="宋体" w:hAnsi="宋体"/>
          <w:color w:val="auto"/>
          <w:highlight w:val="none"/>
        </w:rPr>
        <w:t>（二）</w:t>
      </w:r>
      <w:r>
        <w:rPr>
          <w:rFonts w:hint="eastAsia" w:ascii="宋体" w:hAnsi="宋体"/>
          <w:color w:val="auto"/>
          <w:highlight w:val="none"/>
          <w:lang w:eastAsia="zh-CN"/>
        </w:rPr>
        <w:t>竞选人</w:t>
      </w:r>
      <w:r>
        <w:rPr>
          <w:rFonts w:ascii="宋体" w:hAnsi="宋体"/>
          <w:color w:val="auto"/>
          <w:highlight w:val="none"/>
        </w:rPr>
        <w:t>基本情况表</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三</w:t>
      </w:r>
      <w:r>
        <w:rPr>
          <w:rFonts w:ascii="宋体" w:hAnsi="宋体"/>
          <w:color w:val="auto"/>
          <w:highlight w:val="none"/>
        </w:rPr>
        <w:t>）项目管理机构</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四</w:t>
      </w:r>
      <w:r>
        <w:rPr>
          <w:rFonts w:ascii="宋体" w:hAnsi="宋体"/>
          <w:color w:val="auto"/>
          <w:highlight w:val="none"/>
        </w:rPr>
        <w:t>）近年财务状况表</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五</w:t>
      </w:r>
      <w:r>
        <w:rPr>
          <w:rFonts w:ascii="宋体" w:hAnsi="宋体"/>
          <w:color w:val="auto"/>
          <w:highlight w:val="none"/>
        </w:rPr>
        <w:t>）类似项目情况表</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六</w:t>
      </w:r>
      <w:r>
        <w:rPr>
          <w:rFonts w:ascii="宋体" w:hAnsi="宋体"/>
          <w:color w:val="auto"/>
          <w:highlight w:val="none"/>
        </w:rPr>
        <w:t>）</w:t>
      </w:r>
      <w:r>
        <w:rPr>
          <w:rFonts w:hint="eastAsia" w:ascii="宋体" w:hAnsi="宋体"/>
          <w:color w:val="auto"/>
          <w:highlight w:val="none"/>
        </w:rPr>
        <w:t>承诺</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七</w:t>
      </w:r>
      <w:r>
        <w:rPr>
          <w:rFonts w:ascii="宋体" w:hAnsi="宋体"/>
          <w:color w:val="auto"/>
          <w:highlight w:val="none"/>
        </w:rPr>
        <w:t>）其他资料</w:t>
      </w:r>
    </w:p>
    <w:p>
      <w:pPr>
        <w:spacing w:line="360" w:lineRule="auto"/>
        <w:rPr>
          <w:rFonts w:ascii="宋体" w:hAnsi="宋体"/>
          <w:color w:val="auto"/>
          <w:highlight w:val="none"/>
        </w:rPr>
      </w:pPr>
    </w:p>
    <w:p>
      <w:pPr>
        <w:autoSpaceDE w:val="0"/>
        <w:autoSpaceDN w:val="0"/>
        <w:adjustRightInd w:val="0"/>
        <w:spacing w:line="276" w:lineRule="auto"/>
        <w:ind w:right="-23"/>
        <w:jc w:val="left"/>
        <w:rPr>
          <w:rFonts w:ascii="宋体" w:hAnsi="宋体"/>
          <w:b/>
          <w:color w:val="auto"/>
          <w:kern w:val="0"/>
          <w:sz w:val="24"/>
          <w:highlight w:val="none"/>
        </w:rPr>
      </w:pPr>
      <w:r>
        <w:rPr>
          <w:rFonts w:ascii="宋体" w:hAnsi="宋体"/>
          <w:b/>
          <w:color w:val="auto"/>
          <w:kern w:val="0"/>
          <w:sz w:val="24"/>
          <w:highlight w:val="none"/>
        </w:rPr>
        <w:br w:type="page"/>
      </w:r>
      <w:bookmarkStart w:id="1347" w:name="_Toc277082642"/>
      <w:bookmarkStart w:id="1348" w:name="_Toc224103494"/>
      <w:bookmarkStart w:id="1349" w:name="_Toc287620813"/>
      <w:bookmarkStart w:id="1350" w:name="_Toc287607866"/>
      <w:bookmarkStart w:id="1351" w:name="_Toc430530529"/>
    </w:p>
    <w:p>
      <w:pPr>
        <w:pStyle w:val="4"/>
        <w:spacing w:line="360" w:lineRule="auto"/>
        <w:jc w:val="center"/>
        <w:rPr>
          <w:rFonts w:ascii="宋体" w:hAnsi="宋体"/>
          <w:b w:val="0"/>
          <w:bCs w:val="0"/>
          <w:color w:val="auto"/>
          <w:sz w:val="44"/>
          <w:szCs w:val="44"/>
          <w:highlight w:val="none"/>
        </w:rPr>
      </w:pPr>
      <w:bookmarkStart w:id="1352" w:name="_Toc19476"/>
      <w:bookmarkStart w:id="1353" w:name="_Toc26450"/>
      <w:r>
        <w:rPr>
          <w:rFonts w:hint="eastAsia" w:ascii="宋体" w:hAnsi="宋体"/>
          <w:b w:val="0"/>
          <w:bCs w:val="0"/>
          <w:color w:val="auto"/>
          <w:sz w:val="44"/>
          <w:szCs w:val="44"/>
          <w:highlight w:val="none"/>
          <w:lang w:val="en-US" w:eastAsia="zh-CN"/>
        </w:rPr>
        <w:t>一</w:t>
      </w:r>
      <w:r>
        <w:rPr>
          <w:rFonts w:hint="eastAsia" w:ascii="宋体" w:hAnsi="宋体"/>
          <w:b w:val="0"/>
          <w:bCs w:val="0"/>
          <w:color w:val="auto"/>
          <w:sz w:val="44"/>
          <w:szCs w:val="44"/>
          <w:highlight w:val="none"/>
        </w:rPr>
        <w:t>、</w:t>
      </w:r>
      <w:r>
        <w:rPr>
          <w:rFonts w:hint="eastAsia" w:ascii="宋体" w:hAnsi="宋体"/>
          <w:b w:val="0"/>
          <w:bCs w:val="0"/>
          <w:color w:val="auto"/>
          <w:sz w:val="44"/>
          <w:szCs w:val="44"/>
          <w:highlight w:val="none"/>
          <w:lang w:eastAsia="zh-CN"/>
        </w:rPr>
        <w:t>竞选函</w:t>
      </w:r>
      <w:r>
        <w:rPr>
          <w:rFonts w:hint="eastAsia" w:ascii="宋体" w:hAnsi="宋体"/>
          <w:b w:val="0"/>
          <w:bCs w:val="0"/>
          <w:color w:val="auto"/>
          <w:sz w:val="44"/>
          <w:szCs w:val="44"/>
          <w:highlight w:val="none"/>
        </w:rPr>
        <w:t>部分</w:t>
      </w:r>
      <w:bookmarkEnd w:id="1347"/>
      <w:bookmarkEnd w:id="1348"/>
      <w:bookmarkEnd w:id="1349"/>
      <w:bookmarkEnd w:id="1350"/>
      <w:bookmarkEnd w:id="1351"/>
      <w:bookmarkEnd w:id="1352"/>
      <w:bookmarkEnd w:id="1353"/>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pPr>
        <w:autoSpaceDE w:val="0"/>
        <w:autoSpaceDN w:val="0"/>
        <w:adjustRightInd w:val="0"/>
        <w:snapToGrid w:val="0"/>
        <w:spacing w:line="360" w:lineRule="auto"/>
        <w:jc w:val="left"/>
        <w:rPr>
          <w:rFonts w:ascii="宋体" w:hAnsi="宋体"/>
          <w:color w:val="auto"/>
          <w:kern w:val="0"/>
          <w:sz w:val="16"/>
          <w:szCs w:val="16"/>
          <w:highlight w:val="none"/>
        </w:rPr>
      </w:pP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lang w:eastAsia="zh-CN"/>
        </w:rPr>
        <w:t>竞选函</w:t>
      </w:r>
      <w:r>
        <w:rPr>
          <w:rFonts w:hint="eastAsia" w:ascii="宋体" w:hAnsi="宋体"/>
          <w:color w:val="auto"/>
          <w:kern w:val="0"/>
          <w:sz w:val="36"/>
          <w:szCs w:val="36"/>
          <w:highlight w:val="none"/>
        </w:rPr>
        <w:t>部分</w:t>
      </w: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eastAsia="zh-CN"/>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pPr>
        <w:autoSpaceDE w:val="0"/>
        <w:autoSpaceDN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pPr>
        <w:autoSpaceDE w:val="0"/>
        <w:autoSpaceDN w:val="0"/>
        <w:adjustRightInd w:val="0"/>
        <w:snapToGrid w:val="0"/>
        <w:spacing w:line="360" w:lineRule="auto"/>
        <w:jc w:val="left"/>
        <w:rPr>
          <w:rFonts w:ascii="宋体" w:hAnsi="宋体"/>
          <w:color w:val="auto"/>
          <w:kern w:val="0"/>
          <w:sz w:val="24"/>
          <w:szCs w:val="21"/>
          <w:highlight w:val="none"/>
        </w:rPr>
      </w:pPr>
    </w:p>
    <w:p>
      <w:pPr>
        <w:autoSpaceDE w:val="0"/>
        <w:autoSpaceDN w:val="0"/>
        <w:adjustRightInd w:val="0"/>
        <w:spacing w:line="360" w:lineRule="auto"/>
        <w:ind w:firstLine="480" w:firstLineChars="200"/>
        <w:jc w:val="left"/>
        <w:rPr>
          <w:rFonts w:hint="eastAsia" w:ascii="宋体" w:hAnsi="宋体" w:eastAsia="宋体"/>
          <w:color w:val="auto"/>
          <w:kern w:val="0"/>
          <w:sz w:val="24"/>
          <w:highlight w:val="none"/>
          <w:lang w:eastAsia="zh-CN"/>
        </w:rPr>
      </w:pPr>
      <w:r>
        <w:rPr>
          <w:rFonts w:ascii="宋体" w:hAnsi="宋体"/>
          <w:color w:val="auto"/>
          <w:kern w:val="0"/>
          <w:sz w:val="24"/>
          <w:highlight w:val="none"/>
        </w:rPr>
        <w:t>（一）</w:t>
      </w:r>
      <w:r>
        <w:rPr>
          <w:rFonts w:hint="eastAsia" w:ascii="宋体" w:hAnsi="宋体"/>
          <w:color w:val="auto"/>
          <w:kern w:val="0"/>
          <w:sz w:val="24"/>
          <w:highlight w:val="none"/>
          <w:lang w:eastAsia="zh-CN"/>
        </w:rPr>
        <w:t>竞选函</w:t>
      </w:r>
    </w:p>
    <w:p>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（二）</w:t>
      </w:r>
      <w:r>
        <w:rPr>
          <w:rFonts w:hint="eastAsia" w:ascii="宋体" w:hAnsi="宋体"/>
          <w:color w:val="auto"/>
          <w:kern w:val="0"/>
          <w:sz w:val="24"/>
          <w:highlight w:val="none"/>
          <w:lang w:eastAsia="zh-CN"/>
        </w:rPr>
        <w:t>竞选函</w:t>
      </w:r>
      <w:r>
        <w:rPr>
          <w:rFonts w:ascii="宋体" w:hAnsi="宋体"/>
          <w:color w:val="auto"/>
          <w:kern w:val="0"/>
          <w:sz w:val="24"/>
          <w:highlight w:val="none"/>
        </w:rPr>
        <w:t>附录</w:t>
      </w:r>
    </w:p>
    <w:p>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（三）</w:t>
      </w:r>
      <w:r>
        <w:rPr>
          <w:rFonts w:hint="eastAsia" w:ascii="宋体" w:hAnsi="宋体"/>
          <w:color w:val="auto"/>
          <w:kern w:val="0"/>
          <w:sz w:val="24"/>
          <w:highlight w:val="none"/>
        </w:rPr>
        <w:t>法定代表人身份证明或附有法定代表人身份证明的授权委托书</w:t>
      </w:r>
    </w:p>
    <w:p>
      <w:pPr>
        <w:autoSpaceDE w:val="0"/>
        <w:autoSpaceDN w:val="0"/>
        <w:adjustRightInd w:val="0"/>
        <w:snapToGrid w:val="0"/>
        <w:spacing w:line="360" w:lineRule="auto"/>
        <w:jc w:val="left"/>
        <w:rPr>
          <w:rFonts w:ascii="宋体" w:hAnsi="宋体"/>
          <w:color w:val="auto"/>
          <w:w w:val="99"/>
          <w:kern w:val="0"/>
          <w:sz w:val="28"/>
          <w:szCs w:val="28"/>
          <w:highlight w:val="none"/>
        </w:rPr>
      </w:pPr>
    </w:p>
    <w:p>
      <w:pPr>
        <w:pStyle w:val="5"/>
        <w:spacing w:before="0" w:after="0" w:line="400" w:lineRule="exact"/>
        <w:jc w:val="center"/>
        <w:rPr>
          <w:rFonts w:hint="eastAsia" w:ascii="宋体" w:hAnsi="宋体" w:eastAsia="宋体"/>
          <w:b w:val="0"/>
          <w:color w:val="auto"/>
          <w:highlight w:val="none"/>
          <w:lang w:eastAsia="zh-CN"/>
        </w:rPr>
      </w:pPr>
      <w:bookmarkStart w:id="1354" w:name="_Toc534185831"/>
      <w:bookmarkStart w:id="1355" w:name="_Toc224103495"/>
      <w:bookmarkStart w:id="1356" w:name="_Toc430530530"/>
      <w:bookmarkStart w:id="1357" w:name="_Toc277082643"/>
      <w:bookmarkStart w:id="1358" w:name="_Toc509218854"/>
      <w:bookmarkStart w:id="1359" w:name="_Toc287620814"/>
      <w:bookmarkStart w:id="1360" w:name="_Toc287607867"/>
      <w:r>
        <w:rPr>
          <w:rFonts w:ascii="宋体" w:hAnsi="宋体"/>
          <w:color w:val="auto"/>
          <w:highlight w:val="none"/>
        </w:rPr>
        <w:br w:type="page"/>
      </w:r>
      <w:bookmarkStart w:id="1361" w:name="_Toc26071"/>
      <w:bookmarkStart w:id="1362" w:name="_Toc31864"/>
      <w:bookmarkStart w:id="1363" w:name="_Toc25596"/>
      <w:r>
        <w:rPr>
          <w:rFonts w:hint="eastAsia"/>
          <w:color w:val="auto"/>
          <w:highlight w:val="none"/>
        </w:rPr>
        <w:t>（一）</w:t>
      </w:r>
      <w:bookmarkEnd w:id="1354"/>
      <w:bookmarkEnd w:id="1355"/>
      <w:bookmarkEnd w:id="1356"/>
      <w:bookmarkEnd w:id="1357"/>
      <w:bookmarkEnd w:id="1358"/>
      <w:bookmarkEnd w:id="1359"/>
      <w:bookmarkEnd w:id="1360"/>
      <w:bookmarkEnd w:id="1361"/>
      <w:r>
        <w:rPr>
          <w:rFonts w:hint="eastAsia"/>
          <w:color w:val="auto"/>
          <w:highlight w:val="none"/>
          <w:lang w:eastAsia="zh-CN"/>
        </w:rPr>
        <w:t>竞选函</w:t>
      </w:r>
      <w:bookmarkEnd w:id="1362"/>
      <w:bookmarkEnd w:id="1363"/>
    </w:p>
    <w:p>
      <w:pPr>
        <w:tabs>
          <w:tab w:val="left" w:pos="2640"/>
        </w:tabs>
        <w:autoSpaceDE w:val="0"/>
        <w:autoSpaceDN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lang w:eastAsia="zh-CN"/>
        </w:rPr>
        <w:t>比选人</w:t>
      </w:r>
      <w:r>
        <w:rPr>
          <w:rFonts w:ascii="宋体" w:hAnsi="宋体"/>
          <w:snapToGrid w:val="0"/>
          <w:color w:val="auto"/>
          <w:kern w:val="0"/>
          <w:szCs w:val="21"/>
          <w:highlight w:val="none"/>
          <w:u w:val="single"/>
        </w:rPr>
        <w:t>名称）</w:t>
      </w:r>
      <w:r>
        <w:rPr>
          <w:rFonts w:ascii="宋体" w:hAnsi="宋体"/>
          <w:snapToGrid w:val="0"/>
          <w:color w:val="auto"/>
          <w:kern w:val="0"/>
          <w:szCs w:val="21"/>
          <w:highlight w:val="none"/>
        </w:rPr>
        <w:t>：</w:t>
      </w:r>
    </w:p>
    <w:p>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招标文件的全部内容，愿意以人民币（大写）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）的投标总报价进行报价，其中</w:t>
      </w:r>
      <w:r>
        <w:rPr>
          <w:rFonts w:ascii="宋体" w:hAnsi="宋体"/>
          <w:snapToGrid w:val="0"/>
          <w:color w:val="auto"/>
          <w:kern w:val="0"/>
          <w:highlight w:val="none"/>
        </w:rPr>
        <w:t>安全文明施工费暂定金额为人民币</w:t>
      </w:r>
      <w:r>
        <w:rPr>
          <w:rFonts w:ascii="宋体" w:hAnsi="宋体"/>
          <w:snapToGrid w:val="0"/>
          <w:color w:val="auto"/>
          <w:kern w:val="0"/>
          <w:szCs w:val="21"/>
          <w:highlight w:val="none"/>
        </w:rPr>
        <w:t>（大写）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。工期</w:t>
      </w:r>
      <w:r>
        <w:rPr>
          <w:rFonts w:hint="eastAsia" w:ascii="宋体" w:hAnsi="宋体"/>
          <w:snapToGrid w:val="0"/>
          <w:color w:val="auto"/>
          <w:kern w:val="0"/>
          <w:szCs w:val="21"/>
          <w:highlight w:val="none"/>
        </w:rPr>
        <w:t>达到招标文件的要求</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rPr>
        <w:t>缺陷责任期</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24个月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按合同约定实施和完成承包工程，修补工程中的任何缺陷，工程质量达到</w:t>
      </w:r>
      <w:r>
        <w:rPr>
          <w:rFonts w:hint="eastAsia" w:ascii="宋体" w:hAnsi="宋体"/>
          <w:snapToGrid w:val="0"/>
          <w:color w:val="auto"/>
          <w:kern w:val="0"/>
          <w:szCs w:val="21"/>
          <w:highlight w:val="none"/>
        </w:rPr>
        <w:t>招标文件的要求</w:t>
      </w:r>
      <w:r>
        <w:rPr>
          <w:rFonts w:ascii="宋体" w:hAnsi="宋体"/>
          <w:snapToGrid w:val="0"/>
          <w:color w:val="auto"/>
          <w:kern w:val="0"/>
          <w:szCs w:val="21"/>
          <w:highlight w:val="none"/>
        </w:rPr>
        <w:t>。</w:t>
      </w:r>
    </w:p>
    <w:p>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响应招标文件规定的投标有效期，</w:t>
      </w:r>
      <w:r>
        <w:rPr>
          <w:rFonts w:ascii="宋体" w:hAnsi="宋体"/>
          <w:snapToGrid w:val="0"/>
          <w:color w:val="auto"/>
          <w:kern w:val="0"/>
          <w:szCs w:val="21"/>
          <w:highlight w:val="none"/>
        </w:rPr>
        <w:t>在投标有效期内不修改、撤销</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p>
    <w:p>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（1）我方承诺在收到中标通知书后</w:t>
      </w:r>
      <w:r>
        <w:rPr>
          <w:rFonts w:hint="eastAsia" w:ascii="宋体" w:hAnsi="宋体"/>
          <w:snapToGrid w:val="0"/>
          <w:color w:val="auto"/>
          <w:kern w:val="0"/>
          <w:szCs w:val="21"/>
          <w:highlight w:val="none"/>
          <w:lang w:eastAsia="zh-CN"/>
        </w:rPr>
        <w:t>缴纳招标代理费</w:t>
      </w:r>
      <w:r>
        <w:rPr>
          <w:rFonts w:ascii="宋体" w:hAnsi="宋体"/>
          <w:snapToGrid w:val="0"/>
          <w:color w:val="auto"/>
          <w:kern w:val="0"/>
          <w:szCs w:val="21"/>
          <w:highlight w:val="none"/>
        </w:rPr>
        <w:t>，在中标通知书规定的期限内与你方签订合同。</w:t>
      </w:r>
    </w:p>
    <w:p>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（2）随同本</w:t>
      </w:r>
      <w:r>
        <w:rPr>
          <w:rFonts w:hint="eastAsia" w:ascii="宋体" w:hAnsi="宋体"/>
          <w:snapToGrid w:val="0"/>
          <w:color w:val="auto"/>
          <w:kern w:val="0"/>
          <w:szCs w:val="21"/>
          <w:highlight w:val="none"/>
          <w:lang w:eastAsia="zh-CN"/>
        </w:rPr>
        <w:t>竞选函</w:t>
      </w:r>
      <w:r>
        <w:rPr>
          <w:rFonts w:ascii="宋体" w:hAnsi="宋体"/>
          <w:snapToGrid w:val="0"/>
          <w:color w:val="auto"/>
          <w:kern w:val="0"/>
          <w:szCs w:val="21"/>
          <w:highlight w:val="none"/>
        </w:rPr>
        <w:t>递交的</w:t>
      </w:r>
      <w:r>
        <w:rPr>
          <w:rFonts w:hint="eastAsia" w:ascii="宋体" w:hAnsi="宋体"/>
          <w:snapToGrid w:val="0"/>
          <w:color w:val="auto"/>
          <w:kern w:val="0"/>
          <w:szCs w:val="21"/>
          <w:highlight w:val="none"/>
          <w:lang w:eastAsia="zh-CN"/>
        </w:rPr>
        <w:t>竞选函</w:t>
      </w:r>
      <w:r>
        <w:rPr>
          <w:rFonts w:ascii="宋体" w:hAnsi="宋体"/>
          <w:snapToGrid w:val="0"/>
          <w:color w:val="auto"/>
          <w:kern w:val="0"/>
          <w:szCs w:val="21"/>
          <w:highlight w:val="none"/>
        </w:rPr>
        <w:t>附录属于合同文件的组成部分。</w:t>
      </w:r>
    </w:p>
    <w:p>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（3）我方承诺按照招标文件规定向你方递交履约担保。</w:t>
      </w:r>
    </w:p>
    <w:p>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（4）我方承诺在合同约定的期限内完成并移交全部合同工程。</w:t>
      </w:r>
    </w:p>
    <w:p>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hint="eastAsia" w:ascii="宋体" w:hAnsi="宋体"/>
          <w:snapToGrid w:val="0"/>
          <w:color w:val="auto"/>
          <w:kern w:val="0"/>
          <w:szCs w:val="21"/>
          <w:highlight w:val="none"/>
        </w:rPr>
        <w:t>（5）我方承诺以不低于招标文件第七章 技术标准和要求中所列的技术指标和参数要求完成全部合同工程。</w:t>
      </w:r>
    </w:p>
    <w:p>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w:t>
      </w:r>
      <w:r>
        <w:rPr>
          <w:rFonts w:hint="eastAsia" w:ascii="宋体" w:hAnsi="宋体"/>
          <w:snapToGrid w:val="0"/>
          <w:color w:val="auto"/>
          <w:spacing w:val="-2"/>
          <w:kern w:val="0"/>
          <w:szCs w:val="21"/>
          <w:highlight w:val="none"/>
          <w:lang w:eastAsia="zh-CN"/>
        </w:rPr>
        <w:t>竞选文件</w:t>
      </w:r>
      <w:r>
        <w:rPr>
          <w:rFonts w:ascii="宋体" w:hAnsi="宋体"/>
          <w:snapToGrid w:val="0"/>
          <w:color w:val="auto"/>
          <w:spacing w:val="-2"/>
          <w:kern w:val="0"/>
          <w:szCs w:val="21"/>
          <w:highlight w:val="none"/>
        </w:rPr>
        <w:t>及有关资料内容完整、真实和准确，且不存在第二章“</w:t>
      </w:r>
      <w:r>
        <w:rPr>
          <w:rFonts w:hint="eastAsia" w:ascii="宋体" w:hAnsi="宋体"/>
          <w:snapToGrid w:val="0"/>
          <w:color w:val="auto"/>
          <w:spacing w:val="-2"/>
          <w:kern w:val="0"/>
          <w:szCs w:val="21"/>
          <w:highlight w:val="none"/>
          <w:lang w:eastAsia="zh-CN"/>
        </w:rPr>
        <w:t>竞选人</w:t>
      </w:r>
      <w:r>
        <w:rPr>
          <w:rFonts w:ascii="宋体" w:hAnsi="宋体"/>
          <w:snapToGrid w:val="0"/>
          <w:color w:val="auto"/>
          <w:kern w:val="0"/>
          <w:szCs w:val="21"/>
          <w:highlight w:val="none"/>
        </w:rPr>
        <w:t>须知”第 1.4.3 项规定的任何一种情形。同时我方承诺接受招标文件及附件、澄清及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（其他补充说明）</w:t>
      </w:r>
      <w:r>
        <w:rPr>
          <w:rFonts w:ascii="宋体" w:hAnsi="宋体"/>
          <w:snapToGrid w:val="0"/>
          <w:color w:val="auto"/>
          <w:kern w:val="0"/>
          <w:szCs w:val="21"/>
          <w:highlight w:val="none"/>
        </w:rPr>
        <w:t>。</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highlight w:val="none"/>
        </w:rPr>
      </w:pPr>
    </w:p>
    <w:p>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p>
    <w:p>
      <w:pPr>
        <w:tabs>
          <w:tab w:val="left" w:pos="8300"/>
        </w:tabs>
        <w:autoSpaceDE w:val="0"/>
        <w:autoSpaceDN w:val="0"/>
        <w:adjustRightInd w:val="0"/>
        <w:spacing w:line="400" w:lineRule="exact"/>
        <w:ind w:firstLine="400" w:firstLineChars="200"/>
        <w:jc w:val="right"/>
        <w:rPr>
          <w:rFonts w:ascii="宋体" w:hAnsi="宋体"/>
          <w:snapToGrid w:val="0"/>
          <w:color w:val="auto"/>
          <w:kern w:val="0"/>
          <w:sz w:val="20"/>
          <w:szCs w:val="20"/>
          <w:highlight w:val="none"/>
        </w:rPr>
      </w:pPr>
    </w:p>
    <w:p>
      <w:pPr>
        <w:pStyle w:val="5"/>
        <w:jc w:val="center"/>
        <w:rPr>
          <w:rFonts w:ascii="宋体" w:hAnsi="宋体"/>
          <w:snapToGrid w:val="0"/>
          <w:color w:val="auto"/>
          <w:kern w:val="0"/>
          <w:szCs w:val="21"/>
          <w:highlight w:val="none"/>
        </w:rPr>
      </w:pPr>
      <w:bookmarkStart w:id="1364" w:name="_Toc287620815"/>
      <w:bookmarkStart w:id="1365" w:name="_Toc277082644"/>
      <w:bookmarkStart w:id="1366" w:name="_Toc430530531"/>
      <w:bookmarkStart w:id="1367" w:name="_Toc224103496"/>
      <w:bookmarkStart w:id="1368" w:name="_Toc287607868"/>
      <w:r>
        <w:rPr>
          <w:rFonts w:ascii="宋体" w:hAnsi="宋体"/>
          <w:color w:val="auto"/>
          <w:sz w:val="28"/>
          <w:highlight w:val="none"/>
        </w:rPr>
        <w:br w:type="page"/>
      </w:r>
      <w:bookmarkStart w:id="1369" w:name="_Toc509218855"/>
      <w:bookmarkStart w:id="1370" w:name="_Toc534185832"/>
      <w:bookmarkStart w:id="1371" w:name="_Toc30967"/>
      <w:bookmarkStart w:id="1372" w:name="_Toc14005"/>
      <w:bookmarkStart w:id="1373" w:name="_Toc17852"/>
      <w:r>
        <w:rPr>
          <w:color w:val="auto"/>
          <w:highlight w:val="none"/>
        </w:rPr>
        <w:t>（二）</w:t>
      </w:r>
      <w:r>
        <w:rPr>
          <w:rFonts w:hint="eastAsia"/>
          <w:color w:val="auto"/>
          <w:highlight w:val="none"/>
          <w:lang w:eastAsia="zh-CN"/>
        </w:rPr>
        <w:t>竞选函</w:t>
      </w:r>
      <w:r>
        <w:rPr>
          <w:color w:val="auto"/>
          <w:highlight w:val="none"/>
        </w:rPr>
        <w:t>附录</w:t>
      </w:r>
      <w:bookmarkEnd w:id="1364"/>
      <w:bookmarkEnd w:id="1365"/>
      <w:bookmarkEnd w:id="1366"/>
      <w:bookmarkEnd w:id="1367"/>
      <w:bookmarkEnd w:id="1368"/>
      <w:bookmarkEnd w:id="1369"/>
      <w:bookmarkEnd w:id="1370"/>
      <w:bookmarkEnd w:id="1371"/>
      <w:bookmarkEnd w:id="1372"/>
      <w:bookmarkEnd w:id="1373"/>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2582"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条款名称</w:t>
            </w:r>
          </w:p>
        </w:tc>
        <w:tc>
          <w:tcPr>
            <w:tcW w:w="2388"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合同条款号</w:t>
            </w:r>
          </w:p>
        </w:tc>
        <w:tc>
          <w:tcPr>
            <w:tcW w:w="2987"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约定内容</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1</w:t>
            </w:r>
          </w:p>
        </w:tc>
        <w:tc>
          <w:tcPr>
            <w:tcW w:w="2582"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工期</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1.1.4.3</w:t>
            </w:r>
          </w:p>
        </w:tc>
        <w:tc>
          <w:tcPr>
            <w:tcW w:w="2987" w:type="dxa"/>
            <w:vAlign w:val="center"/>
          </w:tcPr>
          <w:p>
            <w:pPr>
              <w:tabs>
                <w:tab w:val="left" w:pos="1560"/>
              </w:tabs>
              <w:autoSpaceDE w:val="0"/>
              <w:autoSpaceDN w:val="0"/>
              <w:adjustRightInd w:val="0"/>
              <w:ind w:firstLine="630" w:firstLineChars="300"/>
              <w:jc w:val="center"/>
              <w:rPr>
                <w:rFonts w:hint="eastAsia"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日历天</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2</w:t>
            </w:r>
          </w:p>
        </w:tc>
        <w:tc>
          <w:tcPr>
            <w:tcW w:w="2582"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分包</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3.5</w:t>
            </w:r>
          </w:p>
        </w:tc>
        <w:tc>
          <w:tcPr>
            <w:tcW w:w="2987" w:type="dxa"/>
            <w:vAlign w:val="center"/>
          </w:tcPr>
          <w:p>
            <w:pPr>
              <w:autoSpaceDE w:val="0"/>
              <w:autoSpaceDN w:val="0"/>
              <w:adjustRightInd w:val="0"/>
              <w:jc w:val="center"/>
              <w:rPr>
                <w:rFonts w:hint="eastAsia"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不允许</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3</w:t>
            </w:r>
          </w:p>
        </w:tc>
        <w:tc>
          <w:tcPr>
            <w:tcW w:w="2582" w:type="dxa"/>
            <w:vAlign w:val="center"/>
          </w:tcPr>
          <w:p>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工程质量</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5.1</w:t>
            </w:r>
          </w:p>
        </w:tc>
        <w:tc>
          <w:tcPr>
            <w:tcW w:w="2987" w:type="dxa"/>
            <w:vAlign w:val="center"/>
          </w:tcPr>
          <w:p>
            <w:pPr>
              <w:autoSpaceDE w:val="0"/>
              <w:autoSpaceDN w:val="0"/>
              <w:adjustRightInd w:val="0"/>
              <w:jc w:val="center"/>
              <w:rPr>
                <w:rFonts w:hint="eastAsia"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合格</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p>
        </w:tc>
      </w:tr>
    </w:tbl>
    <w:p>
      <w:pPr>
        <w:spacing w:line="360" w:lineRule="auto"/>
        <w:rPr>
          <w:rFonts w:ascii="宋体" w:hAnsi="宋体"/>
          <w:snapToGrid w:val="0"/>
          <w:color w:val="auto"/>
          <w:w w:val="99"/>
          <w:highlight w:val="none"/>
        </w:rPr>
      </w:pPr>
    </w:p>
    <w:p>
      <w:pPr>
        <w:spacing w:line="360" w:lineRule="auto"/>
        <w:rPr>
          <w:rFonts w:ascii="宋体" w:hAnsi="宋体"/>
          <w:snapToGrid w:val="0"/>
          <w:color w:val="auto"/>
          <w:highlight w:val="none"/>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 xml:space="preserve">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highlight w:val="none"/>
        </w:rPr>
      </w:pPr>
    </w:p>
    <w:p>
      <w:pPr>
        <w:pStyle w:val="5"/>
        <w:jc w:val="center"/>
        <w:rPr>
          <w:rFonts w:ascii="宋体" w:hAnsi="宋体"/>
          <w:b w:val="0"/>
          <w:snapToGrid w:val="0"/>
          <w:color w:val="auto"/>
          <w:kern w:val="0"/>
          <w:sz w:val="30"/>
          <w:szCs w:val="30"/>
          <w:highlight w:val="none"/>
        </w:rPr>
      </w:pPr>
      <w:r>
        <w:rPr>
          <w:rFonts w:ascii="宋体" w:hAnsi="宋体"/>
          <w:snapToGrid w:val="0"/>
          <w:color w:val="auto"/>
          <w:highlight w:val="none"/>
        </w:rPr>
        <w:br w:type="page"/>
      </w:r>
      <w:bookmarkStart w:id="1374" w:name="_Toc224103497"/>
      <w:bookmarkStart w:id="1375" w:name="_Toc430530532"/>
      <w:bookmarkStart w:id="1376" w:name="_Toc8650"/>
      <w:bookmarkStart w:id="1377" w:name="_Toc277082645"/>
      <w:bookmarkStart w:id="1378" w:name="_Toc287620816"/>
      <w:bookmarkStart w:id="1379" w:name="_Toc287607869"/>
      <w:bookmarkStart w:id="1380" w:name="_Toc26823"/>
      <w:bookmarkStart w:id="1381" w:name="_Toc374"/>
      <w:r>
        <w:rPr>
          <w:color w:val="auto"/>
          <w:sz w:val="30"/>
          <w:szCs w:val="30"/>
          <w:highlight w:val="none"/>
        </w:rPr>
        <w:t>（三）</w:t>
      </w:r>
      <w:r>
        <w:rPr>
          <w:rFonts w:hint="eastAsia"/>
          <w:color w:val="auto"/>
          <w:sz w:val="30"/>
          <w:szCs w:val="30"/>
          <w:highlight w:val="none"/>
        </w:rPr>
        <w:t>法定代表人身份证明或附有法定代表人身份证明的授权委托书</w:t>
      </w:r>
      <w:bookmarkEnd w:id="1374"/>
      <w:bookmarkEnd w:id="1375"/>
      <w:bookmarkEnd w:id="1376"/>
      <w:bookmarkEnd w:id="1377"/>
      <w:bookmarkEnd w:id="1378"/>
      <w:bookmarkEnd w:id="1379"/>
      <w:bookmarkEnd w:id="1380"/>
      <w:bookmarkEnd w:id="1381"/>
    </w:p>
    <w:p>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pPr>
        <w:spacing w:line="480" w:lineRule="auto"/>
        <w:jc w:val="center"/>
        <w:rPr>
          <w:rFonts w:ascii="宋体" w:hAnsi="宋体"/>
          <w:color w:val="auto"/>
          <w:highlight w:val="none"/>
        </w:rPr>
      </w:pPr>
    </w:p>
    <w:p>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pPr>
        <w:pStyle w:val="2"/>
        <w:spacing w:after="0" w:line="360" w:lineRule="auto"/>
        <w:rPr>
          <w:rFonts w:ascii="宋体" w:hAnsi="宋体"/>
          <w:color w:val="auto"/>
          <w:szCs w:val="21"/>
          <w:highlight w:val="none"/>
        </w:rPr>
      </w:pPr>
    </w:p>
    <w:p>
      <w:pPr>
        <w:pStyle w:val="2"/>
        <w:spacing w:after="0" w:line="360" w:lineRule="auto"/>
        <w:rPr>
          <w:rFonts w:ascii="宋体" w:hAnsi="宋体"/>
          <w:color w:val="auto"/>
          <w:szCs w:val="21"/>
          <w:highlight w:val="none"/>
        </w:rPr>
      </w:pPr>
    </w:p>
    <w:p>
      <w:pPr>
        <w:pStyle w:val="2"/>
        <w:spacing w:after="0" w:line="360" w:lineRule="auto"/>
        <w:rPr>
          <w:rFonts w:ascii="宋体" w:hAnsi="宋体"/>
          <w:color w:val="auto"/>
          <w:szCs w:val="21"/>
          <w:highlight w:val="none"/>
        </w:rPr>
      </w:pPr>
    </w:p>
    <w:p>
      <w:pPr>
        <w:pStyle w:val="2"/>
        <w:spacing w:after="0" w:line="360" w:lineRule="auto"/>
        <w:rPr>
          <w:rFonts w:ascii="宋体" w:hAnsi="宋体"/>
          <w:color w:val="auto"/>
          <w:szCs w:val="21"/>
          <w:highlight w:val="none"/>
        </w:rPr>
      </w:pPr>
    </w:p>
    <w:p>
      <w:pPr>
        <w:pStyle w:val="2"/>
        <w:spacing w:after="0" w:line="360" w:lineRule="auto"/>
        <w:rPr>
          <w:rFonts w:ascii="宋体" w:hAnsi="宋体"/>
          <w:color w:val="auto"/>
          <w:szCs w:val="21"/>
          <w:highlight w:val="none"/>
        </w:rPr>
      </w:pPr>
    </w:p>
    <w:p>
      <w:pPr>
        <w:pStyle w:val="2"/>
        <w:spacing w:after="0" w:line="360" w:lineRule="auto"/>
        <w:rPr>
          <w:rFonts w:ascii="宋体" w:hAnsi="宋体"/>
          <w:color w:val="auto"/>
          <w:szCs w:val="21"/>
          <w:highlight w:val="none"/>
        </w:rPr>
      </w:pPr>
    </w:p>
    <w:p>
      <w:pPr>
        <w:autoSpaceDE w:val="0"/>
        <w:autoSpaceDN w:val="0"/>
        <w:adjustRightInd w:val="0"/>
        <w:snapToGrid w:val="0"/>
        <w:spacing w:line="480" w:lineRule="auto"/>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pPr>
        <w:autoSpaceDE w:val="0"/>
        <w:autoSpaceDN w:val="0"/>
        <w:adjustRightInd w:val="0"/>
        <w:snapToGrid w:val="0"/>
        <w:spacing w:line="360" w:lineRule="auto"/>
        <w:jc w:val="left"/>
        <w:rPr>
          <w:rFonts w:ascii="宋体" w:hAnsi="宋体"/>
          <w:color w:val="auto"/>
          <w:kern w:val="0"/>
          <w:highlight w:val="none"/>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hint="eastAsia" w:ascii="宋体" w:hAnsi="宋体"/>
          <w:color w:val="auto"/>
          <w:kern w:val="0"/>
          <w:szCs w:val="21"/>
          <w:highlight w:val="none"/>
          <w:u w:val="single"/>
          <w:lang w:eastAsia="zh-CN"/>
        </w:rPr>
        <w:t>、联系电话</w:t>
      </w:r>
      <w:r>
        <w:rPr>
          <w:rFonts w:ascii="宋体" w:hAnsi="宋体"/>
          <w:color w:val="auto"/>
          <w:kern w:val="0"/>
          <w:szCs w:val="21"/>
          <w:highlight w:val="none"/>
          <w:u w:val="single"/>
        </w:rPr>
        <w:t>）</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lang w:eastAsia="zh-CN"/>
        </w:rPr>
        <w:t>竞选文件</w:t>
      </w:r>
      <w:r>
        <w:rPr>
          <w:rFonts w:ascii="宋体" w:hAnsi="宋体"/>
          <w:color w:val="auto"/>
          <w:kern w:val="0"/>
          <w:szCs w:val="21"/>
          <w:highlight w:val="none"/>
        </w:rPr>
        <w:t>、签订合同和处理有关事宜，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pPr>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lang w:eastAsia="zh-CN"/>
        </w:rPr>
        <w:t>竞选文件</w:t>
      </w:r>
      <w:r>
        <w:rPr>
          <w:rFonts w:ascii="宋体" w:hAnsi="宋体"/>
          <w:color w:val="auto"/>
          <w:kern w:val="0"/>
          <w:szCs w:val="21"/>
          <w:highlight w:val="none"/>
        </w:rPr>
        <w:t>一并递交。另外须准备一份授权委托书原件在开标现场出具。</w:t>
      </w:r>
    </w:p>
    <w:p>
      <w:pPr>
        <w:spacing w:line="360" w:lineRule="auto"/>
        <w:ind w:firstLine="420" w:firstLineChars="200"/>
        <w:jc w:val="left"/>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pPr>
        <w:spacing w:line="360" w:lineRule="auto"/>
        <w:ind w:firstLine="420" w:firstLineChars="200"/>
        <w:rPr>
          <w:rFonts w:ascii="宋体" w:hAnsi="宋体"/>
          <w:color w:val="auto"/>
          <w:highlight w:val="none"/>
        </w:rPr>
      </w:pPr>
      <w:r>
        <w:rPr>
          <w:rFonts w:ascii="宋体" w:hAnsi="宋体"/>
          <w:color w:val="auto"/>
          <w:highlight w:val="none"/>
        </w:rPr>
        <w:br w:type="page"/>
      </w:r>
      <w:bookmarkStart w:id="1382" w:name="_Toc287607872"/>
      <w:bookmarkStart w:id="1383" w:name="_Toc287620819"/>
      <w:bookmarkStart w:id="1384" w:name="_Toc224103500"/>
      <w:bookmarkStart w:id="1385" w:name="_Toc430530534"/>
    </w:p>
    <w:p>
      <w:pPr>
        <w:pStyle w:val="4"/>
        <w:spacing w:line="360" w:lineRule="auto"/>
        <w:jc w:val="center"/>
        <w:rPr>
          <w:rFonts w:ascii="宋体" w:hAnsi="宋体"/>
          <w:b w:val="0"/>
          <w:bCs w:val="0"/>
          <w:color w:val="auto"/>
          <w:sz w:val="44"/>
          <w:szCs w:val="44"/>
          <w:highlight w:val="none"/>
        </w:rPr>
      </w:pPr>
      <w:bookmarkStart w:id="1386" w:name="_Toc23891"/>
      <w:bookmarkStart w:id="1387" w:name="_Toc12999"/>
      <w:r>
        <w:rPr>
          <w:rFonts w:hint="eastAsia" w:ascii="宋体" w:hAnsi="宋体"/>
          <w:b w:val="0"/>
          <w:bCs w:val="0"/>
          <w:color w:val="auto"/>
          <w:sz w:val="44"/>
          <w:szCs w:val="44"/>
          <w:highlight w:val="none"/>
          <w:lang w:val="en-US" w:eastAsia="zh-CN"/>
        </w:rPr>
        <w:t>二</w:t>
      </w:r>
      <w:r>
        <w:rPr>
          <w:rFonts w:hint="eastAsia" w:ascii="宋体" w:hAnsi="宋体"/>
          <w:b w:val="0"/>
          <w:bCs w:val="0"/>
          <w:color w:val="auto"/>
          <w:sz w:val="44"/>
          <w:szCs w:val="44"/>
          <w:highlight w:val="none"/>
        </w:rPr>
        <w:t>、经济部分</w:t>
      </w:r>
      <w:bookmarkEnd w:id="1382"/>
      <w:bookmarkEnd w:id="1383"/>
      <w:bookmarkEnd w:id="1384"/>
      <w:bookmarkEnd w:id="1385"/>
      <w:bookmarkEnd w:id="1386"/>
      <w:bookmarkEnd w:id="1387"/>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pPr>
        <w:autoSpaceDE w:val="0"/>
        <w:autoSpaceDN w:val="0"/>
        <w:adjustRightInd w:val="0"/>
        <w:snapToGrid w:val="0"/>
        <w:spacing w:line="360" w:lineRule="auto"/>
        <w:jc w:val="left"/>
        <w:rPr>
          <w:rFonts w:ascii="宋体" w:hAnsi="宋体"/>
          <w:color w:val="auto"/>
          <w:kern w:val="0"/>
          <w:sz w:val="16"/>
          <w:szCs w:val="16"/>
          <w:highlight w:val="none"/>
        </w:rPr>
      </w:pP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经济部分</w:t>
      </w: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eastAsia="zh-CN"/>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pP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kern w:val="0"/>
          <w:sz w:val="24"/>
          <w:szCs w:val="21"/>
          <w:highlight w:val="none"/>
        </w:rPr>
        <w:br w:type="page"/>
      </w:r>
    </w:p>
    <w:p>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 w:val="36"/>
          <w:szCs w:val="36"/>
          <w:highlight w:val="none"/>
        </w:rPr>
        <w:t>目  录</w:t>
      </w: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jc w:val="center"/>
        <w:rPr>
          <w:rFonts w:ascii="宋体" w:hAnsi="宋体"/>
          <w:i/>
          <w:iCs/>
          <w:color w:val="auto"/>
          <w:kern w:val="0"/>
          <w:szCs w:val="21"/>
          <w:highlight w:val="none"/>
        </w:rPr>
      </w:pPr>
      <w:r>
        <w:rPr>
          <w:rFonts w:ascii="宋体" w:hAnsi="宋体"/>
          <w:i/>
          <w:iCs/>
          <w:color w:val="auto"/>
          <w:kern w:val="0"/>
          <w:szCs w:val="21"/>
          <w:highlight w:val="none"/>
        </w:rPr>
        <w:t>[</w:t>
      </w:r>
      <w:r>
        <w:rPr>
          <w:rFonts w:hint="eastAsia" w:ascii="宋体" w:hAnsi="宋体"/>
          <w:i/>
          <w:iCs/>
          <w:color w:val="auto"/>
          <w:kern w:val="0"/>
          <w:szCs w:val="21"/>
          <w:highlight w:val="none"/>
        </w:rPr>
        <w:t>提示：</w:t>
      </w:r>
      <w:r>
        <w:rPr>
          <w:rFonts w:ascii="宋体" w:hAnsi="宋体"/>
          <w:i/>
          <w:iCs/>
          <w:color w:val="auto"/>
          <w:kern w:val="0"/>
          <w:szCs w:val="21"/>
          <w:highlight w:val="none"/>
        </w:rPr>
        <w:t>目录由</w:t>
      </w:r>
      <w:r>
        <w:rPr>
          <w:rFonts w:hint="eastAsia" w:ascii="宋体" w:hAnsi="宋体"/>
          <w:i/>
          <w:iCs/>
          <w:color w:val="auto"/>
          <w:kern w:val="0"/>
          <w:szCs w:val="21"/>
          <w:highlight w:val="none"/>
          <w:lang w:eastAsia="zh-CN"/>
        </w:rPr>
        <w:t>竞选人</w:t>
      </w:r>
      <w:r>
        <w:rPr>
          <w:rFonts w:ascii="宋体" w:hAnsi="宋体"/>
          <w:i/>
          <w:iCs/>
          <w:color w:val="auto"/>
          <w:kern w:val="0"/>
          <w:szCs w:val="21"/>
          <w:highlight w:val="none"/>
        </w:rPr>
        <w:t>自行编制]</w:t>
      </w:r>
    </w:p>
    <w:p>
      <w:pPr>
        <w:autoSpaceDE w:val="0"/>
        <w:autoSpaceDN w:val="0"/>
        <w:adjustRightInd w:val="0"/>
        <w:snapToGrid w:val="0"/>
        <w:spacing w:line="360" w:lineRule="auto"/>
        <w:jc w:val="left"/>
        <w:rPr>
          <w:rFonts w:ascii="宋体" w:hAnsi="宋体"/>
          <w:color w:val="auto"/>
          <w:w w:val="99"/>
          <w:kern w:val="0"/>
          <w:sz w:val="28"/>
          <w:szCs w:val="28"/>
          <w:highlight w:val="none"/>
        </w:rPr>
      </w:pPr>
    </w:p>
    <w:p>
      <w:pP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highlight w:val="none"/>
        </w:rPr>
        <w:br w:type="page"/>
      </w:r>
      <w:bookmarkStart w:id="1388" w:name="_Toc277082648"/>
      <w:bookmarkStart w:id="1389" w:name="_Toc224103501"/>
      <w:bookmarkStart w:id="1390" w:name="_Toc287620820"/>
      <w:bookmarkStart w:id="1391" w:name="_Toc430530535"/>
      <w:bookmarkStart w:id="1392" w:name="_Toc287607873"/>
    </w:p>
    <w:p>
      <w:pPr>
        <w:pStyle w:val="5"/>
        <w:jc w:val="center"/>
        <w:rPr>
          <w:color w:val="auto"/>
          <w:highlight w:val="none"/>
        </w:rPr>
      </w:pPr>
      <w:bookmarkStart w:id="1393" w:name="_Toc28475"/>
      <w:bookmarkStart w:id="1394" w:name="_Toc6920"/>
      <w:r>
        <w:rPr>
          <w:rFonts w:hint="eastAsia"/>
          <w:color w:val="auto"/>
          <w:highlight w:val="none"/>
        </w:rPr>
        <w:t>（一）已标价工程量清单</w:t>
      </w:r>
      <w:bookmarkEnd w:id="1388"/>
      <w:bookmarkEnd w:id="1389"/>
      <w:bookmarkEnd w:id="1390"/>
      <w:bookmarkEnd w:id="1391"/>
      <w:bookmarkEnd w:id="1392"/>
      <w:bookmarkEnd w:id="1393"/>
      <w:bookmarkEnd w:id="1394"/>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autoSpaceDE w:val="0"/>
        <w:autoSpaceDN w:val="0"/>
        <w:adjustRightInd w:val="0"/>
        <w:snapToGrid w:val="0"/>
        <w:spacing w:line="360" w:lineRule="auto"/>
        <w:jc w:val="left"/>
        <w:rPr>
          <w:rFonts w:ascii="宋体" w:hAnsi="宋体"/>
          <w:color w:val="auto"/>
          <w:kern w:val="0"/>
          <w:sz w:val="24"/>
          <w:szCs w:val="21"/>
          <w:highlight w:val="none"/>
        </w:rPr>
      </w:pPr>
      <w:bookmarkStart w:id="1395" w:name="_Toc224103502"/>
      <w:bookmarkStart w:id="1396" w:name="_Toc430530536"/>
      <w:bookmarkStart w:id="1397" w:name="_Toc287607874"/>
      <w:bookmarkStart w:id="1398" w:name="_Toc287620821"/>
      <w:r>
        <w:rPr>
          <w:rFonts w:ascii="宋体" w:hAnsi="宋体"/>
          <w:color w:val="auto"/>
          <w:highlight w:val="none"/>
        </w:rPr>
        <w:br w:type="page"/>
      </w:r>
    </w:p>
    <w:p>
      <w:pPr>
        <w:pStyle w:val="4"/>
        <w:spacing w:line="360" w:lineRule="auto"/>
        <w:jc w:val="center"/>
        <w:rPr>
          <w:rFonts w:ascii="宋体" w:hAnsi="宋体"/>
          <w:b w:val="0"/>
          <w:bCs w:val="0"/>
          <w:color w:val="auto"/>
          <w:sz w:val="44"/>
          <w:szCs w:val="44"/>
          <w:highlight w:val="none"/>
        </w:rPr>
      </w:pPr>
      <w:bookmarkStart w:id="1399" w:name="_Toc29644"/>
      <w:bookmarkStart w:id="1400" w:name="_Toc12442"/>
      <w:r>
        <w:rPr>
          <w:rFonts w:hint="eastAsia" w:ascii="宋体" w:hAnsi="宋体"/>
          <w:b w:val="0"/>
          <w:bCs w:val="0"/>
          <w:color w:val="auto"/>
          <w:sz w:val="44"/>
          <w:szCs w:val="44"/>
          <w:highlight w:val="none"/>
          <w:lang w:val="en-US" w:eastAsia="zh-CN"/>
        </w:rPr>
        <w:t>三</w:t>
      </w:r>
      <w:r>
        <w:rPr>
          <w:rFonts w:hint="eastAsia" w:ascii="宋体" w:hAnsi="宋体"/>
          <w:b w:val="0"/>
          <w:bCs w:val="0"/>
          <w:color w:val="auto"/>
          <w:sz w:val="44"/>
          <w:szCs w:val="44"/>
          <w:highlight w:val="none"/>
        </w:rPr>
        <w:t>、技术部分</w:t>
      </w:r>
      <w:bookmarkEnd w:id="1395"/>
      <w:bookmarkEnd w:id="1396"/>
      <w:bookmarkEnd w:id="1399"/>
      <w:bookmarkEnd w:id="1400"/>
    </w:p>
    <w:p>
      <w:pPr>
        <w:jc w:val="center"/>
        <w:rPr>
          <w:i/>
          <w:iCs/>
          <w:color w:val="auto"/>
          <w:highlight w:val="none"/>
        </w:rPr>
      </w:pPr>
      <w:bookmarkStart w:id="1401" w:name="_Toc536628352"/>
      <w:bookmarkStart w:id="1402" w:name="_Toc430530537"/>
      <w:bookmarkStart w:id="1403" w:name="_Toc534185833"/>
      <w:bookmarkStart w:id="1404" w:name="_Toc509218856"/>
      <w:r>
        <w:rPr>
          <w:rFonts w:ascii="宋体" w:hAnsi="宋体"/>
          <w:i/>
          <w:iCs/>
          <w:color w:val="auto"/>
          <w:kern w:val="0"/>
          <w:szCs w:val="21"/>
          <w:highlight w:val="none"/>
        </w:rPr>
        <w:t>[</w:t>
      </w:r>
      <w:r>
        <w:rPr>
          <w:rFonts w:hint="eastAsia"/>
          <w:i/>
          <w:iCs/>
          <w:color w:val="auto"/>
          <w:highlight w:val="none"/>
        </w:rPr>
        <w:t>提示：</w:t>
      </w:r>
      <w:r>
        <w:rPr>
          <w:i/>
          <w:iCs/>
          <w:color w:val="auto"/>
          <w:highlight w:val="none"/>
        </w:rPr>
        <w:t>不设置技术方案评审的不设此部分</w:t>
      </w:r>
      <w:r>
        <w:rPr>
          <w:rFonts w:hint="eastAsia"/>
          <w:i/>
          <w:iCs/>
          <w:color w:val="auto"/>
          <w:highlight w:val="none"/>
        </w:rPr>
        <w:t>，技术部分面页详见最后一页。</w:t>
      </w:r>
      <w:r>
        <w:rPr>
          <w:rFonts w:ascii="宋体" w:hAnsi="宋体"/>
          <w:i/>
          <w:iCs/>
          <w:color w:val="auto"/>
          <w:kern w:val="0"/>
          <w:szCs w:val="21"/>
          <w:highlight w:val="none"/>
        </w:rPr>
        <w:t>]</w:t>
      </w:r>
    </w:p>
    <w:bookmarkEnd w:id="1397"/>
    <w:bookmarkEnd w:id="1398"/>
    <w:bookmarkEnd w:id="1401"/>
    <w:bookmarkEnd w:id="1402"/>
    <w:bookmarkEnd w:id="1403"/>
    <w:bookmarkEnd w:id="1404"/>
    <w:p>
      <w:pPr>
        <w:autoSpaceDE w:val="0"/>
        <w:autoSpaceDN w:val="0"/>
        <w:adjustRightInd w:val="0"/>
        <w:snapToGrid w:val="0"/>
        <w:spacing w:line="360" w:lineRule="auto"/>
        <w:jc w:val="center"/>
        <w:rPr>
          <w:rFonts w:ascii="宋体" w:hAnsi="宋体"/>
          <w:color w:val="auto"/>
          <w:kern w:val="0"/>
          <w:sz w:val="36"/>
          <w:szCs w:val="36"/>
          <w:highlight w:val="none"/>
        </w:rPr>
      </w:pPr>
      <w:r>
        <w:rPr>
          <w:color w:val="auto"/>
          <w:highlight w:val="none"/>
        </w:rPr>
        <w:br w:type="page"/>
      </w:r>
    </w:p>
    <w:p>
      <w:pPr>
        <w:autoSpaceDE w:val="0"/>
        <w:autoSpaceDN w:val="0"/>
        <w:adjustRightInd w:val="0"/>
        <w:snapToGrid w:val="0"/>
        <w:spacing w:line="360" w:lineRule="auto"/>
        <w:jc w:val="center"/>
        <w:rPr>
          <w:rFonts w:ascii="宋体" w:hAnsi="宋体"/>
          <w:color w:val="auto"/>
          <w:kern w:val="0"/>
          <w:sz w:val="32"/>
          <w:szCs w:val="32"/>
          <w:highlight w:val="none"/>
        </w:rPr>
      </w:pPr>
      <w:r>
        <w:rPr>
          <w:rFonts w:hint="eastAsia" w:ascii="宋体" w:hAnsi="宋体"/>
          <w:color w:val="auto"/>
          <w:kern w:val="0"/>
          <w:sz w:val="36"/>
          <w:szCs w:val="36"/>
          <w:highlight w:val="none"/>
        </w:rPr>
        <w:t>目  录</w:t>
      </w:r>
    </w:p>
    <w:p>
      <w:pPr>
        <w:autoSpaceDE w:val="0"/>
        <w:autoSpaceDN w:val="0"/>
        <w:adjustRightInd w:val="0"/>
        <w:snapToGrid w:val="0"/>
        <w:spacing w:line="360" w:lineRule="auto"/>
        <w:jc w:val="left"/>
        <w:rPr>
          <w:rFonts w:ascii="宋体" w:hAnsi="宋体"/>
          <w:color w:val="auto"/>
          <w:kern w:val="0"/>
          <w:sz w:val="32"/>
          <w:szCs w:val="32"/>
          <w:highlight w:val="none"/>
        </w:rPr>
      </w:pPr>
    </w:p>
    <w:p>
      <w:pPr>
        <w:autoSpaceDE w:val="0"/>
        <w:autoSpaceDN w:val="0"/>
        <w:adjustRightInd w:val="0"/>
        <w:snapToGrid w:val="0"/>
        <w:spacing w:line="360" w:lineRule="auto"/>
        <w:jc w:val="center"/>
        <w:rPr>
          <w:rFonts w:ascii="宋体" w:hAnsi="宋体"/>
          <w:i/>
          <w:iCs/>
          <w:color w:val="auto"/>
          <w:kern w:val="0"/>
          <w:szCs w:val="21"/>
          <w:highlight w:val="none"/>
        </w:rPr>
      </w:pPr>
      <w:r>
        <w:rPr>
          <w:rFonts w:ascii="宋体" w:hAnsi="宋体"/>
          <w:i/>
          <w:iCs/>
          <w:color w:val="auto"/>
          <w:kern w:val="0"/>
          <w:szCs w:val="21"/>
          <w:highlight w:val="none"/>
        </w:rPr>
        <w:t>[</w:t>
      </w:r>
      <w:r>
        <w:rPr>
          <w:rFonts w:hint="eastAsia" w:ascii="宋体" w:hAnsi="宋体"/>
          <w:i/>
          <w:iCs/>
          <w:color w:val="auto"/>
          <w:kern w:val="0"/>
          <w:szCs w:val="21"/>
          <w:highlight w:val="none"/>
        </w:rPr>
        <w:t>提示：</w:t>
      </w:r>
      <w:r>
        <w:rPr>
          <w:rFonts w:ascii="宋体" w:hAnsi="宋体"/>
          <w:i/>
          <w:iCs/>
          <w:color w:val="auto"/>
          <w:kern w:val="0"/>
          <w:szCs w:val="21"/>
          <w:highlight w:val="none"/>
        </w:rPr>
        <w:t>目录由</w:t>
      </w:r>
      <w:r>
        <w:rPr>
          <w:rFonts w:hint="eastAsia" w:ascii="宋体" w:hAnsi="宋体"/>
          <w:i/>
          <w:iCs/>
          <w:color w:val="auto"/>
          <w:kern w:val="0"/>
          <w:szCs w:val="21"/>
          <w:highlight w:val="none"/>
          <w:lang w:eastAsia="zh-CN"/>
        </w:rPr>
        <w:t>竞选人</w:t>
      </w:r>
      <w:r>
        <w:rPr>
          <w:rFonts w:ascii="宋体" w:hAnsi="宋体"/>
          <w:i/>
          <w:iCs/>
          <w:color w:val="auto"/>
          <w:kern w:val="0"/>
          <w:szCs w:val="21"/>
          <w:highlight w:val="none"/>
        </w:rPr>
        <w:t>自行编制]</w:t>
      </w:r>
    </w:p>
    <w:p>
      <w:pPr>
        <w:autoSpaceDE w:val="0"/>
        <w:autoSpaceDN w:val="0"/>
        <w:adjustRightInd w:val="0"/>
        <w:snapToGrid w:val="0"/>
        <w:spacing w:line="360" w:lineRule="auto"/>
        <w:jc w:val="left"/>
        <w:rPr>
          <w:rFonts w:ascii="宋体" w:hAnsi="宋体"/>
          <w:color w:val="auto"/>
          <w:w w:val="99"/>
          <w:kern w:val="0"/>
          <w:sz w:val="28"/>
          <w:szCs w:val="28"/>
          <w:highlight w:val="none"/>
        </w:rPr>
      </w:pPr>
    </w:p>
    <w:p>
      <w:pPr>
        <w:autoSpaceDE w:val="0"/>
        <w:autoSpaceDN w:val="0"/>
        <w:adjustRightInd w:val="0"/>
        <w:snapToGrid w:val="0"/>
        <w:spacing w:line="360" w:lineRule="auto"/>
        <w:jc w:val="center"/>
        <w:rPr>
          <w:rFonts w:ascii="宋体" w:hAnsi="宋体"/>
          <w:color w:val="auto"/>
          <w:sz w:val="36"/>
          <w:szCs w:val="36"/>
          <w:highlight w:val="none"/>
        </w:rPr>
      </w:pPr>
      <w:r>
        <w:rPr>
          <w:rFonts w:ascii="宋体" w:hAnsi="宋体"/>
          <w:color w:val="auto"/>
          <w:highlight w:val="none"/>
        </w:rPr>
        <w:br w:type="page"/>
      </w:r>
      <w:bookmarkStart w:id="1405" w:name="_Toc299"/>
      <w:bookmarkStart w:id="1406" w:name="_Toc31767"/>
      <w:r>
        <w:rPr>
          <w:rStyle w:val="193"/>
          <w:rFonts w:hint="eastAsia"/>
          <w:color w:val="auto"/>
          <w:highlight w:val="none"/>
        </w:rPr>
        <w:t>（一）技术方案</w:t>
      </w:r>
      <w:bookmarkEnd w:id="1405"/>
      <w:bookmarkEnd w:id="1406"/>
    </w:p>
    <w:p>
      <w:pPr>
        <w:autoSpaceDE w:val="0"/>
        <w:autoSpaceDN w:val="0"/>
        <w:adjustRightInd w:val="0"/>
        <w:snapToGrid w:val="0"/>
        <w:spacing w:line="360" w:lineRule="auto"/>
        <w:jc w:val="left"/>
        <w:rPr>
          <w:rFonts w:ascii="宋体" w:hAnsi="宋体"/>
          <w:color w:val="auto"/>
          <w:kern w:val="0"/>
          <w:sz w:val="12"/>
          <w:szCs w:val="12"/>
          <w:highlight w:val="none"/>
        </w:rPr>
      </w:pPr>
    </w:p>
    <w:p>
      <w:pPr>
        <w:pStyle w:val="2"/>
        <w:spacing w:line="360" w:lineRule="auto"/>
        <w:ind w:firstLine="420" w:firstLineChars="200"/>
        <w:jc w:val="center"/>
        <w:rPr>
          <w:rFonts w:ascii="宋体" w:hAnsi="宋体"/>
          <w:i/>
          <w:color w:val="auto"/>
          <w:kern w:val="0"/>
          <w:szCs w:val="21"/>
          <w:highlight w:val="none"/>
        </w:rPr>
      </w:pPr>
      <w:r>
        <w:rPr>
          <w:rFonts w:hint="eastAsia" w:ascii="宋体" w:hAnsi="宋体"/>
          <w:i/>
          <w:color w:val="auto"/>
          <w:kern w:val="0"/>
          <w:szCs w:val="21"/>
          <w:highlight w:val="none"/>
        </w:rPr>
        <w:t>[提示：</w:t>
      </w:r>
      <w:r>
        <w:rPr>
          <w:rFonts w:hint="eastAsia" w:ascii="宋体" w:hAnsi="宋体"/>
          <w:i/>
          <w:color w:val="auto"/>
          <w:kern w:val="0"/>
          <w:szCs w:val="21"/>
          <w:highlight w:val="none"/>
          <w:lang w:eastAsia="zh-CN"/>
        </w:rPr>
        <w:t>竞选人</w:t>
      </w:r>
      <w:r>
        <w:rPr>
          <w:rFonts w:hint="eastAsia" w:ascii="宋体" w:hAnsi="宋体"/>
          <w:i/>
          <w:color w:val="auto"/>
          <w:kern w:val="0"/>
          <w:szCs w:val="21"/>
          <w:highlight w:val="none"/>
        </w:rPr>
        <w:t>应根据招标文件的要求编制技术方案]</w:t>
      </w:r>
    </w:p>
    <w:p>
      <w:pPr>
        <w:autoSpaceDE w:val="0"/>
        <w:autoSpaceDN w:val="0"/>
        <w:adjustRightInd w:val="0"/>
        <w:snapToGrid w:val="0"/>
        <w:spacing w:line="360" w:lineRule="auto"/>
        <w:ind w:firstLine="420"/>
        <w:rPr>
          <w:rFonts w:ascii="宋体" w:hAnsi="宋体"/>
          <w:color w:val="auto"/>
          <w:kern w:val="0"/>
          <w:szCs w:val="21"/>
          <w:highlight w:val="none"/>
        </w:rPr>
      </w:pPr>
      <w:r>
        <w:rPr>
          <w:rFonts w:ascii="宋体" w:hAnsi="宋体"/>
          <w:color w:val="auto"/>
          <w:kern w:val="0"/>
          <w:szCs w:val="21"/>
          <w:highlight w:val="none"/>
        </w:rPr>
        <w:t>1.</w:t>
      </w:r>
      <w:r>
        <w:rPr>
          <w:rFonts w:hint="eastAsia"/>
          <w:color w:val="auto"/>
          <w:highlight w:val="none"/>
          <w:lang w:eastAsia="zh-CN"/>
        </w:rPr>
        <w:t>竞选人</w:t>
      </w:r>
      <w:r>
        <w:rPr>
          <w:color w:val="auto"/>
          <w:highlight w:val="none"/>
        </w:rPr>
        <w:t>编制技术方案的要求：编制时应采用文字并结合图表形式说明施工方法； 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w:t>
      </w:r>
      <w:r>
        <w:rPr>
          <w:rFonts w:hint="eastAsia"/>
          <w:color w:val="auto"/>
          <w:highlight w:val="none"/>
        </w:rPr>
        <w:t>；BIM、CIM、智慧工地建设管理方案及措施（如有）；</w:t>
      </w:r>
      <w:r>
        <w:rPr>
          <w:rFonts w:hint="eastAsia" w:ascii="宋体" w:hAnsi="宋体" w:cs="宋体"/>
          <w:color w:val="auto"/>
          <w:kern w:val="0"/>
          <w:highlight w:val="none"/>
        </w:rPr>
        <w:t>危大工程清单安全管理措施</w:t>
      </w:r>
      <w:r>
        <w:rPr>
          <w:rFonts w:hint="eastAsia"/>
          <w:color w:val="auto"/>
          <w:highlight w:val="none"/>
        </w:rPr>
        <w:t>（如有）</w:t>
      </w:r>
      <w:r>
        <w:rPr>
          <w:color w:val="auto"/>
          <w:highlight w:val="none"/>
        </w:rPr>
        <w:t>等</w:t>
      </w:r>
      <w:r>
        <w:rPr>
          <w:rFonts w:ascii="宋体" w:hAnsi="宋体"/>
          <w:color w:val="auto"/>
          <w:kern w:val="0"/>
          <w:szCs w:val="21"/>
          <w:highlight w:val="none"/>
        </w:rPr>
        <w:t>。</w:t>
      </w:r>
    </w:p>
    <w:p>
      <w:pPr>
        <w:tabs>
          <w:tab w:val="left" w:pos="735"/>
          <w:tab w:val="left" w:pos="840"/>
          <w:tab w:val="left" w:pos="1050"/>
          <w:tab w:val="left" w:pos="1700"/>
        </w:tabs>
        <w:autoSpaceDE w:val="0"/>
        <w:autoSpaceDN w:val="0"/>
        <w:adjustRightInd w:val="0"/>
        <w:snapToGrid w:val="0"/>
        <w:spacing w:line="360" w:lineRule="auto"/>
        <w:ind w:left="-2" w:leftChars="-1" w:firstLine="424" w:firstLineChars="202"/>
        <w:jc w:val="left"/>
        <w:rPr>
          <w:rFonts w:ascii="宋体" w:hAnsi="宋体"/>
          <w:color w:val="auto"/>
          <w:kern w:val="0"/>
          <w:szCs w:val="21"/>
          <w:highlight w:val="none"/>
        </w:rPr>
      </w:pPr>
      <w:r>
        <w:rPr>
          <w:rFonts w:ascii="宋体" w:hAnsi="宋体"/>
          <w:color w:val="auto"/>
          <w:kern w:val="0"/>
          <w:szCs w:val="21"/>
          <w:highlight w:val="none"/>
        </w:rPr>
        <w:t xml:space="preserve">2.技术方案除采用文字表述外可附下列图表，图表及格式要求附后。 </w:t>
      </w:r>
    </w:p>
    <w:p>
      <w:pPr>
        <w:tabs>
          <w:tab w:val="left" w:pos="1700"/>
        </w:tabs>
        <w:autoSpaceDE w:val="0"/>
        <w:autoSpaceDN w:val="0"/>
        <w:adjustRightInd w:val="0"/>
        <w:snapToGrid w:val="0"/>
        <w:spacing w:line="360" w:lineRule="auto"/>
        <w:ind w:firstLine="424" w:firstLineChars="202"/>
        <w:jc w:val="left"/>
        <w:rPr>
          <w:rFonts w:ascii="宋体" w:hAnsi="宋体"/>
          <w:color w:val="auto"/>
          <w:kern w:val="0"/>
          <w:szCs w:val="21"/>
          <w:highlight w:val="none"/>
        </w:rPr>
      </w:pPr>
    </w:p>
    <w:p>
      <w:pPr>
        <w:tabs>
          <w:tab w:val="left" w:pos="1700"/>
        </w:tabs>
        <w:autoSpaceDE w:val="0"/>
        <w:autoSpaceDN w:val="0"/>
        <w:adjustRightInd w:val="0"/>
        <w:snapToGrid w:val="0"/>
        <w:spacing w:line="360" w:lineRule="auto"/>
        <w:ind w:firstLine="424" w:firstLineChars="202"/>
        <w:jc w:val="left"/>
        <w:rPr>
          <w:rFonts w:ascii="宋体" w:hAnsi="宋体"/>
          <w:color w:val="auto"/>
          <w:kern w:val="0"/>
          <w:szCs w:val="21"/>
          <w:highlight w:val="none"/>
        </w:rPr>
      </w:pPr>
      <w:r>
        <w:rPr>
          <w:rFonts w:ascii="宋体" w:hAnsi="宋体"/>
          <w:color w:val="auto"/>
          <w:kern w:val="0"/>
          <w:szCs w:val="21"/>
          <w:highlight w:val="none"/>
        </w:rPr>
        <w:t>附表一</w:t>
      </w:r>
      <w:r>
        <w:rPr>
          <w:rFonts w:hint="eastAsia" w:ascii="宋体" w:hAnsi="宋体"/>
          <w:color w:val="auto"/>
          <w:kern w:val="0"/>
          <w:szCs w:val="21"/>
          <w:highlight w:val="none"/>
        </w:rPr>
        <w:t xml:space="preserve">  </w:t>
      </w:r>
      <w:r>
        <w:rPr>
          <w:rFonts w:ascii="宋体" w:hAnsi="宋体"/>
          <w:color w:val="auto"/>
          <w:kern w:val="0"/>
          <w:szCs w:val="21"/>
          <w:highlight w:val="none"/>
        </w:rPr>
        <w:t>拟投入本标段的主要施工设备表</w:t>
      </w:r>
    </w:p>
    <w:p>
      <w:pPr>
        <w:tabs>
          <w:tab w:val="left" w:pos="1700"/>
        </w:tabs>
        <w:autoSpaceDE w:val="0"/>
        <w:autoSpaceDN w:val="0"/>
        <w:adjustRightInd w:val="0"/>
        <w:snapToGrid w:val="0"/>
        <w:spacing w:line="360" w:lineRule="auto"/>
        <w:ind w:firstLine="424" w:firstLineChars="202"/>
        <w:jc w:val="left"/>
        <w:rPr>
          <w:rFonts w:ascii="宋体" w:hAnsi="宋体"/>
          <w:color w:val="auto"/>
          <w:kern w:val="0"/>
          <w:szCs w:val="21"/>
          <w:highlight w:val="none"/>
        </w:rPr>
      </w:pPr>
      <w:r>
        <w:rPr>
          <w:rFonts w:ascii="宋体" w:hAnsi="宋体"/>
          <w:color w:val="auto"/>
          <w:kern w:val="0"/>
          <w:szCs w:val="21"/>
          <w:highlight w:val="none"/>
        </w:rPr>
        <w:t>附表二</w:t>
      </w:r>
      <w:r>
        <w:rPr>
          <w:rFonts w:hint="eastAsia" w:ascii="宋体" w:hAnsi="宋体"/>
          <w:color w:val="auto"/>
          <w:kern w:val="0"/>
          <w:szCs w:val="21"/>
          <w:highlight w:val="none"/>
        </w:rPr>
        <w:t xml:space="preserve">  </w:t>
      </w:r>
      <w:r>
        <w:rPr>
          <w:rFonts w:ascii="宋体" w:hAnsi="宋体"/>
          <w:color w:val="auto"/>
          <w:kern w:val="0"/>
          <w:szCs w:val="21"/>
          <w:highlight w:val="none"/>
        </w:rPr>
        <w:t>拟配备本标段的试验和检测仪器设备表</w:t>
      </w:r>
    </w:p>
    <w:p>
      <w:pPr>
        <w:tabs>
          <w:tab w:val="left" w:pos="1700"/>
        </w:tabs>
        <w:autoSpaceDE w:val="0"/>
        <w:autoSpaceDN w:val="0"/>
        <w:adjustRightInd w:val="0"/>
        <w:snapToGrid w:val="0"/>
        <w:spacing w:line="360" w:lineRule="auto"/>
        <w:ind w:firstLine="424" w:firstLineChars="202"/>
        <w:jc w:val="left"/>
        <w:rPr>
          <w:rFonts w:ascii="宋体" w:hAnsi="宋体"/>
          <w:color w:val="auto"/>
          <w:kern w:val="0"/>
          <w:szCs w:val="21"/>
          <w:highlight w:val="none"/>
        </w:rPr>
      </w:pPr>
      <w:r>
        <w:rPr>
          <w:rFonts w:ascii="宋体" w:hAnsi="宋体"/>
          <w:color w:val="auto"/>
          <w:kern w:val="0"/>
          <w:szCs w:val="21"/>
          <w:highlight w:val="none"/>
        </w:rPr>
        <w:t>附表三</w:t>
      </w:r>
      <w:r>
        <w:rPr>
          <w:rFonts w:hint="eastAsia" w:ascii="宋体" w:hAnsi="宋体"/>
          <w:color w:val="auto"/>
          <w:kern w:val="0"/>
          <w:szCs w:val="21"/>
          <w:highlight w:val="none"/>
        </w:rPr>
        <w:t xml:space="preserve">  </w:t>
      </w:r>
      <w:r>
        <w:rPr>
          <w:rFonts w:ascii="宋体" w:hAnsi="宋体"/>
          <w:color w:val="auto"/>
          <w:kern w:val="0"/>
          <w:szCs w:val="21"/>
          <w:highlight w:val="none"/>
        </w:rPr>
        <w:t>劳动力计划表</w:t>
      </w:r>
    </w:p>
    <w:p>
      <w:pPr>
        <w:tabs>
          <w:tab w:val="left" w:pos="1700"/>
        </w:tabs>
        <w:autoSpaceDE w:val="0"/>
        <w:autoSpaceDN w:val="0"/>
        <w:adjustRightInd w:val="0"/>
        <w:snapToGrid w:val="0"/>
        <w:spacing w:line="360" w:lineRule="auto"/>
        <w:ind w:firstLine="424" w:firstLineChars="202"/>
        <w:jc w:val="left"/>
        <w:rPr>
          <w:rFonts w:ascii="宋体" w:hAnsi="宋体"/>
          <w:color w:val="auto"/>
          <w:kern w:val="0"/>
          <w:szCs w:val="21"/>
          <w:highlight w:val="none"/>
        </w:rPr>
      </w:pPr>
      <w:r>
        <w:rPr>
          <w:rFonts w:ascii="宋体" w:hAnsi="宋体"/>
          <w:color w:val="auto"/>
          <w:kern w:val="0"/>
          <w:szCs w:val="21"/>
          <w:highlight w:val="none"/>
        </w:rPr>
        <w:t>附表四</w:t>
      </w:r>
      <w:r>
        <w:rPr>
          <w:rFonts w:hint="eastAsia" w:ascii="宋体" w:hAnsi="宋体"/>
          <w:color w:val="auto"/>
          <w:kern w:val="0"/>
          <w:szCs w:val="21"/>
          <w:highlight w:val="none"/>
        </w:rPr>
        <w:t xml:space="preserve">  </w:t>
      </w:r>
      <w:r>
        <w:rPr>
          <w:rFonts w:ascii="宋体" w:hAnsi="宋体"/>
          <w:color w:val="auto"/>
          <w:kern w:val="0"/>
          <w:szCs w:val="21"/>
          <w:highlight w:val="none"/>
        </w:rPr>
        <w:t>计划开、竣工日期和施工进度网络图</w:t>
      </w:r>
    </w:p>
    <w:p>
      <w:pPr>
        <w:tabs>
          <w:tab w:val="left" w:pos="1700"/>
        </w:tabs>
        <w:autoSpaceDE w:val="0"/>
        <w:autoSpaceDN w:val="0"/>
        <w:adjustRightInd w:val="0"/>
        <w:snapToGrid w:val="0"/>
        <w:spacing w:line="360" w:lineRule="auto"/>
        <w:ind w:firstLine="424" w:firstLineChars="202"/>
        <w:jc w:val="left"/>
        <w:rPr>
          <w:rFonts w:ascii="宋体" w:hAnsi="宋体"/>
          <w:color w:val="auto"/>
          <w:kern w:val="0"/>
          <w:szCs w:val="21"/>
          <w:highlight w:val="none"/>
        </w:rPr>
      </w:pPr>
      <w:r>
        <w:rPr>
          <w:rFonts w:ascii="宋体" w:hAnsi="宋体"/>
          <w:color w:val="auto"/>
          <w:kern w:val="0"/>
          <w:szCs w:val="21"/>
          <w:highlight w:val="none"/>
        </w:rPr>
        <w:t>附表五</w:t>
      </w:r>
      <w:r>
        <w:rPr>
          <w:rFonts w:hint="eastAsia" w:ascii="宋体" w:hAnsi="宋体"/>
          <w:color w:val="auto"/>
          <w:kern w:val="0"/>
          <w:szCs w:val="21"/>
          <w:highlight w:val="none"/>
        </w:rPr>
        <w:t xml:space="preserve">  </w:t>
      </w:r>
      <w:r>
        <w:rPr>
          <w:rFonts w:ascii="宋体" w:hAnsi="宋体"/>
          <w:color w:val="auto"/>
          <w:kern w:val="0"/>
          <w:szCs w:val="21"/>
          <w:highlight w:val="none"/>
        </w:rPr>
        <w:t>施工总平面图</w:t>
      </w:r>
    </w:p>
    <w:p>
      <w:pPr>
        <w:tabs>
          <w:tab w:val="left" w:pos="1700"/>
        </w:tabs>
        <w:autoSpaceDE w:val="0"/>
        <w:autoSpaceDN w:val="0"/>
        <w:adjustRightInd w:val="0"/>
        <w:snapToGrid w:val="0"/>
        <w:spacing w:line="360" w:lineRule="auto"/>
        <w:ind w:firstLine="424" w:firstLineChars="202"/>
        <w:jc w:val="left"/>
        <w:rPr>
          <w:rFonts w:ascii="宋体" w:hAnsi="宋体"/>
          <w:color w:val="auto"/>
          <w:kern w:val="0"/>
          <w:szCs w:val="21"/>
          <w:highlight w:val="none"/>
        </w:rPr>
      </w:pPr>
      <w:r>
        <w:rPr>
          <w:rFonts w:ascii="宋体" w:hAnsi="宋体"/>
          <w:color w:val="auto"/>
          <w:kern w:val="0"/>
          <w:szCs w:val="21"/>
          <w:highlight w:val="none"/>
        </w:rPr>
        <w:t>附表六</w:t>
      </w:r>
      <w:r>
        <w:rPr>
          <w:rFonts w:hint="eastAsia" w:ascii="宋体" w:hAnsi="宋体"/>
          <w:color w:val="auto"/>
          <w:kern w:val="0"/>
          <w:szCs w:val="21"/>
          <w:highlight w:val="none"/>
        </w:rPr>
        <w:t xml:space="preserve">  </w:t>
      </w:r>
      <w:r>
        <w:rPr>
          <w:rFonts w:ascii="宋体" w:hAnsi="宋体"/>
          <w:color w:val="auto"/>
          <w:kern w:val="0"/>
          <w:szCs w:val="21"/>
          <w:highlight w:val="none"/>
        </w:rPr>
        <w:t>临时用地表</w:t>
      </w:r>
    </w:p>
    <w:p>
      <w:pPr>
        <w:autoSpaceDE w:val="0"/>
        <w:autoSpaceDN w:val="0"/>
        <w:adjustRightInd w:val="0"/>
        <w:snapToGrid w:val="0"/>
        <w:spacing w:line="360" w:lineRule="auto"/>
        <w:jc w:val="left"/>
        <w:rPr>
          <w:rFonts w:ascii="宋体" w:hAnsi="宋体"/>
          <w:color w:val="auto"/>
          <w:kern w:val="0"/>
          <w:sz w:val="24"/>
          <w:highlight w:val="none"/>
        </w:rPr>
      </w:pPr>
    </w:p>
    <w:p>
      <w:pPr>
        <w:jc w:val="center"/>
        <w:rPr>
          <w:color w:val="auto"/>
          <w:sz w:val="32"/>
          <w:szCs w:val="32"/>
          <w:highlight w:val="none"/>
        </w:rPr>
      </w:pPr>
      <w:bookmarkStart w:id="1407" w:name="_Toc430530539"/>
      <w:bookmarkStart w:id="1408" w:name="_Toc277082650"/>
      <w:bookmarkStart w:id="1409" w:name="_Toc287607876"/>
      <w:bookmarkStart w:id="1410" w:name="_Toc224103504"/>
      <w:bookmarkStart w:id="1411" w:name="_Toc287620823"/>
      <w:bookmarkStart w:id="1412" w:name="_Toc287620826"/>
      <w:bookmarkStart w:id="1413" w:name="_Toc277082653"/>
      <w:bookmarkStart w:id="1414" w:name="_Toc224103507"/>
      <w:bookmarkStart w:id="1415" w:name="_Toc287607879"/>
      <w:r>
        <w:rPr>
          <w:color w:val="auto"/>
          <w:highlight w:val="none"/>
        </w:rPr>
        <w:br w:type="page"/>
      </w:r>
      <w:bookmarkStart w:id="1416" w:name="_Toc509218857"/>
      <w:bookmarkStart w:id="1417" w:name="_Toc534185834"/>
      <w:r>
        <w:rPr>
          <w:rFonts w:hint="eastAsia"/>
          <w:color w:val="auto"/>
          <w:sz w:val="32"/>
          <w:szCs w:val="32"/>
          <w:highlight w:val="none"/>
        </w:rPr>
        <w:t>附表一：拟投入本标段的主要施工设备表</w:t>
      </w:r>
      <w:bookmarkEnd w:id="1407"/>
      <w:bookmarkEnd w:id="1408"/>
      <w:bookmarkEnd w:id="1409"/>
      <w:bookmarkEnd w:id="1410"/>
      <w:bookmarkEnd w:id="1411"/>
      <w:bookmarkEnd w:id="1416"/>
      <w:bookmarkEnd w:id="1417"/>
    </w:p>
    <w:tbl>
      <w:tblPr>
        <w:tblStyle w:val="45"/>
        <w:tblW w:w="9469"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1"/>
        <w:gridCol w:w="1176"/>
        <w:gridCol w:w="824"/>
        <w:gridCol w:w="1072"/>
        <w:gridCol w:w="728"/>
        <w:gridCol w:w="799"/>
        <w:gridCol w:w="1312"/>
        <w:gridCol w:w="947"/>
        <w:gridCol w:w="1141"/>
        <w:gridCol w:w="74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7" w:hRule="exact"/>
        </w:trPr>
        <w:tc>
          <w:tcPr>
            <w:tcW w:w="721" w:type="dxa"/>
            <w:vAlign w:val="center"/>
          </w:tcPr>
          <w:p>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序号</w:t>
            </w:r>
          </w:p>
        </w:tc>
        <w:tc>
          <w:tcPr>
            <w:tcW w:w="1176" w:type="dxa"/>
            <w:vAlign w:val="center"/>
          </w:tcPr>
          <w:p>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设备名称</w:t>
            </w:r>
          </w:p>
        </w:tc>
        <w:tc>
          <w:tcPr>
            <w:tcW w:w="824"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型号</w:t>
            </w:r>
          </w:p>
          <w:p>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规格</w:t>
            </w:r>
          </w:p>
        </w:tc>
        <w:tc>
          <w:tcPr>
            <w:tcW w:w="1072" w:type="dxa"/>
            <w:vAlign w:val="center"/>
          </w:tcPr>
          <w:p>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数量</w:t>
            </w:r>
          </w:p>
        </w:tc>
        <w:tc>
          <w:tcPr>
            <w:tcW w:w="728" w:type="dxa"/>
            <w:vAlign w:val="center"/>
          </w:tcPr>
          <w:p>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国别 产地</w:t>
            </w:r>
          </w:p>
        </w:tc>
        <w:tc>
          <w:tcPr>
            <w:tcW w:w="799"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制造</w:t>
            </w:r>
          </w:p>
          <w:p>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年份</w:t>
            </w:r>
          </w:p>
        </w:tc>
        <w:tc>
          <w:tcPr>
            <w:tcW w:w="1312"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额定功率</w:t>
            </w:r>
          </w:p>
          <w:p>
            <w:pPr>
              <w:autoSpaceDE w:val="0"/>
              <w:autoSpaceDN w:val="0"/>
              <w:adjustRightInd w:val="0"/>
              <w:snapToGrid w:val="0"/>
              <w:jc w:val="center"/>
              <w:rPr>
                <w:rFonts w:ascii="宋体" w:hAnsi="宋体"/>
                <w:color w:val="auto"/>
                <w:kern w:val="0"/>
                <w:sz w:val="10"/>
                <w:szCs w:val="10"/>
                <w:highlight w:val="none"/>
              </w:rPr>
            </w:pPr>
          </w:p>
          <w:p>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（KW）</w:t>
            </w:r>
          </w:p>
        </w:tc>
        <w:tc>
          <w:tcPr>
            <w:tcW w:w="947"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生产</w:t>
            </w:r>
          </w:p>
          <w:p>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能力</w:t>
            </w:r>
          </w:p>
        </w:tc>
        <w:tc>
          <w:tcPr>
            <w:tcW w:w="1141"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用于施</w:t>
            </w:r>
          </w:p>
          <w:p>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工部位</w:t>
            </w:r>
          </w:p>
        </w:tc>
        <w:tc>
          <w:tcPr>
            <w:tcW w:w="749" w:type="dxa"/>
            <w:vAlign w:val="center"/>
          </w:tcPr>
          <w:p>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highlight w:val="none"/>
              </w:rPr>
            </w:pPr>
          </w:p>
        </w:tc>
        <w:tc>
          <w:tcPr>
            <w:tcW w:w="1176" w:type="dxa"/>
            <w:vAlign w:val="center"/>
          </w:tcPr>
          <w:p>
            <w:pPr>
              <w:autoSpaceDE w:val="0"/>
              <w:autoSpaceDN w:val="0"/>
              <w:adjustRightInd w:val="0"/>
              <w:snapToGrid w:val="0"/>
              <w:jc w:val="center"/>
              <w:rPr>
                <w:rFonts w:ascii="宋体" w:hAnsi="宋体"/>
                <w:color w:val="auto"/>
                <w:kern w:val="0"/>
                <w:sz w:val="24"/>
                <w:highlight w:val="none"/>
              </w:rPr>
            </w:pPr>
          </w:p>
        </w:tc>
        <w:tc>
          <w:tcPr>
            <w:tcW w:w="824" w:type="dxa"/>
            <w:vAlign w:val="center"/>
          </w:tcPr>
          <w:p>
            <w:pPr>
              <w:autoSpaceDE w:val="0"/>
              <w:autoSpaceDN w:val="0"/>
              <w:adjustRightInd w:val="0"/>
              <w:snapToGrid w:val="0"/>
              <w:jc w:val="center"/>
              <w:rPr>
                <w:rFonts w:ascii="宋体" w:hAnsi="宋体"/>
                <w:color w:val="auto"/>
                <w:kern w:val="0"/>
                <w:sz w:val="24"/>
                <w:highlight w:val="none"/>
              </w:rPr>
            </w:pPr>
          </w:p>
        </w:tc>
        <w:tc>
          <w:tcPr>
            <w:tcW w:w="1072" w:type="dxa"/>
            <w:vAlign w:val="center"/>
          </w:tcPr>
          <w:p>
            <w:pPr>
              <w:autoSpaceDE w:val="0"/>
              <w:autoSpaceDN w:val="0"/>
              <w:adjustRightInd w:val="0"/>
              <w:snapToGrid w:val="0"/>
              <w:jc w:val="center"/>
              <w:rPr>
                <w:rFonts w:ascii="宋体" w:hAnsi="宋体"/>
                <w:color w:val="auto"/>
                <w:kern w:val="0"/>
                <w:sz w:val="24"/>
                <w:highlight w:val="none"/>
              </w:rPr>
            </w:pPr>
          </w:p>
        </w:tc>
        <w:tc>
          <w:tcPr>
            <w:tcW w:w="728" w:type="dxa"/>
            <w:vAlign w:val="center"/>
          </w:tcPr>
          <w:p>
            <w:pPr>
              <w:autoSpaceDE w:val="0"/>
              <w:autoSpaceDN w:val="0"/>
              <w:adjustRightInd w:val="0"/>
              <w:snapToGrid w:val="0"/>
              <w:jc w:val="center"/>
              <w:rPr>
                <w:rFonts w:ascii="宋体" w:hAnsi="宋体"/>
                <w:color w:val="auto"/>
                <w:kern w:val="0"/>
                <w:sz w:val="24"/>
                <w:highlight w:val="none"/>
              </w:rPr>
            </w:pPr>
          </w:p>
        </w:tc>
        <w:tc>
          <w:tcPr>
            <w:tcW w:w="799" w:type="dxa"/>
            <w:vAlign w:val="center"/>
          </w:tcPr>
          <w:p>
            <w:pPr>
              <w:autoSpaceDE w:val="0"/>
              <w:autoSpaceDN w:val="0"/>
              <w:adjustRightInd w:val="0"/>
              <w:snapToGrid w:val="0"/>
              <w:jc w:val="center"/>
              <w:rPr>
                <w:rFonts w:ascii="宋体" w:hAnsi="宋体"/>
                <w:color w:val="auto"/>
                <w:kern w:val="0"/>
                <w:sz w:val="24"/>
                <w:highlight w:val="none"/>
              </w:rPr>
            </w:pPr>
          </w:p>
        </w:tc>
        <w:tc>
          <w:tcPr>
            <w:tcW w:w="1312" w:type="dxa"/>
            <w:vAlign w:val="center"/>
          </w:tcPr>
          <w:p>
            <w:pPr>
              <w:autoSpaceDE w:val="0"/>
              <w:autoSpaceDN w:val="0"/>
              <w:adjustRightInd w:val="0"/>
              <w:snapToGrid w:val="0"/>
              <w:jc w:val="center"/>
              <w:rPr>
                <w:rFonts w:ascii="宋体" w:hAnsi="宋体"/>
                <w:color w:val="auto"/>
                <w:kern w:val="0"/>
                <w:sz w:val="24"/>
                <w:highlight w:val="none"/>
              </w:rPr>
            </w:pPr>
          </w:p>
        </w:tc>
        <w:tc>
          <w:tcPr>
            <w:tcW w:w="947" w:type="dxa"/>
            <w:vAlign w:val="center"/>
          </w:tcPr>
          <w:p>
            <w:pPr>
              <w:autoSpaceDE w:val="0"/>
              <w:autoSpaceDN w:val="0"/>
              <w:adjustRightInd w:val="0"/>
              <w:snapToGrid w:val="0"/>
              <w:jc w:val="center"/>
              <w:rPr>
                <w:rFonts w:ascii="宋体" w:hAnsi="宋体"/>
                <w:color w:val="auto"/>
                <w:kern w:val="0"/>
                <w:sz w:val="24"/>
                <w:highlight w:val="none"/>
              </w:rPr>
            </w:pPr>
          </w:p>
        </w:tc>
        <w:tc>
          <w:tcPr>
            <w:tcW w:w="1141" w:type="dxa"/>
            <w:vAlign w:val="center"/>
          </w:tcPr>
          <w:p>
            <w:pPr>
              <w:autoSpaceDE w:val="0"/>
              <w:autoSpaceDN w:val="0"/>
              <w:adjustRightInd w:val="0"/>
              <w:snapToGrid w:val="0"/>
              <w:jc w:val="center"/>
              <w:rPr>
                <w:rFonts w:ascii="宋体" w:hAnsi="宋体"/>
                <w:color w:val="auto"/>
                <w:kern w:val="0"/>
                <w:sz w:val="24"/>
                <w:highlight w:val="none"/>
              </w:rPr>
            </w:pPr>
          </w:p>
        </w:tc>
        <w:tc>
          <w:tcPr>
            <w:tcW w:w="749" w:type="dxa"/>
            <w:vAlign w:val="center"/>
          </w:tcPr>
          <w:p>
            <w:pPr>
              <w:autoSpaceDE w:val="0"/>
              <w:autoSpaceDN w:val="0"/>
              <w:adjustRightInd w:val="0"/>
              <w:snapToGrid w:val="0"/>
              <w:jc w:val="center"/>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highlight w:val="none"/>
              </w:rPr>
            </w:pPr>
          </w:p>
        </w:tc>
        <w:tc>
          <w:tcPr>
            <w:tcW w:w="1176" w:type="dxa"/>
            <w:vAlign w:val="center"/>
          </w:tcPr>
          <w:p>
            <w:pPr>
              <w:autoSpaceDE w:val="0"/>
              <w:autoSpaceDN w:val="0"/>
              <w:adjustRightInd w:val="0"/>
              <w:snapToGrid w:val="0"/>
              <w:jc w:val="center"/>
              <w:rPr>
                <w:rFonts w:ascii="宋体" w:hAnsi="宋体"/>
                <w:color w:val="auto"/>
                <w:kern w:val="0"/>
                <w:sz w:val="24"/>
                <w:highlight w:val="none"/>
              </w:rPr>
            </w:pPr>
          </w:p>
        </w:tc>
        <w:tc>
          <w:tcPr>
            <w:tcW w:w="824" w:type="dxa"/>
            <w:vAlign w:val="center"/>
          </w:tcPr>
          <w:p>
            <w:pPr>
              <w:autoSpaceDE w:val="0"/>
              <w:autoSpaceDN w:val="0"/>
              <w:adjustRightInd w:val="0"/>
              <w:snapToGrid w:val="0"/>
              <w:jc w:val="center"/>
              <w:rPr>
                <w:rFonts w:ascii="宋体" w:hAnsi="宋体"/>
                <w:color w:val="auto"/>
                <w:kern w:val="0"/>
                <w:sz w:val="24"/>
                <w:highlight w:val="none"/>
              </w:rPr>
            </w:pPr>
          </w:p>
        </w:tc>
        <w:tc>
          <w:tcPr>
            <w:tcW w:w="1072" w:type="dxa"/>
            <w:vAlign w:val="center"/>
          </w:tcPr>
          <w:p>
            <w:pPr>
              <w:autoSpaceDE w:val="0"/>
              <w:autoSpaceDN w:val="0"/>
              <w:adjustRightInd w:val="0"/>
              <w:snapToGrid w:val="0"/>
              <w:jc w:val="center"/>
              <w:rPr>
                <w:rFonts w:ascii="宋体" w:hAnsi="宋体"/>
                <w:color w:val="auto"/>
                <w:kern w:val="0"/>
                <w:sz w:val="24"/>
                <w:highlight w:val="none"/>
              </w:rPr>
            </w:pPr>
          </w:p>
        </w:tc>
        <w:tc>
          <w:tcPr>
            <w:tcW w:w="728" w:type="dxa"/>
            <w:vAlign w:val="center"/>
          </w:tcPr>
          <w:p>
            <w:pPr>
              <w:autoSpaceDE w:val="0"/>
              <w:autoSpaceDN w:val="0"/>
              <w:adjustRightInd w:val="0"/>
              <w:snapToGrid w:val="0"/>
              <w:jc w:val="center"/>
              <w:rPr>
                <w:rFonts w:ascii="宋体" w:hAnsi="宋体"/>
                <w:color w:val="auto"/>
                <w:kern w:val="0"/>
                <w:sz w:val="24"/>
                <w:highlight w:val="none"/>
              </w:rPr>
            </w:pPr>
          </w:p>
        </w:tc>
        <w:tc>
          <w:tcPr>
            <w:tcW w:w="799" w:type="dxa"/>
            <w:vAlign w:val="center"/>
          </w:tcPr>
          <w:p>
            <w:pPr>
              <w:autoSpaceDE w:val="0"/>
              <w:autoSpaceDN w:val="0"/>
              <w:adjustRightInd w:val="0"/>
              <w:snapToGrid w:val="0"/>
              <w:jc w:val="center"/>
              <w:rPr>
                <w:rFonts w:ascii="宋体" w:hAnsi="宋体"/>
                <w:color w:val="auto"/>
                <w:kern w:val="0"/>
                <w:sz w:val="24"/>
                <w:highlight w:val="none"/>
              </w:rPr>
            </w:pPr>
          </w:p>
        </w:tc>
        <w:tc>
          <w:tcPr>
            <w:tcW w:w="1312" w:type="dxa"/>
            <w:vAlign w:val="center"/>
          </w:tcPr>
          <w:p>
            <w:pPr>
              <w:autoSpaceDE w:val="0"/>
              <w:autoSpaceDN w:val="0"/>
              <w:adjustRightInd w:val="0"/>
              <w:snapToGrid w:val="0"/>
              <w:jc w:val="center"/>
              <w:rPr>
                <w:rFonts w:ascii="宋体" w:hAnsi="宋体"/>
                <w:color w:val="auto"/>
                <w:kern w:val="0"/>
                <w:sz w:val="24"/>
                <w:highlight w:val="none"/>
              </w:rPr>
            </w:pPr>
          </w:p>
        </w:tc>
        <w:tc>
          <w:tcPr>
            <w:tcW w:w="947" w:type="dxa"/>
            <w:vAlign w:val="center"/>
          </w:tcPr>
          <w:p>
            <w:pPr>
              <w:autoSpaceDE w:val="0"/>
              <w:autoSpaceDN w:val="0"/>
              <w:adjustRightInd w:val="0"/>
              <w:snapToGrid w:val="0"/>
              <w:jc w:val="center"/>
              <w:rPr>
                <w:rFonts w:ascii="宋体" w:hAnsi="宋体"/>
                <w:color w:val="auto"/>
                <w:kern w:val="0"/>
                <w:sz w:val="24"/>
                <w:highlight w:val="none"/>
              </w:rPr>
            </w:pPr>
          </w:p>
        </w:tc>
        <w:tc>
          <w:tcPr>
            <w:tcW w:w="1141" w:type="dxa"/>
            <w:vAlign w:val="center"/>
          </w:tcPr>
          <w:p>
            <w:pPr>
              <w:autoSpaceDE w:val="0"/>
              <w:autoSpaceDN w:val="0"/>
              <w:adjustRightInd w:val="0"/>
              <w:snapToGrid w:val="0"/>
              <w:jc w:val="center"/>
              <w:rPr>
                <w:rFonts w:ascii="宋体" w:hAnsi="宋体"/>
                <w:color w:val="auto"/>
                <w:kern w:val="0"/>
                <w:sz w:val="24"/>
                <w:highlight w:val="none"/>
              </w:rPr>
            </w:pPr>
          </w:p>
        </w:tc>
        <w:tc>
          <w:tcPr>
            <w:tcW w:w="749" w:type="dxa"/>
            <w:vAlign w:val="center"/>
          </w:tcPr>
          <w:p>
            <w:pPr>
              <w:autoSpaceDE w:val="0"/>
              <w:autoSpaceDN w:val="0"/>
              <w:adjustRightInd w:val="0"/>
              <w:snapToGrid w:val="0"/>
              <w:jc w:val="center"/>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highlight w:val="none"/>
              </w:rPr>
            </w:pPr>
          </w:p>
        </w:tc>
        <w:tc>
          <w:tcPr>
            <w:tcW w:w="1176" w:type="dxa"/>
            <w:vAlign w:val="center"/>
          </w:tcPr>
          <w:p>
            <w:pPr>
              <w:autoSpaceDE w:val="0"/>
              <w:autoSpaceDN w:val="0"/>
              <w:adjustRightInd w:val="0"/>
              <w:snapToGrid w:val="0"/>
              <w:jc w:val="center"/>
              <w:rPr>
                <w:rFonts w:ascii="宋体" w:hAnsi="宋体"/>
                <w:color w:val="auto"/>
                <w:kern w:val="0"/>
                <w:sz w:val="24"/>
                <w:highlight w:val="none"/>
              </w:rPr>
            </w:pPr>
          </w:p>
        </w:tc>
        <w:tc>
          <w:tcPr>
            <w:tcW w:w="824" w:type="dxa"/>
            <w:vAlign w:val="center"/>
          </w:tcPr>
          <w:p>
            <w:pPr>
              <w:autoSpaceDE w:val="0"/>
              <w:autoSpaceDN w:val="0"/>
              <w:adjustRightInd w:val="0"/>
              <w:snapToGrid w:val="0"/>
              <w:jc w:val="center"/>
              <w:rPr>
                <w:rFonts w:ascii="宋体" w:hAnsi="宋体"/>
                <w:color w:val="auto"/>
                <w:kern w:val="0"/>
                <w:sz w:val="24"/>
                <w:highlight w:val="none"/>
              </w:rPr>
            </w:pPr>
          </w:p>
        </w:tc>
        <w:tc>
          <w:tcPr>
            <w:tcW w:w="1072" w:type="dxa"/>
            <w:vAlign w:val="center"/>
          </w:tcPr>
          <w:p>
            <w:pPr>
              <w:autoSpaceDE w:val="0"/>
              <w:autoSpaceDN w:val="0"/>
              <w:adjustRightInd w:val="0"/>
              <w:snapToGrid w:val="0"/>
              <w:jc w:val="center"/>
              <w:rPr>
                <w:rFonts w:ascii="宋体" w:hAnsi="宋体"/>
                <w:color w:val="auto"/>
                <w:kern w:val="0"/>
                <w:sz w:val="24"/>
                <w:highlight w:val="none"/>
              </w:rPr>
            </w:pPr>
          </w:p>
        </w:tc>
        <w:tc>
          <w:tcPr>
            <w:tcW w:w="728" w:type="dxa"/>
            <w:vAlign w:val="center"/>
          </w:tcPr>
          <w:p>
            <w:pPr>
              <w:autoSpaceDE w:val="0"/>
              <w:autoSpaceDN w:val="0"/>
              <w:adjustRightInd w:val="0"/>
              <w:snapToGrid w:val="0"/>
              <w:jc w:val="center"/>
              <w:rPr>
                <w:rFonts w:ascii="宋体" w:hAnsi="宋体"/>
                <w:color w:val="auto"/>
                <w:kern w:val="0"/>
                <w:sz w:val="24"/>
                <w:highlight w:val="none"/>
              </w:rPr>
            </w:pPr>
          </w:p>
        </w:tc>
        <w:tc>
          <w:tcPr>
            <w:tcW w:w="799" w:type="dxa"/>
            <w:vAlign w:val="center"/>
          </w:tcPr>
          <w:p>
            <w:pPr>
              <w:autoSpaceDE w:val="0"/>
              <w:autoSpaceDN w:val="0"/>
              <w:adjustRightInd w:val="0"/>
              <w:snapToGrid w:val="0"/>
              <w:jc w:val="center"/>
              <w:rPr>
                <w:rFonts w:ascii="宋体" w:hAnsi="宋体"/>
                <w:color w:val="auto"/>
                <w:kern w:val="0"/>
                <w:sz w:val="24"/>
                <w:highlight w:val="none"/>
              </w:rPr>
            </w:pPr>
          </w:p>
        </w:tc>
        <w:tc>
          <w:tcPr>
            <w:tcW w:w="1312" w:type="dxa"/>
            <w:vAlign w:val="center"/>
          </w:tcPr>
          <w:p>
            <w:pPr>
              <w:autoSpaceDE w:val="0"/>
              <w:autoSpaceDN w:val="0"/>
              <w:adjustRightInd w:val="0"/>
              <w:snapToGrid w:val="0"/>
              <w:jc w:val="center"/>
              <w:rPr>
                <w:rFonts w:ascii="宋体" w:hAnsi="宋体"/>
                <w:color w:val="auto"/>
                <w:kern w:val="0"/>
                <w:sz w:val="24"/>
                <w:highlight w:val="none"/>
              </w:rPr>
            </w:pPr>
          </w:p>
        </w:tc>
        <w:tc>
          <w:tcPr>
            <w:tcW w:w="947" w:type="dxa"/>
            <w:vAlign w:val="center"/>
          </w:tcPr>
          <w:p>
            <w:pPr>
              <w:autoSpaceDE w:val="0"/>
              <w:autoSpaceDN w:val="0"/>
              <w:adjustRightInd w:val="0"/>
              <w:snapToGrid w:val="0"/>
              <w:jc w:val="center"/>
              <w:rPr>
                <w:rFonts w:ascii="宋体" w:hAnsi="宋体"/>
                <w:color w:val="auto"/>
                <w:kern w:val="0"/>
                <w:sz w:val="24"/>
                <w:highlight w:val="none"/>
              </w:rPr>
            </w:pPr>
          </w:p>
        </w:tc>
        <w:tc>
          <w:tcPr>
            <w:tcW w:w="1141" w:type="dxa"/>
            <w:vAlign w:val="center"/>
          </w:tcPr>
          <w:p>
            <w:pPr>
              <w:autoSpaceDE w:val="0"/>
              <w:autoSpaceDN w:val="0"/>
              <w:adjustRightInd w:val="0"/>
              <w:snapToGrid w:val="0"/>
              <w:jc w:val="center"/>
              <w:rPr>
                <w:rFonts w:ascii="宋体" w:hAnsi="宋体"/>
                <w:color w:val="auto"/>
                <w:kern w:val="0"/>
                <w:sz w:val="24"/>
                <w:highlight w:val="none"/>
              </w:rPr>
            </w:pPr>
          </w:p>
        </w:tc>
        <w:tc>
          <w:tcPr>
            <w:tcW w:w="749" w:type="dxa"/>
            <w:vAlign w:val="center"/>
          </w:tcPr>
          <w:p>
            <w:pPr>
              <w:autoSpaceDE w:val="0"/>
              <w:autoSpaceDN w:val="0"/>
              <w:adjustRightInd w:val="0"/>
              <w:snapToGrid w:val="0"/>
              <w:jc w:val="center"/>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highlight w:val="none"/>
              </w:rPr>
            </w:pPr>
          </w:p>
        </w:tc>
        <w:tc>
          <w:tcPr>
            <w:tcW w:w="1176" w:type="dxa"/>
            <w:vAlign w:val="center"/>
          </w:tcPr>
          <w:p>
            <w:pPr>
              <w:autoSpaceDE w:val="0"/>
              <w:autoSpaceDN w:val="0"/>
              <w:adjustRightInd w:val="0"/>
              <w:snapToGrid w:val="0"/>
              <w:jc w:val="center"/>
              <w:rPr>
                <w:rFonts w:ascii="宋体" w:hAnsi="宋体"/>
                <w:color w:val="auto"/>
                <w:kern w:val="0"/>
                <w:sz w:val="24"/>
                <w:highlight w:val="none"/>
              </w:rPr>
            </w:pPr>
          </w:p>
        </w:tc>
        <w:tc>
          <w:tcPr>
            <w:tcW w:w="824" w:type="dxa"/>
            <w:vAlign w:val="center"/>
          </w:tcPr>
          <w:p>
            <w:pPr>
              <w:autoSpaceDE w:val="0"/>
              <w:autoSpaceDN w:val="0"/>
              <w:adjustRightInd w:val="0"/>
              <w:snapToGrid w:val="0"/>
              <w:jc w:val="center"/>
              <w:rPr>
                <w:rFonts w:ascii="宋体" w:hAnsi="宋体"/>
                <w:color w:val="auto"/>
                <w:kern w:val="0"/>
                <w:sz w:val="24"/>
                <w:highlight w:val="none"/>
              </w:rPr>
            </w:pPr>
          </w:p>
        </w:tc>
        <w:tc>
          <w:tcPr>
            <w:tcW w:w="1072" w:type="dxa"/>
            <w:vAlign w:val="center"/>
          </w:tcPr>
          <w:p>
            <w:pPr>
              <w:autoSpaceDE w:val="0"/>
              <w:autoSpaceDN w:val="0"/>
              <w:adjustRightInd w:val="0"/>
              <w:snapToGrid w:val="0"/>
              <w:jc w:val="center"/>
              <w:rPr>
                <w:rFonts w:ascii="宋体" w:hAnsi="宋体"/>
                <w:color w:val="auto"/>
                <w:kern w:val="0"/>
                <w:sz w:val="24"/>
                <w:highlight w:val="none"/>
              </w:rPr>
            </w:pPr>
          </w:p>
        </w:tc>
        <w:tc>
          <w:tcPr>
            <w:tcW w:w="728" w:type="dxa"/>
            <w:vAlign w:val="center"/>
          </w:tcPr>
          <w:p>
            <w:pPr>
              <w:autoSpaceDE w:val="0"/>
              <w:autoSpaceDN w:val="0"/>
              <w:adjustRightInd w:val="0"/>
              <w:snapToGrid w:val="0"/>
              <w:jc w:val="center"/>
              <w:rPr>
                <w:rFonts w:ascii="宋体" w:hAnsi="宋体"/>
                <w:color w:val="auto"/>
                <w:kern w:val="0"/>
                <w:sz w:val="24"/>
                <w:highlight w:val="none"/>
              </w:rPr>
            </w:pPr>
          </w:p>
        </w:tc>
        <w:tc>
          <w:tcPr>
            <w:tcW w:w="799" w:type="dxa"/>
            <w:vAlign w:val="center"/>
          </w:tcPr>
          <w:p>
            <w:pPr>
              <w:autoSpaceDE w:val="0"/>
              <w:autoSpaceDN w:val="0"/>
              <w:adjustRightInd w:val="0"/>
              <w:snapToGrid w:val="0"/>
              <w:jc w:val="center"/>
              <w:rPr>
                <w:rFonts w:ascii="宋体" w:hAnsi="宋体"/>
                <w:color w:val="auto"/>
                <w:kern w:val="0"/>
                <w:sz w:val="24"/>
                <w:highlight w:val="none"/>
              </w:rPr>
            </w:pPr>
          </w:p>
        </w:tc>
        <w:tc>
          <w:tcPr>
            <w:tcW w:w="1312" w:type="dxa"/>
            <w:vAlign w:val="center"/>
          </w:tcPr>
          <w:p>
            <w:pPr>
              <w:autoSpaceDE w:val="0"/>
              <w:autoSpaceDN w:val="0"/>
              <w:adjustRightInd w:val="0"/>
              <w:snapToGrid w:val="0"/>
              <w:jc w:val="center"/>
              <w:rPr>
                <w:rFonts w:ascii="宋体" w:hAnsi="宋体"/>
                <w:color w:val="auto"/>
                <w:kern w:val="0"/>
                <w:sz w:val="24"/>
                <w:highlight w:val="none"/>
              </w:rPr>
            </w:pPr>
          </w:p>
        </w:tc>
        <w:tc>
          <w:tcPr>
            <w:tcW w:w="947" w:type="dxa"/>
            <w:vAlign w:val="center"/>
          </w:tcPr>
          <w:p>
            <w:pPr>
              <w:autoSpaceDE w:val="0"/>
              <w:autoSpaceDN w:val="0"/>
              <w:adjustRightInd w:val="0"/>
              <w:snapToGrid w:val="0"/>
              <w:jc w:val="center"/>
              <w:rPr>
                <w:rFonts w:ascii="宋体" w:hAnsi="宋体"/>
                <w:color w:val="auto"/>
                <w:kern w:val="0"/>
                <w:sz w:val="24"/>
                <w:highlight w:val="none"/>
              </w:rPr>
            </w:pPr>
          </w:p>
        </w:tc>
        <w:tc>
          <w:tcPr>
            <w:tcW w:w="1141" w:type="dxa"/>
            <w:vAlign w:val="center"/>
          </w:tcPr>
          <w:p>
            <w:pPr>
              <w:autoSpaceDE w:val="0"/>
              <w:autoSpaceDN w:val="0"/>
              <w:adjustRightInd w:val="0"/>
              <w:snapToGrid w:val="0"/>
              <w:jc w:val="center"/>
              <w:rPr>
                <w:rFonts w:ascii="宋体" w:hAnsi="宋体"/>
                <w:color w:val="auto"/>
                <w:kern w:val="0"/>
                <w:sz w:val="24"/>
                <w:highlight w:val="none"/>
              </w:rPr>
            </w:pPr>
          </w:p>
        </w:tc>
        <w:tc>
          <w:tcPr>
            <w:tcW w:w="749" w:type="dxa"/>
            <w:vAlign w:val="center"/>
          </w:tcPr>
          <w:p>
            <w:pPr>
              <w:autoSpaceDE w:val="0"/>
              <w:autoSpaceDN w:val="0"/>
              <w:adjustRightInd w:val="0"/>
              <w:snapToGrid w:val="0"/>
              <w:jc w:val="center"/>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highlight w:val="none"/>
              </w:rPr>
            </w:pPr>
          </w:p>
        </w:tc>
        <w:tc>
          <w:tcPr>
            <w:tcW w:w="1176" w:type="dxa"/>
            <w:vAlign w:val="center"/>
          </w:tcPr>
          <w:p>
            <w:pPr>
              <w:autoSpaceDE w:val="0"/>
              <w:autoSpaceDN w:val="0"/>
              <w:adjustRightInd w:val="0"/>
              <w:snapToGrid w:val="0"/>
              <w:jc w:val="center"/>
              <w:rPr>
                <w:rFonts w:ascii="宋体" w:hAnsi="宋体"/>
                <w:color w:val="auto"/>
                <w:kern w:val="0"/>
                <w:sz w:val="24"/>
                <w:highlight w:val="none"/>
              </w:rPr>
            </w:pPr>
          </w:p>
        </w:tc>
        <w:tc>
          <w:tcPr>
            <w:tcW w:w="824" w:type="dxa"/>
            <w:vAlign w:val="center"/>
          </w:tcPr>
          <w:p>
            <w:pPr>
              <w:autoSpaceDE w:val="0"/>
              <w:autoSpaceDN w:val="0"/>
              <w:adjustRightInd w:val="0"/>
              <w:snapToGrid w:val="0"/>
              <w:jc w:val="center"/>
              <w:rPr>
                <w:rFonts w:ascii="宋体" w:hAnsi="宋体"/>
                <w:color w:val="auto"/>
                <w:kern w:val="0"/>
                <w:sz w:val="24"/>
                <w:highlight w:val="none"/>
              </w:rPr>
            </w:pPr>
          </w:p>
        </w:tc>
        <w:tc>
          <w:tcPr>
            <w:tcW w:w="1072" w:type="dxa"/>
            <w:vAlign w:val="center"/>
          </w:tcPr>
          <w:p>
            <w:pPr>
              <w:autoSpaceDE w:val="0"/>
              <w:autoSpaceDN w:val="0"/>
              <w:adjustRightInd w:val="0"/>
              <w:snapToGrid w:val="0"/>
              <w:jc w:val="center"/>
              <w:rPr>
                <w:rFonts w:ascii="宋体" w:hAnsi="宋体"/>
                <w:color w:val="auto"/>
                <w:kern w:val="0"/>
                <w:sz w:val="24"/>
                <w:highlight w:val="none"/>
              </w:rPr>
            </w:pPr>
          </w:p>
        </w:tc>
        <w:tc>
          <w:tcPr>
            <w:tcW w:w="728" w:type="dxa"/>
            <w:vAlign w:val="center"/>
          </w:tcPr>
          <w:p>
            <w:pPr>
              <w:autoSpaceDE w:val="0"/>
              <w:autoSpaceDN w:val="0"/>
              <w:adjustRightInd w:val="0"/>
              <w:snapToGrid w:val="0"/>
              <w:jc w:val="center"/>
              <w:rPr>
                <w:rFonts w:ascii="宋体" w:hAnsi="宋体"/>
                <w:color w:val="auto"/>
                <w:kern w:val="0"/>
                <w:sz w:val="24"/>
                <w:highlight w:val="none"/>
              </w:rPr>
            </w:pPr>
          </w:p>
        </w:tc>
        <w:tc>
          <w:tcPr>
            <w:tcW w:w="799" w:type="dxa"/>
            <w:vAlign w:val="center"/>
          </w:tcPr>
          <w:p>
            <w:pPr>
              <w:autoSpaceDE w:val="0"/>
              <w:autoSpaceDN w:val="0"/>
              <w:adjustRightInd w:val="0"/>
              <w:snapToGrid w:val="0"/>
              <w:jc w:val="center"/>
              <w:rPr>
                <w:rFonts w:ascii="宋体" w:hAnsi="宋体"/>
                <w:color w:val="auto"/>
                <w:kern w:val="0"/>
                <w:sz w:val="24"/>
                <w:highlight w:val="none"/>
              </w:rPr>
            </w:pPr>
          </w:p>
        </w:tc>
        <w:tc>
          <w:tcPr>
            <w:tcW w:w="1312" w:type="dxa"/>
            <w:vAlign w:val="center"/>
          </w:tcPr>
          <w:p>
            <w:pPr>
              <w:autoSpaceDE w:val="0"/>
              <w:autoSpaceDN w:val="0"/>
              <w:adjustRightInd w:val="0"/>
              <w:snapToGrid w:val="0"/>
              <w:jc w:val="center"/>
              <w:rPr>
                <w:rFonts w:ascii="宋体" w:hAnsi="宋体"/>
                <w:color w:val="auto"/>
                <w:kern w:val="0"/>
                <w:sz w:val="24"/>
                <w:highlight w:val="none"/>
              </w:rPr>
            </w:pPr>
          </w:p>
        </w:tc>
        <w:tc>
          <w:tcPr>
            <w:tcW w:w="947" w:type="dxa"/>
            <w:vAlign w:val="center"/>
          </w:tcPr>
          <w:p>
            <w:pPr>
              <w:autoSpaceDE w:val="0"/>
              <w:autoSpaceDN w:val="0"/>
              <w:adjustRightInd w:val="0"/>
              <w:snapToGrid w:val="0"/>
              <w:jc w:val="center"/>
              <w:rPr>
                <w:rFonts w:ascii="宋体" w:hAnsi="宋体"/>
                <w:color w:val="auto"/>
                <w:kern w:val="0"/>
                <w:sz w:val="24"/>
                <w:highlight w:val="none"/>
              </w:rPr>
            </w:pPr>
          </w:p>
        </w:tc>
        <w:tc>
          <w:tcPr>
            <w:tcW w:w="1141" w:type="dxa"/>
            <w:vAlign w:val="center"/>
          </w:tcPr>
          <w:p>
            <w:pPr>
              <w:autoSpaceDE w:val="0"/>
              <w:autoSpaceDN w:val="0"/>
              <w:adjustRightInd w:val="0"/>
              <w:snapToGrid w:val="0"/>
              <w:jc w:val="center"/>
              <w:rPr>
                <w:rFonts w:ascii="宋体" w:hAnsi="宋体"/>
                <w:color w:val="auto"/>
                <w:kern w:val="0"/>
                <w:sz w:val="24"/>
                <w:highlight w:val="none"/>
              </w:rPr>
            </w:pPr>
          </w:p>
        </w:tc>
        <w:tc>
          <w:tcPr>
            <w:tcW w:w="749" w:type="dxa"/>
            <w:vAlign w:val="center"/>
          </w:tcPr>
          <w:p>
            <w:pPr>
              <w:autoSpaceDE w:val="0"/>
              <w:autoSpaceDN w:val="0"/>
              <w:adjustRightInd w:val="0"/>
              <w:snapToGrid w:val="0"/>
              <w:jc w:val="center"/>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highlight w:val="none"/>
              </w:rPr>
            </w:pPr>
          </w:p>
        </w:tc>
        <w:tc>
          <w:tcPr>
            <w:tcW w:w="1176" w:type="dxa"/>
            <w:vAlign w:val="center"/>
          </w:tcPr>
          <w:p>
            <w:pPr>
              <w:autoSpaceDE w:val="0"/>
              <w:autoSpaceDN w:val="0"/>
              <w:adjustRightInd w:val="0"/>
              <w:snapToGrid w:val="0"/>
              <w:jc w:val="center"/>
              <w:rPr>
                <w:rFonts w:ascii="宋体" w:hAnsi="宋体"/>
                <w:color w:val="auto"/>
                <w:kern w:val="0"/>
                <w:sz w:val="24"/>
                <w:highlight w:val="none"/>
              </w:rPr>
            </w:pPr>
          </w:p>
        </w:tc>
        <w:tc>
          <w:tcPr>
            <w:tcW w:w="824" w:type="dxa"/>
            <w:vAlign w:val="center"/>
          </w:tcPr>
          <w:p>
            <w:pPr>
              <w:autoSpaceDE w:val="0"/>
              <w:autoSpaceDN w:val="0"/>
              <w:adjustRightInd w:val="0"/>
              <w:snapToGrid w:val="0"/>
              <w:jc w:val="center"/>
              <w:rPr>
                <w:rFonts w:ascii="宋体" w:hAnsi="宋体"/>
                <w:color w:val="auto"/>
                <w:kern w:val="0"/>
                <w:sz w:val="24"/>
                <w:highlight w:val="none"/>
              </w:rPr>
            </w:pPr>
          </w:p>
        </w:tc>
        <w:tc>
          <w:tcPr>
            <w:tcW w:w="1072" w:type="dxa"/>
            <w:vAlign w:val="center"/>
          </w:tcPr>
          <w:p>
            <w:pPr>
              <w:autoSpaceDE w:val="0"/>
              <w:autoSpaceDN w:val="0"/>
              <w:adjustRightInd w:val="0"/>
              <w:snapToGrid w:val="0"/>
              <w:jc w:val="center"/>
              <w:rPr>
                <w:rFonts w:ascii="宋体" w:hAnsi="宋体"/>
                <w:color w:val="auto"/>
                <w:kern w:val="0"/>
                <w:sz w:val="24"/>
                <w:highlight w:val="none"/>
              </w:rPr>
            </w:pPr>
          </w:p>
        </w:tc>
        <w:tc>
          <w:tcPr>
            <w:tcW w:w="728" w:type="dxa"/>
            <w:vAlign w:val="center"/>
          </w:tcPr>
          <w:p>
            <w:pPr>
              <w:autoSpaceDE w:val="0"/>
              <w:autoSpaceDN w:val="0"/>
              <w:adjustRightInd w:val="0"/>
              <w:snapToGrid w:val="0"/>
              <w:jc w:val="center"/>
              <w:rPr>
                <w:rFonts w:ascii="宋体" w:hAnsi="宋体"/>
                <w:color w:val="auto"/>
                <w:kern w:val="0"/>
                <w:sz w:val="24"/>
                <w:highlight w:val="none"/>
              </w:rPr>
            </w:pPr>
          </w:p>
        </w:tc>
        <w:tc>
          <w:tcPr>
            <w:tcW w:w="799" w:type="dxa"/>
            <w:vAlign w:val="center"/>
          </w:tcPr>
          <w:p>
            <w:pPr>
              <w:autoSpaceDE w:val="0"/>
              <w:autoSpaceDN w:val="0"/>
              <w:adjustRightInd w:val="0"/>
              <w:snapToGrid w:val="0"/>
              <w:jc w:val="center"/>
              <w:rPr>
                <w:rFonts w:ascii="宋体" w:hAnsi="宋体"/>
                <w:color w:val="auto"/>
                <w:kern w:val="0"/>
                <w:sz w:val="24"/>
                <w:highlight w:val="none"/>
              </w:rPr>
            </w:pPr>
          </w:p>
        </w:tc>
        <w:tc>
          <w:tcPr>
            <w:tcW w:w="1312" w:type="dxa"/>
            <w:vAlign w:val="center"/>
          </w:tcPr>
          <w:p>
            <w:pPr>
              <w:autoSpaceDE w:val="0"/>
              <w:autoSpaceDN w:val="0"/>
              <w:adjustRightInd w:val="0"/>
              <w:snapToGrid w:val="0"/>
              <w:jc w:val="center"/>
              <w:rPr>
                <w:rFonts w:ascii="宋体" w:hAnsi="宋体"/>
                <w:color w:val="auto"/>
                <w:kern w:val="0"/>
                <w:sz w:val="24"/>
                <w:highlight w:val="none"/>
              </w:rPr>
            </w:pPr>
          </w:p>
        </w:tc>
        <w:tc>
          <w:tcPr>
            <w:tcW w:w="947" w:type="dxa"/>
            <w:vAlign w:val="center"/>
          </w:tcPr>
          <w:p>
            <w:pPr>
              <w:autoSpaceDE w:val="0"/>
              <w:autoSpaceDN w:val="0"/>
              <w:adjustRightInd w:val="0"/>
              <w:snapToGrid w:val="0"/>
              <w:jc w:val="center"/>
              <w:rPr>
                <w:rFonts w:ascii="宋体" w:hAnsi="宋体"/>
                <w:color w:val="auto"/>
                <w:kern w:val="0"/>
                <w:sz w:val="24"/>
                <w:highlight w:val="none"/>
              </w:rPr>
            </w:pPr>
          </w:p>
        </w:tc>
        <w:tc>
          <w:tcPr>
            <w:tcW w:w="1141" w:type="dxa"/>
            <w:vAlign w:val="center"/>
          </w:tcPr>
          <w:p>
            <w:pPr>
              <w:autoSpaceDE w:val="0"/>
              <w:autoSpaceDN w:val="0"/>
              <w:adjustRightInd w:val="0"/>
              <w:snapToGrid w:val="0"/>
              <w:jc w:val="center"/>
              <w:rPr>
                <w:rFonts w:ascii="宋体" w:hAnsi="宋体"/>
                <w:color w:val="auto"/>
                <w:kern w:val="0"/>
                <w:sz w:val="24"/>
                <w:highlight w:val="none"/>
              </w:rPr>
            </w:pPr>
          </w:p>
        </w:tc>
        <w:tc>
          <w:tcPr>
            <w:tcW w:w="749" w:type="dxa"/>
            <w:vAlign w:val="center"/>
          </w:tcPr>
          <w:p>
            <w:pPr>
              <w:autoSpaceDE w:val="0"/>
              <w:autoSpaceDN w:val="0"/>
              <w:adjustRightInd w:val="0"/>
              <w:snapToGrid w:val="0"/>
              <w:jc w:val="center"/>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highlight w:val="none"/>
              </w:rPr>
            </w:pPr>
          </w:p>
        </w:tc>
        <w:tc>
          <w:tcPr>
            <w:tcW w:w="1176" w:type="dxa"/>
            <w:vAlign w:val="center"/>
          </w:tcPr>
          <w:p>
            <w:pPr>
              <w:autoSpaceDE w:val="0"/>
              <w:autoSpaceDN w:val="0"/>
              <w:adjustRightInd w:val="0"/>
              <w:snapToGrid w:val="0"/>
              <w:jc w:val="center"/>
              <w:rPr>
                <w:rFonts w:ascii="宋体" w:hAnsi="宋体"/>
                <w:color w:val="auto"/>
                <w:kern w:val="0"/>
                <w:sz w:val="24"/>
                <w:highlight w:val="none"/>
              </w:rPr>
            </w:pPr>
          </w:p>
        </w:tc>
        <w:tc>
          <w:tcPr>
            <w:tcW w:w="824" w:type="dxa"/>
            <w:vAlign w:val="center"/>
          </w:tcPr>
          <w:p>
            <w:pPr>
              <w:autoSpaceDE w:val="0"/>
              <w:autoSpaceDN w:val="0"/>
              <w:adjustRightInd w:val="0"/>
              <w:snapToGrid w:val="0"/>
              <w:jc w:val="center"/>
              <w:rPr>
                <w:rFonts w:ascii="宋体" w:hAnsi="宋体"/>
                <w:color w:val="auto"/>
                <w:kern w:val="0"/>
                <w:sz w:val="24"/>
                <w:highlight w:val="none"/>
              </w:rPr>
            </w:pPr>
          </w:p>
        </w:tc>
        <w:tc>
          <w:tcPr>
            <w:tcW w:w="1072" w:type="dxa"/>
            <w:vAlign w:val="center"/>
          </w:tcPr>
          <w:p>
            <w:pPr>
              <w:autoSpaceDE w:val="0"/>
              <w:autoSpaceDN w:val="0"/>
              <w:adjustRightInd w:val="0"/>
              <w:snapToGrid w:val="0"/>
              <w:jc w:val="center"/>
              <w:rPr>
                <w:rFonts w:ascii="宋体" w:hAnsi="宋体"/>
                <w:color w:val="auto"/>
                <w:kern w:val="0"/>
                <w:sz w:val="24"/>
                <w:highlight w:val="none"/>
              </w:rPr>
            </w:pPr>
          </w:p>
        </w:tc>
        <w:tc>
          <w:tcPr>
            <w:tcW w:w="728" w:type="dxa"/>
            <w:vAlign w:val="center"/>
          </w:tcPr>
          <w:p>
            <w:pPr>
              <w:autoSpaceDE w:val="0"/>
              <w:autoSpaceDN w:val="0"/>
              <w:adjustRightInd w:val="0"/>
              <w:snapToGrid w:val="0"/>
              <w:jc w:val="center"/>
              <w:rPr>
                <w:rFonts w:ascii="宋体" w:hAnsi="宋体"/>
                <w:color w:val="auto"/>
                <w:kern w:val="0"/>
                <w:sz w:val="24"/>
                <w:highlight w:val="none"/>
              </w:rPr>
            </w:pPr>
          </w:p>
        </w:tc>
        <w:tc>
          <w:tcPr>
            <w:tcW w:w="799" w:type="dxa"/>
            <w:vAlign w:val="center"/>
          </w:tcPr>
          <w:p>
            <w:pPr>
              <w:autoSpaceDE w:val="0"/>
              <w:autoSpaceDN w:val="0"/>
              <w:adjustRightInd w:val="0"/>
              <w:snapToGrid w:val="0"/>
              <w:jc w:val="center"/>
              <w:rPr>
                <w:rFonts w:ascii="宋体" w:hAnsi="宋体"/>
                <w:color w:val="auto"/>
                <w:kern w:val="0"/>
                <w:sz w:val="24"/>
                <w:highlight w:val="none"/>
              </w:rPr>
            </w:pPr>
          </w:p>
        </w:tc>
        <w:tc>
          <w:tcPr>
            <w:tcW w:w="1312" w:type="dxa"/>
            <w:vAlign w:val="center"/>
          </w:tcPr>
          <w:p>
            <w:pPr>
              <w:autoSpaceDE w:val="0"/>
              <w:autoSpaceDN w:val="0"/>
              <w:adjustRightInd w:val="0"/>
              <w:snapToGrid w:val="0"/>
              <w:jc w:val="center"/>
              <w:rPr>
                <w:rFonts w:ascii="宋体" w:hAnsi="宋体"/>
                <w:color w:val="auto"/>
                <w:kern w:val="0"/>
                <w:sz w:val="24"/>
                <w:highlight w:val="none"/>
              </w:rPr>
            </w:pPr>
          </w:p>
        </w:tc>
        <w:tc>
          <w:tcPr>
            <w:tcW w:w="947" w:type="dxa"/>
            <w:vAlign w:val="center"/>
          </w:tcPr>
          <w:p>
            <w:pPr>
              <w:autoSpaceDE w:val="0"/>
              <w:autoSpaceDN w:val="0"/>
              <w:adjustRightInd w:val="0"/>
              <w:snapToGrid w:val="0"/>
              <w:jc w:val="center"/>
              <w:rPr>
                <w:rFonts w:ascii="宋体" w:hAnsi="宋体"/>
                <w:color w:val="auto"/>
                <w:kern w:val="0"/>
                <w:sz w:val="24"/>
                <w:highlight w:val="none"/>
              </w:rPr>
            </w:pPr>
          </w:p>
        </w:tc>
        <w:tc>
          <w:tcPr>
            <w:tcW w:w="1141" w:type="dxa"/>
            <w:vAlign w:val="center"/>
          </w:tcPr>
          <w:p>
            <w:pPr>
              <w:autoSpaceDE w:val="0"/>
              <w:autoSpaceDN w:val="0"/>
              <w:adjustRightInd w:val="0"/>
              <w:snapToGrid w:val="0"/>
              <w:jc w:val="center"/>
              <w:rPr>
                <w:rFonts w:ascii="宋体" w:hAnsi="宋体"/>
                <w:color w:val="auto"/>
                <w:kern w:val="0"/>
                <w:sz w:val="24"/>
                <w:highlight w:val="none"/>
              </w:rPr>
            </w:pPr>
          </w:p>
        </w:tc>
        <w:tc>
          <w:tcPr>
            <w:tcW w:w="749" w:type="dxa"/>
            <w:vAlign w:val="center"/>
          </w:tcPr>
          <w:p>
            <w:pPr>
              <w:autoSpaceDE w:val="0"/>
              <w:autoSpaceDN w:val="0"/>
              <w:adjustRightInd w:val="0"/>
              <w:snapToGrid w:val="0"/>
              <w:jc w:val="center"/>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highlight w:val="none"/>
              </w:rPr>
            </w:pPr>
          </w:p>
        </w:tc>
        <w:tc>
          <w:tcPr>
            <w:tcW w:w="1176" w:type="dxa"/>
            <w:vAlign w:val="center"/>
          </w:tcPr>
          <w:p>
            <w:pPr>
              <w:autoSpaceDE w:val="0"/>
              <w:autoSpaceDN w:val="0"/>
              <w:adjustRightInd w:val="0"/>
              <w:snapToGrid w:val="0"/>
              <w:jc w:val="center"/>
              <w:rPr>
                <w:rFonts w:ascii="宋体" w:hAnsi="宋体"/>
                <w:color w:val="auto"/>
                <w:kern w:val="0"/>
                <w:sz w:val="24"/>
                <w:highlight w:val="none"/>
              </w:rPr>
            </w:pPr>
          </w:p>
        </w:tc>
        <w:tc>
          <w:tcPr>
            <w:tcW w:w="824" w:type="dxa"/>
            <w:vAlign w:val="center"/>
          </w:tcPr>
          <w:p>
            <w:pPr>
              <w:autoSpaceDE w:val="0"/>
              <w:autoSpaceDN w:val="0"/>
              <w:adjustRightInd w:val="0"/>
              <w:snapToGrid w:val="0"/>
              <w:jc w:val="center"/>
              <w:rPr>
                <w:rFonts w:ascii="宋体" w:hAnsi="宋体"/>
                <w:color w:val="auto"/>
                <w:kern w:val="0"/>
                <w:sz w:val="24"/>
                <w:highlight w:val="none"/>
              </w:rPr>
            </w:pPr>
          </w:p>
        </w:tc>
        <w:tc>
          <w:tcPr>
            <w:tcW w:w="1072" w:type="dxa"/>
            <w:vAlign w:val="center"/>
          </w:tcPr>
          <w:p>
            <w:pPr>
              <w:autoSpaceDE w:val="0"/>
              <w:autoSpaceDN w:val="0"/>
              <w:adjustRightInd w:val="0"/>
              <w:snapToGrid w:val="0"/>
              <w:jc w:val="center"/>
              <w:rPr>
                <w:rFonts w:ascii="宋体" w:hAnsi="宋体"/>
                <w:color w:val="auto"/>
                <w:kern w:val="0"/>
                <w:sz w:val="24"/>
                <w:highlight w:val="none"/>
              </w:rPr>
            </w:pPr>
          </w:p>
        </w:tc>
        <w:tc>
          <w:tcPr>
            <w:tcW w:w="728" w:type="dxa"/>
            <w:vAlign w:val="center"/>
          </w:tcPr>
          <w:p>
            <w:pPr>
              <w:autoSpaceDE w:val="0"/>
              <w:autoSpaceDN w:val="0"/>
              <w:adjustRightInd w:val="0"/>
              <w:snapToGrid w:val="0"/>
              <w:jc w:val="center"/>
              <w:rPr>
                <w:rFonts w:ascii="宋体" w:hAnsi="宋体"/>
                <w:color w:val="auto"/>
                <w:kern w:val="0"/>
                <w:sz w:val="24"/>
                <w:highlight w:val="none"/>
              </w:rPr>
            </w:pPr>
          </w:p>
        </w:tc>
        <w:tc>
          <w:tcPr>
            <w:tcW w:w="799" w:type="dxa"/>
            <w:vAlign w:val="center"/>
          </w:tcPr>
          <w:p>
            <w:pPr>
              <w:autoSpaceDE w:val="0"/>
              <w:autoSpaceDN w:val="0"/>
              <w:adjustRightInd w:val="0"/>
              <w:snapToGrid w:val="0"/>
              <w:jc w:val="center"/>
              <w:rPr>
                <w:rFonts w:ascii="宋体" w:hAnsi="宋体"/>
                <w:color w:val="auto"/>
                <w:kern w:val="0"/>
                <w:sz w:val="24"/>
                <w:highlight w:val="none"/>
              </w:rPr>
            </w:pPr>
          </w:p>
        </w:tc>
        <w:tc>
          <w:tcPr>
            <w:tcW w:w="1312" w:type="dxa"/>
            <w:vAlign w:val="center"/>
          </w:tcPr>
          <w:p>
            <w:pPr>
              <w:autoSpaceDE w:val="0"/>
              <w:autoSpaceDN w:val="0"/>
              <w:adjustRightInd w:val="0"/>
              <w:snapToGrid w:val="0"/>
              <w:jc w:val="center"/>
              <w:rPr>
                <w:rFonts w:ascii="宋体" w:hAnsi="宋体"/>
                <w:color w:val="auto"/>
                <w:kern w:val="0"/>
                <w:sz w:val="24"/>
                <w:highlight w:val="none"/>
              </w:rPr>
            </w:pPr>
          </w:p>
        </w:tc>
        <w:tc>
          <w:tcPr>
            <w:tcW w:w="947" w:type="dxa"/>
            <w:vAlign w:val="center"/>
          </w:tcPr>
          <w:p>
            <w:pPr>
              <w:autoSpaceDE w:val="0"/>
              <w:autoSpaceDN w:val="0"/>
              <w:adjustRightInd w:val="0"/>
              <w:snapToGrid w:val="0"/>
              <w:jc w:val="center"/>
              <w:rPr>
                <w:rFonts w:ascii="宋体" w:hAnsi="宋体"/>
                <w:color w:val="auto"/>
                <w:kern w:val="0"/>
                <w:sz w:val="24"/>
                <w:highlight w:val="none"/>
              </w:rPr>
            </w:pPr>
          </w:p>
        </w:tc>
        <w:tc>
          <w:tcPr>
            <w:tcW w:w="1141" w:type="dxa"/>
            <w:vAlign w:val="center"/>
          </w:tcPr>
          <w:p>
            <w:pPr>
              <w:autoSpaceDE w:val="0"/>
              <w:autoSpaceDN w:val="0"/>
              <w:adjustRightInd w:val="0"/>
              <w:snapToGrid w:val="0"/>
              <w:jc w:val="center"/>
              <w:rPr>
                <w:rFonts w:ascii="宋体" w:hAnsi="宋体"/>
                <w:color w:val="auto"/>
                <w:kern w:val="0"/>
                <w:sz w:val="24"/>
                <w:highlight w:val="none"/>
              </w:rPr>
            </w:pPr>
          </w:p>
        </w:tc>
        <w:tc>
          <w:tcPr>
            <w:tcW w:w="749" w:type="dxa"/>
            <w:vAlign w:val="center"/>
          </w:tcPr>
          <w:p>
            <w:pPr>
              <w:autoSpaceDE w:val="0"/>
              <w:autoSpaceDN w:val="0"/>
              <w:adjustRightInd w:val="0"/>
              <w:snapToGrid w:val="0"/>
              <w:jc w:val="center"/>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highlight w:val="none"/>
              </w:rPr>
            </w:pPr>
          </w:p>
        </w:tc>
        <w:tc>
          <w:tcPr>
            <w:tcW w:w="1176" w:type="dxa"/>
            <w:vAlign w:val="center"/>
          </w:tcPr>
          <w:p>
            <w:pPr>
              <w:autoSpaceDE w:val="0"/>
              <w:autoSpaceDN w:val="0"/>
              <w:adjustRightInd w:val="0"/>
              <w:snapToGrid w:val="0"/>
              <w:jc w:val="center"/>
              <w:rPr>
                <w:rFonts w:ascii="宋体" w:hAnsi="宋体"/>
                <w:color w:val="auto"/>
                <w:kern w:val="0"/>
                <w:sz w:val="24"/>
                <w:highlight w:val="none"/>
              </w:rPr>
            </w:pPr>
          </w:p>
        </w:tc>
        <w:tc>
          <w:tcPr>
            <w:tcW w:w="824" w:type="dxa"/>
            <w:vAlign w:val="center"/>
          </w:tcPr>
          <w:p>
            <w:pPr>
              <w:autoSpaceDE w:val="0"/>
              <w:autoSpaceDN w:val="0"/>
              <w:adjustRightInd w:val="0"/>
              <w:snapToGrid w:val="0"/>
              <w:jc w:val="center"/>
              <w:rPr>
                <w:rFonts w:ascii="宋体" w:hAnsi="宋体"/>
                <w:color w:val="auto"/>
                <w:kern w:val="0"/>
                <w:sz w:val="24"/>
                <w:highlight w:val="none"/>
              </w:rPr>
            </w:pPr>
          </w:p>
        </w:tc>
        <w:tc>
          <w:tcPr>
            <w:tcW w:w="1072" w:type="dxa"/>
            <w:vAlign w:val="center"/>
          </w:tcPr>
          <w:p>
            <w:pPr>
              <w:autoSpaceDE w:val="0"/>
              <w:autoSpaceDN w:val="0"/>
              <w:adjustRightInd w:val="0"/>
              <w:snapToGrid w:val="0"/>
              <w:jc w:val="center"/>
              <w:rPr>
                <w:rFonts w:ascii="宋体" w:hAnsi="宋体"/>
                <w:color w:val="auto"/>
                <w:kern w:val="0"/>
                <w:sz w:val="24"/>
                <w:highlight w:val="none"/>
              </w:rPr>
            </w:pPr>
          </w:p>
        </w:tc>
        <w:tc>
          <w:tcPr>
            <w:tcW w:w="728" w:type="dxa"/>
            <w:vAlign w:val="center"/>
          </w:tcPr>
          <w:p>
            <w:pPr>
              <w:autoSpaceDE w:val="0"/>
              <w:autoSpaceDN w:val="0"/>
              <w:adjustRightInd w:val="0"/>
              <w:snapToGrid w:val="0"/>
              <w:jc w:val="center"/>
              <w:rPr>
                <w:rFonts w:ascii="宋体" w:hAnsi="宋体"/>
                <w:color w:val="auto"/>
                <w:kern w:val="0"/>
                <w:sz w:val="24"/>
                <w:highlight w:val="none"/>
              </w:rPr>
            </w:pPr>
          </w:p>
        </w:tc>
        <w:tc>
          <w:tcPr>
            <w:tcW w:w="799" w:type="dxa"/>
            <w:vAlign w:val="center"/>
          </w:tcPr>
          <w:p>
            <w:pPr>
              <w:autoSpaceDE w:val="0"/>
              <w:autoSpaceDN w:val="0"/>
              <w:adjustRightInd w:val="0"/>
              <w:snapToGrid w:val="0"/>
              <w:jc w:val="center"/>
              <w:rPr>
                <w:rFonts w:ascii="宋体" w:hAnsi="宋体"/>
                <w:color w:val="auto"/>
                <w:kern w:val="0"/>
                <w:sz w:val="24"/>
                <w:highlight w:val="none"/>
              </w:rPr>
            </w:pPr>
          </w:p>
        </w:tc>
        <w:tc>
          <w:tcPr>
            <w:tcW w:w="1312" w:type="dxa"/>
            <w:vAlign w:val="center"/>
          </w:tcPr>
          <w:p>
            <w:pPr>
              <w:autoSpaceDE w:val="0"/>
              <w:autoSpaceDN w:val="0"/>
              <w:adjustRightInd w:val="0"/>
              <w:snapToGrid w:val="0"/>
              <w:jc w:val="center"/>
              <w:rPr>
                <w:rFonts w:ascii="宋体" w:hAnsi="宋体"/>
                <w:color w:val="auto"/>
                <w:kern w:val="0"/>
                <w:sz w:val="24"/>
                <w:highlight w:val="none"/>
              </w:rPr>
            </w:pPr>
          </w:p>
        </w:tc>
        <w:tc>
          <w:tcPr>
            <w:tcW w:w="947" w:type="dxa"/>
            <w:vAlign w:val="center"/>
          </w:tcPr>
          <w:p>
            <w:pPr>
              <w:autoSpaceDE w:val="0"/>
              <w:autoSpaceDN w:val="0"/>
              <w:adjustRightInd w:val="0"/>
              <w:snapToGrid w:val="0"/>
              <w:jc w:val="center"/>
              <w:rPr>
                <w:rFonts w:ascii="宋体" w:hAnsi="宋体"/>
                <w:color w:val="auto"/>
                <w:kern w:val="0"/>
                <w:sz w:val="24"/>
                <w:highlight w:val="none"/>
              </w:rPr>
            </w:pPr>
          </w:p>
        </w:tc>
        <w:tc>
          <w:tcPr>
            <w:tcW w:w="1141" w:type="dxa"/>
            <w:vAlign w:val="center"/>
          </w:tcPr>
          <w:p>
            <w:pPr>
              <w:autoSpaceDE w:val="0"/>
              <w:autoSpaceDN w:val="0"/>
              <w:adjustRightInd w:val="0"/>
              <w:snapToGrid w:val="0"/>
              <w:jc w:val="center"/>
              <w:rPr>
                <w:rFonts w:ascii="宋体" w:hAnsi="宋体"/>
                <w:color w:val="auto"/>
                <w:kern w:val="0"/>
                <w:sz w:val="24"/>
                <w:highlight w:val="none"/>
              </w:rPr>
            </w:pPr>
          </w:p>
        </w:tc>
        <w:tc>
          <w:tcPr>
            <w:tcW w:w="749" w:type="dxa"/>
            <w:vAlign w:val="center"/>
          </w:tcPr>
          <w:p>
            <w:pPr>
              <w:autoSpaceDE w:val="0"/>
              <w:autoSpaceDN w:val="0"/>
              <w:adjustRightInd w:val="0"/>
              <w:snapToGrid w:val="0"/>
              <w:jc w:val="center"/>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highlight w:val="none"/>
              </w:rPr>
            </w:pPr>
          </w:p>
        </w:tc>
        <w:tc>
          <w:tcPr>
            <w:tcW w:w="1176" w:type="dxa"/>
            <w:vAlign w:val="center"/>
          </w:tcPr>
          <w:p>
            <w:pPr>
              <w:autoSpaceDE w:val="0"/>
              <w:autoSpaceDN w:val="0"/>
              <w:adjustRightInd w:val="0"/>
              <w:snapToGrid w:val="0"/>
              <w:jc w:val="center"/>
              <w:rPr>
                <w:rFonts w:ascii="宋体" w:hAnsi="宋体"/>
                <w:color w:val="auto"/>
                <w:kern w:val="0"/>
                <w:sz w:val="24"/>
                <w:highlight w:val="none"/>
              </w:rPr>
            </w:pPr>
          </w:p>
        </w:tc>
        <w:tc>
          <w:tcPr>
            <w:tcW w:w="824" w:type="dxa"/>
            <w:vAlign w:val="center"/>
          </w:tcPr>
          <w:p>
            <w:pPr>
              <w:autoSpaceDE w:val="0"/>
              <w:autoSpaceDN w:val="0"/>
              <w:adjustRightInd w:val="0"/>
              <w:snapToGrid w:val="0"/>
              <w:jc w:val="center"/>
              <w:rPr>
                <w:rFonts w:ascii="宋体" w:hAnsi="宋体"/>
                <w:color w:val="auto"/>
                <w:kern w:val="0"/>
                <w:sz w:val="24"/>
                <w:highlight w:val="none"/>
              </w:rPr>
            </w:pPr>
          </w:p>
        </w:tc>
        <w:tc>
          <w:tcPr>
            <w:tcW w:w="1072" w:type="dxa"/>
            <w:vAlign w:val="center"/>
          </w:tcPr>
          <w:p>
            <w:pPr>
              <w:autoSpaceDE w:val="0"/>
              <w:autoSpaceDN w:val="0"/>
              <w:adjustRightInd w:val="0"/>
              <w:snapToGrid w:val="0"/>
              <w:jc w:val="center"/>
              <w:rPr>
                <w:rFonts w:ascii="宋体" w:hAnsi="宋体"/>
                <w:color w:val="auto"/>
                <w:kern w:val="0"/>
                <w:sz w:val="24"/>
                <w:highlight w:val="none"/>
              </w:rPr>
            </w:pPr>
          </w:p>
        </w:tc>
        <w:tc>
          <w:tcPr>
            <w:tcW w:w="728" w:type="dxa"/>
            <w:vAlign w:val="center"/>
          </w:tcPr>
          <w:p>
            <w:pPr>
              <w:autoSpaceDE w:val="0"/>
              <w:autoSpaceDN w:val="0"/>
              <w:adjustRightInd w:val="0"/>
              <w:snapToGrid w:val="0"/>
              <w:jc w:val="center"/>
              <w:rPr>
                <w:rFonts w:ascii="宋体" w:hAnsi="宋体"/>
                <w:color w:val="auto"/>
                <w:kern w:val="0"/>
                <w:sz w:val="24"/>
                <w:highlight w:val="none"/>
              </w:rPr>
            </w:pPr>
          </w:p>
        </w:tc>
        <w:tc>
          <w:tcPr>
            <w:tcW w:w="799" w:type="dxa"/>
            <w:vAlign w:val="center"/>
          </w:tcPr>
          <w:p>
            <w:pPr>
              <w:autoSpaceDE w:val="0"/>
              <w:autoSpaceDN w:val="0"/>
              <w:adjustRightInd w:val="0"/>
              <w:snapToGrid w:val="0"/>
              <w:jc w:val="center"/>
              <w:rPr>
                <w:rFonts w:ascii="宋体" w:hAnsi="宋体"/>
                <w:color w:val="auto"/>
                <w:kern w:val="0"/>
                <w:sz w:val="24"/>
                <w:highlight w:val="none"/>
              </w:rPr>
            </w:pPr>
          </w:p>
        </w:tc>
        <w:tc>
          <w:tcPr>
            <w:tcW w:w="1312" w:type="dxa"/>
            <w:vAlign w:val="center"/>
          </w:tcPr>
          <w:p>
            <w:pPr>
              <w:autoSpaceDE w:val="0"/>
              <w:autoSpaceDN w:val="0"/>
              <w:adjustRightInd w:val="0"/>
              <w:snapToGrid w:val="0"/>
              <w:jc w:val="center"/>
              <w:rPr>
                <w:rFonts w:ascii="宋体" w:hAnsi="宋体"/>
                <w:color w:val="auto"/>
                <w:kern w:val="0"/>
                <w:sz w:val="24"/>
                <w:highlight w:val="none"/>
              </w:rPr>
            </w:pPr>
          </w:p>
        </w:tc>
        <w:tc>
          <w:tcPr>
            <w:tcW w:w="947" w:type="dxa"/>
            <w:vAlign w:val="center"/>
          </w:tcPr>
          <w:p>
            <w:pPr>
              <w:autoSpaceDE w:val="0"/>
              <w:autoSpaceDN w:val="0"/>
              <w:adjustRightInd w:val="0"/>
              <w:snapToGrid w:val="0"/>
              <w:jc w:val="center"/>
              <w:rPr>
                <w:rFonts w:ascii="宋体" w:hAnsi="宋体"/>
                <w:color w:val="auto"/>
                <w:kern w:val="0"/>
                <w:sz w:val="24"/>
                <w:highlight w:val="none"/>
              </w:rPr>
            </w:pPr>
          </w:p>
        </w:tc>
        <w:tc>
          <w:tcPr>
            <w:tcW w:w="1141" w:type="dxa"/>
            <w:vAlign w:val="center"/>
          </w:tcPr>
          <w:p>
            <w:pPr>
              <w:autoSpaceDE w:val="0"/>
              <w:autoSpaceDN w:val="0"/>
              <w:adjustRightInd w:val="0"/>
              <w:snapToGrid w:val="0"/>
              <w:jc w:val="center"/>
              <w:rPr>
                <w:rFonts w:ascii="宋体" w:hAnsi="宋体"/>
                <w:color w:val="auto"/>
                <w:kern w:val="0"/>
                <w:sz w:val="24"/>
                <w:highlight w:val="none"/>
              </w:rPr>
            </w:pPr>
          </w:p>
        </w:tc>
        <w:tc>
          <w:tcPr>
            <w:tcW w:w="749" w:type="dxa"/>
            <w:vAlign w:val="center"/>
          </w:tcPr>
          <w:p>
            <w:pPr>
              <w:autoSpaceDE w:val="0"/>
              <w:autoSpaceDN w:val="0"/>
              <w:adjustRightInd w:val="0"/>
              <w:snapToGrid w:val="0"/>
              <w:jc w:val="center"/>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highlight w:val="none"/>
              </w:rPr>
            </w:pPr>
          </w:p>
        </w:tc>
        <w:tc>
          <w:tcPr>
            <w:tcW w:w="1176" w:type="dxa"/>
            <w:vAlign w:val="center"/>
          </w:tcPr>
          <w:p>
            <w:pPr>
              <w:autoSpaceDE w:val="0"/>
              <w:autoSpaceDN w:val="0"/>
              <w:adjustRightInd w:val="0"/>
              <w:snapToGrid w:val="0"/>
              <w:jc w:val="center"/>
              <w:rPr>
                <w:rFonts w:ascii="宋体" w:hAnsi="宋体"/>
                <w:color w:val="auto"/>
                <w:kern w:val="0"/>
                <w:sz w:val="24"/>
                <w:highlight w:val="none"/>
              </w:rPr>
            </w:pPr>
          </w:p>
        </w:tc>
        <w:tc>
          <w:tcPr>
            <w:tcW w:w="824" w:type="dxa"/>
            <w:vAlign w:val="center"/>
          </w:tcPr>
          <w:p>
            <w:pPr>
              <w:autoSpaceDE w:val="0"/>
              <w:autoSpaceDN w:val="0"/>
              <w:adjustRightInd w:val="0"/>
              <w:snapToGrid w:val="0"/>
              <w:jc w:val="center"/>
              <w:rPr>
                <w:rFonts w:ascii="宋体" w:hAnsi="宋体"/>
                <w:color w:val="auto"/>
                <w:kern w:val="0"/>
                <w:sz w:val="24"/>
                <w:highlight w:val="none"/>
              </w:rPr>
            </w:pPr>
          </w:p>
        </w:tc>
        <w:tc>
          <w:tcPr>
            <w:tcW w:w="1072" w:type="dxa"/>
            <w:vAlign w:val="center"/>
          </w:tcPr>
          <w:p>
            <w:pPr>
              <w:autoSpaceDE w:val="0"/>
              <w:autoSpaceDN w:val="0"/>
              <w:adjustRightInd w:val="0"/>
              <w:snapToGrid w:val="0"/>
              <w:jc w:val="center"/>
              <w:rPr>
                <w:rFonts w:ascii="宋体" w:hAnsi="宋体"/>
                <w:color w:val="auto"/>
                <w:kern w:val="0"/>
                <w:sz w:val="24"/>
                <w:highlight w:val="none"/>
              </w:rPr>
            </w:pPr>
          </w:p>
        </w:tc>
        <w:tc>
          <w:tcPr>
            <w:tcW w:w="728" w:type="dxa"/>
            <w:vAlign w:val="center"/>
          </w:tcPr>
          <w:p>
            <w:pPr>
              <w:autoSpaceDE w:val="0"/>
              <w:autoSpaceDN w:val="0"/>
              <w:adjustRightInd w:val="0"/>
              <w:snapToGrid w:val="0"/>
              <w:jc w:val="center"/>
              <w:rPr>
                <w:rFonts w:ascii="宋体" w:hAnsi="宋体"/>
                <w:color w:val="auto"/>
                <w:kern w:val="0"/>
                <w:sz w:val="24"/>
                <w:highlight w:val="none"/>
              </w:rPr>
            </w:pPr>
          </w:p>
        </w:tc>
        <w:tc>
          <w:tcPr>
            <w:tcW w:w="799" w:type="dxa"/>
            <w:vAlign w:val="center"/>
          </w:tcPr>
          <w:p>
            <w:pPr>
              <w:autoSpaceDE w:val="0"/>
              <w:autoSpaceDN w:val="0"/>
              <w:adjustRightInd w:val="0"/>
              <w:snapToGrid w:val="0"/>
              <w:jc w:val="center"/>
              <w:rPr>
                <w:rFonts w:ascii="宋体" w:hAnsi="宋体"/>
                <w:color w:val="auto"/>
                <w:kern w:val="0"/>
                <w:sz w:val="24"/>
                <w:highlight w:val="none"/>
              </w:rPr>
            </w:pPr>
          </w:p>
        </w:tc>
        <w:tc>
          <w:tcPr>
            <w:tcW w:w="1312" w:type="dxa"/>
            <w:vAlign w:val="center"/>
          </w:tcPr>
          <w:p>
            <w:pPr>
              <w:autoSpaceDE w:val="0"/>
              <w:autoSpaceDN w:val="0"/>
              <w:adjustRightInd w:val="0"/>
              <w:snapToGrid w:val="0"/>
              <w:jc w:val="center"/>
              <w:rPr>
                <w:rFonts w:ascii="宋体" w:hAnsi="宋体"/>
                <w:color w:val="auto"/>
                <w:kern w:val="0"/>
                <w:sz w:val="24"/>
                <w:highlight w:val="none"/>
              </w:rPr>
            </w:pPr>
          </w:p>
        </w:tc>
        <w:tc>
          <w:tcPr>
            <w:tcW w:w="947" w:type="dxa"/>
            <w:vAlign w:val="center"/>
          </w:tcPr>
          <w:p>
            <w:pPr>
              <w:autoSpaceDE w:val="0"/>
              <w:autoSpaceDN w:val="0"/>
              <w:adjustRightInd w:val="0"/>
              <w:snapToGrid w:val="0"/>
              <w:jc w:val="center"/>
              <w:rPr>
                <w:rFonts w:ascii="宋体" w:hAnsi="宋体"/>
                <w:color w:val="auto"/>
                <w:kern w:val="0"/>
                <w:sz w:val="24"/>
                <w:highlight w:val="none"/>
              </w:rPr>
            </w:pPr>
          </w:p>
        </w:tc>
        <w:tc>
          <w:tcPr>
            <w:tcW w:w="1141" w:type="dxa"/>
            <w:vAlign w:val="center"/>
          </w:tcPr>
          <w:p>
            <w:pPr>
              <w:autoSpaceDE w:val="0"/>
              <w:autoSpaceDN w:val="0"/>
              <w:adjustRightInd w:val="0"/>
              <w:snapToGrid w:val="0"/>
              <w:jc w:val="center"/>
              <w:rPr>
                <w:rFonts w:ascii="宋体" w:hAnsi="宋体"/>
                <w:color w:val="auto"/>
                <w:kern w:val="0"/>
                <w:sz w:val="24"/>
                <w:highlight w:val="none"/>
              </w:rPr>
            </w:pPr>
          </w:p>
        </w:tc>
        <w:tc>
          <w:tcPr>
            <w:tcW w:w="749" w:type="dxa"/>
            <w:vAlign w:val="center"/>
          </w:tcPr>
          <w:p>
            <w:pPr>
              <w:autoSpaceDE w:val="0"/>
              <w:autoSpaceDN w:val="0"/>
              <w:adjustRightInd w:val="0"/>
              <w:snapToGrid w:val="0"/>
              <w:jc w:val="center"/>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highlight w:val="none"/>
              </w:rPr>
            </w:pPr>
          </w:p>
        </w:tc>
        <w:tc>
          <w:tcPr>
            <w:tcW w:w="1176" w:type="dxa"/>
            <w:vAlign w:val="center"/>
          </w:tcPr>
          <w:p>
            <w:pPr>
              <w:autoSpaceDE w:val="0"/>
              <w:autoSpaceDN w:val="0"/>
              <w:adjustRightInd w:val="0"/>
              <w:snapToGrid w:val="0"/>
              <w:jc w:val="center"/>
              <w:rPr>
                <w:rFonts w:ascii="宋体" w:hAnsi="宋体"/>
                <w:color w:val="auto"/>
                <w:kern w:val="0"/>
                <w:sz w:val="24"/>
                <w:highlight w:val="none"/>
              </w:rPr>
            </w:pPr>
          </w:p>
        </w:tc>
        <w:tc>
          <w:tcPr>
            <w:tcW w:w="824" w:type="dxa"/>
            <w:vAlign w:val="center"/>
          </w:tcPr>
          <w:p>
            <w:pPr>
              <w:autoSpaceDE w:val="0"/>
              <w:autoSpaceDN w:val="0"/>
              <w:adjustRightInd w:val="0"/>
              <w:snapToGrid w:val="0"/>
              <w:jc w:val="center"/>
              <w:rPr>
                <w:rFonts w:ascii="宋体" w:hAnsi="宋体"/>
                <w:color w:val="auto"/>
                <w:kern w:val="0"/>
                <w:sz w:val="24"/>
                <w:highlight w:val="none"/>
              </w:rPr>
            </w:pPr>
          </w:p>
        </w:tc>
        <w:tc>
          <w:tcPr>
            <w:tcW w:w="1072" w:type="dxa"/>
            <w:vAlign w:val="center"/>
          </w:tcPr>
          <w:p>
            <w:pPr>
              <w:autoSpaceDE w:val="0"/>
              <w:autoSpaceDN w:val="0"/>
              <w:adjustRightInd w:val="0"/>
              <w:snapToGrid w:val="0"/>
              <w:jc w:val="center"/>
              <w:rPr>
                <w:rFonts w:ascii="宋体" w:hAnsi="宋体"/>
                <w:color w:val="auto"/>
                <w:kern w:val="0"/>
                <w:sz w:val="24"/>
                <w:highlight w:val="none"/>
              </w:rPr>
            </w:pPr>
          </w:p>
        </w:tc>
        <w:tc>
          <w:tcPr>
            <w:tcW w:w="728" w:type="dxa"/>
            <w:vAlign w:val="center"/>
          </w:tcPr>
          <w:p>
            <w:pPr>
              <w:autoSpaceDE w:val="0"/>
              <w:autoSpaceDN w:val="0"/>
              <w:adjustRightInd w:val="0"/>
              <w:snapToGrid w:val="0"/>
              <w:jc w:val="center"/>
              <w:rPr>
                <w:rFonts w:ascii="宋体" w:hAnsi="宋体"/>
                <w:color w:val="auto"/>
                <w:kern w:val="0"/>
                <w:sz w:val="24"/>
                <w:highlight w:val="none"/>
              </w:rPr>
            </w:pPr>
          </w:p>
        </w:tc>
        <w:tc>
          <w:tcPr>
            <w:tcW w:w="799" w:type="dxa"/>
            <w:vAlign w:val="center"/>
          </w:tcPr>
          <w:p>
            <w:pPr>
              <w:autoSpaceDE w:val="0"/>
              <w:autoSpaceDN w:val="0"/>
              <w:adjustRightInd w:val="0"/>
              <w:snapToGrid w:val="0"/>
              <w:jc w:val="center"/>
              <w:rPr>
                <w:rFonts w:ascii="宋体" w:hAnsi="宋体"/>
                <w:color w:val="auto"/>
                <w:kern w:val="0"/>
                <w:sz w:val="24"/>
                <w:highlight w:val="none"/>
              </w:rPr>
            </w:pPr>
          </w:p>
        </w:tc>
        <w:tc>
          <w:tcPr>
            <w:tcW w:w="1312" w:type="dxa"/>
            <w:vAlign w:val="center"/>
          </w:tcPr>
          <w:p>
            <w:pPr>
              <w:autoSpaceDE w:val="0"/>
              <w:autoSpaceDN w:val="0"/>
              <w:adjustRightInd w:val="0"/>
              <w:snapToGrid w:val="0"/>
              <w:jc w:val="center"/>
              <w:rPr>
                <w:rFonts w:ascii="宋体" w:hAnsi="宋体"/>
                <w:color w:val="auto"/>
                <w:kern w:val="0"/>
                <w:sz w:val="24"/>
                <w:highlight w:val="none"/>
              </w:rPr>
            </w:pPr>
          </w:p>
        </w:tc>
        <w:tc>
          <w:tcPr>
            <w:tcW w:w="947" w:type="dxa"/>
            <w:vAlign w:val="center"/>
          </w:tcPr>
          <w:p>
            <w:pPr>
              <w:autoSpaceDE w:val="0"/>
              <w:autoSpaceDN w:val="0"/>
              <w:adjustRightInd w:val="0"/>
              <w:snapToGrid w:val="0"/>
              <w:jc w:val="center"/>
              <w:rPr>
                <w:rFonts w:ascii="宋体" w:hAnsi="宋体"/>
                <w:color w:val="auto"/>
                <w:kern w:val="0"/>
                <w:sz w:val="24"/>
                <w:highlight w:val="none"/>
              </w:rPr>
            </w:pPr>
          </w:p>
        </w:tc>
        <w:tc>
          <w:tcPr>
            <w:tcW w:w="1141" w:type="dxa"/>
            <w:vAlign w:val="center"/>
          </w:tcPr>
          <w:p>
            <w:pPr>
              <w:autoSpaceDE w:val="0"/>
              <w:autoSpaceDN w:val="0"/>
              <w:adjustRightInd w:val="0"/>
              <w:snapToGrid w:val="0"/>
              <w:jc w:val="center"/>
              <w:rPr>
                <w:rFonts w:ascii="宋体" w:hAnsi="宋体"/>
                <w:color w:val="auto"/>
                <w:kern w:val="0"/>
                <w:sz w:val="24"/>
                <w:highlight w:val="none"/>
              </w:rPr>
            </w:pPr>
          </w:p>
        </w:tc>
        <w:tc>
          <w:tcPr>
            <w:tcW w:w="749" w:type="dxa"/>
            <w:vAlign w:val="center"/>
          </w:tcPr>
          <w:p>
            <w:pPr>
              <w:autoSpaceDE w:val="0"/>
              <w:autoSpaceDN w:val="0"/>
              <w:adjustRightInd w:val="0"/>
              <w:snapToGrid w:val="0"/>
              <w:jc w:val="center"/>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highlight w:val="none"/>
              </w:rPr>
            </w:pPr>
          </w:p>
        </w:tc>
        <w:tc>
          <w:tcPr>
            <w:tcW w:w="1176" w:type="dxa"/>
            <w:vAlign w:val="center"/>
          </w:tcPr>
          <w:p>
            <w:pPr>
              <w:autoSpaceDE w:val="0"/>
              <w:autoSpaceDN w:val="0"/>
              <w:adjustRightInd w:val="0"/>
              <w:snapToGrid w:val="0"/>
              <w:jc w:val="center"/>
              <w:rPr>
                <w:rFonts w:ascii="宋体" w:hAnsi="宋体"/>
                <w:color w:val="auto"/>
                <w:kern w:val="0"/>
                <w:sz w:val="24"/>
                <w:highlight w:val="none"/>
              </w:rPr>
            </w:pPr>
          </w:p>
        </w:tc>
        <w:tc>
          <w:tcPr>
            <w:tcW w:w="824" w:type="dxa"/>
            <w:vAlign w:val="center"/>
          </w:tcPr>
          <w:p>
            <w:pPr>
              <w:autoSpaceDE w:val="0"/>
              <w:autoSpaceDN w:val="0"/>
              <w:adjustRightInd w:val="0"/>
              <w:snapToGrid w:val="0"/>
              <w:jc w:val="center"/>
              <w:rPr>
                <w:rFonts w:ascii="宋体" w:hAnsi="宋体"/>
                <w:color w:val="auto"/>
                <w:kern w:val="0"/>
                <w:sz w:val="24"/>
                <w:highlight w:val="none"/>
              </w:rPr>
            </w:pPr>
          </w:p>
        </w:tc>
        <w:tc>
          <w:tcPr>
            <w:tcW w:w="1072" w:type="dxa"/>
            <w:vAlign w:val="center"/>
          </w:tcPr>
          <w:p>
            <w:pPr>
              <w:autoSpaceDE w:val="0"/>
              <w:autoSpaceDN w:val="0"/>
              <w:adjustRightInd w:val="0"/>
              <w:snapToGrid w:val="0"/>
              <w:jc w:val="center"/>
              <w:rPr>
                <w:rFonts w:ascii="宋体" w:hAnsi="宋体"/>
                <w:color w:val="auto"/>
                <w:kern w:val="0"/>
                <w:sz w:val="24"/>
                <w:highlight w:val="none"/>
              </w:rPr>
            </w:pPr>
          </w:p>
        </w:tc>
        <w:tc>
          <w:tcPr>
            <w:tcW w:w="728" w:type="dxa"/>
            <w:vAlign w:val="center"/>
          </w:tcPr>
          <w:p>
            <w:pPr>
              <w:autoSpaceDE w:val="0"/>
              <w:autoSpaceDN w:val="0"/>
              <w:adjustRightInd w:val="0"/>
              <w:snapToGrid w:val="0"/>
              <w:jc w:val="center"/>
              <w:rPr>
                <w:rFonts w:ascii="宋体" w:hAnsi="宋体"/>
                <w:color w:val="auto"/>
                <w:kern w:val="0"/>
                <w:sz w:val="24"/>
                <w:highlight w:val="none"/>
              </w:rPr>
            </w:pPr>
          </w:p>
        </w:tc>
        <w:tc>
          <w:tcPr>
            <w:tcW w:w="799" w:type="dxa"/>
            <w:vAlign w:val="center"/>
          </w:tcPr>
          <w:p>
            <w:pPr>
              <w:autoSpaceDE w:val="0"/>
              <w:autoSpaceDN w:val="0"/>
              <w:adjustRightInd w:val="0"/>
              <w:snapToGrid w:val="0"/>
              <w:jc w:val="center"/>
              <w:rPr>
                <w:rFonts w:ascii="宋体" w:hAnsi="宋体"/>
                <w:color w:val="auto"/>
                <w:kern w:val="0"/>
                <w:sz w:val="24"/>
                <w:highlight w:val="none"/>
              </w:rPr>
            </w:pPr>
          </w:p>
        </w:tc>
        <w:tc>
          <w:tcPr>
            <w:tcW w:w="1312" w:type="dxa"/>
            <w:vAlign w:val="center"/>
          </w:tcPr>
          <w:p>
            <w:pPr>
              <w:autoSpaceDE w:val="0"/>
              <w:autoSpaceDN w:val="0"/>
              <w:adjustRightInd w:val="0"/>
              <w:snapToGrid w:val="0"/>
              <w:jc w:val="center"/>
              <w:rPr>
                <w:rFonts w:ascii="宋体" w:hAnsi="宋体"/>
                <w:color w:val="auto"/>
                <w:kern w:val="0"/>
                <w:sz w:val="24"/>
                <w:highlight w:val="none"/>
              </w:rPr>
            </w:pPr>
          </w:p>
        </w:tc>
        <w:tc>
          <w:tcPr>
            <w:tcW w:w="947" w:type="dxa"/>
            <w:vAlign w:val="center"/>
          </w:tcPr>
          <w:p>
            <w:pPr>
              <w:autoSpaceDE w:val="0"/>
              <w:autoSpaceDN w:val="0"/>
              <w:adjustRightInd w:val="0"/>
              <w:snapToGrid w:val="0"/>
              <w:jc w:val="center"/>
              <w:rPr>
                <w:rFonts w:ascii="宋体" w:hAnsi="宋体"/>
                <w:color w:val="auto"/>
                <w:kern w:val="0"/>
                <w:sz w:val="24"/>
                <w:highlight w:val="none"/>
              </w:rPr>
            </w:pPr>
          </w:p>
        </w:tc>
        <w:tc>
          <w:tcPr>
            <w:tcW w:w="1141" w:type="dxa"/>
            <w:vAlign w:val="center"/>
          </w:tcPr>
          <w:p>
            <w:pPr>
              <w:autoSpaceDE w:val="0"/>
              <w:autoSpaceDN w:val="0"/>
              <w:adjustRightInd w:val="0"/>
              <w:snapToGrid w:val="0"/>
              <w:jc w:val="center"/>
              <w:rPr>
                <w:rFonts w:ascii="宋体" w:hAnsi="宋体"/>
                <w:color w:val="auto"/>
                <w:kern w:val="0"/>
                <w:sz w:val="24"/>
                <w:highlight w:val="none"/>
              </w:rPr>
            </w:pPr>
          </w:p>
        </w:tc>
        <w:tc>
          <w:tcPr>
            <w:tcW w:w="749" w:type="dxa"/>
            <w:vAlign w:val="center"/>
          </w:tcPr>
          <w:p>
            <w:pPr>
              <w:autoSpaceDE w:val="0"/>
              <w:autoSpaceDN w:val="0"/>
              <w:adjustRightInd w:val="0"/>
              <w:snapToGrid w:val="0"/>
              <w:jc w:val="center"/>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highlight w:val="none"/>
              </w:rPr>
            </w:pPr>
          </w:p>
        </w:tc>
        <w:tc>
          <w:tcPr>
            <w:tcW w:w="1176" w:type="dxa"/>
            <w:vAlign w:val="center"/>
          </w:tcPr>
          <w:p>
            <w:pPr>
              <w:autoSpaceDE w:val="0"/>
              <w:autoSpaceDN w:val="0"/>
              <w:adjustRightInd w:val="0"/>
              <w:snapToGrid w:val="0"/>
              <w:jc w:val="center"/>
              <w:rPr>
                <w:rFonts w:ascii="宋体" w:hAnsi="宋体"/>
                <w:color w:val="auto"/>
                <w:kern w:val="0"/>
                <w:sz w:val="24"/>
                <w:highlight w:val="none"/>
              </w:rPr>
            </w:pPr>
          </w:p>
        </w:tc>
        <w:tc>
          <w:tcPr>
            <w:tcW w:w="824" w:type="dxa"/>
            <w:vAlign w:val="center"/>
          </w:tcPr>
          <w:p>
            <w:pPr>
              <w:autoSpaceDE w:val="0"/>
              <w:autoSpaceDN w:val="0"/>
              <w:adjustRightInd w:val="0"/>
              <w:snapToGrid w:val="0"/>
              <w:jc w:val="center"/>
              <w:rPr>
                <w:rFonts w:ascii="宋体" w:hAnsi="宋体"/>
                <w:color w:val="auto"/>
                <w:kern w:val="0"/>
                <w:sz w:val="24"/>
                <w:highlight w:val="none"/>
              </w:rPr>
            </w:pPr>
          </w:p>
        </w:tc>
        <w:tc>
          <w:tcPr>
            <w:tcW w:w="1072" w:type="dxa"/>
            <w:vAlign w:val="center"/>
          </w:tcPr>
          <w:p>
            <w:pPr>
              <w:autoSpaceDE w:val="0"/>
              <w:autoSpaceDN w:val="0"/>
              <w:adjustRightInd w:val="0"/>
              <w:snapToGrid w:val="0"/>
              <w:jc w:val="center"/>
              <w:rPr>
                <w:rFonts w:ascii="宋体" w:hAnsi="宋体"/>
                <w:color w:val="auto"/>
                <w:kern w:val="0"/>
                <w:sz w:val="24"/>
                <w:highlight w:val="none"/>
              </w:rPr>
            </w:pPr>
          </w:p>
        </w:tc>
        <w:tc>
          <w:tcPr>
            <w:tcW w:w="728" w:type="dxa"/>
            <w:vAlign w:val="center"/>
          </w:tcPr>
          <w:p>
            <w:pPr>
              <w:autoSpaceDE w:val="0"/>
              <w:autoSpaceDN w:val="0"/>
              <w:adjustRightInd w:val="0"/>
              <w:snapToGrid w:val="0"/>
              <w:jc w:val="center"/>
              <w:rPr>
                <w:rFonts w:ascii="宋体" w:hAnsi="宋体"/>
                <w:color w:val="auto"/>
                <w:kern w:val="0"/>
                <w:sz w:val="24"/>
                <w:highlight w:val="none"/>
              </w:rPr>
            </w:pPr>
          </w:p>
        </w:tc>
        <w:tc>
          <w:tcPr>
            <w:tcW w:w="799" w:type="dxa"/>
            <w:vAlign w:val="center"/>
          </w:tcPr>
          <w:p>
            <w:pPr>
              <w:autoSpaceDE w:val="0"/>
              <w:autoSpaceDN w:val="0"/>
              <w:adjustRightInd w:val="0"/>
              <w:snapToGrid w:val="0"/>
              <w:jc w:val="center"/>
              <w:rPr>
                <w:rFonts w:ascii="宋体" w:hAnsi="宋体"/>
                <w:color w:val="auto"/>
                <w:kern w:val="0"/>
                <w:sz w:val="24"/>
                <w:highlight w:val="none"/>
              </w:rPr>
            </w:pPr>
          </w:p>
        </w:tc>
        <w:tc>
          <w:tcPr>
            <w:tcW w:w="1312" w:type="dxa"/>
            <w:vAlign w:val="center"/>
          </w:tcPr>
          <w:p>
            <w:pPr>
              <w:autoSpaceDE w:val="0"/>
              <w:autoSpaceDN w:val="0"/>
              <w:adjustRightInd w:val="0"/>
              <w:snapToGrid w:val="0"/>
              <w:jc w:val="center"/>
              <w:rPr>
                <w:rFonts w:ascii="宋体" w:hAnsi="宋体"/>
                <w:color w:val="auto"/>
                <w:kern w:val="0"/>
                <w:sz w:val="24"/>
                <w:highlight w:val="none"/>
              </w:rPr>
            </w:pPr>
          </w:p>
        </w:tc>
        <w:tc>
          <w:tcPr>
            <w:tcW w:w="947" w:type="dxa"/>
            <w:vAlign w:val="center"/>
          </w:tcPr>
          <w:p>
            <w:pPr>
              <w:autoSpaceDE w:val="0"/>
              <w:autoSpaceDN w:val="0"/>
              <w:adjustRightInd w:val="0"/>
              <w:snapToGrid w:val="0"/>
              <w:jc w:val="center"/>
              <w:rPr>
                <w:rFonts w:ascii="宋体" w:hAnsi="宋体"/>
                <w:color w:val="auto"/>
                <w:kern w:val="0"/>
                <w:sz w:val="24"/>
                <w:highlight w:val="none"/>
              </w:rPr>
            </w:pPr>
          </w:p>
        </w:tc>
        <w:tc>
          <w:tcPr>
            <w:tcW w:w="1141" w:type="dxa"/>
            <w:vAlign w:val="center"/>
          </w:tcPr>
          <w:p>
            <w:pPr>
              <w:autoSpaceDE w:val="0"/>
              <w:autoSpaceDN w:val="0"/>
              <w:adjustRightInd w:val="0"/>
              <w:snapToGrid w:val="0"/>
              <w:jc w:val="center"/>
              <w:rPr>
                <w:rFonts w:ascii="宋体" w:hAnsi="宋体"/>
                <w:color w:val="auto"/>
                <w:kern w:val="0"/>
                <w:sz w:val="24"/>
                <w:highlight w:val="none"/>
              </w:rPr>
            </w:pPr>
          </w:p>
        </w:tc>
        <w:tc>
          <w:tcPr>
            <w:tcW w:w="749" w:type="dxa"/>
            <w:vAlign w:val="center"/>
          </w:tcPr>
          <w:p>
            <w:pPr>
              <w:autoSpaceDE w:val="0"/>
              <w:autoSpaceDN w:val="0"/>
              <w:adjustRightInd w:val="0"/>
              <w:snapToGrid w:val="0"/>
              <w:jc w:val="center"/>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highlight w:val="none"/>
              </w:rPr>
            </w:pPr>
          </w:p>
        </w:tc>
        <w:tc>
          <w:tcPr>
            <w:tcW w:w="1176" w:type="dxa"/>
            <w:vAlign w:val="center"/>
          </w:tcPr>
          <w:p>
            <w:pPr>
              <w:autoSpaceDE w:val="0"/>
              <w:autoSpaceDN w:val="0"/>
              <w:adjustRightInd w:val="0"/>
              <w:snapToGrid w:val="0"/>
              <w:jc w:val="center"/>
              <w:rPr>
                <w:rFonts w:ascii="宋体" w:hAnsi="宋体"/>
                <w:color w:val="auto"/>
                <w:kern w:val="0"/>
                <w:sz w:val="24"/>
                <w:highlight w:val="none"/>
              </w:rPr>
            </w:pPr>
          </w:p>
        </w:tc>
        <w:tc>
          <w:tcPr>
            <w:tcW w:w="824" w:type="dxa"/>
            <w:vAlign w:val="center"/>
          </w:tcPr>
          <w:p>
            <w:pPr>
              <w:autoSpaceDE w:val="0"/>
              <w:autoSpaceDN w:val="0"/>
              <w:adjustRightInd w:val="0"/>
              <w:snapToGrid w:val="0"/>
              <w:jc w:val="center"/>
              <w:rPr>
                <w:rFonts w:ascii="宋体" w:hAnsi="宋体"/>
                <w:color w:val="auto"/>
                <w:kern w:val="0"/>
                <w:sz w:val="24"/>
                <w:highlight w:val="none"/>
              </w:rPr>
            </w:pPr>
          </w:p>
        </w:tc>
        <w:tc>
          <w:tcPr>
            <w:tcW w:w="1072" w:type="dxa"/>
            <w:vAlign w:val="center"/>
          </w:tcPr>
          <w:p>
            <w:pPr>
              <w:autoSpaceDE w:val="0"/>
              <w:autoSpaceDN w:val="0"/>
              <w:adjustRightInd w:val="0"/>
              <w:snapToGrid w:val="0"/>
              <w:jc w:val="center"/>
              <w:rPr>
                <w:rFonts w:ascii="宋体" w:hAnsi="宋体"/>
                <w:color w:val="auto"/>
                <w:kern w:val="0"/>
                <w:sz w:val="24"/>
                <w:highlight w:val="none"/>
              </w:rPr>
            </w:pPr>
          </w:p>
        </w:tc>
        <w:tc>
          <w:tcPr>
            <w:tcW w:w="728" w:type="dxa"/>
            <w:vAlign w:val="center"/>
          </w:tcPr>
          <w:p>
            <w:pPr>
              <w:autoSpaceDE w:val="0"/>
              <w:autoSpaceDN w:val="0"/>
              <w:adjustRightInd w:val="0"/>
              <w:snapToGrid w:val="0"/>
              <w:jc w:val="center"/>
              <w:rPr>
                <w:rFonts w:ascii="宋体" w:hAnsi="宋体"/>
                <w:color w:val="auto"/>
                <w:kern w:val="0"/>
                <w:sz w:val="24"/>
                <w:highlight w:val="none"/>
              </w:rPr>
            </w:pPr>
          </w:p>
        </w:tc>
        <w:tc>
          <w:tcPr>
            <w:tcW w:w="799" w:type="dxa"/>
            <w:vAlign w:val="center"/>
          </w:tcPr>
          <w:p>
            <w:pPr>
              <w:autoSpaceDE w:val="0"/>
              <w:autoSpaceDN w:val="0"/>
              <w:adjustRightInd w:val="0"/>
              <w:snapToGrid w:val="0"/>
              <w:jc w:val="center"/>
              <w:rPr>
                <w:rFonts w:ascii="宋体" w:hAnsi="宋体"/>
                <w:color w:val="auto"/>
                <w:kern w:val="0"/>
                <w:sz w:val="24"/>
                <w:highlight w:val="none"/>
              </w:rPr>
            </w:pPr>
          </w:p>
        </w:tc>
        <w:tc>
          <w:tcPr>
            <w:tcW w:w="1312" w:type="dxa"/>
            <w:vAlign w:val="center"/>
          </w:tcPr>
          <w:p>
            <w:pPr>
              <w:autoSpaceDE w:val="0"/>
              <w:autoSpaceDN w:val="0"/>
              <w:adjustRightInd w:val="0"/>
              <w:snapToGrid w:val="0"/>
              <w:jc w:val="center"/>
              <w:rPr>
                <w:rFonts w:ascii="宋体" w:hAnsi="宋体"/>
                <w:color w:val="auto"/>
                <w:kern w:val="0"/>
                <w:sz w:val="24"/>
                <w:highlight w:val="none"/>
              </w:rPr>
            </w:pPr>
          </w:p>
        </w:tc>
        <w:tc>
          <w:tcPr>
            <w:tcW w:w="947" w:type="dxa"/>
            <w:vAlign w:val="center"/>
          </w:tcPr>
          <w:p>
            <w:pPr>
              <w:autoSpaceDE w:val="0"/>
              <w:autoSpaceDN w:val="0"/>
              <w:adjustRightInd w:val="0"/>
              <w:snapToGrid w:val="0"/>
              <w:jc w:val="center"/>
              <w:rPr>
                <w:rFonts w:ascii="宋体" w:hAnsi="宋体"/>
                <w:color w:val="auto"/>
                <w:kern w:val="0"/>
                <w:sz w:val="24"/>
                <w:highlight w:val="none"/>
              </w:rPr>
            </w:pPr>
          </w:p>
        </w:tc>
        <w:tc>
          <w:tcPr>
            <w:tcW w:w="1141" w:type="dxa"/>
            <w:vAlign w:val="center"/>
          </w:tcPr>
          <w:p>
            <w:pPr>
              <w:autoSpaceDE w:val="0"/>
              <w:autoSpaceDN w:val="0"/>
              <w:adjustRightInd w:val="0"/>
              <w:snapToGrid w:val="0"/>
              <w:jc w:val="center"/>
              <w:rPr>
                <w:rFonts w:ascii="宋体" w:hAnsi="宋体"/>
                <w:color w:val="auto"/>
                <w:kern w:val="0"/>
                <w:sz w:val="24"/>
                <w:highlight w:val="none"/>
              </w:rPr>
            </w:pPr>
          </w:p>
        </w:tc>
        <w:tc>
          <w:tcPr>
            <w:tcW w:w="749" w:type="dxa"/>
            <w:vAlign w:val="center"/>
          </w:tcPr>
          <w:p>
            <w:pPr>
              <w:autoSpaceDE w:val="0"/>
              <w:autoSpaceDN w:val="0"/>
              <w:adjustRightInd w:val="0"/>
              <w:snapToGrid w:val="0"/>
              <w:jc w:val="center"/>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highlight w:val="none"/>
              </w:rPr>
            </w:pPr>
          </w:p>
        </w:tc>
        <w:tc>
          <w:tcPr>
            <w:tcW w:w="1176" w:type="dxa"/>
            <w:vAlign w:val="center"/>
          </w:tcPr>
          <w:p>
            <w:pPr>
              <w:autoSpaceDE w:val="0"/>
              <w:autoSpaceDN w:val="0"/>
              <w:adjustRightInd w:val="0"/>
              <w:snapToGrid w:val="0"/>
              <w:jc w:val="center"/>
              <w:rPr>
                <w:rFonts w:ascii="宋体" w:hAnsi="宋体"/>
                <w:color w:val="auto"/>
                <w:kern w:val="0"/>
                <w:sz w:val="24"/>
                <w:highlight w:val="none"/>
              </w:rPr>
            </w:pPr>
          </w:p>
        </w:tc>
        <w:tc>
          <w:tcPr>
            <w:tcW w:w="824" w:type="dxa"/>
            <w:vAlign w:val="center"/>
          </w:tcPr>
          <w:p>
            <w:pPr>
              <w:autoSpaceDE w:val="0"/>
              <w:autoSpaceDN w:val="0"/>
              <w:adjustRightInd w:val="0"/>
              <w:snapToGrid w:val="0"/>
              <w:jc w:val="center"/>
              <w:rPr>
                <w:rFonts w:ascii="宋体" w:hAnsi="宋体"/>
                <w:color w:val="auto"/>
                <w:kern w:val="0"/>
                <w:sz w:val="24"/>
                <w:highlight w:val="none"/>
              </w:rPr>
            </w:pPr>
          </w:p>
        </w:tc>
        <w:tc>
          <w:tcPr>
            <w:tcW w:w="1072" w:type="dxa"/>
            <w:vAlign w:val="center"/>
          </w:tcPr>
          <w:p>
            <w:pPr>
              <w:autoSpaceDE w:val="0"/>
              <w:autoSpaceDN w:val="0"/>
              <w:adjustRightInd w:val="0"/>
              <w:snapToGrid w:val="0"/>
              <w:jc w:val="center"/>
              <w:rPr>
                <w:rFonts w:ascii="宋体" w:hAnsi="宋体"/>
                <w:color w:val="auto"/>
                <w:kern w:val="0"/>
                <w:sz w:val="24"/>
                <w:highlight w:val="none"/>
              </w:rPr>
            </w:pPr>
          </w:p>
        </w:tc>
        <w:tc>
          <w:tcPr>
            <w:tcW w:w="728" w:type="dxa"/>
            <w:vAlign w:val="center"/>
          </w:tcPr>
          <w:p>
            <w:pPr>
              <w:autoSpaceDE w:val="0"/>
              <w:autoSpaceDN w:val="0"/>
              <w:adjustRightInd w:val="0"/>
              <w:snapToGrid w:val="0"/>
              <w:jc w:val="center"/>
              <w:rPr>
                <w:rFonts w:ascii="宋体" w:hAnsi="宋体"/>
                <w:color w:val="auto"/>
                <w:kern w:val="0"/>
                <w:sz w:val="24"/>
                <w:highlight w:val="none"/>
              </w:rPr>
            </w:pPr>
          </w:p>
        </w:tc>
        <w:tc>
          <w:tcPr>
            <w:tcW w:w="799" w:type="dxa"/>
            <w:vAlign w:val="center"/>
          </w:tcPr>
          <w:p>
            <w:pPr>
              <w:autoSpaceDE w:val="0"/>
              <w:autoSpaceDN w:val="0"/>
              <w:adjustRightInd w:val="0"/>
              <w:snapToGrid w:val="0"/>
              <w:jc w:val="center"/>
              <w:rPr>
                <w:rFonts w:ascii="宋体" w:hAnsi="宋体"/>
                <w:color w:val="auto"/>
                <w:kern w:val="0"/>
                <w:sz w:val="24"/>
                <w:highlight w:val="none"/>
              </w:rPr>
            </w:pPr>
          </w:p>
        </w:tc>
        <w:tc>
          <w:tcPr>
            <w:tcW w:w="1312" w:type="dxa"/>
            <w:vAlign w:val="center"/>
          </w:tcPr>
          <w:p>
            <w:pPr>
              <w:autoSpaceDE w:val="0"/>
              <w:autoSpaceDN w:val="0"/>
              <w:adjustRightInd w:val="0"/>
              <w:snapToGrid w:val="0"/>
              <w:jc w:val="center"/>
              <w:rPr>
                <w:rFonts w:ascii="宋体" w:hAnsi="宋体"/>
                <w:color w:val="auto"/>
                <w:kern w:val="0"/>
                <w:sz w:val="24"/>
                <w:highlight w:val="none"/>
              </w:rPr>
            </w:pPr>
          </w:p>
        </w:tc>
        <w:tc>
          <w:tcPr>
            <w:tcW w:w="947" w:type="dxa"/>
            <w:vAlign w:val="center"/>
          </w:tcPr>
          <w:p>
            <w:pPr>
              <w:autoSpaceDE w:val="0"/>
              <w:autoSpaceDN w:val="0"/>
              <w:adjustRightInd w:val="0"/>
              <w:snapToGrid w:val="0"/>
              <w:jc w:val="center"/>
              <w:rPr>
                <w:rFonts w:ascii="宋体" w:hAnsi="宋体"/>
                <w:color w:val="auto"/>
                <w:kern w:val="0"/>
                <w:sz w:val="24"/>
                <w:highlight w:val="none"/>
              </w:rPr>
            </w:pPr>
          </w:p>
        </w:tc>
        <w:tc>
          <w:tcPr>
            <w:tcW w:w="1141" w:type="dxa"/>
            <w:vAlign w:val="center"/>
          </w:tcPr>
          <w:p>
            <w:pPr>
              <w:autoSpaceDE w:val="0"/>
              <w:autoSpaceDN w:val="0"/>
              <w:adjustRightInd w:val="0"/>
              <w:snapToGrid w:val="0"/>
              <w:jc w:val="center"/>
              <w:rPr>
                <w:rFonts w:ascii="宋体" w:hAnsi="宋体"/>
                <w:color w:val="auto"/>
                <w:kern w:val="0"/>
                <w:sz w:val="24"/>
                <w:highlight w:val="none"/>
              </w:rPr>
            </w:pPr>
          </w:p>
        </w:tc>
        <w:tc>
          <w:tcPr>
            <w:tcW w:w="749" w:type="dxa"/>
            <w:vAlign w:val="center"/>
          </w:tcPr>
          <w:p>
            <w:pPr>
              <w:autoSpaceDE w:val="0"/>
              <w:autoSpaceDN w:val="0"/>
              <w:adjustRightInd w:val="0"/>
              <w:snapToGrid w:val="0"/>
              <w:jc w:val="center"/>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highlight w:val="none"/>
              </w:rPr>
            </w:pPr>
          </w:p>
        </w:tc>
        <w:tc>
          <w:tcPr>
            <w:tcW w:w="1176" w:type="dxa"/>
            <w:vAlign w:val="center"/>
          </w:tcPr>
          <w:p>
            <w:pPr>
              <w:autoSpaceDE w:val="0"/>
              <w:autoSpaceDN w:val="0"/>
              <w:adjustRightInd w:val="0"/>
              <w:snapToGrid w:val="0"/>
              <w:jc w:val="center"/>
              <w:rPr>
                <w:rFonts w:ascii="宋体" w:hAnsi="宋体"/>
                <w:color w:val="auto"/>
                <w:kern w:val="0"/>
                <w:sz w:val="24"/>
                <w:highlight w:val="none"/>
              </w:rPr>
            </w:pPr>
          </w:p>
        </w:tc>
        <w:tc>
          <w:tcPr>
            <w:tcW w:w="824" w:type="dxa"/>
            <w:vAlign w:val="center"/>
          </w:tcPr>
          <w:p>
            <w:pPr>
              <w:autoSpaceDE w:val="0"/>
              <w:autoSpaceDN w:val="0"/>
              <w:adjustRightInd w:val="0"/>
              <w:snapToGrid w:val="0"/>
              <w:jc w:val="center"/>
              <w:rPr>
                <w:rFonts w:ascii="宋体" w:hAnsi="宋体"/>
                <w:color w:val="auto"/>
                <w:kern w:val="0"/>
                <w:sz w:val="24"/>
                <w:highlight w:val="none"/>
              </w:rPr>
            </w:pPr>
          </w:p>
        </w:tc>
        <w:tc>
          <w:tcPr>
            <w:tcW w:w="1072" w:type="dxa"/>
            <w:vAlign w:val="center"/>
          </w:tcPr>
          <w:p>
            <w:pPr>
              <w:autoSpaceDE w:val="0"/>
              <w:autoSpaceDN w:val="0"/>
              <w:adjustRightInd w:val="0"/>
              <w:snapToGrid w:val="0"/>
              <w:jc w:val="center"/>
              <w:rPr>
                <w:rFonts w:ascii="宋体" w:hAnsi="宋体"/>
                <w:color w:val="auto"/>
                <w:kern w:val="0"/>
                <w:sz w:val="24"/>
                <w:highlight w:val="none"/>
              </w:rPr>
            </w:pPr>
          </w:p>
        </w:tc>
        <w:tc>
          <w:tcPr>
            <w:tcW w:w="728" w:type="dxa"/>
            <w:vAlign w:val="center"/>
          </w:tcPr>
          <w:p>
            <w:pPr>
              <w:autoSpaceDE w:val="0"/>
              <w:autoSpaceDN w:val="0"/>
              <w:adjustRightInd w:val="0"/>
              <w:snapToGrid w:val="0"/>
              <w:jc w:val="center"/>
              <w:rPr>
                <w:rFonts w:ascii="宋体" w:hAnsi="宋体"/>
                <w:color w:val="auto"/>
                <w:kern w:val="0"/>
                <w:sz w:val="24"/>
                <w:highlight w:val="none"/>
              </w:rPr>
            </w:pPr>
          </w:p>
        </w:tc>
        <w:tc>
          <w:tcPr>
            <w:tcW w:w="799" w:type="dxa"/>
            <w:vAlign w:val="center"/>
          </w:tcPr>
          <w:p>
            <w:pPr>
              <w:autoSpaceDE w:val="0"/>
              <w:autoSpaceDN w:val="0"/>
              <w:adjustRightInd w:val="0"/>
              <w:snapToGrid w:val="0"/>
              <w:jc w:val="center"/>
              <w:rPr>
                <w:rFonts w:ascii="宋体" w:hAnsi="宋体"/>
                <w:color w:val="auto"/>
                <w:kern w:val="0"/>
                <w:sz w:val="24"/>
                <w:highlight w:val="none"/>
              </w:rPr>
            </w:pPr>
          </w:p>
        </w:tc>
        <w:tc>
          <w:tcPr>
            <w:tcW w:w="1312" w:type="dxa"/>
            <w:vAlign w:val="center"/>
          </w:tcPr>
          <w:p>
            <w:pPr>
              <w:autoSpaceDE w:val="0"/>
              <w:autoSpaceDN w:val="0"/>
              <w:adjustRightInd w:val="0"/>
              <w:snapToGrid w:val="0"/>
              <w:jc w:val="center"/>
              <w:rPr>
                <w:rFonts w:ascii="宋体" w:hAnsi="宋体"/>
                <w:color w:val="auto"/>
                <w:kern w:val="0"/>
                <w:sz w:val="24"/>
                <w:highlight w:val="none"/>
              </w:rPr>
            </w:pPr>
          </w:p>
        </w:tc>
        <w:tc>
          <w:tcPr>
            <w:tcW w:w="947" w:type="dxa"/>
            <w:vAlign w:val="center"/>
          </w:tcPr>
          <w:p>
            <w:pPr>
              <w:autoSpaceDE w:val="0"/>
              <w:autoSpaceDN w:val="0"/>
              <w:adjustRightInd w:val="0"/>
              <w:snapToGrid w:val="0"/>
              <w:jc w:val="center"/>
              <w:rPr>
                <w:rFonts w:ascii="宋体" w:hAnsi="宋体"/>
                <w:color w:val="auto"/>
                <w:kern w:val="0"/>
                <w:sz w:val="24"/>
                <w:highlight w:val="none"/>
              </w:rPr>
            </w:pPr>
          </w:p>
        </w:tc>
        <w:tc>
          <w:tcPr>
            <w:tcW w:w="1141" w:type="dxa"/>
            <w:vAlign w:val="center"/>
          </w:tcPr>
          <w:p>
            <w:pPr>
              <w:autoSpaceDE w:val="0"/>
              <w:autoSpaceDN w:val="0"/>
              <w:adjustRightInd w:val="0"/>
              <w:snapToGrid w:val="0"/>
              <w:jc w:val="center"/>
              <w:rPr>
                <w:rFonts w:ascii="宋体" w:hAnsi="宋体"/>
                <w:color w:val="auto"/>
                <w:kern w:val="0"/>
                <w:sz w:val="24"/>
                <w:highlight w:val="none"/>
              </w:rPr>
            </w:pPr>
          </w:p>
        </w:tc>
        <w:tc>
          <w:tcPr>
            <w:tcW w:w="749" w:type="dxa"/>
            <w:vAlign w:val="center"/>
          </w:tcPr>
          <w:p>
            <w:pPr>
              <w:autoSpaceDE w:val="0"/>
              <w:autoSpaceDN w:val="0"/>
              <w:adjustRightInd w:val="0"/>
              <w:snapToGrid w:val="0"/>
              <w:jc w:val="center"/>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highlight w:val="none"/>
              </w:rPr>
            </w:pPr>
          </w:p>
        </w:tc>
        <w:tc>
          <w:tcPr>
            <w:tcW w:w="1176" w:type="dxa"/>
            <w:vAlign w:val="center"/>
          </w:tcPr>
          <w:p>
            <w:pPr>
              <w:autoSpaceDE w:val="0"/>
              <w:autoSpaceDN w:val="0"/>
              <w:adjustRightInd w:val="0"/>
              <w:snapToGrid w:val="0"/>
              <w:jc w:val="center"/>
              <w:rPr>
                <w:rFonts w:ascii="宋体" w:hAnsi="宋体"/>
                <w:color w:val="auto"/>
                <w:kern w:val="0"/>
                <w:sz w:val="24"/>
                <w:highlight w:val="none"/>
              </w:rPr>
            </w:pPr>
          </w:p>
        </w:tc>
        <w:tc>
          <w:tcPr>
            <w:tcW w:w="824" w:type="dxa"/>
            <w:vAlign w:val="center"/>
          </w:tcPr>
          <w:p>
            <w:pPr>
              <w:autoSpaceDE w:val="0"/>
              <w:autoSpaceDN w:val="0"/>
              <w:adjustRightInd w:val="0"/>
              <w:snapToGrid w:val="0"/>
              <w:jc w:val="center"/>
              <w:rPr>
                <w:rFonts w:ascii="宋体" w:hAnsi="宋体"/>
                <w:color w:val="auto"/>
                <w:kern w:val="0"/>
                <w:sz w:val="24"/>
                <w:highlight w:val="none"/>
              </w:rPr>
            </w:pPr>
          </w:p>
        </w:tc>
        <w:tc>
          <w:tcPr>
            <w:tcW w:w="1072" w:type="dxa"/>
            <w:vAlign w:val="center"/>
          </w:tcPr>
          <w:p>
            <w:pPr>
              <w:autoSpaceDE w:val="0"/>
              <w:autoSpaceDN w:val="0"/>
              <w:adjustRightInd w:val="0"/>
              <w:snapToGrid w:val="0"/>
              <w:jc w:val="center"/>
              <w:rPr>
                <w:rFonts w:ascii="宋体" w:hAnsi="宋体"/>
                <w:color w:val="auto"/>
                <w:kern w:val="0"/>
                <w:sz w:val="24"/>
                <w:highlight w:val="none"/>
              </w:rPr>
            </w:pPr>
          </w:p>
        </w:tc>
        <w:tc>
          <w:tcPr>
            <w:tcW w:w="728" w:type="dxa"/>
            <w:vAlign w:val="center"/>
          </w:tcPr>
          <w:p>
            <w:pPr>
              <w:autoSpaceDE w:val="0"/>
              <w:autoSpaceDN w:val="0"/>
              <w:adjustRightInd w:val="0"/>
              <w:snapToGrid w:val="0"/>
              <w:jc w:val="center"/>
              <w:rPr>
                <w:rFonts w:ascii="宋体" w:hAnsi="宋体"/>
                <w:color w:val="auto"/>
                <w:kern w:val="0"/>
                <w:sz w:val="24"/>
                <w:highlight w:val="none"/>
              </w:rPr>
            </w:pPr>
          </w:p>
        </w:tc>
        <w:tc>
          <w:tcPr>
            <w:tcW w:w="799" w:type="dxa"/>
            <w:vAlign w:val="center"/>
          </w:tcPr>
          <w:p>
            <w:pPr>
              <w:autoSpaceDE w:val="0"/>
              <w:autoSpaceDN w:val="0"/>
              <w:adjustRightInd w:val="0"/>
              <w:snapToGrid w:val="0"/>
              <w:jc w:val="center"/>
              <w:rPr>
                <w:rFonts w:ascii="宋体" w:hAnsi="宋体"/>
                <w:color w:val="auto"/>
                <w:kern w:val="0"/>
                <w:sz w:val="24"/>
                <w:highlight w:val="none"/>
              </w:rPr>
            </w:pPr>
          </w:p>
        </w:tc>
        <w:tc>
          <w:tcPr>
            <w:tcW w:w="1312" w:type="dxa"/>
            <w:vAlign w:val="center"/>
          </w:tcPr>
          <w:p>
            <w:pPr>
              <w:autoSpaceDE w:val="0"/>
              <w:autoSpaceDN w:val="0"/>
              <w:adjustRightInd w:val="0"/>
              <w:snapToGrid w:val="0"/>
              <w:jc w:val="center"/>
              <w:rPr>
                <w:rFonts w:ascii="宋体" w:hAnsi="宋体"/>
                <w:color w:val="auto"/>
                <w:kern w:val="0"/>
                <w:sz w:val="24"/>
                <w:highlight w:val="none"/>
              </w:rPr>
            </w:pPr>
          </w:p>
        </w:tc>
        <w:tc>
          <w:tcPr>
            <w:tcW w:w="947" w:type="dxa"/>
            <w:vAlign w:val="center"/>
          </w:tcPr>
          <w:p>
            <w:pPr>
              <w:autoSpaceDE w:val="0"/>
              <w:autoSpaceDN w:val="0"/>
              <w:adjustRightInd w:val="0"/>
              <w:snapToGrid w:val="0"/>
              <w:jc w:val="center"/>
              <w:rPr>
                <w:rFonts w:ascii="宋体" w:hAnsi="宋体"/>
                <w:color w:val="auto"/>
                <w:kern w:val="0"/>
                <w:sz w:val="24"/>
                <w:highlight w:val="none"/>
              </w:rPr>
            </w:pPr>
          </w:p>
        </w:tc>
        <w:tc>
          <w:tcPr>
            <w:tcW w:w="1141" w:type="dxa"/>
            <w:vAlign w:val="center"/>
          </w:tcPr>
          <w:p>
            <w:pPr>
              <w:autoSpaceDE w:val="0"/>
              <w:autoSpaceDN w:val="0"/>
              <w:adjustRightInd w:val="0"/>
              <w:snapToGrid w:val="0"/>
              <w:jc w:val="center"/>
              <w:rPr>
                <w:rFonts w:ascii="宋体" w:hAnsi="宋体"/>
                <w:color w:val="auto"/>
                <w:kern w:val="0"/>
                <w:sz w:val="24"/>
                <w:highlight w:val="none"/>
              </w:rPr>
            </w:pPr>
          </w:p>
        </w:tc>
        <w:tc>
          <w:tcPr>
            <w:tcW w:w="749" w:type="dxa"/>
            <w:vAlign w:val="center"/>
          </w:tcPr>
          <w:p>
            <w:pPr>
              <w:autoSpaceDE w:val="0"/>
              <w:autoSpaceDN w:val="0"/>
              <w:adjustRightInd w:val="0"/>
              <w:snapToGrid w:val="0"/>
              <w:jc w:val="center"/>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highlight w:val="none"/>
              </w:rPr>
            </w:pPr>
          </w:p>
        </w:tc>
        <w:tc>
          <w:tcPr>
            <w:tcW w:w="1176" w:type="dxa"/>
            <w:vAlign w:val="center"/>
          </w:tcPr>
          <w:p>
            <w:pPr>
              <w:autoSpaceDE w:val="0"/>
              <w:autoSpaceDN w:val="0"/>
              <w:adjustRightInd w:val="0"/>
              <w:snapToGrid w:val="0"/>
              <w:jc w:val="center"/>
              <w:rPr>
                <w:rFonts w:ascii="宋体" w:hAnsi="宋体"/>
                <w:color w:val="auto"/>
                <w:kern w:val="0"/>
                <w:sz w:val="24"/>
                <w:highlight w:val="none"/>
              </w:rPr>
            </w:pPr>
          </w:p>
        </w:tc>
        <w:tc>
          <w:tcPr>
            <w:tcW w:w="824" w:type="dxa"/>
            <w:vAlign w:val="center"/>
          </w:tcPr>
          <w:p>
            <w:pPr>
              <w:autoSpaceDE w:val="0"/>
              <w:autoSpaceDN w:val="0"/>
              <w:adjustRightInd w:val="0"/>
              <w:snapToGrid w:val="0"/>
              <w:jc w:val="center"/>
              <w:rPr>
                <w:rFonts w:ascii="宋体" w:hAnsi="宋体"/>
                <w:color w:val="auto"/>
                <w:kern w:val="0"/>
                <w:sz w:val="24"/>
                <w:highlight w:val="none"/>
              </w:rPr>
            </w:pPr>
          </w:p>
        </w:tc>
        <w:tc>
          <w:tcPr>
            <w:tcW w:w="1072" w:type="dxa"/>
            <w:vAlign w:val="center"/>
          </w:tcPr>
          <w:p>
            <w:pPr>
              <w:autoSpaceDE w:val="0"/>
              <w:autoSpaceDN w:val="0"/>
              <w:adjustRightInd w:val="0"/>
              <w:snapToGrid w:val="0"/>
              <w:jc w:val="center"/>
              <w:rPr>
                <w:rFonts w:ascii="宋体" w:hAnsi="宋体"/>
                <w:color w:val="auto"/>
                <w:kern w:val="0"/>
                <w:sz w:val="24"/>
                <w:highlight w:val="none"/>
              </w:rPr>
            </w:pPr>
          </w:p>
        </w:tc>
        <w:tc>
          <w:tcPr>
            <w:tcW w:w="728" w:type="dxa"/>
            <w:vAlign w:val="center"/>
          </w:tcPr>
          <w:p>
            <w:pPr>
              <w:autoSpaceDE w:val="0"/>
              <w:autoSpaceDN w:val="0"/>
              <w:adjustRightInd w:val="0"/>
              <w:snapToGrid w:val="0"/>
              <w:jc w:val="center"/>
              <w:rPr>
                <w:rFonts w:ascii="宋体" w:hAnsi="宋体"/>
                <w:color w:val="auto"/>
                <w:kern w:val="0"/>
                <w:sz w:val="24"/>
                <w:highlight w:val="none"/>
              </w:rPr>
            </w:pPr>
          </w:p>
        </w:tc>
        <w:tc>
          <w:tcPr>
            <w:tcW w:w="799" w:type="dxa"/>
            <w:vAlign w:val="center"/>
          </w:tcPr>
          <w:p>
            <w:pPr>
              <w:autoSpaceDE w:val="0"/>
              <w:autoSpaceDN w:val="0"/>
              <w:adjustRightInd w:val="0"/>
              <w:snapToGrid w:val="0"/>
              <w:jc w:val="center"/>
              <w:rPr>
                <w:rFonts w:ascii="宋体" w:hAnsi="宋体"/>
                <w:color w:val="auto"/>
                <w:kern w:val="0"/>
                <w:sz w:val="24"/>
                <w:highlight w:val="none"/>
              </w:rPr>
            </w:pPr>
          </w:p>
        </w:tc>
        <w:tc>
          <w:tcPr>
            <w:tcW w:w="1312" w:type="dxa"/>
            <w:vAlign w:val="center"/>
          </w:tcPr>
          <w:p>
            <w:pPr>
              <w:autoSpaceDE w:val="0"/>
              <w:autoSpaceDN w:val="0"/>
              <w:adjustRightInd w:val="0"/>
              <w:snapToGrid w:val="0"/>
              <w:jc w:val="center"/>
              <w:rPr>
                <w:rFonts w:ascii="宋体" w:hAnsi="宋体"/>
                <w:color w:val="auto"/>
                <w:kern w:val="0"/>
                <w:sz w:val="24"/>
                <w:highlight w:val="none"/>
              </w:rPr>
            </w:pPr>
          </w:p>
        </w:tc>
        <w:tc>
          <w:tcPr>
            <w:tcW w:w="947" w:type="dxa"/>
            <w:vAlign w:val="center"/>
          </w:tcPr>
          <w:p>
            <w:pPr>
              <w:autoSpaceDE w:val="0"/>
              <w:autoSpaceDN w:val="0"/>
              <w:adjustRightInd w:val="0"/>
              <w:snapToGrid w:val="0"/>
              <w:jc w:val="center"/>
              <w:rPr>
                <w:rFonts w:ascii="宋体" w:hAnsi="宋体"/>
                <w:color w:val="auto"/>
                <w:kern w:val="0"/>
                <w:sz w:val="24"/>
                <w:highlight w:val="none"/>
              </w:rPr>
            </w:pPr>
          </w:p>
        </w:tc>
        <w:tc>
          <w:tcPr>
            <w:tcW w:w="1141" w:type="dxa"/>
            <w:vAlign w:val="center"/>
          </w:tcPr>
          <w:p>
            <w:pPr>
              <w:autoSpaceDE w:val="0"/>
              <w:autoSpaceDN w:val="0"/>
              <w:adjustRightInd w:val="0"/>
              <w:snapToGrid w:val="0"/>
              <w:jc w:val="center"/>
              <w:rPr>
                <w:rFonts w:ascii="宋体" w:hAnsi="宋体"/>
                <w:color w:val="auto"/>
                <w:kern w:val="0"/>
                <w:sz w:val="24"/>
                <w:highlight w:val="none"/>
              </w:rPr>
            </w:pPr>
          </w:p>
        </w:tc>
        <w:tc>
          <w:tcPr>
            <w:tcW w:w="749" w:type="dxa"/>
            <w:vAlign w:val="center"/>
          </w:tcPr>
          <w:p>
            <w:pPr>
              <w:autoSpaceDE w:val="0"/>
              <w:autoSpaceDN w:val="0"/>
              <w:adjustRightInd w:val="0"/>
              <w:snapToGrid w:val="0"/>
              <w:jc w:val="center"/>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highlight w:val="none"/>
              </w:rPr>
            </w:pPr>
          </w:p>
        </w:tc>
        <w:tc>
          <w:tcPr>
            <w:tcW w:w="1176" w:type="dxa"/>
            <w:vAlign w:val="center"/>
          </w:tcPr>
          <w:p>
            <w:pPr>
              <w:autoSpaceDE w:val="0"/>
              <w:autoSpaceDN w:val="0"/>
              <w:adjustRightInd w:val="0"/>
              <w:snapToGrid w:val="0"/>
              <w:jc w:val="center"/>
              <w:rPr>
                <w:rFonts w:ascii="宋体" w:hAnsi="宋体"/>
                <w:color w:val="auto"/>
                <w:kern w:val="0"/>
                <w:sz w:val="24"/>
                <w:highlight w:val="none"/>
              </w:rPr>
            </w:pPr>
          </w:p>
        </w:tc>
        <w:tc>
          <w:tcPr>
            <w:tcW w:w="824" w:type="dxa"/>
            <w:vAlign w:val="center"/>
          </w:tcPr>
          <w:p>
            <w:pPr>
              <w:autoSpaceDE w:val="0"/>
              <w:autoSpaceDN w:val="0"/>
              <w:adjustRightInd w:val="0"/>
              <w:snapToGrid w:val="0"/>
              <w:jc w:val="center"/>
              <w:rPr>
                <w:rFonts w:ascii="宋体" w:hAnsi="宋体"/>
                <w:color w:val="auto"/>
                <w:kern w:val="0"/>
                <w:sz w:val="24"/>
                <w:highlight w:val="none"/>
              </w:rPr>
            </w:pPr>
          </w:p>
        </w:tc>
        <w:tc>
          <w:tcPr>
            <w:tcW w:w="1072" w:type="dxa"/>
            <w:vAlign w:val="center"/>
          </w:tcPr>
          <w:p>
            <w:pPr>
              <w:autoSpaceDE w:val="0"/>
              <w:autoSpaceDN w:val="0"/>
              <w:adjustRightInd w:val="0"/>
              <w:snapToGrid w:val="0"/>
              <w:jc w:val="center"/>
              <w:rPr>
                <w:rFonts w:ascii="宋体" w:hAnsi="宋体"/>
                <w:color w:val="auto"/>
                <w:kern w:val="0"/>
                <w:sz w:val="24"/>
                <w:highlight w:val="none"/>
              </w:rPr>
            </w:pPr>
          </w:p>
        </w:tc>
        <w:tc>
          <w:tcPr>
            <w:tcW w:w="728" w:type="dxa"/>
            <w:vAlign w:val="center"/>
          </w:tcPr>
          <w:p>
            <w:pPr>
              <w:autoSpaceDE w:val="0"/>
              <w:autoSpaceDN w:val="0"/>
              <w:adjustRightInd w:val="0"/>
              <w:snapToGrid w:val="0"/>
              <w:jc w:val="center"/>
              <w:rPr>
                <w:rFonts w:ascii="宋体" w:hAnsi="宋体"/>
                <w:color w:val="auto"/>
                <w:kern w:val="0"/>
                <w:sz w:val="24"/>
                <w:highlight w:val="none"/>
              </w:rPr>
            </w:pPr>
          </w:p>
        </w:tc>
        <w:tc>
          <w:tcPr>
            <w:tcW w:w="799" w:type="dxa"/>
            <w:vAlign w:val="center"/>
          </w:tcPr>
          <w:p>
            <w:pPr>
              <w:autoSpaceDE w:val="0"/>
              <w:autoSpaceDN w:val="0"/>
              <w:adjustRightInd w:val="0"/>
              <w:snapToGrid w:val="0"/>
              <w:jc w:val="center"/>
              <w:rPr>
                <w:rFonts w:ascii="宋体" w:hAnsi="宋体"/>
                <w:color w:val="auto"/>
                <w:kern w:val="0"/>
                <w:sz w:val="24"/>
                <w:highlight w:val="none"/>
              </w:rPr>
            </w:pPr>
          </w:p>
        </w:tc>
        <w:tc>
          <w:tcPr>
            <w:tcW w:w="1312" w:type="dxa"/>
            <w:vAlign w:val="center"/>
          </w:tcPr>
          <w:p>
            <w:pPr>
              <w:autoSpaceDE w:val="0"/>
              <w:autoSpaceDN w:val="0"/>
              <w:adjustRightInd w:val="0"/>
              <w:snapToGrid w:val="0"/>
              <w:jc w:val="center"/>
              <w:rPr>
                <w:rFonts w:ascii="宋体" w:hAnsi="宋体"/>
                <w:color w:val="auto"/>
                <w:kern w:val="0"/>
                <w:sz w:val="24"/>
                <w:highlight w:val="none"/>
              </w:rPr>
            </w:pPr>
          </w:p>
        </w:tc>
        <w:tc>
          <w:tcPr>
            <w:tcW w:w="947" w:type="dxa"/>
            <w:vAlign w:val="center"/>
          </w:tcPr>
          <w:p>
            <w:pPr>
              <w:autoSpaceDE w:val="0"/>
              <w:autoSpaceDN w:val="0"/>
              <w:adjustRightInd w:val="0"/>
              <w:snapToGrid w:val="0"/>
              <w:jc w:val="center"/>
              <w:rPr>
                <w:rFonts w:ascii="宋体" w:hAnsi="宋体"/>
                <w:color w:val="auto"/>
                <w:kern w:val="0"/>
                <w:sz w:val="24"/>
                <w:highlight w:val="none"/>
              </w:rPr>
            </w:pPr>
          </w:p>
        </w:tc>
        <w:tc>
          <w:tcPr>
            <w:tcW w:w="1141" w:type="dxa"/>
            <w:vAlign w:val="center"/>
          </w:tcPr>
          <w:p>
            <w:pPr>
              <w:autoSpaceDE w:val="0"/>
              <w:autoSpaceDN w:val="0"/>
              <w:adjustRightInd w:val="0"/>
              <w:snapToGrid w:val="0"/>
              <w:jc w:val="center"/>
              <w:rPr>
                <w:rFonts w:ascii="宋体" w:hAnsi="宋体"/>
                <w:color w:val="auto"/>
                <w:kern w:val="0"/>
                <w:sz w:val="24"/>
                <w:highlight w:val="none"/>
              </w:rPr>
            </w:pPr>
          </w:p>
        </w:tc>
        <w:tc>
          <w:tcPr>
            <w:tcW w:w="749" w:type="dxa"/>
            <w:vAlign w:val="center"/>
          </w:tcPr>
          <w:p>
            <w:pPr>
              <w:autoSpaceDE w:val="0"/>
              <w:autoSpaceDN w:val="0"/>
              <w:adjustRightInd w:val="0"/>
              <w:snapToGrid w:val="0"/>
              <w:jc w:val="center"/>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highlight w:val="none"/>
              </w:rPr>
            </w:pPr>
          </w:p>
        </w:tc>
        <w:tc>
          <w:tcPr>
            <w:tcW w:w="1176" w:type="dxa"/>
            <w:vAlign w:val="center"/>
          </w:tcPr>
          <w:p>
            <w:pPr>
              <w:autoSpaceDE w:val="0"/>
              <w:autoSpaceDN w:val="0"/>
              <w:adjustRightInd w:val="0"/>
              <w:snapToGrid w:val="0"/>
              <w:jc w:val="center"/>
              <w:rPr>
                <w:rFonts w:ascii="宋体" w:hAnsi="宋体"/>
                <w:color w:val="auto"/>
                <w:kern w:val="0"/>
                <w:sz w:val="24"/>
                <w:highlight w:val="none"/>
              </w:rPr>
            </w:pPr>
          </w:p>
        </w:tc>
        <w:tc>
          <w:tcPr>
            <w:tcW w:w="824" w:type="dxa"/>
            <w:vAlign w:val="center"/>
          </w:tcPr>
          <w:p>
            <w:pPr>
              <w:autoSpaceDE w:val="0"/>
              <w:autoSpaceDN w:val="0"/>
              <w:adjustRightInd w:val="0"/>
              <w:snapToGrid w:val="0"/>
              <w:jc w:val="center"/>
              <w:rPr>
                <w:rFonts w:ascii="宋体" w:hAnsi="宋体"/>
                <w:color w:val="auto"/>
                <w:kern w:val="0"/>
                <w:sz w:val="24"/>
                <w:highlight w:val="none"/>
              </w:rPr>
            </w:pPr>
          </w:p>
        </w:tc>
        <w:tc>
          <w:tcPr>
            <w:tcW w:w="1072" w:type="dxa"/>
            <w:vAlign w:val="center"/>
          </w:tcPr>
          <w:p>
            <w:pPr>
              <w:autoSpaceDE w:val="0"/>
              <w:autoSpaceDN w:val="0"/>
              <w:adjustRightInd w:val="0"/>
              <w:snapToGrid w:val="0"/>
              <w:jc w:val="center"/>
              <w:rPr>
                <w:rFonts w:ascii="宋体" w:hAnsi="宋体"/>
                <w:color w:val="auto"/>
                <w:kern w:val="0"/>
                <w:sz w:val="24"/>
                <w:highlight w:val="none"/>
              </w:rPr>
            </w:pPr>
          </w:p>
        </w:tc>
        <w:tc>
          <w:tcPr>
            <w:tcW w:w="728" w:type="dxa"/>
            <w:vAlign w:val="center"/>
          </w:tcPr>
          <w:p>
            <w:pPr>
              <w:autoSpaceDE w:val="0"/>
              <w:autoSpaceDN w:val="0"/>
              <w:adjustRightInd w:val="0"/>
              <w:snapToGrid w:val="0"/>
              <w:jc w:val="center"/>
              <w:rPr>
                <w:rFonts w:ascii="宋体" w:hAnsi="宋体"/>
                <w:color w:val="auto"/>
                <w:kern w:val="0"/>
                <w:sz w:val="24"/>
                <w:highlight w:val="none"/>
              </w:rPr>
            </w:pPr>
          </w:p>
        </w:tc>
        <w:tc>
          <w:tcPr>
            <w:tcW w:w="799" w:type="dxa"/>
            <w:vAlign w:val="center"/>
          </w:tcPr>
          <w:p>
            <w:pPr>
              <w:autoSpaceDE w:val="0"/>
              <w:autoSpaceDN w:val="0"/>
              <w:adjustRightInd w:val="0"/>
              <w:snapToGrid w:val="0"/>
              <w:jc w:val="center"/>
              <w:rPr>
                <w:rFonts w:ascii="宋体" w:hAnsi="宋体"/>
                <w:color w:val="auto"/>
                <w:kern w:val="0"/>
                <w:sz w:val="24"/>
                <w:highlight w:val="none"/>
              </w:rPr>
            </w:pPr>
          </w:p>
        </w:tc>
        <w:tc>
          <w:tcPr>
            <w:tcW w:w="1312" w:type="dxa"/>
            <w:vAlign w:val="center"/>
          </w:tcPr>
          <w:p>
            <w:pPr>
              <w:autoSpaceDE w:val="0"/>
              <w:autoSpaceDN w:val="0"/>
              <w:adjustRightInd w:val="0"/>
              <w:snapToGrid w:val="0"/>
              <w:jc w:val="center"/>
              <w:rPr>
                <w:rFonts w:ascii="宋体" w:hAnsi="宋体"/>
                <w:color w:val="auto"/>
                <w:kern w:val="0"/>
                <w:sz w:val="24"/>
                <w:highlight w:val="none"/>
              </w:rPr>
            </w:pPr>
          </w:p>
        </w:tc>
        <w:tc>
          <w:tcPr>
            <w:tcW w:w="947" w:type="dxa"/>
            <w:vAlign w:val="center"/>
          </w:tcPr>
          <w:p>
            <w:pPr>
              <w:autoSpaceDE w:val="0"/>
              <w:autoSpaceDN w:val="0"/>
              <w:adjustRightInd w:val="0"/>
              <w:snapToGrid w:val="0"/>
              <w:jc w:val="center"/>
              <w:rPr>
                <w:rFonts w:ascii="宋体" w:hAnsi="宋体"/>
                <w:color w:val="auto"/>
                <w:kern w:val="0"/>
                <w:sz w:val="24"/>
                <w:highlight w:val="none"/>
              </w:rPr>
            </w:pPr>
          </w:p>
        </w:tc>
        <w:tc>
          <w:tcPr>
            <w:tcW w:w="1141" w:type="dxa"/>
            <w:vAlign w:val="center"/>
          </w:tcPr>
          <w:p>
            <w:pPr>
              <w:autoSpaceDE w:val="0"/>
              <w:autoSpaceDN w:val="0"/>
              <w:adjustRightInd w:val="0"/>
              <w:snapToGrid w:val="0"/>
              <w:jc w:val="center"/>
              <w:rPr>
                <w:rFonts w:ascii="宋体" w:hAnsi="宋体"/>
                <w:color w:val="auto"/>
                <w:kern w:val="0"/>
                <w:sz w:val="24"/>
                <w:highlight w:val="none"/>
              </w:rPr>
            </w:pPr>
          </w:p>
        </w:tc>
        <w:tc>
          <w:tcPr>
            <w:tcW w:w="749" w:type="dxa"/>
            <w:vAlign w:val="center"/>
          </w:tcPr>
          <w:p>
            <w:pPr>
              <w:autoSpaceDE w:val="0"/>
              <w:autoSpaceDN w:val="0"/>
              <w:adjustRightInd w:val="0"/>
              <w:snapToGrid w:val="0"/>
              <w:jc w:val="center"/>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highlight w:val="none"/>
              </w:rPr>
            </w:pPr>
          </w:p>
        </w:tc>
        <w:tc>
          <w:tcPr>
            <w:tcW w:w="1176" w:type="dxa"/>
            <w:vAlign w:val="center"/>
          </w:tcPr>
          <w:p>
            <w:pPr>
              <w:autoSpaceDE w:val="0"/>
              <w:autoSpaceDN w:val="0"/>
              <w:adjustRightInd w:val="0"/>
              <w:snapToGrid w:val="0"/>
              <w:jc w:val="center"/>
              <w:rPr>
                <w:rFonts w:ascii="宋体" w:hAnsi="宋体"/>
                <w:color w:val="auto"/>
                <w:kern w:val="0"/>
                <w:sz w:val="24"/>
                <w:highlight w:val="none"/>
              </w:rPr>
            </w:pPr>
          </w:p>
        </w:tc>
        <w:tc>
          <w:tcPr>
            <w:tcW w:w="824" w:type="dxa"/>
            <w:vAlign w:val="center"/>
          </w:tcPr>
          <w:p>
            <w:pPr>
              <w:autoSpaceDE w:val="0"/>
              <w:autoSpaceDN w:val="0"/>
              <w:adjustRightInd w:val="0"/>
              <w:snapToGrid w:val="0"/>
              <w:jc w:val="center"/>
              <w:rPr>
                <w:rFonts w:ascii="宋体" w:hAnsi="宋体"/>
                <w:color w:val="auto"/>
                <w:kern w:val="0"/>
                <w:sz w:val="24"/>
                <w:highlight w:val="none"/>
              </w:rPr>
            </w:pPr>
          </w:p>
        </w:tc>
        <w:tc>
          <w:tcPr>
            <w:tcW w:w="1072" w:type="dxa"/>
            <w:vAlign w:val="center"/>
          </w:tcPr>
          <w:p>
            <w:pPr>
              <w:autoSpaceDE w:val="0"/>
              <w:autoSpaceDN w:val="0"/>
              <w:adjustRightInd w:val="0"/>
              <w:snapToGrid w:val="0"/>
              <w:jc w:val="center"/>
              <w:rPr>
                <w:rFonts w:ascii="宋体" w:hAnsi="宋体"/>
                <w:color w:val="auto"/>
                <w:kern w:val="0"/>
                <w:sz w:val="24"/>
                <w:highlight w:val="none"/>
              </w:rPr>
            </w:pPr>
          </w:p>
        </w:tc>
        <w:tc>
          <w:tcPr>
            <w:tcW w:w="728" w:type="dxa"/>
            <w:vAlign w:val="center"/>
          </w:tcPr>
          <w:p>
            <w:pPr>
              <w:autoSpaceDE w:val="0"/>
              <w:autoSpaceDN w:val="0"/>
              <w:adjustRightInd w:val="0"/>
              <w:snapToGrid w:val="0"/>
              <w:jc w:val="center"/>
              <w:rPr>
                <w:rFonts w:ascii="宋体" w:hAnsi="宋体"/>
                <w:color w:val="auto"/>
                <w:kern w:val="0"/>
                <w:sz w:val="24"/>
                <w:highlight w:val="none"/>
              </w:rPr>
            </w:pPr>
          </w:p>
        </w:tc>
        <w:tc>
          <w:tcPr>
            <w:tcW w:w="799" w:type="dxa"/>
            <w:vAlign w:val="center"/>
          </w:tcPr>
          <w:p>
            <w:pPr>
              <w:autoSpaceDE w:val="0"/>
              <w:autoSpaceDN w:val="0"/>
              <w:adjustRightInd w:val="0"/>
              <w:snapToGrid w:val="0"/>
              <w:jc w:val="center"/>
              <w:rPr>
                <w:rFonts w:ascii="宋体" w:hAnsi="宋体"/>
                <w:color w:val="auto"/>
                <w:kern w:val="0"/>
                <w:sz w:val="24"/>
                <w:highlight w:val="none"/>
              </w:rPr>
            </w:pPr>
          </w:p>
        </w:tc>
        <w:tc>
          <w:tcPr>
            <w:tcW w:w="1312" w:type="dxa"/>
            <w:vAlign w:val="center"/>
          </w:tcPr>
          <w:p>
            <w:pPr>
              <w:autoSpaceDE w:val="0"/>
              <w:autoSpaceDN w:val="0"/>
              <w:adjustRightInd w:val="0"/>
              <w:snapToGrid w:val="0"/>
              <w:jc w:val="center"/>
              <w:rPr>
                <w:rFonts w:ascii="宋体" w:hAnsi="宋体"/>
                <w:color w:val="auto"/>
                <w:kern w:val="0"/>
                <w:sz w:val="24"/>
                <w:highlight w:val="none"/>
              </w:rPr>
            </w:pPr>
          </w:p>
        </w:tc>
        <w:tc>
          <w:tcPr>
            <w:tcW w:w="947" w:type="dxa"/>
            <w:vAlign w:val="center"/>
          </w:tcPr>
          <w:p>
            <w:pPr>
              <w:autoSpaceDE w:val="0"/>
              <w:autoSpaceDN w:val="0"/>
              <w:adjustRightInd w:val="0"/>
              <w:snapToGrid w:val="0"/>
              <w:jc w:val="center"/>
              <w:rPr>
                <w:rFonts w:ascii="宋体" w:hAnsi="宋体"/>
                <w:color w:val="auto"/>
                <w:kern w:val="0"/>
                <w:sz w:val="24"/>
                <w:highlight w:val="none"/>
              </w:rPr>
            </w:pPr>
          </w:p>
        </w:tc>
        <w:tc>
          <w:tcPr>
            <w:tcW w:w="1141" w:type="dxa"/>
            <w:vAlign w:val="center"/>
          </w:tcPr>
          <w:p>
            <w:pPr>
              <w:autoSpaceDE w:val="0"/>
              <w:autoSpaceDN w:val="0"/>
              <w:adjustRightInd w:val="0"/>
              <w:snapToGrid w:val="0"/>
              <w:jc w:val="center"/>
              <w:rPr>
                <w:rFonts w:ascii="宋体" w:hAnsi="宋体"/>
                <w:color w:val="auto"/>
                <w:kern w:val="0"/>
                <w:sz w:val="24"/>
                <w:highlight w:val="none"/>
              </w:rPr>
            </w:pPr>
          </w:p>
        </w:tc>
        <w:tc>
          <w:tcPr>
            <w:tcW w:w="749" w:type="dxa"/>
            <w:vAlign w:val="center"/>
          </w:tcPr>
          <w:p>
            <w:pPr>
              <w:autoSpaceDE w:val="0"/>
              <w:autoSpaceDN w:val="0"/>
              <w:adjustRightInd w:val="0"/>
              <w:snapToGrid w:val="0"/>
              <w:jc w:val="center"/>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highlight w:val="none"/>
              </w:rPr>
            </w:pPr>
          </w:p>
        </w:tc>
        <w:tc>
          <w:tcPr>
            <w:tcW w:w="1176" w:type="dxa"/>
            <w:vAlign w:val="center"/>
          </w:tcPr>
          <w:p>
            <w:pPr>
              <w:autoSpaceDE w:val="0"/>
              <w:autoSpaceDN w:val="0"/>
              <w:adjustRightInd w:val="0"/>
              <w:snapToGrid w:val="0"/>
              <w:jc w:val="center"/>
              <w:rPr>
                <w:rFonts w:ascii="宋体" w:hAnsi="宋体"/>
                <w:color w:val="auto"/>
                <w:kern w:val="0"/>
                <w:sz w:val="24"/>
                <w:highlight w:val="none"/>
              </w:rPr>
            </w:pPr>
          </w:p>
        </w:tc>
        <w:tc>
          <w:tcPr>
            <w:tcW w:w="824" w:type="dxa"/>
            <w:vAlign w:val="center"/>
          </w:tcPr>
          <w:p>
            <w:pPr>
              <w:autoSpaceDE w:val="0"/>
              <w:autoSpaceDN w:val="0"/>
              <w:adjustRightInd w:val="0"/>
              <w:snapToGrid w:val="0"/>
              <w:jc w:val="center"/>
              <w:rPr>
                <w:rFonts w:ascii="宋体" w:hAnsi="宋体"/>
                <w:color w:val="auto"/>
                <w:kern w:val="0"/>
                <w:sz w:val="24"/>
                <w:highlight w:val="none"/>
              </w:rPr>
            </w:pPr>
          </w:p>
        </w:tc>
        <w:tc>
          <w:tcPr>
            <w:tcW w:w="1072" w:type="dxa"/>
            <w:vAlign w:val="center"/>
          </w:tcPr>
          <w:p>
            <w:pPr>
              <w:autoSpaceDE w:val="0"/>
              <w:autoSpaceDN w:val="0"/>
              <w:adjustRightInd w:val="0"/>
              <w:snapToGrid w:val="0"/>
              <w:jc w:val="center"/>
              <w:rPr>
                <w:rFonts w:ascii="宋体" w:hAnsi="宋体"/>
                <w:color w:val="auto"/>
                <w:kern w:val="0"/>
                <w:sz w:val="24"/>
                <w:highlight w:val="none"/>
              </w:rPr>
            </w:pPr>
          </w:p>
        </w:tc>
        <w:tc>
          <w:tcPr>
            <w:tcW w:w="728" w:type="dxa"/>
            <w:vAlign w:val="center"/>
          </w:tcPr>
          <w:p>
            <w:pPr>
              <w:autoSpaceDE w:val="0"/>
              <w:autoSpaceDN w:val="0"/>
              <w:adjustRightInd w:val="0"/>
              <w:snapToGrid w:val="0"/>
              <w:jc w:val="center"/>
              <w:rPr>
                <w:rFonts w:ascii="宋体" w:hAnsi="宋体"/>
                <w:color w:val="auto"/>
                <w:kern w:val="0"/>
                <w:sz w:val="24"/>
                <w:highlight w:val="none"/>
              </w:rPr>
            </w:pPr>
          </w:p>
        </w:tc>
        <w:tc>
          <w:tcPr>
            <w:tcW w:w="799" w:type="dxa"/>
            <w:vAlign w:val="center"/>
          </w:tcPr>
          <w:p>
            <w:pPr>
              <w:autoSpaceDE w:val="0"/>
              <w:autoSpaceDN w:val="0"/>
              <w:adjustRightInd w:val="0"/>
              <w:snapToGrid w:val="0"/>
              <w:jc w:val="center"/>
              <w:rPr>
                <w:rFonts w:ascii="宋体" w:hAnsi="宋体"/>
                <w:color w:val="auto"/>
                <w:kern w:val="0"/>
                <w:sz w:val="24"/>
                <w:highlight w:val="none"/>
              </w:rPr>
            </w:pPr>
          </w:p>
        </w:tc>
        <w:tc>
          <w:tcPr>
            <w:tcW w:w="1312" w:type="dxa"/>
            <w:vAlign w:val="center"/>
          </w:tcPr>
          <w:p>
            <w:pPr>
              <w:autoSpaceDE w:val="0"/>
              <w:autoSpaceDN w:val="0"/>
              <w:adjustRightInd w:val="0"/>
              <w:snapToGrid w:val="0"/>
              <w:jc w:val="center"/>
              <w:rPr>
                <w:rFonts w:ascii="宋体" w:hAnsi="宋体"/>
                <w:color w:val="auto"/>
                <w:kern w:val="0"/>
                <w:sz w:val="24"/>
                <w:highlight w:val="none"/>
              </w:rPr>
            </w:pPr>
          </w:p>
        </w:tc>
        <w:tc>
          <w:tcPr>
            <w:tcW w:w="947" w:type="dxa"/>
            <w:vAlign w:val="center"/>
          </w:tcPr>
          <w:p>
            <w:pPr>
              <w:autoSpaceDE w:val="0"/>
              <w:autoSpaceDN w:val="0"/>
              <w:adjustRightInd w:val="0"/>
              <w:snapToGrid w:val="0"/>
              <w:jc w:val="center"/>
              <w:rPr>
                <w:rFonts w:ascii="宋体" w:hAnsi="宋体"/>
                <w:color w:val="auto"/>
                <w:kern w:val="0"/>
                <w:sz w:val="24"/>
                <w:highlight w:val="none"/>
              </w:rPr>
            </w:pPr>
          </w:p>
        </w:tc>
        <w:tc>
          <w:tcPr>
            <w:tcW w:w="1141" w:type="dxa"/>
            <w:vAlign w:val="center"/>
          </w:tcPr>
          <w:p>
            <w:pPr>
              <w:autoSpaceDE w:val="0"/>
              <w:autoSpaceDN w:val="0"/>
              <w:adjustRightInd w:val="0"/>
              <w:snapToGrid w:val="0"/>
              <w:jc w:val="center"/>
              <w:rPr>
                <w:rFonts w:ascii="宋体" w:hAnsi="宋体"/>
                <w:color w:val="auto"/>
                <w:kern w:val="0"/>
                <w:sz w:val="24"/>
                <w:highlight w:val="none"/>
              </w:rPr>
            </w:pPr>
          </w:p>
        </w:tc>
        <w:tc>
          <w:tcPr>
            <w:tcW w:w="749" w:type="dxa"/>
            <w:vAlign w:val="center"/>
          </w:tcPr>
          <w:p>
            <w:pPr>
              <w:autoSpaceDE w:val="0"/>
              <w:autoSpaceDN w:val="0"/>
              <w:adjustRightInd w:val="0"/>
              <w:snapToGrid w:val="0"/>
              <w:jc w:val="center"/>
              <w:rPr>
                <w:rFonts w:ascii="宋体" w:hAnsi="宋体"/>
                <w:color w:val="auto"/>
                <w:kern w:val="0"/>
                <w:sz w:val="24"/>
                <w:highlight w:val="none"/>
              </w:rPr>
            </w:pPr>
          </w:p>
        </w:tc>
      </w:tr>
    </w:tbl>
    <w:p>
      <w:pPr>
        <w:autoSpaceDE w:val="0"/>
        <w:autoSpaceDN w:val="0"/>
        <w:adjustRightInd w:val="0"/>
        <w:snapToGrid w:val="0"/>
        <w:spacing w:line="20" w:lineRule="exact"/>
        <w:jc w:val="left"/>
        <w:rPr>
          <w:rFonts w:ascii="宋体" w:hAnsi="宋体"/>
          <w:color w:val="auto"/>
          <w:kern w:val="0"/>
          <w:highlight w:val="none"/>
        </w:rPr>
      </w:pPr>
    </w:p>
    <w:p>
      <w:pPr>
        <w:jc w:val="center"/>
        <w:rPr>
          <w:rFonts w:ascii="宋体" w:hAnsi="宋体"/>
          <w:color w:val="auto"/>
          <w:kern w:val="0"/>
          <w:sz w:val="20"/>
          <w:szCs w:val="20"/>
          <w:highlight w:val="none"/>
        </w:rPr>
      </w:pPr>
      <w:bookmarkStart w:id="1418" w:name="_Toc430530540"/>
      <w:bookmarkStart w:id="1419" w:name="_Toc224103505"/>
      <w:bookmarkStart w:id="1420" w:name="_Toc287620824"/>
      <w:bookmarkStart w:id="1421" w:name="_Toc287607877"/>
      <w:bookmarkStart w:id="1422" w:name="_Toc277082651"/>
      <w:r>
        <w:rPr>
          <w:rFonts w:ascii="宋体" w:hAnsi="宋体"/>
          <w:color w:val="auto"/>
          <w:sz w:val="28"/>
          <w:highlight w:val="none"/>
        </w:rPr>
        <w:br w:type="page"/>
      </w:r>
      <w:bookmarkStart w:id="1423" w:name="_Toc534185835"/>
      <w:bookmarkStart w:id="1424" w:name="_Toc509218858"/>
      <w:r>
        <w:rPr>
          <w:color w:val="auto"/>
          <w:sz w:val="32"/>
          <w:szCs w:val="32"/>
          <w:highlight w:val="none"/>
        </w:rPr>
        <w:t>附表二：拟配备本标段的试验和检测仪器设备表</w:t>
      </w:r>
      <w:bookmarkEnd w:id="1418"/>
      <w:bookmarkEnd w:id="1419"/>
      <w:bookmarkEnd w:id="1420"/>
      <w:bookmarkEnd w:id="1421"/>
      <w:bookmarkEnd w:id="1422"/>
      <w:bookmarkEnd w:id="1423"/>
      <w:bookmarkEnd w:id="1424"/>
    </w:p>
    <w:tbl>
      <w:tblPr>
        <w:tblStyle w:val="45"/>
        <w:tblW w:w="9494"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47"/>
        <w:gridCol w:w="1219"/>
        <w:gridCol w:w="852"/>
        <w:gridCol w:w="1111"/>
        <w:gridCol w:w="754"/>
        <w:gridCol w:w="827"/>
        <w:gridCol w:w="1359"/>
        <w:gridCol w:w="1855"/>
        <w:gridCol w:w="77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4" w:hRule="exact"/>
        </w:trPr>
        <w:tc>
          <w:tcPr>
            <w:tcW w:w="747" w:type="dxa"/>
            <w:vAlign w:val="center"/>
          </w:tcPr>
          <w:p>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序号</w:t>
            </w:r>
          </w:p>
        </w:tc>
        <w:tc>
          <w:tcPr>
            <w:tcW w:w="1219"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仪器设备</w:t>
            </w:r>
          </w:p>
          <w:p>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名　　称</w:t>
            </w:r>
          </w:p>
        </w:tc>
        <w:tc>
          <w:tcPr>
            <w:tcW w:w="852"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型号</w:t>
            </w:r>
          </w:p>
          <w:p>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规格</w:t>
            </w:r>
          </w:p>
        </w:tc>
        <w:tc>
          <w:tcPr>
            <w:tcW w:w="1111" w:type="dxa"/>
            <w:vAlign w:val="center"/>
          </w:tcPr>
          <w:p>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数量</w:t>
            </w:r>
          </w:p>
        </w:tc>
        <w:tc>
          <w:tcPr>
            <w:tcW w:w="754"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国别</w:t>
            </w:r>
          </w:p>
          <w:p>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产地</w:t>
            </w:r>
          </w:p>
        </w:tc>
        <w:tc>
          <w:tcPr>
            <w:tcW w:w="827"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制造</w:t>
            </w:r>
          </w:p>
          <w:p>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年份</w:t>
            </w:r>
          </w:p>
        </w:tc>
        <w:tc>
          <w:tcPr>
            <w:tcW w:w="1359"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已使用</w:t>
            </w:r>
          </w:p>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台时数</w:t>
            </w:r>
          </w:p>
        </w:tc>
        <w:tc>
          <w:tcPr>
            <w:tcW w:w="1855"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用途</w:t>
            </w:r>
          </w:p>
        </w:tc>
        <w:tc>
          <w:tcPr>
            <w:tcW w:w="770" w:type="dxa"/>
            <w:vAlign w:val="center"/>
          </w:tcPr>
          <w:p>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highlight w:val="none"/>
              </w:rPr>
            </w:pPr>
          </w:p>
        </w:tc>
        <w:tc>
          <w:tcPr>
            <w:tcW w:w="1219" w:type="dxa"/>
          </w:tcPr>
          <w:p>
            <w:pPr>
              <w:autoSpaceDE w:val="0"/>
              <w:autoSpaceDN w:val="0"/>
              <w:adjustRightInd w:val="0"/>
              <w:snapToGrid w:val="0"/>
              <w:jc w:val="left"/>
              <w:rPr>
                <w:rFonts w:ascii="宋体" w:hAnsi="宋体"/>
                <w:color w:val="auto"/>
                <w:kern w:val="0"/>
                <w:sz w:val="24"/>
                <w:highlight w:val="none"/>
              </w:rPr>
            </w:pPr>
          </w:p>
        </w:tc>
        <w:tc>
          <w:tcPr>
            <w:tcW w:w="852" w:type="dxa"/>
          </w:tcPr>
          <w:p>
            <w:pPr>
              <w:autoSpaceDE w:val="0"/>
              <w:autoSpaceDN w:val="0"/>
              <w:adjustRightInd w:val="0"/>
              <w:snapToGrid w:val="0"/>
              <w:jc w:val="left"/>
              <w:rPr>
                <w:rFonts w:ascii="宋体" w:hAnsi="宋体"/>
                <w:color w:val="auto"/>
                <w:kern w:val="0"/>
                <w:sz w:val="24"/>
                <w:highlight w:val="none"/>
              </w:rPr>
            </w:pPr>
          </w:p>
        </w:tc>
        <w:tc>
          <w:tcPr>
            <w:tcW w:w="1111" w:type="dxa"/>
          </w:tcPr>
          <w:p>
            <w:pPr>
              <w:autoSpaceDE w:val="0"/>
              <w:autoSpaceDN w:val="0"/>
              <w:adjustRightInd w:val="0"/>
              <w:snapToGrid w:val="0"/>
              <w:jc w:val="left"/>
              <w:rPr>
                <w:rFonts w:ascii="宋体" w:hAnsi="宋体"/>
                <w:color w:val="auto"/>
                <w:kern w:val="0"/>
                <w:sz w:val="24"/>
                <w:highlight w:val="none"/>
              </w:rPr>
            </w:pPr>
          </w:p>
        </w:tc>
        <w:tc>
          <w:tcPr>
            <w:tcW w:w="754" w:type="dxa"/>
          </w:tcPr>
          <w:p>
            <w:pPr>
              <w:autoSpaceDE w:val="0"/>
              <w:autoSpaceDN w:val="0"/>
              <w:adjustRightInd w:val="0"/>
              <w:snapToGrid w:val="0"/>
              <w:jc w:val="left"/>
              <w:rPr>
                <w:rFonts w:ascii="宋体" w:hAnsi="宋体"/>
                <w:color w:val="auto"/>
                <w:kern w:val="0"/>
                <w:sz w:val="24"/>
                <w:highlight w:val="none"/>
              </w:rPr>
            </w:pPr>
          </w:p>
        </w:tc>
        <w:tc>
          <w:tcPr>
            <w:tcW w:w="827" w:type="dxa"/>
          </w:tcPr>
          <w:p>
            <w:pPr>
              <w:autoSpaceDE w:val="0"/>
              <w:autoSpaceDN w:val="0"/>
              <w:adjustRightInd w:val="0"/>
              <w:snapToGrid w:val="0"/>
              <w:jc w:val="left"/>
              <w:rPr>
                <w:rFonts w:ascii="宋体" w:hAnsi="宋体"/>
                <w:color w:val="auto"/>
                <w:kern w:val="0"/>
                <w:sz w:val="24"/>
                <w:highlight w:val="none"/>
              </w:rPr>
            </w:pPr>
          </w:p>
        </w:tc>
        <w:tc>
          <w:tcPr>
            <w:tcW w:w="1359" w:type="dxa"/>
          </w:tcPr>
          <w:p>
            <w:pPr>
              <w:autoSpaceDE w:val="0"/>
              <w:autoSpaceDN w:val="0"/>
              <w:adjustRightInd w:val="0"/>
              <w:snapToGrid w:val="0"/>
              <w:jc w:val="left"/>
              <w:rPr>
                <w:rFonts w:ascii="宋体" w:hAnsi="宋体"/>
                <w:color w:val="auto"/>
                <w:kern w:val="0"/>
                <w:sz w:val="24"/>
                <w:highlight w:val="none"/>
              </w:rPr>
            </w:pPr>
          </w:p>
        </w:tc>
        <w:tc>
          <w:tcPr>
            <w:tcW w:w="1855" w:type="dxa"/>
          </w:tcPr>
          <w:p>
            <w:pPr>
              <w:autoSpaceDE w:val="0"/>
              <w:autoSpaceDN w:val="0"/>
              <w:adjustRightInd w:val="0"/>
              <w:snapToGrid w:val="0"/>
              <w:jc w:val="left"/>
              <w:rPr>
                <w:rFonts w:ascii="宋体" w:hAnsi="宋体"/>
                <w:color w:val="auto"/>
                <w:kern w:val="0"/>
                <w:sz w:val="24"/>
                <w:highlight w:val="none"/>
              </w:rPr>
            </w:pPr>
          </w:p>
        </w:tc>
        <w:tc>
          <w:tcPr>
            <w:tcW w:w="770"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highlight w:val="none"/>
              </w:rPr>
            </w:pPr>
          </w:p>
        </w:tc>
        <w:tc>
          <w:tcPr>
            <w:tcW w:w="1219" w:type="dxa"/>
          </w:tcPr>
          <w:p>
            <w:pPr>
              <w:autoSpaceDE w:val="0"/>
              <w:autoSpaceDN w:val="0"/>
              <w:adjustRightInd w:val="0"/>
              <w:snapToGrid w:val="0"/>
              <w:jc w:val="left"/>
              <w:rPr>
                <w:rFonts w:ascii="宋体" w:hAnsi="宋体"/>
                <w:color w:val="auto"/>
                <w:kern w:val="0"/>
                <w:sz w:val="24"/>
                <w:highlight w:val="none"/>
              </w:rPr>
            </w:pPr>
          </w:p>
        </w:tc>
        <w:tc>
          <w:tcPr>
            <w:tcW w:w="852" w:type="dxa"/>
          </w:tcPr>
          <w:p>
            <w:pPr>
              <w:autoSpaceDE w:val="0"/>
              <w:autoSpaceDN w:val="0"/>
              <w:adjustRightInd w:val="0"/>
              <w:snapToGrid w:val="0"/>
              <w:jc w:val="left"/>
              <w:rPr>
                <w:rFonts w:ascii="宋体" w:hAnsi="宋体"/>
                <w:color w:val="auto"/>
                <w:kern w:val="0"/>
                <w:sz w:val="24"/>
                <w:highlight w:val="none"/>
              </w:rPr>
            </w:pPr>
          </w:p>
        </w:tc>
        <w:tc>
          <w:tcPr>
            <w:tcW w:w="1111" w:type="dxa"/>
          </w:tcPr>
          <w:p>
            <w:pPr>
              <w:autoSpaceDE w:val="0"/>
              <w:autoSpaceDN w:val="0"/>
              <w:adjustRightInd w:val="0"/>
              <w:snapToGrid w:val="0"/>
              <w:jc w:val="left"/>
              <w:rPr>
                <w:rFonts w:ascii="宋体" w:hAnsi="宋体"/>
                <w:color w:val="auto"/>
                <w:kern w:val="0"/>
                <w:sz w:val="24"/>
                <w:highlight w:val="none"/>
              </w:rPr>
            </w:pPr>
          </w:p>
        </w:tc>
        <w:tc>
          <w:tcPr>
            <w:tcW w:w="754" w:type="dxa"/>
          </w:tcPr>
          <w:p>
            <w:pPr>
              <w:autoSpaceDE w:val="0"/>
              <w:autoSpaceDN w:val="0"/>
              <w:adjustRightInd w:val="0"/>
              <w:snapToGrid w:val="0"/>
              <w:jc w:val="left"/>
              <w:rPr>
                <w:rFonts w:ascii="宋体" w:hAnsi="宋体"/>
                <w:color w:val="auto"/>
                <w:kern w:val="0"/>
                <w:sz w:val="24"/>
                <w:highlight w:val="none"/>
              </w:rPr>
            </w:pPr>
          </w:p>
        </w:tc>
        <w:tc>
          <w:tcPr>
            <w:tcW w:w="827" w:type="dxa"/>
          </w:tcPr>
          <w:p>
            <w:pPr>
              <w:autoSpaceDE w:val="0"/>
              <w:autoSpaceDN w:val="0"/>
              <w:adjustRightInd w:val="0"/>
              <w:snapToGrid w:val="0"/>
              <w:jc w:val="left"/>
              <w:rPr>
                <w:rFonts w:ascii="宋体" w:hAnsi="宋体"/>
                <w:color w:val="auto"/>
                <w:kern w:val="0"/>
                <w:sz w:val="24"/>
                <w:highlight w:val="none"/>
              </w:rPr>
            </w:pPr>
          </w:p>
        </w:tc>
        <w:tc>
          <w:tcPr>
            <w:tcW w:w="1359" w:type="dxa"/>
          </w:tcPr>
          <w:p>
            <w:pPr>
              <w:autoSpaceDE w:val="0"/>
              <w:autoSpaceDN w:val="0"/>
              <w:adjustRightInd w:val="0"/>
              <w:snapToGrid w:val="0"/>
              <w:jc w:val="left"/>
              <w:rPr>
                <w:rFonts w:ascii="宋体" w:hAnsi="宋体"/>
                <w:color w:val="auto"/>
                <w:kern w:val="0"/>
                <w:sz w:val="24"/>
                <w:highlight w:val="none"/>
              </w:rPr>
            </w:pPr>
          </w:p>
        </w:tc>
        <w:tc>
          <w:tcPr>
            <w:tcW w:w="1855" w:type="dxa"/>
          </w:tcPr>
          <w:p>
            <w:pPr>
              <w:autoSpaceDE w:val="0"/>
              <w:autoSpaceDN w:val="0"/>
              <w:adjustRightInd w:val="0"/>
              <w:snapToGrid w:val="0"/>
              <w:jc w:val="left"/>
              <w:rPr>
                <w:rFonts w:ascii="宋体" w:hAnsi="宋体"/>
                <w:color w:val="auto"/>
                <w:kern w:val="0"/>
                <w:sz w:val="24"/>
                <w:highlight w:val="none"/>
              </w:rPr>
            </w:pPr>
          </w:p>
        </w:tc>
        <w:tc>
          <w:tcPr>
            <w:tcW w:w="770"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highlight w:val="none"/>
              </w:rPr>
            </w:pPr>
          </w:p>
        </w:tc>
        <w:tc>
          <w:tcPr>
            <w:tcW w:w="1219" w:type="dxa"/>
          </w:tcPr>
          <w:p>
            <w:pPr>
              <w:autoSpaceDE w:val="0"/>
              <w:autoSpaceDN w:val="0"/>
              <w:adjustRightInd w:val="0"/>
              <w:snapToGrid w:val="0"/>
              <w:jc w:val="left"/>
              <w:rPr>
                <w:rFonts w:ascii="宋体" w:hAnsi="宋体"/>
                <w:color w:val="auto"/>
                <w:kern w:val="0"/>
                <w:sz w:val="24"/>
                <w:highlight w:val="none"/>
              </w:rPr>
            </w:pPr>
          </w:p>
        </w:tc>
        <w:tc>
          <w:tcPr>
            <w:tcW w:w="852" w:type="dxa"/>
          </w:tcPr>
          <w:p>
            <w:pPr>
              <w:autoSpaceDE w:val="0"/>
              <w:autoSpaceDN w:val="0"/>
              <w:adjustRightInd w:val="0"/>
              <w:snapToGrid w:val="0"/>
              <w:jc w:val="left"/>
              <w:rPr>
                <w:rFonts w:ascii="宋体" w:hAnsi="宋体"/>
                <w:color w:val="auto"/>
                <w:kern w:val="0"/>
                <w:sz w:val="24"/>
                <w:highlight w:val="none"/>
              </w:rPr>
            </w:pPr>
          </w:p>
        </w:tc>
        <w:tc>
          <w:tcPr>
            <w:tcW w:w="1111" w:type="dxa"/>
          </w:tcPr>
          <w:p>
            <w:pPr>
              <w:autoSpaceDE w:val="0"/>
              <w:autoSpaceDN w:val="0"/>
              <w:adjustRightInd w:val="0"/>
              <w:snapToGrid w:val="0"/>
              <w:jc w:val="left"/>
              <w:rPr>
                <w:rFonts w:ascii="宋体" w:hAnsi="宋体"/>
                <w:color w:val="auto"/>
                <w:kern w:val="0"/>
                <w:sz w:val="24"/>
                <w:highlight w:val="none"/>
              </w:rPr>
            </w:pPr>
          </w:p>
        </w:tc>
        <w:tc>
          <w:tcPr>
            <w:tcW w:w="754" w:type="dxa"/>
          </w:tcPr>
          <w:p>
            <w:pPr>
              <w:autoSpaceDE w:val="0"/>
              <w:autoSpaceDN w:val="0"/>
              <w:adjustRightInd w:val="0"/>
              <w:snapToGrid w:val="0"/>
              <w:jc w:val="left"/>
              <w:rPr>
                <w:rFonts w:ascii="宋体" w:hAnsi="宋体"/>
                <w:color w:val="auto"/>
                <w:kern w:val="0"/>
                <w:sz w:val="24"/>
                <w:highlight w:val="none"/>
              </w:rPr>
            </w:pPr>
          </w:p>
        </w:tc>
        <w:tc>
          <w:tcPr>
            <w:tcW w:w="827" w:type="dxa"/>
          </w:tcPr>
          <w:p>
            <w:pPr>
              <w:autoSpaceDE w:val="0"/>
              <w:autoSpaceDN w:val="0"/>
              <w:adjustRightInd w:val="0"/>
              <w:snapToGrid w:val="0"/>
              <w:jc w:val="left"/>
              <w:rPr>
                <w:rFonts w:ascii="宋体" w:hAnsi="宋体"/>
                <w:color w:val="auto"/>
                <w:kern w:val="0"/>
                <w:sz w:val="24"/>
                <w:highlight w:val="none"/>
              </w:rPr>
            </w:pPr>
          </w:p>
        </w:tc>
        <w:tc>
          <w:tcPr>
            <w:tcW w:w="1359" w:type="dxa"/>
          </w:tcPr>
          <w:p>
            <w:pPr>
              <w:autoSpaceDE w:val="0"/>
              <w:autoSpaceDN w:val="0"/>
              <w:adjustRightInd w:val="0"/>
              <w:snapToGrid w:val="0"/>
              <w:jc w:val="left"/>
              <w:rPr>
                <w:rFonts w:ascii="宋体" w:hAnsi="宋体"/>
                <w:color w:val="auto"/>
                <w:kern w:val="0"/>
                <w:sz w:val="24"/>
                <w:highlight w:val="none"/>
              </w:rPr>
            </w:pPr>
          </w:p>
        </w:tc>
        <w:tc>
          <w:tcPr>
            <w:tcW w:w="1855" w:type="dxa"/>
          </w:tcPr>
          <w:p>
            <w:pPr>
              <w:autoSpaceDE w:val="0"/>
              <w:autoSpaceDN w:val="0"/>
              <w:adjustRightInd w:val="0"/>
              <w:snapToGrid w:val="0"/>
              <w:jc w:val="left"/>
              <w:rPr>
                <w:rFonts w:ascii="宋体" w:hAnsi="宋体"/>
                <w:color w:val="auto"/>
                <w:kern w:val="0"/>
                <w:sz w:val="24"/>
                <w:highlight w:val="none"/>
              </w:rPr>
            </w:pPr>
          </w:p>
        </w:tc>
        <w:tc>
          <w:tcPr>
            <w:tcW w:w="770"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highlight w:val="none"/>
              </w:rPr>
            </w:pPr>
          </w:p>
        </w:tc>
        <w:tc>
          <w:tcPr>
            <w:tcW w:w="1219" w:type="dxa"/>
          </w:tcPr>
          <w:p>
            <w:pPr>
              <w:autoSpaceDE w:val="0"/>
              <w:autoSpaceDN w:val="0"/>
              <w:adjustRightInd w:val="0"/>
              <w:snapToGrid w:val="0"/>
              <w:jc w:val="left"/>
              <w:rPr>
                <w:rFonts w:ascii="宋体" w:hAnsi="宋体"/>
                <w:color w:val="auto"/>
                <w:kern w:val="0"/>
                <w:sz w:val="24"/>
                <w:highlight w:val="none"/>
              </w:rPr>
            </w:pPr>
          </w:p>
        </w:tc>
        <w:tc>
          <w:tcPr>
            <w:tcW w:w="852" w:type="dxa"/>
          </w:tcPr>
          <w:p>
            <w:pPr>
              <w:autoSpaceDE w:val="0"/>
              <w:autoSpaceDN w:val="0"/>
              <w:adjustRightInd w:val="0"/>
              <w:snapToGrid w:val="0"/>
              <w:jc w:val="left"/>
              <w:rPr>
                <w:rFonts w:ascii="宋体" w:hAnsi="宋体"/>
                <w:color w:val="auto"/>
                <w:kern w:val="0"/>
                <w:sz w:val="24"/>
                <w:highlight w:val="none"/>
              </w:rPr>
            </w:pPr>
          </w:p>
        </w:tc>
        <w:tc>
          <w:tcPr>
            <w:tcW w:w="1111" w:type="dxa"/>
          </w:tcPr>
          <w:p>
            <w:pPr>
              <w:autoSpaceDE w:val="0"/>
              <w:autoSpaceDN w:val="0"/>
              <w:adjustRightInd w:val="0"/>
              <w:snapToGrid w:val="0"/>
              <w:jc w:val="left"/>
              <w:rPr>
                <w:rFonts w:ascii="宋体" w:hAnsi="宋体"/>
                <w:color w:val="auto"/>
                <w:kern w:val="0"/>
                <w:sz w:val="24"/>
                <w:highlight w:val="none"/>
              </w:rPr>
            </w:pPr>
          </w:p>
        </w:tc>
        <w:tc>
          <w:tcPr>
            <w:tcW w:w="754" w:type="dxa"/>
          </w:tcPr>
          <w:p>
            <w:pPr>
              <w:autoSpaceDE w:val="0"/>
              <w:autoSpaceDN w:val="0"/>
              <w:adjustRightInd w:val="0"/>
              <w:snapToGrid w:val="0"/>
              <w:jc w:val="left"/>
              <w:rPr>
                <w:rFonts w:ascii="宋体" w:hAnsi="宋体"/>
                <w:color w:val="auto"/>
                <w:kern w:val="0"/>
                <w:sz w:val="24"/>
                <w:highlight w:val="none"/>
              </w:rPr>
            </w:pPr>
          </w:p>
        </w:tc>
        <w:tc>
          <w:tcPr>
            <w:tcW w:w="827" w:type="dxa"/>
          </w:tcPr>
          <w:p>
            <w:pPr>
              <w:autoSpaceDE w:val="0"/>
              <w:autoSpaceDN w:val="0"/>
              <w:adjustRightInd w:val="0"/>
              <w:snapToGrid w:val="0"/>
              <w:jc w:val="left"/>
              <w:rPr>
                <w:rFonts w:ascii="宋体" w:hAnsi="宋体"/>
                <w:color w:val="auto"/>
                <w:kern w:val="0"/>
                <w:sz w:val="24"/>
                <w:highlight w:val="none"/>
              </w:rPr>
            </w:pPr>
          </w:p>
        </w:tc>
        <w:tc>
          <w:tcPr>
            <w:tcW w:w="1359" w:type="dxa"/>
          </w:tcPr>
          <w:p>
            <w:pPr>
              <w:autoSpaceDE w:val="0"/>
              <w:autoSpaceDN w:val="0"/>
              <w:adjustRightInd w:val="0"/>
              <w:snapToGrid w:val="0"/>
              <w:jc w:val="left"/>
              <w:rPr>
                <w:rFonts w:ascii="宋体" w:hAnsi="宋体"/>
                <w:color w:val="auto"/>
                <w:kern w:val="0"/>
                <w:sz w:val="24"/>
                <w:highlight w:val="none"/>
              </w:rPr>
            </w:pPr>
          </w:p>
        </w:tc>
        <w:tc>
          <w:tcPr>
            <w:tcW w:w="1855" w:type="dxa"/>
          </w:tcPr>
          <w:p>
            <w:pPr>
              <w:autoSpaceDE w:val="0"/>
              <w:autoSpaceDN w:val="0"/>
              <w:adjustRightInd w:val="0"/>
              <w:snapToGrid w:val="0"/>
              <w:jc w:val="left"/>
              <w:rPr>
                <w:rFonts w:ascii="宋体" w:hAnsi="宋体"/>
                <w:color w:val="auto"/>
                <w:kern w:val="0"/>
                <w:sz w:val="24"/>
                <w:highlight w:val="none"/>
              </w:rPr>
            </w:pPr>
          </w:p>
        </w:tc>
        <w:tc>
          <w:tcPr>
            <w:tcW w:w="770"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highlight w:val="none"/>
              </w:rPr>
            </w:pPr>
          </w:p>
        </w:tc>
        <w:tc>
          <w:tcPr>
            <w:tcW w:w="1219" w:type="dxa"/>
          </w:tcPr>
          <w:p>
            <w:pPr>
              <w:autoSpaceDE w:val="0"/>
              <w:autoSpaceDN w:val="0"/>
              <w:adjustRightInd w:val="0"/>
              <w:snapToGrid w:val="0"/>
              <w:jc w:val="left"/>
              <w:rPr>
                <w:rFonts w:ascii="宋体" w:hAnsi="宋体"/>
                <w:color w:val="auto"/>
                <w:kern w:val="0"/>
                <w:sz w:val="24"/>
                <w:highlight w:val="none"/>
              </w:rPr>
            </w:pPr>
          </w:p>
        </w:tc>
        <w:tc>
          <w:tcPr>
            <w:tcW w:w="852" w:type="dxa"/>
          </w:tcPr>
          <w:p>
            <w:pPr>
              <w:autoSpaceDE w:val="0"/>
              <w:autoSpaceDN w:val="0"/>
              <w:adjustRightInd w:val="0"/>
              <w:snapToGrid w:val="0"/>
              <w:jc w:val="left"/>
              <w:rPr>
                <w:rFonts w:ascii="宋体" w:hAnsi="宋体"/>
                <w:color w:val="auto"/>
                <w:kern w:val="0"/>
                <w:sz w:val="24"/>
                <w:highlight w:val="none"/>
              </w:rPr>
            </w:pPr>
          </w:p>
        </w:tc>
        <w:tc>
          <w:tcPr>
            <w:tcW w:w="1111" w:type="dxa"/>
          </w:tcPr>
          <w:p>
            <w:pPr>
              <w:autoSpaceDE w:val="0"/>
              <w:autoSpaceDN w:val="0"/>
              <w:adjustRightInd w:val="0"/>
              <w:snapToGrid w:val="0"/>
              <w:jc w:val="left"/>
              <w:rPr>
                <w:rFonts w:ascii="宋体" w:hAnsi="宋体"/>
                <w:color w:val="auto"/>
                <w:kern w:val="0"/>
                <w:sz w:val="24"/>
                <w:highlight w:val="none"/>
              </w:rPr>
            </w:pPr>
          </w:p>
        </w:tc>
        <w:tc>
          <w:tcPr>
            <w:tcW w:w="754" w:type="dxa"/>
          </w:tcPr>
          <w:p>
            <w:pPr>
              <w:autoSpaceDE w:val="0"/>
              <w:autoSpaceDN w:val="0"/>
              <w:adjustRightInd w:val="0"/>
              <w:snapToGrid w:val="0"/>
              <w:jc w:val="left"/>
              <w:rPr>
                <w:rFonts w:ascii="宋体" w:hAnsi="宋体"/>
                <w:color w:val="auto"/>
                <w:kern w:val="0"/>
                <w:sz w:val="24"/>
                <w:highlight w:val="none"/>
              </w:rPr>
            </w:pPr>
          </w:p>
        </w:tc>
        <w:tc>
          <w:tcPr>
            <w:tcW w:w="827" w:type="dxa"/>
          </w:tcPr>
          <w:p>
            <w:pPr>
              <w:autoSpaceDE w:val="0"/>
              <w:autoSpaceDN w:val="0"/>
              <w:adjustRightInd w:val="0"/>
              <w:snapToGrid w:val="0"/>
              <w:jc w:val="left"/>
              <w:rPr>
                <w:rFonts w:ascii="宋体" w:hAnsi="宋体"/>
                <w:color w:val="auto"/>
                <w:kern w:val="0"/>
                <w:sz w:val="24"/>
                <w:highlight w:val="none"/>
              </w:rPr>
            </w:pPr>
          </w:p>
        </w:tc>
        <w:tc>
          <w:tcPr>
            <w:tcW w:w="1359" w:type="dxa"/>
          </w:tcPr>
          <w:p>
            <w:pPr>
              <w:autoSpaceDE w:val="0"/>
              <w:autoSpaceDN w:val="0"/>
              <w:adjustRightInd w:val="0"/>
              <w:snapToGrid w:val="0"/>
              <w:jc w:val="left"/>
              <w:rPr>
                <w:rFonts w:ascii="宋体" w:hAnsi="宋体"/>
                <w:color w:val="auto"/>
                <w:kern w:val="0"/>
                <w:sz w:val="24"/>
                <w:highlight w:val="none"/>
              </w:rPr>
            </w:pPr>
          </w:p>
        </w:tc>
        <w:tc>
          <w:tcPr>
            <w:tcW w:w="1855" w:type="dxa"/>
          </w:tcPr>
          <w:p>
            <w:pPr>
              <w:autoSpaceDE w:val="0"/>
              <w:autoSpaceDN w:val="0"/>
              <w:adjustRightInd w:val="0"/>
              <w:snapToGrid w:val="0"/>
              <w:jc w:val="left"/>
              <w:rPr>
                <w:rFonts w:ascii="宋体" w:hAnsi="宋体"/>
                <w:color w:val="auto"/>
                <w:kern w:val="0"/>
                <w:sz w:val="24"/>
                <w:highlight w:val="none"/>
              </w:rPr>
            </w:pPr>
          </w:p>
        </w:tc>
        <w:tc>
          <w:tcPr>
            <w:tcW w:w="770"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highlight w:val="none"/>
              </w:rPr>
            </w:pPr>
          </w:p>
        </w:tc>
        <w:tc>
          <w:tcPr>
            <w:tcW w:w="1219" w:type="dxa"/>
          </w:tcPr>
          <w:p>
            <w:pPr>
              <w:autoSpaceDE w:val="0"/>
              <w:autoSpaceDN w:val="0"/>
              <w:adjustRightInd w:val="0"/>
              <w:snapToGrid w:val="0"/>
              <w:jc w:val="left"/>
              <w:rPr>
                <w:rFonts w:ascii="宋体" w:hAnsi="宋体"/>
                <w:color w:val="auto"/>
                <w:kern w:val="0"/>
                <w:sz w:val="24"/>
                <w:highlight w:val="none"/>
              </w:rPr>
            </w:pPr>
          </w:p>
        </w:tc>
        <w:tc>
          <w:tcPr>
            <w:tcW w:w="852" w:type="dxa"/>
          </w:tcPr>
          <w:p>
            <w:pPr>
              <w:autoSpaceDE w:val="0"/>
              <w:autoSpaceDN w:val="0"/>
              <w:adjustRightInd w:val="0"/>
              <w:snapToGrid w:val="0"/>
              <w:jc w:val="left"/>
              <w:rPr>
                <w:rFonts w:ascii="宋体" w:hAnsi="宋体"/>
                <w:color w:val="auto"/>
                <w:kern w:val="0"/>
                <w:sz w:val="24"/>
                <w:highlight w:val="none"/>
              </w:rPr>
            </w:pPr>
          </w:p>
        </w:tc>
        <w:tc>
          <w:tcPr>
            <w:tcW w:w="1111" w:type="dxa"/>
          </w:tcPr>
          <w:p>
            <w:pPr>
              <w:autoSpaceDE w:val="0"/>
              <w:autoSpaceDN w:val="0"/>
              <w:adjustRightInd w:val="0"/>
              <w:snapToGrid w:val="0"/>
              <w:jc w:val="left"/>
              <w:rPr>
                <w:rFonts w:ascii="宋体" w:hAnsi="宋体"/>
                <w:color w:val="auto"/>
                <w:kern w:val="0"/>
                <w:sz w:val="24"/>
                <w:highlight w:val="none"/>
              </w:rPr>
            </w:pPr>
          </w:p>
        </w:tc>
        <w:tc>
          <w:tcPr>
            <w:tcW w:w="754" w:type="dxa"/>
          </w:tcPr>
          <w:p>
            <w:pPr>
              <w:autoSpaceDE w:val="0"/>
              <w:autoSpaceDN w:val="0"/>
              <w:adjustRightInd w:val="0"/>
              <w:snapToGrid w:val="0"/>
              <w:jc w:val="left"/>
              <w:rPr>
                <w:rFonts w:ascii="宋体" w:hAnsi="宋体"/>
                <w:color w:val="auto"/>
                <w:kern w:val="0"/>
                <w:sz w:val="24"/>
                <w:highlight w:val="none"/>
              </w:rPr>
            </w:pPr>
          </w:p>
        </w:tc>
        <w:tc>
          <w:tcPr>
            <w:tcW w:w="827" w:type="dxa"/>
          </w:tcPr>
          <w:p>
            <w:pPr>
              <w:autoSpaceDE w:val="0"/>
              <w:autoSpaceDN w:val="0"/>
              <w:adjustRightInd w:val="0"/>
              <w:snapToGrid w:val="0"/>
              <w:jc w:val="left"/>
              <w:rPr>
                <w:rFonts w:ascii="宋体" w:hAnsi="宋体"/>
                <w:color w:val="auto"/>
                <w:kern w:val="0"/>
                <w:sz w:val="24"/>
                <w:highlight w:val="none"/>
              </w:rPr>
            </w:pPr>
          </w:p>
        </w:tc>
        <w:tc>
          <w:tcPr>
            <w:tcW w:w="1359" w:type="dxa"/>
          </w:tcPr>
          <w:p>
            <w:pPr>
              <w:autoSpaceDE w:val="0"/>
              <w:autoSpaceDN w:val="0"/>
              <w:adjustRightInd w:val="0"/>
              <w:snapToGrid w:val="0"/>
              <w:jc w:val="left"/>
              <w:rPr>
                <w:rFonts w:ascii="宋体" w:hAnsi="宋体"/>
                <w:color w:val="auto"/>
                <w:kern w:val="0"/>
                <w:sz w:val="24"/>
                <w:highlight w:val="none"/>
              </w:rPr>
            </w:pPr>
          </w:p>
        </w:tc>
        <w:tc>
          <w:tcPr>
            <w:tcW w:w="1855" w:type="dxa"/>
          </w:tcPr>
          <w:p>
            <w:pPr>
              <w:autoSpaceDE w:val="0"/>
              <w:autoSpaceDN w:val="0"/>
              <w:adjustRightInd w:val="0"/>
              <w:snapToGrid w:val="0"/>
              <w:jc w:val="left"/>
              <w:rPr>
                <w:rFonts w:ascii="宋体" w:hAnsi="宋体"/>
                <w:color w:val="auto"/>
                <w:kern w:val="0"/>
                <w:sz w:val="24"/>
                <w:highlight w:val="none"/>
              </w:rPr>
            </w:pPr>
          </w:p>
        </w:tc>
        <w:tc>
          <w:tcPr>
            <w:tcW w:w="770"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highlight w:val="none"/>
              </w:rPr>
            </w:pPr>
          </w:p>
        </w:tc>
        <w:tc>
          <w:tcPr>
            <w:tcW w:w="1219" w:type="dxa"/>
          </w:tcPr>
          <w:p>
            <w:pPr>
              <w:autoSpaceDE w:val="0"/>
              <w:autoSpaceDN w:val="0"/>
              <w:adjustRightInd w:val="0"/>
              <w:snapToGrid w:val="0"/>
              <w:jc w:val="left"/>
              <w:rPr>
                <w:rFonts w:ascii="宋体" w:hAnsi="宋体"/>
                <w:color w:val="auto"/>
                <w:kern w:val="0"/>
                <w:sz w:val="24"/>
                <w:highlight w:val="none"/>
              </w:rPr>
            </w:pPr>
          </w:p>
        </w:tc>
        <w:tc>
          <w:tcPr>
            <w:tcW w:w="852" w:type="dxa"/>
          </w:tcPr>
          <w:p>
            <w:pPr>
              <w:autoSpaceDE w:val="0"/>
              <w:autoSpaceDN w:val="0"/>
              <w:adjustRightInd w:val="0"/>
              <w:snapToGrid w:val="0"/>
              <w:jc w:val="left"/>
              <w:rPr>
                <w:rFonts w:ascii="宋体" w:hAnsi="宋体"/>
                <w:color w:val="auto"/>
                <w:kern w:val="0"/>
                <w:sz w:val="24"/>
                <w:highlight w:val="none"/>
              </w:rPr>
            </w:pPr>
          </w:p>
        </w:tc>
        <w:tc>
          <w:tcPr>
            <w:tcW w:w="1111" w:type="dxa"/>
          </w:tcPr>
          <w:p>
            <w:pPr>
              <w:autoSpaceDE w:val="0"/>
              <w:autoSpaceDN w:val="0"/>
              <w:adjustRightInd w:val="0"/>
              <w:snapToGrid w:val="0"/>
              <w:jc w:val="left"/>
              <w:rPr>
                <w:rFonts w:ascii="宋体" w:hAnsi="宋体"/>
                <w:color w:val="auto"/>
                <w:kern w:val="0"/>
                <w:sz w:val="24"/>
                <w:highlight w:val="none"/>
              </w:rPr>
            </w:pPr>
          </w:p>
        </w:tc>
        <w:tc>
          <w:tcPr>
            <w:tcW w:w="754" w:type="dxa"/>
          </w:tcPr>
          <w:p>
            <w:pPr>
              <w:autoSpaceDE w:val="0"/>
              <w:autoSpaceDN w:val="0"/>
              <w:adjustRightInd w:val="0"/>
              <w:snapToGrid w:val="0"/>
              <w:jc w:val="left"/>
              <w:rPr>
                <w:rFonts w:ascii="宋体" w:hAnsi="宋体"/>
                <w:color w:val="auto"/>
                <w:kern w:val="0"/>
                <w:sz w:val="24"/>
                <w:highlight w:val="none"/>
              </w:rPr>
            </w:pPr>
          </w:p>
        </w:tc>
        <w:tc>
          <w:tcPr>
            <w:tcW w:w="827" w:type="dxa"/>
          </w:tcPr>
          <w:p>
            <w:pPr>
              <w:autoSpaceDE w:val="0"/>
              <w:autoSpaceDN w:val="0"/>
              <w:adjustRightInd w:val="0"/>
              <w:snapToGrid w:val="0"/>
              <w:jc w:val="left"/>
              <w:rPr>
                <w:rFonts w:ascii="宋体" w:hAnsi="宋体"/>
                <w:color w:val="auto"/>
                <w:kern w:val="0"/>
                <w:sz w:val="24"/>
                <w:highlight w:val="none"/>
              </w:rPr>
            </w:pPr>
          </w:p>
        </w:tc>
        <w:tc>
          <w:tcPr>
            <w:tcW w:w="1359" w:type="dxa"/>
          </w:tcPr>
          <w:p>
            <w:pPr>
              <w:autoSpaceDE w:val="0"/>
              <w:autoSpaceDN w:val="0"/>
              <w:adjustRightInd w:val="0"/>
              <w:snapToGrid w:val="0"/>
              <w:jc w:val="left"/>
              <w:rPr>
                <w:rFonts w:ascii="宋体" w:hAnsi="宋体"/>
                <w:color w:val="auto"/>
                <w:kern w:val="0"/>
                <w:sz w:val="24"/>
                <w:highlight w:val="none"/>
              </w:rPr>
            </w:pPr>
          </w:p>
        </w:tc>
        <w:tc>
          <w:tcPr>
            <w:tcW w:w="1855" w:type="dxa"/>
          </w:tcPr>
          <w:p>
            <w:pPr>
              <w:autoSpaceDE w:val="0"/>
              <w:autoSpaceDN w:val="0"/>
              <w:adjustRightInd w:val="0"/>
              <w:snapToGrid w:val="0"/>
              <w:jc w:val="left"/>
              <w:rPr>
                <w:rFonts w:ascii="宋体" w:hAnsi="宋体"/>
                <w:color w:val="auto"/>
                <w:kern w:val="0"/>
                <w:sz w:val="24"/>
                <w:highlight w:val="none"/>
              </w:rPr>
            </w:pPr>
          </w:p>
        </w:tc>
        <w:tc>
          <w:tcPr>
            <w:tcW w:w="770"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highlight w:val="none"/>
              </w:rPr>
            </w:pPr>
          </w:p>
        </w:tc>
        <w:tc>
          <w:tcPr>
            <w:tcW w:w="1219" w:type="dxa"/>
          </w:tcPr>
          <w:p>
            <w:pPr>
              <w:autoSpaceDE w:val="0"/>
              <w:autoSpaceDN w:val="0"/>
              <w:adjustRightInd w:val="0"/>
              <w:snapToGrid w:val="0"/>
              <w:jc w:val="left"/>
              <w:rPr>
                <w:rFonts w:ascii="宋体" w:hAnsi="宋体"/>
                <w:color w:val="auto"/>
                <w:kern w:val="0"/>
                <w:sz w:val="24"/>
                <w:highlight w:val="none"/>
              </w:rPr>
            </w:pPr>
          </w:p>
        </w:tc>
        <w:tc>
          <w:tcPr>
            <w:tcW w:w="852" w:type="dxa"/>
          </w:tcPr>
          <w:p>
            <w:pPr>
              <w:autoSpaceDE w:val="0"/>
              <w:autoSpaceDN w:val="0"/>
              <w:adjustRightInd w:val="0"/>
              <w:snapToGrid w:val="0"/>
              <w:jc w:val="left"/>
              <w:rPr>
                <w:rFonts w:ascii="宋体" w:hAnsi="宋体"/>
                <w:color w:val="auto"/>
                <w:kern w:val="0"/>
                <w:sz w:val="24"/>
                <w:highlight w:val="none"/>
              </w:rPr>
            </w:pPr>
          </w:p>
        </w:tc>
        <w:tc>
          <w:tcPr>
            <w:tcW w:w="1111" w:type="dxa"/>
          </w:tcPr>
          <w:p>
            <w:pPr>
              <w:autoSpaceDE w:val="0"/>
              <w:autoSpaceDN w:val="0"/>
              <w:adjustRightInd w:val="0"/>
              <w:snapToGrid w:val="0"/>
              <w:jc w:val="left"/>
              <w:rPr>
                <w:rFonts w:ascii="宋体" w:hAnsi="宋体"/>
                <w:color w:val="auto"/>
                <w:kern w:val="0"/>
                <w:sz w:val="24"/>
                <w:highlight w:val="none"/>
              </w:rPr>
            </w:pPr>
          </w:p>
        </w:tc>
        <w:tc>
          <w:tcPr>
            <w:tcW w:w="754" w:type="dxa"/>
          </w:tcPr>
          <w:p>
            <w:pPr>
              <w:autoSpaceDE w:val="0"/>
              <w:autoSpaceDN w:val="0"/>
              <w:adjustRightInd w:val="0"/>
              <w:snapToGrid w:val="0"/>
              <w:jc w:val="left"/>
              <w:rPr>
                <w:rFonts w:ascii="宋体" w:hAnsi="宋体"/>
                <w:color w:val="auto"/>
                <w:kern w:val="0"/>
                <w:sz w:val="24"/>
                <w:highlight w:val="none"/>
              </w:rPr>
            </w:pPr>
          </w:p>
        </w:tc>
        <w:tc>
          <w:tcPr>
            <w:tcW w:w="827" w:type="dxa"/>
          </w:tcPr>
          <w:p>
            <w:pPr>
              <w:autoSpaceDE w:val="0"/>
              <w:autoSpaceDN w:val="0"/>
              <w:adjustRightInd w:val="0"/>
              <w:snapToGrid w:val="0"/>
              <w:jc w:val="left"/>
              <w:rPr>
                <w:rFonts w:ascii="宋体" w:hAnsi="宋体"/>
                <w:color w:val="auto"/>
                <w:kern w:val="0"/>
                <w:sz w:val="24"/>
                <w:highlight w:val="none"/>
              </w:rPr>
            </w:pPr>
          </w:p>
        </w:tc>
        <w:tc>
          <w:tcPr>
            <w:tcW w:w="1359" w:type="dxa"/>
          </w:tcPr>
          <w:p>
            <w:pPr>
              <w:autoSpaceDE w:val="0"/>
              <w:autoSpaceDN w:val="0"/>
              <w:adjustRightInd w:val="0"/>
              <w:snapToGrid w:val="0"/>
              <w:jc w:val="left"/>
              <w:rPr>
                <w:rFonts w:ascii="宋体" w:hAnsi="宋体"/>
                <w:color w:val="auto"/>
                <w:kern w:val="0"/>
                <w:sz w:val="24"/>
                <w:highlight w:val="none"/>
              </w:rPr>
            </w:pPr>
          </w:p>
        </w:tc>
        <w:tc>
          <w:tcPr>
            <w:tcW w:w="1855" w:type="dxa"/>
          </w:tcPr>
          <w:p>
            <w:pPr>
              <w:autoSpaceDE w:val="0"/>
              <w:autoSpaceDN w:val="0"/>
              <w:adjustRightInd w:val="0"/>
              <w:snapToGrid w:val="0"/>
              <w:jc w:val="left"/>
              <w:rPr>
                <w:rFonts w:ascii="宋体" w:hAnsi="宋体"/>
                <w:color w:val="auto"/>
                <w:kern w:val="0"/>
                <w:sz w:val="24"/>
                <w:highlight w:val="none"/>
              </w:rPr>
            </w:pPr>
          </w:p>
        </w:tc>
        <w:tc>
          <w:tcPr>
            <w:tcW w:w="770"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highlight w:val="none"/>
              </w:rPr>
            </w:pPr>
          </w:p>
        </w:tc>
        <w:tc>
          <w:tcPr>
            <w:tcW w:w="1219" w:type="dxa"/>
          </w:tcPr>
          <w:p>
            <w:pPr>
              <w:autoSpaceDE w:val="0"/>
              <w:autoSpaceDN w:val="0"/>
              <w:adjustRightInd w:val="0"/>
              <w:snapToGrid w:val="0"/>
              <w:jc w:val="left"/>
              <w:rPr>
                <w:rFonts w:ascii="宋体" w:hAnsi="宋体"/>
                <w:color w:val="auto"/>
                <w:kern w:val="0"/>
                <w:sz w:val="24"/>
                <w:highlight w:val="none"/>
              </w:rPr>
            </w:pPr>
          </w:p>
        </w:tc>
        <w:tc>
          <w:tcPr>
            <w:tcW w:w="852" w:type="dxa"/>
          </w:tcPr>
          <w:p>
            <w:pPr>
              <w:autoSpaceDE w:val="0"/>
              <w:autoSpaceDN w:val="0"/>
              <w:adjustRightInd w:val="0"/>
              <w:snapToGrid w:val="0"/>
              <w:jc w:val="left"/>
              <w:rPr>
                <w:rFonts w:ascii="宋体" w:hAnsi="宋体"/>
                <w:color w:val="auto"/>
                <w:kern w:val="0"/>
                <w:sz w:val="24"/>
                <w:highlight w:val="none"/>
              </w:rPr>
            </w:pPr>
          </w:p>
        </w:tc>
        <w:tc>
          <w:tcPr>
            <w:tcW w:w="1111" w:type="dxa"/>
          </w:tcPr>
          <w:p>
            <w:pPr>
              <w:autoSpaceDE w:val="0"/>
              <w:autoSpaceDN w:val="0"/>
              <w:adjustRightInd w:val="0"/>
              <w:snapToGrid w:val="0"/>
              <w:jc w:val="left"/>
              <w:rPr>
                <w:rFonts w:ascii="宋体" w:hAnsi="宋体"/>
                <w:color w:val="auto"/>
                <w:kern w:val="0"/>
                <w:sz w:val="24"/>
                <w:highlight w:val="none"/>
              </w:rPr>
            </w:pPr>
          </w:p>
        </w:tc>
        <w:tc>
          <w:tcPr>
            <w:tcW w:w="754" w:type="dxa"/>
          </w:tcPr>
          <w:p>
            <w:pPr>
              <w:autoSpaceDE w:val="0"/>
              <w:autoSpaceDN w:val="0"/>
              <w:adjustRightInd w:val="0"/>
              <w:snapToGrid w:val="0"/>
              <w:jc w:val="left"/>
              <w:rPr>
                <w:rFonts w:ascii="宋体" w:hAnsi="宋体"/>
                <w:color w:val="auto"/>
                <w:kern w:val="0"/>
                <w:sz w:val="24"/>
                <w:highlight w:val="none"/>
              </w:rPr>
            </w:pPr>
          </w:p>
        </w:tc>
        <w:tc>
          <w:tcPr>
            <w:tcW w:w="827" w:type="dxa"/>
          </w:tcPr>
          <w:p>
            <w:pPr>
              <w:autoSpaceDE w:val="0"/>
              <w:autoSpaceDN w:val="0"/>
              <w:adjustRightInd w:val="0"/>
              <w:snapToGrid w:val="0"/>
              <w:jc w:val="left"/>
              <w:rPr>
                <w:rFonts w:ascii="宋体" w:hAnsi="宋体"/>
                <w:color w:val="auto"/>
                <w:kern w:val="0"/>
                <w:sz w:val="24"/>
                <w:highlight w:val="none"/>
              </w:rPr>
            </w:pPr>
          </w:p>
        </w:tc>
        <w:tc>
          <w:tcPr>
            <w:tcW w:w="1359" w:type="dxa"/>
          </w:tcPr>
          <w:p>
            <w:pPr>
              <w:autoSpaceDE w:val="0"/>
              <w:autoSpaceDN w:val="0"/>
              <w:adjustRightInd w:val="0"/>
              <w:snapToGrid w:val="0"/>
              <w:jc w:val="left"/>
              <w:rPr>
                <w:rFonts w:ascii="宋体" w:hAnsi="宋体"/>
                <w:color w:val="auto"/>
                <w:kern w:val="0"/>
                <w:sz w:val="24"/>
                <w:highlight w:val="none"/>
              </w:rPr>
            </w:pPr>
          </w:p>
        </w:tc>
        <w:tc>
          <w:tcPr>
            <w:tcW w:w="1855" w:type="dxa"/>
          </w:tcPr>
          <w:p>
            <w:pPr>
              <w:autoSpaceDE w:val="0"/>
              <w:autoSpaceDN w:val="0"/>
              <w:adjustRightInd w:val="0"/>
              <w:snapToGrid w:val="0"/>
              <w:jc w:val="left"/>
              <w:rPr>
                <w:rFonts w:ascii="宋体" w:hAnsi="宋体"/>
                <w:color w:val="auto"/>
                <w:kern w:val="0"/>
                <w:sz w:val="24"/>
                <w:highlight w:val="none"/>
              </w:rPr>
            </w:pPr>
          </w:p>
        </w:tc>
        <w:tc>
          <w:tcPr>
            <w:tcW w:w="770"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highlight w:val="none"/>
              </w:rPr>
            </w:pPr>
          </w:p>
        </w:tc>
        <w:tc>
          <w:tcPr>
            <w:tcW w:w="1219" w:type="dxa"/>
          </w:tcPr>
          <w:p>
            <w:pPr>
              <w:autoSpaceDE w:val="0"/>
              <w:autoSpaceDN w:val="0"/>
              <w:adjustRightInd w:val="0"/>
              <w:snapToGrid w:val="0"/>
              <w:jc w:val="left"/>
              <w:rPr>
                <w:rFonts w:ascii="宋体" w:hAnsi="宋体"/>
                <w:color w:val="auto"/>
                <w:kern w:val="0"/>
                <w:sz w:val="24"/>
                <w:highlight w:val="none"/>
              </w:rPr>
            </w:pPr>
          </w:p>
        </w:tc>
        <w:tc>
          <w:tcPr>
            <w:tcW w:w="852" w:type="dxa"/>
          </w:tcPr>
          <w:p>
            <w:pPr>
              <w:autoSpaceDE w:val="0"/>
              <w:autoSpaceDN w:val="0"/>
              <w:adjustRightInd w:val="0"/>
              <w:snapToGrid w:val="0"/>
              <w:jc w:val="left"/>
              <w:rPr>
                <w:rFonts w:ascii="宋体" w:hAnsi="宋体"/>
                <w:color w:val="auto"/>
                <w:kern w:val="0"/>
                <w:sz w:val="24"/>
                <w:highlight w:val="none"/>
              </w:rPr>
            </w:pPr>
          </w:p>
        </w:tc>
        <w:tc>
          <w:tcPr>
            <w:tcW w:w="1111" w:type="dxa"/>
          </w:tcPr>
          <w:p>
            <w:pPr>
              <w:autoSpaceDE w:val="0"/>
              <w:autoSpaceDN w:val="0"/>
              <w:adjustRightInd w:val="0"/>
              <w:snapToGrid w:val="0"/>
              <w:jc w:val="left"/>
              <w:rPr>
                <w:rFonts w:ascii="宋体" w:hAnsi="宋体"/>
                <w:color w:val="auto"/>
                <w:kern w:val="0"/>
                <w:sz w:val="24"/>
                <w:highlight w:val="none"/>
              </w:rPr>
            </w:pPr>
          </w:p>
        </w:tc>
        <w:tc>
          <w:tcPr>
            <w:tcW w:w="754" w:type="dxa"/>
          </w:tcPr>
          <w:p>
            <w:pPr>
              <w:autoSpaceDE w:val="0"/>
              <w:autoSpaceDN w:val="0"/>
              <w:adjustRightInd w:val="0"/>
              <w:snapToGrid w:val="0"/>
              <w:jc w:val="left"/>
              <w:rPr>
                <w:rFonts w:ascii="宋体" w:hAnsi="宋体"/>
                <w:color w:val="auto"/>
                <w:kern w:val="0"/>
                <w:sz w:val="24"/>
                <w:highlight w:val="none"/>
              </w:rPr>
            </w:pPr>
          </w:p>
        </w:tc>
        <w:tc>
          <w:tcPr>
            <w:tcW w:w="827" w:type="dxa"/>
          </w:tcPr>
          <w:p>
            <w:pPr>
              <w:autoSpaceDE w:val="0"/>
              <w:autoSpaceDN w:val="0"/>
              <w:adjustRightInd w:val="0"/>
              <w:snapToGrid w:val="0"/>
              <w:jc w:val="left"/>
              <w:rPr>
                <w:rFonts w:ascii="宋体" w:hAnsi="宋体"/>
                <w:color w:val="auto"/>
                <w:kern w:val="0"/>
                <w:sz w:val="24"/>
                <w:highlight w:val="none"/>
              </w:rPr>
            </w:pPr>
          </w:p>
        </w:tc>
        <w:tc>
          <w:tcPr>
            <w:tcW w:w="1359" w:type="dxa"/>
          </w:tcPr>
          <w:p>
            <w:pPr>
              <w:autoSpaceDE w:val="0"/>
              <w:autoSpaceDN w:val="0"/>
              <w:adjustRightInd w:val="0"/>
              <w:snapToGrid w:val="0"/>
              <w:jc w:val="left"/>
              <w:rPr>
                <w:rFonts w:ascii="宋体" w:hAnsi="宋体"/>
                <w:color w:val="auto"/>
                <w:kern w:val="0"/>
                <w:sz w:val="24"/>
                <w:highlight w:val="none"/>
              </w:rPr>
            </w:pPr>
          </w:p>
        </w:tc>
        <w:tc>
          <w:tcPr>
            <w:tcW w:w="1855" w:type="dxa"/>
          </w:tcPr>
          <w:p>
            <w:pPr>
              <w:autoSpaceDE w:val="0"/>
              <w:autoSpaceDN w:val="0"/>
              <w:adjustRightInd w:val="0"/>
              <w:snapToGrid w:val="0"/>
              <w:jc w:val="left"/>
              <w:rPr>
                <w:rFonts w:ascii="宋体" w:hAnsi="宋体"/>
                <w:color w:val="auto"/>
                <w:kern w:val="0"/>
                <w:sz w:val="24"/>
                <w:highlight w:val="none"/>
              </w:rPr>
            </w:pPr>
          </w:p>
        </w:tc>
        <w:tc>
          <w:tcPr>
            <w:tcW w:w="770"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highlight w:val="none"/>
              </w:rPr>
            </w:pPr>
          </w:p>
        </w:tc>
        <w:tc>
          <w:tcPr>
            <w:tcW w:w="1219" w:type="dxa"/>
          </w:tcPr>
          <w:p>
            <w:pPr>
              <w:autoSpaceDE w:val="0"/>
              <w:autoSpaceDN w:val="0"/>
              <w:adjustRightInd w:val="0"/>
              <w:snapToGrid w:val="0"/>
              <w:jc w:val="left"/>
              <w:rPr>
                <w:rFonts w:ascii="宋体" w:hAnsi="宋体"/>
                <w:color w:val="auto"/>
                <w:kern w:val="0"/>
                <w:sz w:val="24"/>
                <w:highlight w:val="none"/>
              </w:rPr>
            </w:pPr>
          </w:p>
        </w:tc>
        <w:tc>
          <w:tcPr>
            <w:tcW w:w="852" w:type="dxa"/>
          </w:tcPr>
          <w:p>
            <w:pPr>
              <w:autoSpaceDE w:val="0"/>
              <w:autoSpaceDN w:val="0"/>
              <w:adjustRightInd w:val="0"/>
              <w:snapToGrid w:val="0"/>
              <w:jc w:val="left"/>
              <w:rPr>
                <w:rFonts w:ascii="宋体" w:hAnsi="宋体"/>
                <w:color w:val="auto"/>
                <w:kern w:val="0"/>
                <w:sz w:val="24"/>
                <w:highlight w:val="none"/>
              </w:rPr>
            </w:pPr>
          </w:p>
        </w:tc>
        <w:tc>
          <w:tcPr>
            <w:tcW w:w="1111" w:type="dxa"/>
          </w:tcPr>
          <w:p>
            <w:pPr>
              <w:autoSpaceDE w:val="0"/>
              <w:autoSpaceDN w:val="0"/>
              <w:adjustRightInd w:val="0"/>
              <w:snapToGrid w:val="0"/>
              <w:jc w:val="left"/>
              <w:rPr>
                <w:rFonts w:ascii="宋体" w:hAnsi="宋体"/>
                <w:color w:val="auto"/>
                <w:kern w:val="0"/>
                <w:sz w:val="24"/>
                <w:highlight w:val="none"/>
              </w:rPr>
            </w:pPr>
          </w:p>
        </w:tc>
        <w:tc>
          <w:tcPr>
            <w:tcW w:w="754" w:type="dxa"/>
          </w:tcPr>
          <w:p>
            <w:pPr>
              <w:autoSpaceDE w:val="0"/>
              <w:autoSpaceDN w:val="0"/>
              <w:adjustRightInd w:val="0"/>
              <w:snapToGrid w:val="0"/>
              <w:jc w:val="left"/>
              <w:rPr>
                <w:rFonts w:ascii="宋体" w:hAnsi="宋体"/>
                <w:color w:val="auto"/>
                <w:kern w:val="0"/>
                <w:sz w:val="24"/>
                <w:highlight w:val="none"/>
              </w:rPr>
            </w:pPr>
          </w:p>
        </w:tc>
        <w:tc>
          <w:tcPr>
            <w:tcW w:w="827" w:type="dxa"/>
          </w:tcPr>
          <w:p>
            <w:pPr>
              <w:autoSpaceDE w:val="0"/>
              <w:autoSpaceDN w:val="0"/>
              <w:adjustRightInd w:val="0"/>
              <w:snapToGrid w:val="0"/>
              <w:jc w:val="left"/>
              <w:rPr>
                <w:rFonts w:ascii="宋体" w:hAnsi="宋体"/>
                <w:color w:val="auto"/>
                <w:kern w:val="0"/>
                <w:sz w:val="24"/>
                <w:highlight w:val="none"/>
              </w:rPr>
            </w:pPr>
          </w:p>
        </w:tc>
        <w:tc>
          <w:tcPr>
            <w:tcW w:w="1359" w:type="dxa"/>
          </w:tcPr>
          <w:p>
            <w:pPr>
              <w:autoSpaceDE w:val="0"/>
              <w:autoSpaceDN w:val="0"/>
              <w:adjustRightInd w:val="0"/>
              <w:snapToGrid w:val="0"/>
              <w:jc w:val="left"/>
              <w:rPr>
                <w:rFonts w:ascii="宋体" w:hAnsi="宋体"/>
                <w:color w:val="auto"/>
                <w:kern w:val="0"/>
                <w:sz w:val="24"/>
                <w:highlight w:val="none"/>
              </w:rPr>
            </w:pPr>
          </w:p>
        </w:tc>
        <w:tc>
          <w:tcPr>
            <w:tcW w:w="1855" w:type="dxa"/>
          </w:tcPr>
          <w:p>
            <w:pPr>
              <w:autoSpaceDE w:val="0"/>
              <w:autoSpaceDN w:val="0"/>
              <w:adjustRightInd w:val="0"/>
              <w:snapToGrid w:val="0"/>
              <w:jc w:val="left"/>
              <w:rPr>
                <w:rFonts w:ascii="宋体" w:hAnsi="宋体"/>
                <w:color w:val="auto"/>
                <w:kern w:val="0"/>
                <w:sz w:val="24"/>
                <w:highlight w:val="none"/>
              </w:rPr>
            </w:pPr>
          </w:p>
        </w:tc>
        <w:tc>
          <w:tcPr>
            <w:tcW w:w="770"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highlight w:val="none"/>
              </w:rPr>
            </w:pPr>
          </w:p>
        </w:tc>
        <w:tc>
          <w:tcPr>
            <w:tcW w:w="1219" w:type="dxa"/>
          </w:tcPr>
          <w:p>
            <w:pPr>
              <w:autoSpaceDE w:val="0"/>
              <w:autoSpaceDN w:val="0"/>
              <w:adjustRightInd w:val="0"/>
              <w:snapToGrid w:val="0"/>
              <w:jc w:val="left"/>
              <w:rPr>
                <w:rFonts w:ascii="宋体" w:hAnsi="宋体"/>
                <w:color w:val="auto"/>
                <w:kern w:val="0"/>
                <w:sz w:val="24"/>
                <w:highlight w:val="none"/>
              </w:rPr>
            </w:pPr>
          </w:p>
        </w:tc>
        <w:tc>
          <w:tcPr>
            <w:tcW w:w="852" w:type="dxa"/>
          </w:tcPr>
          <w:p>
            <w:pPr>
              <w:autoSpaceDE w:val="0"/>
              <w:autoSpaceDN w:val="0"/>
              <w:adjustRightInd w:val="0"/>
              <w:snapToGrid w:val="0"/>
              <w:jc w:val="left"/>
              <w:rPr>
                <w:rFonts w:ascii="宋体" w:hAnsi="宋体"/>
                <w:color w:val="auto"/>
                <w:kern w:val="0"/>
                <w:sz w:val="24"/>
                <w:highlight w:val="none"/>
              </w:rPr>
            </w:pPr>
          </w:p>
        </w:tc>
        <w:tc>
          <w:tcPr>
            <w:tcW w:w="1111" w:type="dxa"/>
          </w:tcPr>
          <w:p>
            <w:pPr>
              <w:autoSpaceDE w:val="0"/>
              <w:autoSpaceDN w:val="0"/>
              <w:adjustRightInd w:val="0"/>
              <w:snapToGrid w:val="0"/>
              <w:jc w:val="left"/>
              <w:rPr>
                <w:rFonts w:ascii="宋体" w:hAnsi="宋体"/>
                <w:color w:val="auto"/>
                <w:kern w:val="0"/>
                <w:sz w:val="24"/>
                <w:highlight w:val="none"/>
              </w:rPr>
            </w:pPr>
          </w:p>
        </w:tc>
        <w:tc>
          <w:tcPr>
            <w:tcW w:w="754" w:type="dxa"/>
          </w:tcPr>
          <w:p>
            <w:pPr>
              <w:autoSpaceDE w:val="0"/>
              <w:autoSpaceDN w:val="0"/>
              <w:adjustRightInd w:val="0"/>
              <w:snapToGrid w:val="0"/>
              <w:jc w:val="left"/>
              <w:rPr>
                <w:rFonts w:ascii="宋体" w:hAnsi="宋体"/>
                <w:color w:val="auto"/>
                <w:kern w:val="0"/>
                <w:sz w:val="24"/>
                <w:highlight w:val="none"/>
              </w:rPr>
            </w:pPr>
          </w:p>
        </w:tc>
        <w:tc>
          <w:tcPr>
            <w:tcW w:w="827" w:type="dxa"/>
          </w:tcPr>
          <w:p>
            <w:pPr>
              <w:autoSpaceDE w:val="0"/>
              <w:autoSpaceDN w:val="0"/>
              <w:adjustRightInd w:val="0"/>
              <w:snapToGrid w:val="0"/>
              <w:jc w:val="left"/>
              <w:rPr>
                <w:rFonts w:ascii="宋体" w:hAnsi="宋体"/>
                <w:color w:val="auto"/>
                <w:kern w:val="0"/>
                <w:sz w:val="24"/>
                <w:highlight w:val="none"/>
              </w:rPr>
            </w:pPr>
          </w:p>
        </w:tc>
        <w:tc>
          <w:tcPr>
            <w:tcW w:w="1359" w:type="dxa"/>
          </w:tcPr>
          <w:p>
            <w:pPr>
              <w:autoSpaceDE w:val="0"/>
              <w:autoSpaceDN w:val="0"/>
              <w:adjustRightInd w:val="0"/>
              <w:snapToGrid w:val="0"/>
              <w:jc w:val="left"/>
              <w:rPr>
                <w:rFonts w:ascii="宋体" w:hAnsi="宋体"/>
                <w:color w:val="auto"/>
                <w:kern w:val="0"/>
                <w:sz w:val="24"/>
                <w:highlight w:val="none"/>
              </w:rPr>
            </w:pPr>
          </w:p>
        </w:tc>
        <w:tc>
          <w:tcPr>
            <w:tcW w:w="1855" w:type="dxa"/>
          </w:tcPr>
          <w:p>
            <w:pPr>
              <w:autoSpaceDE w:val="0"/>
              <w:autoSpaceDN w:val="0"/>
              <w:adjustRightInd w:val="0"/>
              <w:snapToGrid w:val="0"/>
              <w:jc w:val="left"/>
              <w:rPr>
                <w:rFonts w:ascii="宋体" w:hAnsi="宋体"/>
                <w:color w:val="auto"/>
                <w:kern w:val="0"/>
                <w:sz w:val="24"/>
                <w:highlight w:val="none"/>
              </w:rPr>
            </w:pPr>
          </w:p>
        </w:tc>
        <w:tc>
          <w:tcPr>
            <w:tcW w:w="770"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highlight w:val="none"/>
              </w:rPr>
            </w:pPr>
          </w:p>
        </w:tc>
        <w:tc>
          <w:tcPr>
            <w:tcW w:w="1219" w:type="dxa"/>
          </w:tcPr>
          <w:p>
            <w:pPr>
              <w:autoSpaceDE w:val="0"/>
              <w:autoSpaceDN w:val="0"/>
              <w:adjustRightInd w:val="0"/>
              <w:snapToGrid w:val="0"/>
              <w:jc w:val="left"/>
              <w:rPr>
                <w:rFonts w:ascii="宋体" w:hAnsi="宋体"/>
                <w:color w:val="auto"/>
                <w:kern w:val="0"/>
                <w:sz w:val="24"/>
                <w:highlight w:val="none"/>
              </w:rPr>
            </w:pPr>
          </w:p>
        </w:tc>
        <w:tc>
          <w:tcPr>
            <w:tcW w:w="852" w:type="dxa"/>
          </w:tcPr>
          <w:p>
            <w:pPr>
              <w:autoSpaceDE w:val="0"/>
              <w:autoSpaceDN w:val="0"/>
              <w:adjustRightInd w:val="0"/>
              <w:snapToGrid w:val="0"/>
              <w:jc w:val="left"/>
              <w:rPr>
                <w:rFonts w:ascii="宋体" w:hAnsi="宋体"/>
                <w:color w:val="auto"/>
                <w:kern w:val="0"/>
                <w:sz w:val="24"/>
                <w:highlight w:val="none"/>
              </w:rPr>
            </w:pPr>
          </w:p>
        </w:tc>
        <w:tc>
          <w:tcPr>
            <w:tcW w:w="1111" w:type="dxa"/>
          </w:tcPr>
          <w:p>
            <w:pPr>
              <w:autoSpaceDE w:val="0"/>
              <w:autoSpaceDN w:val="0"/>
              <w:adjustRightInd w:val="0"/>
              <w:snapToGrid w:val="0"/>
              <w:jc w:val="left"/>
              <w:rPr>
                <w:rFonts w:ascii="宋体" w:hAnsi="宋体"/>
                <w:color w:val="auto"/>
                <w:kern w:val="0"/>
                <w:sz w:val="24"/>
                <w:highlight w:val="none"/>
              </w:rPr>
            </w:pPr>
          </w:p>
        </w:tc>
        <w:tc>
          <w:tcPr>
            <w:tcW w:w="754" w:type="dxa"/>
          </w:tcPr>
          <w:p>
            <w:pPr>
              <w:autoSpaceDE w:val="0"/>
              <w:autoSpaceDN w:val="0"/>
              <w:adjustRightInd w:val="0"/>
              <w:snapToGrid w:val="0"/>
              <w:jc w:val="left"/>
              <w:rPr>
                <w:rFonts w:ascii="宋体" w:hAnsi="宋体"/>
                <w:color w:val="auto"/>
                <w:kern w:val="0"/>
                <w:sz w:val="24"/>
                <w:highlight w:val="none"/>
              </w:rPr>
            </w:pPr>
          </w:p>
        </w:tc>
        <w:tc>
          <w:tcPr>
            <w:tcW w:w="827" w:type="dxa"/>
          </w:tcPr>
          <w:p>
            <w:pPr>
              <w:autoSpaceDE w:val="0"/>
              <w:autoSpaceDN w:val="0"/>
              <w:adjustRightInd w:val="0"/>
              <w:snapToGrid w:val="0"/>
              <w:jc w:val="left"/>
              <w:rPr>
                <w:rFonts w:ascii="宋体" w:hAnsi="宋体"/>
                <w:color w:val="auto"/>
                <w:kern w:val="0"/>
                <w:sz w:val="24"/>
                <w:highlight w:val="none"/>
              </w:rPr>
            </w:pPr>
          </w:p>
        </w:tc>
        <w:tc>
          <w:tcPr>
            <w:tcW w:w="1359" w:type="dxa"/>
          </w:tcPr>
          <w:p>
            <w:pPr>
              <w:autoSpaceDE w:val="0"/>
              <w:autoSpaceDN w:val="0"/>
              <w:adjustRightInd w:val="0"/>
              <w:snapToGrid w:val="0"/>
              <w:jc w:val="left"/>
              <w:rPr>
                <w:rFonts w:ascii="宋体" w:hAnsi="宋体"/>
                <w:color w:val="auto"/>
                <w:kern w:val="0"/>
                <w:sz w:val="24"/>
                <w:highlight w:val="none"/>
              </w:rPr>
            </w:pPr>
          </w:p>
        </w:tc>
        <w:tc>
          <w:tcPr>
            <w:tcW w:w="1855" w:type="dxa"/>
          </w:tcPr>
          <w:p>
            <w:pPr>
              <w:autoSpaceDE w:val="0"/>
              <w:autoSpaceDN w:val="0"/>
              <w:adjustRightInd w:val="0"/>
              <w:snapToGrid w:val="0"/>
              <w:jc w:val="left"/>
              <w:rPr>
                <w:rFonts w:ascii="宋体" w:hAnsi="宋体"/>
                <w:color w:val="auto"/>
                <w:kern w:val="0"/>
                <w:sz w:val="24"/>
                <w:highlight w:val="none"/>
              </w:rPr>
            </w:pPr>
          </w:p>
        </w:tc>
        <w:tc>
          <w:tcPr>
            <w:tcW w:w="770"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highlight w:val="none"/>
              </w:rPr>
            </w:pPr>
          </w:p>
        </w:tc>
        <w:tc>
          <w:tcPr>
            <w:tcW w:w="1219" w:type="dxa"/>
          </w:tcPr>
          <w:p>
            <w:pPr>
              <w:autoSpaceDE w:val="0"/>
              <w:autoSpaceDN w:val="0"/>
              <w:adjustRightInd w:val="0"/>
              <w:snapToGrid w:val="0"/>
              <w:jc w:val="left"/>
              <w:rPr>
                <w:rFonts w:ascii="宋体" w:hAnsi="宋体"/>
                <w:color w:val="auto"/>
                <w:kern w:val="0"/>
                <w:sz w:val="24"/>
                <w:highlight w:val="none"/>
              </w:rPr>
            </w:pPr>
          </w:p>
        </w:tc>
        <w:tc>
          <w:tcPr>
            <w:tcW w:w="852" w:type="dxa"/>
          </w:tcPr>
          <w:p>
            <w:pPr>
              <w:autoSpaceDE w:val="0"/>
              <w:autoSpaceDN w:val="0"/>
              <w:adjustRightInd w:val="0"/>
              <w:snapToGrid w:val="0"/>
              <w:jc w:val="left"/>
              <w:rPr>
                <w:rFonts w:ascii="宋体" w:hAnsi="宋体"/>
                <w:color w:val="auto"/>
                <w:kern w:val="0"/>
                <w:sz w:val="24"/>
                <w:highlight w:val="none"/>
              </w:rPr>
            </w:pPr>
          </w:p>
        </w:tc>
        <w:tc>
          <w:tcPr>
            <w:tcW w:w="1111" w:type="dxa"/>
          </w:tcPr>
          <w:p>
            <w:pPr>
              <w:autoSpaceDE w:val="0"/>
              <w:autoSpaceDN w:val="0"/>
              <w:adjustRightInd w:val="0"/>
              <w:snapToGrid w:val="0"/>
              <w:jc w:val="left"/>
              <w:rPr>
                <w:rFonts w:ascii="宋体" w:hAnsi="宋体"/>
                <w:color w:val="auto"/>
                <w:kern w:val="0"/>
                <w:sz w:val="24"/>
                <w:highlight w:val="none"/>
              </w:rPr>
            </w:pPr>
          </w:p>
        </w:tc>
        <w:tc>
          <w:tcPr>
            <w:tcW w:w="754" w:type="dxa"/>
          </w:tcPr>
          <w:p>
            <w:pPr>
              <w:autoSpaceDE w:val="0"/>
              <w:autoSpaceDN w:val="0"/>
              <w:adjustRightInd w:val="0"/>
              <w:snapToGrid w:val="0"/>
              <w:jc w:val="left"/>
              <w:rPr>
                <w:rFonts w:ascii="宋体" w:hAnsi="宋体"/>
                <w:color w:val="auto"/>
                <w:kern w:val="0"/>
                <w:sz w:val="24"/>
                <w:highlight w:val="none"/>
              </w:rPr>
            </w:pPr>
          </w:p>
        </w:tc>
        <w:tc>
          <w:tcPr>
            <w:tcW w:w="827" w:type="dxa"/>
          </w:tcPr>
          <w:p>
            <w:pPr>
              <w:autoSpaceDE w:val="0"/>
              <w:autoSpaceDN w:val="0"/>
              <w:adjustRightInd w:val="0"/>
              <w:snapToGrid w:val="0"/>
              <w:jc w:val="left"/>
              <w:rPr>
                <w:rFonts w:ascii="宋体" w:hAnsi="宋体"/>
                <w:color w:val="auto"/>
                <w:kern w:val="0"/>
                <w:sz w:val="24"/>
                <w:highlight w:val="none"/>
              </w:rPr>
            </w:pPr>
          </w:p>
        </w:tc>
        <w:tc>
          <w:tcPr>
            <w:tcW w:w="1359" w:type="dxa"/>
          </w:tcPr>
          <w:p>
            <w:pPr>
              <w:autoSpaceDE w:val="0"/>
              <w:autoSpaceDN w:val="0"/>
              <w:adjustRightInd w:val="0"/>
              <w:snapToGrid w:val="0"/>
              <w:jc w:val="left"/>
              <w:rPr>
                <w:rFonts w:ascii="宋体" w:hAnsi="宋体"/>
                <w:color w:val="auto"/>
                <w:kern w:val="0"/>
                <w:sz w:val="24"/>
                <w:highlight w:val="none"/>
              </w:rPr>
            </w:pPr>
          </w:p>
        </w:tc>
        <w:tc>
          <w:tcPr>
            <w:tcW w:w="1855" w:type="dxa"/>
          </w:tcPr>
          <w:p>
            <w:pPr>
              <w:autoSpaceDE w:val="0"/>
              <w:autoSpaceDN w:val="0"/>
              <w:adjustRightInd w:val="0"/>
              <w:snapToGrid w:val="0"/>
              <w:jc w:val="left"/>
              <w:rPr>
                <w:rFonts w:ascii="宋体" w:hAnsi="宋体"/>
                <w:color w:val="auto"/>
                <w:kern w:val="0"/>
                <w:sz w:val="24"/>
                <w:highlight w:val="none"/>
              </w:rPr>
            </w:pPr>
          </w:p>
        </w:tc>
        <w:tc>
          <w:tcPr>
            <w:tcW w:w="770"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highlight w:val="none"/>
              </w:rPr>
            </w:pPr>
          </w:p>
        </w:tc>
        <w:tc>
          <w:tcPr>
            <w:tcW w:w="1219" w:type="dxa"/>
          </w:tcPr>
          <w:p>
            <w:pPr>
              <w:autoSpaceDE w:val="0"/>
              <w:autoSpaceDN w:val="0"/>
              <w:adjustRightInd w:val="0"/>
              <w:snapToGrid w:val="0"/>
              <w:jc w:val="left"/>
              <w:rPr>
                <w:rFonts w:ascii="宋体" w:hAnsi="宋体"/>
                <w:color w:val="auto"/>
                <w:kern w:val="0"/>
                <w:sz w:val="24"/>
                <w:highlight w:val="none"/>
              </w:rPr>
            </w:pPr>
          </w:p>
        </w:tc>
        <w:tc>
          <w:tcPr>
            <w:tcW w:w="852" w:type="dxa"/>
          </w:tcPr>
          <w:p>
            <w:pPr>
              <w:autoSpaceDE w:val="0"/>
              <w:autoSpaceDN w:val="0"/>
              <w:adjustRightInd w:val="0"/>
              <w:snapToGrid w:val="0"/>
              <w:jc w:val="left"/>
              <w:rPr>
                <w:rFonts w:ascii="宋体" w:hAnsi="宋体"/>
                <w:color w:val="auto"/>
                <w:kern w:val="0"/>
                <w:sz w:val="24"/>
                <w:highlight w:val="none"/>
              </w:rPr>
            </w:pPr>
          </w:p>
        </w:tc>
        <w:tc>
          <w:tcPr>
            <w:tcW w:w="1111" w:type="dxa"/>
          </w:tcPr>
          <w:p>
            <w:pPr>
              <w:autoSpaceDE w:val="0"/>
              <w:autoSpaceDN w:val="0"/>
              <w:adjustRightInd w:val="0"/>
              <w:snapToGrid w:val="0"/>
              <w:jc w:val="left"/>
              <w:rPr>
                <w:rFonts w:ascii="宋体" w:hAnsi="宋体"/>
                <w:color w:val="auto"/>
                <w:kern w:val="0"/>
                <w:sz w:val="24"/>
                <w:highlight w:val="none"/>
              </w:rPr>
            </w:pPr>
          </w:p>
        </w:tc>
        <w:tc>
          <w:tcPr>
            <w:tcW w:w="754" w:type="dxa"/>
          </w:tcPr>
          <w:p>
            <w:pPr>
              <w:autoSpaceDE w:val="0"/>
              <w:autoSpaceDN w:val="0"/>
              <w:adjustRightInd w:val="0"/>
              <w:snapToGrid w:val="0"/>
              <w:jc w:val="left"/>
              <w:rPr>
                <w:rFonts w:ascii="宋体" w:hAnsi="宋体"/>
                <w:color w:val="auto"/>
                <w:kern w:val="0"/>
                <w:sz w:val="24"/>
                <w:highlight w:val="none"/>
              </w:rPr>
            </w:pPr>
          </w:p>
        </w:tc>
        <w:tc>
          <w:tcPr>
            <w:tcW w:w="827" w:type="dxa"/>
          </w:tcPr>
          <w:p>
            <w:pPr>
              <w:autoSpaceDE w:val="0"/>
              <w:autoSpaceDN w:val="0"/>
              <w:adjustRightInd w:val="0"/>
              <w:snapToGrid w:val="0"/>
              <w:jc w:val="left"/>
              <w:rPr>
                <w:rFonts w:ascii="宋体" w:hAnsi="宋体"/>
                <w:color w:val="auto"/>
                <w:kern w:val="0"/>
                <w:sz w:val="24"/>
                <w:highlight w:val="none"/>
              </w:rPr>
            </w:pPr>
          </w:p>
        </w:tc>
        <w:tc>
          <w:tcPr>
            <w:tcW w:w="1359" w:type="dxa"/>
          </w:tcPr>
          <w:p>
            <w:pPr>
              <w:autoSpaceDE w:val="0"/>
              <w:autoSpaceDN w:val="0"/>
              <w:adjustRightInd w:val="0"/>
              <w:snapToGrid w:val="0"/>
              <w:jc w:val="left"/>
              <w:rPr>
                <w:rFonts w:ascii="宋体" w:hAnsi="宋体"/>
                <w:color w:val="auto"/>
                <w:kern w:val="0"/>
                <w:sz w:val="24"/>
                <w:highlight w:val="none"/>
              </w:rPr>
            </w:pPr>
          </w:p>
        </w:tc>
        <w:tc>
          <w:tcPr>
            <w:tcW w:w="1855" w:type="dxa"/>
          </w:tcPr>
          <w:p>
            <w:pPr>
              <w:autoSpaceDE w:val="0"/>
              <w:autoSpaceDN w:val="0"/>
              <w:adjustRightInd w:val="0"/>
              <w:snapToGrid w:val="0"/>
              <w:jc w:val="left"/>
              <w:rPr>
                <w:rFonts w:ascii="宋体" w:hAnsi="宋体"/>
                <w:color w:val="auto"/>
                <w:kern w:val="0"/>
                <w:sz w:val="24"/>
                <w:highlight w:val="none"/>
              </w:rPr>
            </w:pPr>
          </w:p>
        </w:tc>
        <w:tc>
          <w:tcPr>
            <w:tcW w:w="770"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highlight w:val="none"/>
              </w:rPr>
            </w:pPr>
          </w:p>
        </w:tc>
        <w:tc>
          <w:tcPr>
            <w:tcW w:w="1219" w:type="dxa"/>
          </w:tcPr>
          <w:p>
            <w:pPr>
              <w:autoSpaceDE w:val="0"/>
              <w:autoSpaceDN w:val="0"/>
              <w:adjustRightInd w:val="0"/>
              <w:snapToGrid w:val="0"/>
              <w:jc w:val="left"/>
              <w:rPr>
                <w:rFonts w:ascii="宋体" w:hAnsi="宋体"/>
                <w:color w:val="auto"/>
                <w:kern w:val="0"/>
                <w:sz w:val="24"/>
                <w:highlight w:val="none"/>
              </w:rPr>
            </w:pPr>
          </w:p>
        </w:tc>
        <w:tc>
          <w:tcPr>
            <w:tcW w:w="852" w:type="dxa"/>
          </w:tcPr>
          <w:p>
            <w:pPr>
              <w:autoSpaceDE w:val="0"/>
              <w:autoSpaceDN w:val="0"/>
              <w:adjustRightInd w:val="0"/>
              <w:snapToGrid w:val="0"/>
              <w:jc w:val="left"/>
              <w:rPr>
                <w:rFonts w:ascii="宋体" w:hAnsi="宋体"/>
                <w:color w:val="auto"/>
                <w:kern w:val="0"/>
                <w:sz w:val="24"/>
                <w:highlight w:val="none"/>
              </w:rPr>
            </w:pPr>
          </w:p>
        </w:tc>
        <w:tc>
          <w:tcPr>
            <w:tcW w:w="1111" w:type="dxa"/>
          </w:tcPr>
          <w:p>
            <w:pPr>
              <w:autoSpaceDE w:val="0"/>
              <w:autoSpaceDN w:val="0"/>
              <w:adjustRightInd w:val="0"/>
              <w:snapToGrid w:val="0"/>
              <w:jc w:val="left"/>
              <w:rPr>
                <w:rFonts w:ascii="宋体" w:hAnsi="宋体"/>
                <w:color w:val="auto"/>
                <w:kern w:val="0"/>
                <w:sz w:val="24"/>
                <w:highlight w:val="none"/>
              </w:rPr>
            </w:pPr>
          </w:p>
        </w:tc>
        <w:tc>
          <w:tcPr>
            <w:tcW w:w="754" w:type="dxa"/>
          </w:tcPr>
          <w:p>
            <w:pPr>
              <w:autoSpaceDE w:val="0"/>
              <w:autoSpaceDN w:val="0"/>
              <w:adjustRightInd w:val="0"/>
              <w:snapToGrid w:val="0"/>
              <w:jc w:val="left"/>
              <w:rPr>
                <w:rFonts w:ascii="宋体" w:hAnsi="宋体"/>
                <w:color w:val="auto"/>
                <w:kern w:val="0"/>
                <w:sz w:val="24"/>
                <w:highlight w:val="none"/>
              </w:rPr>
            </w:pPr>
          </w:p>
        </w:tc>
        <w:tc>
          <w:tcPr>
            <w:tcW w:w="827" w:type="dxa"/>
          </w:tcPr>
          <w:p>
            <w:pPr>
              <w:autoSpaceDE w:val="0"/>
              <w:autoSpaceDN w:val="0"/>
              <w:adjustRightInd w:val="0"/>
              <w:snapToGrid w:val="0"/>
              <w:jc w:val="left"/>
              <w:rPr>
                <w:rFonts w:ascii="宋体" w:hAnsi="宋体"/>
                <w:color w:val="auto"/>
                <w:kern w:val="0"/>
                <w:sz w:val="24"/>
                <w:highlight w:val="none"/>
              </w:rPr>
            </w:pPr>
          </w:p>
        </w:tc>
        <w:tc>
          <w:tcPr>
            <w:tcW w:w="1359" w:type="dxa"/>
          </w:tcPr>
          <w:p>
            <w:pPr>
              <w:autoSpaceDE w:val="0"/>
              <w:autoSpaceDN w:val="0"/>
              <w:adjustRightInd w:val="0"/>
              <w:snapToGrid w:val="0"/>
              <w:jc w:val="left"/>
              <w:rPr>
                <w:rFonts w:ascii="宋体" w:hAnsi="宋体"/>
                <w:color w:val="auto"/>
                <w:kern w:val="0"/>
                <w:sz w:val="24"/>
                <w:highlight w:val="none"/>
              </w:rPr>
            </w:pPr>
          </w:p>
        </w:tc>
        <w:tc>
          <w:tcPr>
            <w:tcW w:w="1855" w:type="dxa"/>
          </w:tcPr>
          <w:p>
            <w:pPr>
              <w:autoSpaceDE w:val="0"/>
              <w:autoSpaceDN w:val="0"/>
              <w:adjustRightInd w:val="0"/>
              <w:snapToGrid w:val="0"/>
              <w:jc w:val="left"/>
              <w:rPr>
                <w:rFonts w:ascii="宋体" w:hAnsi="宋体"/>
                <w:color w:val="auto"/>
                <w:kern w:val="0"/>
                <w:sz w:val="24"/>
                <w:highlight w:val="none"/>
              </w:rPr>
            </w:pPr>
          </w:p>
        </w:tc>
        <w:tc>
          <w:tcPr>
            <w:tcW w:w="770"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highlight w:val="none"/>
              </w:rPr>
            </w:pPr>
          </w:p>
        </w:tc>
        <w:tc>
          <w:tcPr>
            <w:tcW w:w="1219" w:type="dxa"/>
          </w:tcPr>
          <w:p>
            <w:pPr>
              <w:autoSpaceDE w:val="0"/>
              <w:autoSpaceDN w:val="0"/>
              <w:adjustRightInd w:val="0"/>
              <w:snapToGrid w:val="0"/>
              <w:jc w:val="left"/>
              <w:rPr>
                <w:rFonts w:ascii="宋体" w:hAnsi="宋体"/>
                <w:color w:val="auto"/>
                <w:kern w:val="0"/>
                <w:sz w:val="24"/>
                <w:highlight w:val="none"/>
              </w:rPr>
            </w:pPr>
          </w:p>
        </w:tc>
        <w:tc>
          <w:tcPr>
            <w:tcW w:w="852" w:type="dxa"/>
          </w:tcPr>
          <w:p>
            <w:pPr>
              <w:autoSpaceDE w:val="0"/>
              <w:autoSpaceDN w:val="0"/>
              <w:adjustRightInd w:val="0"/>
              <w:snapToGrid w:val="0"/>
              <w:jc w:val="left"/>
              <w:rPr>
                <w:rFonts w:ascii="宋体" w:hAnsi="宋体"/>
                <w:color w:val="auto"/>
                <w:kern w:val="0"/>
                <w:sz w:val="24"/>
                <w:highlight w:val="none"/>
              </w:rPr>
            </w:pPr>
          </w:p>
        </w:tc>
        <w:tc>
          <w:tcPr>
            <w:tcW w:w="1111" w:type="dxa"/>
          </w:tcPr>
          <w:p>
            <w:pPr>
              <w:autoSpaceDE w:val="0"/>
              <w:autoSpaceDN w:val="0"/>
              <w:adjustRightInd w:val="0"/>
              <w:snapToGrid w:val="0"/>
              <w:jc w:val="left"/>
              <w:rPr>
                <w:rFonts w:ascii="宋体" w:hAnsi="宋体"/>
                <w:color w:val="auto"/>
                <w:kern w:val="0"/>
                <w:sz w:val="24"/>
                <w:highlight w:val="none"/>
              </w:rPr>
            </w:pPr>
          </w:p>
        </w:tc>
        <w:tc>
          <w:tcPr>
            <w:tcW w:w="754" w:type="dxa"/>
          </w:tcPr>
          <w:p>
            <w:pPr>
              <w:autoSpaceDE w:val="0"/>
              <w:autoSpaceDN w:val="0"/>
              <w:adjustRightInd w:val="0"/>
              <w:snapToGrid w:val="0"/>
              <w:jc w:val="left"/>
              <w:rPr>
                <w:rFonts w:ascii="宋体" w:hAnsi="宋体"/>
                <w:color w:val="auto"/>
                <w:kern w:val="0"/>
                <w:sz w:val="24"/>
                <w:highlight w:val="none"/>
              </w:rPr>
            </w:pPr>
          </w:p>
        </w:tc>
        <w:tc>
          <w:tcPr>
            <w:tcW w:w="827" w:type="dxa"/>
          </w:tcPr>
          <w:p>
            <w:pPr>
              <w:autoSpaceDE w:val="0"/>
              <w:autoSpaceDN w:val="0"/>
              <w:adjustRightInd w:val="0"/>
              <w:snapToGrid w:val="0"/>
              <w:jc w:val="left"/>
              <w:rPr>
                <w:rFonts w:ascii="宋体" w:hAnsi="宋体"/>
                <w:color w:val="auto"/>
                <w:kern w:val="0"/>
                <w:sz w:val="24"/>
                <w:highlight w:val="none"/>
              </w:rPr>
            </w:pPr>
          </w:p>
        </w:tc>
        <w:tc>
          <w:tcPr>
            <w:tcW w:w="1359" w:type="dxa"/>
          </w:tcPr>
          <w:p>
            <w:pPr>
              <w:autoSpaceDE w:val="0"/>
              <w:autoSpaceDN w:val="0"/>
              <w:adjustRightInd w:val="0"/>
              <w:snapToGrid w:val="0"/>
              <w:jc w:val="left"/>
              <w:rPr>
                <w:rFonts w:ascii="宋体" w:hAnsi="宋体"/>
                <w:color w:val="auto"/>
                <w:kern w:val="0"/>
                <w:sz w:val="24"/>
                <w:highlight w:val="none"/>
              </w:rPr>
            </w:pPr>
          </w:p>
        </w:tc>
        <w:tc>
          <w:tcPr>
            <w:tcW w:w="1855" w:type="dxa"/>
          </w:tcPr>
          <w:p>
            <w:pPr>
              <w:autoSpaceDE w:val="0"/>
              <w:autoSpaceDN w:val="0"/>
              <w:adjustRightInd w:val="0"/>
              <w:snapToGrid w:val="0"/>
              <w:jc w:val="left"/>
              <w:rPr>
                <w:rFonts w:ascii="宋体" w:hAnsi="宋体"/>
                <w:color w:val="auto"/>
                <w:kern w:val="0"/>
                <w:sz w:val="24"/>
                <w:highlight w:val="none"/>
              </w:rPr>
            </w:pPr>
          </w:p>
        </w:tc>
        <w:tc>
          <w:tcPr>
            <w:tcW w:w="770"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highlight w:val="none"/>
              </w:rPr>
            </w:pPr>
          </w:p>
        </w:tc>
        <w:tc>
          <w:tcPr>
            <w:tcW w:w="1219" w:type="dxa"/>
          </w:tcPr>
          <w:p>
            <w:pPr>
              <w:autoSpaceDE w:val="0"/>
              <w:autoSpaceDN w:val="0"/>
              <w:adjustRightInd w:val="0"/>
              <w:snapToGrid w:val="0"/>
              <w:jc w:val="left"/>
              <w:rPr>
                <w:rFonts w:ascii="宋体" w:hAnsi="宋体"/>
                <w:color w:val="auto"/>
                <w:kern w:val="0"/>
                <w:sz w:val="24"/>
                <w:highlight w:val="none"/>
              </w:rPr>
            </w:pPr>
          </w:p>
        </w:tc>
        <w:tc>
          <w:tcPr>
            <w:tcW w:w="852" w:type="dxa"/>
          </w:tcPr>
          <w:p>
            <w:pPr>
              <w:autoSpaceDE w:val="0"/>
              <w:autoSpaceDN w:val="0"/>
              <w:adjustRightInd w:val="0"/>
              <w:snapToGrid w:val="0"/>
              <w:jc w:val="left"/>
              <w:rPr>
                <w:rFonts w:ascii="宋体" w:hAnsi="宋体"/>
                <w:color w:val="auto"/>
                <w:kern w:val="0"/>
                <w:sz w:val="24"/>
                <w:highlight w:val="none"/>
              </w:rPr>
            </w:pPr>
          </w:p>
        </w:tc>
        <w:tc>
          <w:tcPr>
            <w:tcW w:w="1111" w:type="dxa"/>
          </w:tcPr>
          <w:p>
            <w:pPr>
              <w:autoSpaceDE w:val="0"/>
              <w:autoSpaceDN w:val="0"/>
              <w:adjustRightInd w:val="0"/>
              <w:snapToGrid w:val="0"/>
              <w:jc w:val="left"/>
              <w:rPr>
                <w:rFonts w:ascii="宋体" w:hAnsi="宋体"/>
                <w:color w:val="auto"/>
                <w:kern w:val="0"/>
                <w:sz w:val="24"/>
                <w:highlight w:val="none"/>
              </w:rPr>
            </w:pPr>
          </w:p>
        </w:tc>
        <w:tc>
          <w:tcPr>
            <w:tcW w:w="754" w:type="dxa"/>
          </w:tcPr>
          <w:p>
            <w:pPr>
              <w:autoSpaceDE w:val="0"/>
              <w:autoSpaceDN w:val="0"/>
              <w:adjustRightInd w:val="0"/>
              <w:snapToGrid w:val="0"/>
              <w:jc w:val="left"/>
              <w:rPr>
                <w:rFonts w:ascii="宋体" w:hAnsi="宋体"/>
                <w:color w:val="auto"/>
                <w:kern w:val="0"/>
                <w:sz w:val="24"/>
                <w:highlight w:val="none"/>
              </w:rPr>
            </w:pPr>
          </w:p>
        </w:tc>
        <w:tc>
          <w:tcPr>
            <w:tcW w:w="827" w:type="dxa"/>
          </w:tcPr>
          <w:p>
            <w:pPr>
              <w:autoSpaceDE w:val="0"/>
              <w:autoSpaceDN w:val="0"/>
              <w:adjustRightInd w:val="0"/>
              <w:snapToGrid w:val="0"/>
              <w:jc w:val="left"/>
              <w:rPr>
                <w:rFonts w:ascii="宋体" w:hAnsi="宋体"/>
                <w:color w:val="auto"/>
                <w:kern w:val="0"/>
                <w:sz w:val="24"/>
                <w:highlight w:val="none"/>
              </w:rPr>
            </w:pPr>
          </w:p>
        </w:tc>
        <w:tc>
          <w:tcPr>
            <w:tcW w:w="1359" w:type="dxa"/>
          </w:tcPr>
          <w:p>
            <w:pPr>
              <w:autoSpaceDE w:val="0"/>
              <w:autoSpaceDN w:val="0"/>
              <w:adjustRightInd w:val="0"/>
              <w:snapToGrid w:val="0"/>
              <w:jc w:val="left"/>
              <w:rPr>
                <w:rFonts w:ascii="宋体" w:hAnsi="宋体"/>
                <w:color w:val="auto"/>
                <w:kern w:val="0"/>
                <w:sz w:val="24"/>
                <w:highlight w:val="none"/>
              </w:rPr>
            </w:pPr>
          </w:p>
        </w:tc>
        <w:tc>
          <w:tcPr>
            <w:tcW w:w="1855" w:type="dxa"/>
          </w:tcPr>
          <w:p>
            <w:pPr>
              <w:autoSpaceDE w:val="0"/>
              <w:autoSpaceDN w:val="0"/>
              <w:adjustRightInd w:val="0"/>
              <w:snapToGrid w:val="0"/>
              <w:jc w:val="left"/>
              <w:rPr>
                <w:rFonts w:ascii="宋体" w:hAnsi="宋体"/>
                <w:color w:val="auto"/>
                <w:kern w:val="0"/>
                <w:sz w:val="24"/>
                <w:highlight w:val="none"/>
              </w:rPr>
            </w:pPr>
          </w:p>
        </w:tc>
        <w:tc>
          <w:tcPr>
            <w:tcW w:w="770"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highlight w:val="none"/>
              </w:rPr>
            </w:pPr>
          </w:p>
        </w:tc>
        <w:tc>
          <w:tcPr>
            <w:tcW w:w="1219" w:type="dxa"/>
          </w:tcPr>
          <w:p>
            <w:pPr>
              <w:autoSpaceDE w:val="0"/>
              <w:autoSpaceDN w:val="0"/>
              <w:adjustRightInd w:val="0"/>
              <w:snapToGrid w:val="0"/>
              <w:jc w:val="left"/>
              <w:rPr>
                <w:rFonts w:ascii="宋体" w:hAnsi="宋体"/>
                <w:color w:val="auto"/>
                <w:kern w:val="0"/>
                <w:sz w:val="24"/>
                <w:highlight w:val="none"/>
              </w:rPr>
            </w:pPr>
          </w:p>
        </w:tc>
        <w:tc>
          <w:tcPr>
            <w:tcW w:w="852" w:type="dxa"/>
          </w:tcPr>
          <w:p>
            <w:pPr>
              <w:autoSpaceDE w:val="0"/>
              <w:autoSpaceDN w:val="0"/>
              <w:adjustRightInd w:val="0"/>
              <w:snapToGrid w:val="0"/>
              <w:jc w:val="left"/>
              <w:rPr>
                <w:rFonts w:ascii="宋体" w:hAnsi="宋体"/>
                <w:color w:val="auto"/>
                <w:kern w:val="0"/>
                <w:sz w:val="24"/>
                <w:highlight w:val="none"/>
              </w:rPr>
            </w:pPr>
          </w:p>
        </w:tc>
        <w:tc>
          <w:tcPr>
            <w:tcW w:w="1111" w:type="dxa"/>
          </w:tcPr>
          <w:p>
            <w:pPr>
              <w:autoSpaceDE w:val="0"/>
              <w:autoSpaceDN w:val="0"/>
              <w:adjustRightInd w:val="0"/>
              <w:snapToGrid w:val="0"/>
              <w:jc w:val="left"/>
              <w:rPr>
                <w:rFonts w:ascii="宋体" w:hAnsi="宋体"/>
                <w:color w:val="auto"/>
                <w:kern w:val="0"/>
                <w:sz w:val="24"/>
                <w:highlight w:val="none"/>
              </w:rPr>
            </w:pPr>
          </w:p>
        </w:tc>
        <w:tc>
          <w:tcPr>
            <w:tcW w:w="754" w:type="dxa"/>
          </w:tcPr>
          <w:p>
            <w:pPr>
              <w:autoSpaceDE w:val="0"/>
              <w:autoSpaceDN w:val="0"/>
              <w:adjustRightInd w:val="0"/>
              <w:snapToGrid w:val="0"/>
              <w:jc w:val="left"/>
              <w:rPr>
                <w:rFonts w:ascii="宋体" w:hAnsi="宋体"/>
                <w:color w:val="auto"/>
                <w:kern w:val="0"/>
                <w:sz w:val="24"/>
                <w:highlight w:val="none"/>
              </w:rPr>
            </w:pPr>
          </w:p>
        </w:tc>
        <w:tc>
          <w:tcPr>
            <w:tcW w:w="827" w:type="dxa"/>
          </w:tcPr>
          <w:p>
            <w:pPr>
              <w:autoSpaceDE w:val="0"/>
              <w:autoSpaceDN w:val="0"/>
              <w:adjustRightInd w:val="0"/>
              <w:snapToGrid w:val="0"/>
              <w:jc w:val="left"/>
              <w:rPr>
                <w:rFonts w:ascii="宋体" w:hAnsi="宋体"/>
                <w:color w:val="auto"/>
                <w:kern w:val="0"/>
                <w:sz w:val="24"/>
                <w:highlight w:val="none"/>
              </w:rPr>
            </w:pPr>
          </w:p>
        </w:tc>
        <w:tc>
          <w:tcPr>
            <w:tcW w:w="1359" w:type="dxa"/>
          </w:tcPr>
          <w:p>
            <w:pPr>
              <w:autoSpaceDE w:val="0"/>
              <w:autoSpaceDN w:val="0"/>
              <w:adjustRightInd w:val="0"/>
              <w:snapToGrid w:val="0"/>
              <w:jc w:val="left"/>
              <w:rPr>
                <w:rFonts w:ascii="宋体" w:hAnsi="宋体"/>
                <w:color w:val="auto"/>
                <w:kern w:val="0"/>
                <w:sz w:val="24"/>
                <w:highlight w:val="none"/>
              </w:rPr>
            </w:pPr>
          </w:p>
        </w:tc>
        <w:tc>
          <w:tcPr>
            <w:tcW w:w="1855" w:type="dxa"/>
          </w:tcPr>
          <w:p>
            <w:pPr>
              <w:autoSpaceDE w:val="0"/>
              <w:autoSpaceDN w:val="0"/>
              <w:adjustRightInd w:val="0"/>
              <w:snapToGrid w:val="0"/>
              <w:jc w:val="left"/>
              <w:rPr>
                <w:rFonts w:ascii="宋体" w:hAnsi="宋体"/>
                <w:color w:val="auto"/>
                <w:kern w:val="0"/>
                <w:sz w:val="24"/>
                <w:highlight w:val="none"/>
              </w:rPr>
            </w:pPr>
          </w:p>
        </w:tc>
        <w:tc>
          <w:tcPr>
            <w:tcW w:w="770"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highlight w:val="none"/>
              </w:rPr>
            </w:pPr>
          </w:p>
        </w:tc>
        <w:tc>
          <w:tcPr>
            <w:tcW w:w="1219" w:type="dxa"/>
          </w:tcPr>
          <w:p>
            <w:pPr>
              <w:autoSpaceDE w:val="0"/>
              <w:autoSpaceDN w:val="0"/>
              <w:adjustRightInd w:val="0"/>
              <w:snapToGrid w:val="0"/>
              <w:jc w:val="left"/>
              <w:rPr>
                <w:rFonts w:ascii="宋体" w:hAnsi="宋体"/>
                <w:color w:val="auto"/>
                <w:kern w:val="0"/>
                <w:sz w:val="24"/>
                <w:highlight w:val="none"/>
              </w:rPr>
            </w:pPr>
          </w:p>
        </w:tc>
        <w:tc>
          <w:tcPr>
            <w:tcW w:w="852" w:type="dxa"/>
          </w:tcPr>
          <w:p>
            <w:pPr>
              <w:autoSpaceDE w:val="0"/>
              <w:autoSpaceDN w:val="0"/>
              <w:adjustRightInd w:val="0"/>
              <w:snapToGrid w:val="0"/>
              <w:jc w:val="left"/>
              <w:rPr>
                <w:rFonts w:ascii="宋体" w:hAnsi="宋体"/>
                <w:color w:val="auto"/>
                <w:kern w:val="0"/>
                <w:sz w:val="24"/>
                <w:highlight w:val="none"/>
              </w:rPr>
            </w:pPr>
          </w:p>
        </w:tc>
        <w:tc>
          <w:tcPr>
            <w:tcW w:w="1111" w:type="dxa"/>
          </w:tcPr>
          <w:p>
            <w:pPr>
              <w:autoSpaceDE w:val="0"/>
              <w:autoSpaceDN w:val="0"/>
              <w:adjustRightInd w:val="0"/>
              <w:snapToGrid w:val="0"/>
              <w:jc w:val="left"/>
              <w:rPr>
                <w:rFonts w:ascii="宋体" w:hAnsi="宋体"/>
                <w:color w:val="auto"/>
                <w:kern w:val="0"/>
                <w:sz w:val="24"/>
                <w:highlight w:val="none"/>
              </w:rPr>
            </w:pPr>
          </w:p>
        </w:tc>
        <w:tc>
          <w:tcPr>
            <w:tcW w:w="754" w:type="dxa"/>
          </w:tcPr>
          <w:p>
            <w:pPr>
              <w:autoSpaceDE w:val="0"/>
              <w:autoSpaceDN w:val="0"/>
              <w:adjustRightInd w:val="0"/>
              <w:snapToGrid w:val="0"/>
              <w:jc w:val="left"/>
              <w:rPr>
                <w:rFonts w:ascii="宋体" w:hAnsi="宋体"/>
                <w:color w:val="auto"/>
                <w:kern w:val="0"/>
                <w:sz w:val="24"/>
                <w:highlight w:val="none"/>
              </w:rPr>
            </w:pPr>
          </w:p>
        </w:tc>
        <w:tc>
          <w:tcPr>
            <w:tcW w:w="827" w:type="dxa"/>
          </w:tcPr>
          <w:p>
            <w:pPr>
              <w:autoSpaceDE w:val="0"/>
              <w:autoSpaceDN w:val="0"/>
              <w:adjustRightInd w:val="0"/>
              <w:snapToGrid w:val="0"/>
              <w:jc w:val="left"/>
              <w:rPr>
                <w:rFonts w:ascii="宋体" w:hAnsi="宋体"/>
                <w:color w:val="auto"/>
                <w:kern w:val="0"/>
                <w:sz w:val="24"/>
                <w:highlight w:val="none"/>
              </w:rPr>
            </w:pPr>
          </w:p>
        </w:tc>
        <w:tc>
          <w:tcPr>
            <w:tcW w:w="1359" w:type="dxa"/>
          </w:tcPr>
          <w:p>
            <w:pPr>
              <w:autoSpaceDE w:val="0"/>
              <w:autoSpaceDN w:val="0"/>
              <w:adjustRightInd w:val="0"/>
              <w:snapToGrid w:val="0"/>
              <w:jc w:val="left"/>
              <w:rPr>
                <w:rFonts w:ascii="宋体" w:hAnsi="宋体"/>
                <w:color w:val="auto"/>
                <w:kern w:val="0"/>
                <w:sz w:val="24"/>
                <w:highlight w:val="none"/>
              </w:rPr>
            </w:pPr>
          </w:p>
        </w:tc>
        <w:tc>
          <w:tcPr>
            <w:tcW w:w="1855" w:type="dxa"/>
          </w:tcPr>
          <w:p>
            <w:pPr>
              <w:autoSpaceDE w:val="0"/>
              <w:autoSpaceDN w:val="0"/>
              <w:adjustRightInd w:val="0"/>
              <w:snapToGrid w:val="0"/>
              <w:jc w:val="left"/>
              <w:rPr>
                <w:rFonts w:ascii="宋体" w:hAnsi="宋体"/>
                <w:color w:val="auto"/>
                <w:kern w:val="0"/>
                <w:sz w:val="24"/>
                <w:highlight w:val="none"/>
              </w:rPr>
            </w:pPr>
          </w:p>
        </w:tc>
        <w:tc>
          <w:tcPr>
            <w:tcW w:w="770"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highlight w:val="none"/>
              </w:rPr>
            </w:pPr>
          </w:p>
        </w:tc>
        <w:tc>
          <w:tcPr>
            <w:tcW w:w="1219" w:type="dxa"/>
          </w:tcPr>
          <w:p>
            <w:pPr>
              <w:autoSpaceDE w:val="0"/>
              <w:autoSpaceDN w:val="0"/>
              <w:adjustRightInd w:val="0"/>
              <w:snapToGrid w:val="0"/>
              <w:jc w:val="left"/>
              <w:rPr>
                <w:rFonts w:ascii="宋体" w:hAnsi="宋体"/>
                <w:color w:val="auto"/>
                <w:kern w:val="0"/>
                <w:sz w:val="24"/>
                <w:highlight w:val="none"/>
              </w:rPr>
            </w:pPr>
          </w:p>
        </w:tc>
        <w:tc>
          <w:tcPr>
            <w:tcW w:w="852" w:type="dxa"/>
          </w:tcPr>
          <w:p>
            <w:pPr>
              <w:autoSpaceDE w:val="0"/>
              <w:autoSpaceDN w:val="0"/>
              <w:adjustRightInd w:val="0"/>
              <w:snapToGrid w:val="0"/>
              <w:jc w:val="left"/>
              <w:rPr>
                <w:rFonts w:ascii="宋体" w:hAnsi="宋体"/>
                <w:color w:val="auto"/>
                <w:kern w:val="0"/>
                <w:sz w:val="24"/>
                <w:highlight w:val="none"/>
              </w:rPr>
            </w:pPr>
          </w:p>
        </w:tc>
        <w:tc>
          <w:tcPr>
            <w:tcW w:w="1111" w:type="dxa"/>
          </w:tcPr>
          <w:p>
            <w:pPr>
              <w:autoSpaceDE w:val="0"/>
              <w:autoSpaceDN w:val="0"/>
              <w:adjustRightInd w:val="0"/>
              <w:snapToGrid w:val="0"/>
              <w:jc w:val="left"/>
              <w:rPr>
                <w:rFonts w:ascii="宋体" w:hAnsi="宋体"/>
                <w:color w:val="auto"/>
                <w:kern w:val="0"/>
                <w:sz w:val="24"/>
                <w:highlight w:val="none"/>
              </w:rPr>
            </w:pPr>
          </w:p>
        </w:tc>
        <w:tc>
          <w:tcPr>
            <w:tcW w:w="754" w:type="dxa"/>
          </w:tcPr>
          <w:p>
            <w:pPr>
              <w:autoSpaceDE w:val="0"/>
              <w:autoSpaceDN w:val="0"/>
              <w:adjustRightInd w:val="0"/>
              <w:snapToGrid w:val="0"/>
              <w:jc w:val="left"/>
              <w:rPr>
                <w:rFonts w:ascii="宋体" w:hAnsi="宋体"/>
                <w:color w:val="auto"/>
                <w:kern w:val="0"/>
                <w:sz w:val="24"/>
                <w:highlight w:val="none"/>
              </w:rPr>
            </w:pPr>
          </w:p>
        </w:tc>
        <w:tc>
          <w:tcPr>
            <w:tcW w:w="827" w:type="dxa"/>
          </w:tcPr>
          <w:p>
            <w:pPr>
              <w:autoSpaceDE w:val="0"/>
              <w:autoSpaceDN w:val="0"/>
              <w:adjustRightInd w:val="0"/>
              <w:snapToGrid w:val="0"/>
              <w:jc w:val="left"/>
              <w:rPr>
                <w:rFonts w:ascii="宋体" w:hAnsi="宋体"/>
                <w:color w:val="auto"/>
                <w:kern w:val="0"/>
                <w:sz w:val="24"/>
                <w:highlight w:val="none"/>
              </w:rPr>
            </w:pPr>
          </w:p>
        </w:tc>
        <w:tc>
          <w:tcPr>
            <w:tcW w:w="1359" w:type="dxa"/>
          </w:tcPr>
          <w:p>
            <w:pPr>
              <w:autoSpaceDE w:val="0"/>
              <w:autoSpaceDN w:val="0"/>
              <w:adjustRightInd w:val="0"/>
              <w:snapToGrid w:val="0"/>
              <w:jc w:val="left"/>
              <w:rPr>
                <w:rFonts w:ascii="宋体" w:hAnsi="宋体"/>
                <w:color w:val="auto"/>
                <w:kern w:val="0"/>
                <w:sz w:val="24"/>
                <w:highlight w:val="none"/>
              </w:rPr>
            </w:pPr>
          </w:p>
        </w:tc>
        <w:tc>
          <w:tcPr>
            <w:tcW w:w="1855" w:type="dxa"/>
          </w:tcPr>
          <w:p>
            <w:pPr>
              <w:autoSpaceDE w:val="0"/>
              <w:autoSpaceDN w:val="0"/>
              <w:adjustRightInd w:val="0"/>
              <w:snapToGrid w:val="0"/>
              <w:jc w:val="left"/>
              <w:rPr>
                <w:rFonts w:ascii="宋体" w:hAnsi="宋体"/>
                <w:color w:val="auto"/>
                <w:kern w:val="0"/>
                <w:sz w:val="24"/>
                <w:highlight w:val="none"/>
              </w:rPr>
            </w:pPr>
          </w:p>
        </w:tc>
        <w:tc>
          <w:tcPr>
            <w:tcW w:w="770"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highlight w:val="none"/>
              </w:rPr>
            </w:pPr>
          </w:p>
        </w:tc>
        <w:tc>
          <w:tcPr>
            <w:tcW w:w="1219" w:type="dxa"/>
          </w:tcPr>
          <w:p>
            <w:pPr>
              <w:autoSpaceDE w:val="0"/>
              <w:autoSpaceDN w:val="0"/>
              <w:adjustRightInd w:val="0"/>
              <w:snapToGrid w:val="0"/>
              <w:jc w:val="left"/>
              <w:rPr>
                <w:rFonts w:ascii="宋体" w:hAnsi="宋体"/>
                <w:color w:val="auto"/>
                <w:kern w:val="0"/>
                <w:sz w:val="24"/>
                <w:highlight w:val="none"/>
              </w:rPr>
            </w:pPr>
          </w:p>
        </w:tc>
        <w:tc>
          <w:tcPr>
            <w:tcW w:w="852" w:type="dxa"/>
          </w:tcPr>
          <w:p>
            <w:pPr>
              <w:autoSpaceDE w:val="0"/>
              <w:autoSpaceDN w:val="0"/>
              <w:adjustRightInd w:val="0"/>
              <w:snapToGrid w:val="0"/>
              <w:jc w:val="left"/>
              <w:rPr>
                <w:rFonts w:ascii="宋体" w:hAnsi="宋体"/>
                <w:color w:val="auto"/>
                <w:kern w:val="0"/>
                <w:sz w:val="24"/>
                <w:highlight w:val="none"/>
              </w:rPr>
            </w:pPr>
          </w:p>
        </w:tc>
        <w:tc>
          <w:tcPr>
            <w:tcW w:w="1111" w:type="dxa"/>
          </w:tcPr>
          <w:p>
            <w:pPr>
              <w:autoSpaceDE w:val="0"/>
              <w:autoSpaceDN w:val="0"/>
              <w:adjustRightInd w:val="0"/>
              <w:snapToGrid w:val="0"/>
              <w:jc w:val="left"/>
              <w:rPr>
                <w:rFonts w:ascii="宋体" w:hAnsi="宋体"/>
                <w:color w:val="auto"/>
                <w:kern w:val="0"/>
                <w:sz w:val="24"/>
                <w:highlight w:val="none"/>
              </w:rPr>
            </w:pPr>
          </w:p>
        </w:tc>
        <w:tc>
          <w:tcPr>
            <w:tcW w:w="754" w:type="dxa"/>
          </w:tcPr>
          <w:p>
            <w:pPr>
              <w:autoSpaceDE w:val="0"/>
              <w:autoSpaceDN w:val="0"/>
              <w:adjustRightInd w:val="0"/>
              <w:snapToGrid w:val="0"/>
              <w:jc w:val="left"/>
              <w:rPr>
                <w:rFonts w:ascii="宋体" w:hAnsi="宋体"/>
                <w:color w:val="auto"/>
                <w:kern w:val="0"/>
                <w:sz w:val="24"/>
                <w:highlight w:val="none"/>
              </w:rPr>
            </w:pPr>
          </w:p>
        </w:tc>
        <w:tc>
          <w:tcPr>
            <w:tcW w:w="827" w:type="dxa"/>
          </w:tcPr>
          <w:p>
            <w:pPr>
              <w:autoSpaceDE w:val="0"/>
              <w:autoSpaceDN w:val="0"/>
              <w:adjustRightInd w:val="0"/>
              <w:snapToGrid w:val="0"/>
              <w:jc w:val="left"/>
              <w:rPr>
                <w:rFonts w:ascii="宋体" w:hAnsi="宋体"/>
                <w:color w:val="auto"/>
                <w:kern w:val="0"/>
                <w:sz w:val="24"/>
                <w:highlight w:val="none"/>
              </w:rPr>
            </w:pPr>
          </w:p>
        </w:tc>
        <w:tc>
          <w:tcPr>
            <w:tcW w:w="1359" w:type="dxa"/>
          </w:tcPr>
          <w:p>
            <w:pPr>
              <w:autoSpaceDE w:val="0"/>
              <w:autoSpaceDN w:val="0"/>
              <w:adjustRightInd w:val="0"/>
              <w:snapToGrid w:val="0"/>
              <w:jc w:val="left"/>
              <w:rPr>
                <w:rFonts w:ascii="宋体" w:hAnsi="宋体"/>
                <w:color w:val="auto"/>
                <w:kern w:val="0"/>
                <w:sz w:val="24"/>
                <w:highlight w:val="none"/>
              </w:rPr>
            </w:pPr>
          </w:p>
        </w:tc>
        <w:tc>
          <w:tcPr>
            <w:tcW w:w="1855" w:type="dxa"/>
          </w:tcPr>
          <w:p>
            <w:pPr>
              <w:autoSpaceDE w:val="0"/>
              <w:autoSpaceDN w:val="0"/>
              <w:adjustRightInd w:val="0"/>
              <w:snapToGrid w:val="0"/>
              <w:jc w:val="left"/>
              <w:rPr>
                <w:rFonts w:ascii="宋体" w:hAnsi="宋体"/>
                <w:color w:val="auto"/>
                <w:kern w:val="0"/>
                <w:sz w:val="24"/>
                <w:highlight w:val="none"/>
              </w:rPr>
            </w:pPr>
          </w:p>
        </w:tc>
        <w:tc>
          <w:tcPr>
            <w:tcW w:w="770"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highlight w:val="none"/>
              </w:rPr>
            </w:pPr>
          </w:p>
        </w:tc>
        <w:tc>
          <w:tcPr>
            <w:tcW w:w="1219" w:type="dxa"/>
          </w:tcPr>
          <w:p>
            <w:pPr>
              <w:autoSpaceDE w:val="0"/>
              <w:autoSpaceDN w:val="0"/>
              <w:adjustRightInd w:val="0"/>
              <w:snapToGrid w:val="0"/>
              <w:jc w:val="left"/>
              <w:rPr>
                <w:rFonts w:ascii="宋体" w:hAnsi="宋体"/>
                <w:color w:val="auto"/>
                <w:kern w:val="0"/>
                <w:sz w:val="24"/>
                <w:highlight w:val="none"/>
              </w:rPr>
            </w:pPr>
          </w:p>
        </w:tc>
        <w:tc>
          <w:tcPr>
            <w:tcW w:w="852" w:type="dxa"/>
          </w:tcPr>
          <w:p>
            <w:pPr>
              <w:autoSpaceDE w:val="0"/>
              <w:autoSpaceDN w:val="0"/>
              <w:adjustRightInd w:val="0"/>
              <w:snapToGrid w:val="0"/>
              <w:jc w:val="left"/>
              <w:rPr>
                <w:rFonts w:ascii="宋体" w:hAnsi="宋体"/>
                <w:color w:val="auto"/>
                <w:kern w:val="0"/>
                <w:sz w:val="24"/>
                <w:highlight w:val="none"/>
              </w:rPr>
            </w:pPr>
          </w:p>
        </w:tc>
        <w:tc>
          <w:tcPr>
            <w:tcW w:w="1111" w:type="dxa"/>
          </w:tcPr>
          <w:p>
            <w:pPr>
              <w:autoSpaceDE w:val="0"/>
              <w:autoSpaceDN w:val="0"/>
              <w:adjustRightInd w:val="0"/>
              <w:snapToGrid w:val="0"/>
              <w:jc w:val="left"/>
              <w:rPr>
                <w:rFonts w:ascii="宋体" w:hAnsi="宋体"/>
                <w:color w:val="auto"/>
                <w:kern w:val="0"/>
                <w:sz w:val="24"/>
                <w:highlight w:val="none"/>
              </w:rPr>
            </w:pPr>
          </w:p>
        </w:tc>
        <w:tc>
          <w:tcPr>
            <w:tcW w:w="754" w:type="dxa"/>
          </w:tcPr>
          <w:p>
            <w:pPr>
              <w:autoSpaceDE w:val="0"/>
              <w:autoSpaceDN w:val="0"/>
              <w:adjustRightInd w:val="0"/>
              <w:snapToGrid w:val="0"/>
              <w:jc w:val="left"/>
              <w:rPr>
                <w:rFonts w:ascii="宋体" w:hAnsi="宋体"/>
                <w:color w:val="auto"/>
                <w:kern w:val="0"/>
                <w:sz w:val="24"/>
                <w:highlight w:val="none"/>
              </w:rPr>
            </w:pPr>
          </w:p>
        </w:tc>
        <w:tc>
          <w:tcPr>
            <w:tcW w:w="827" w:type="dxa"/>
          </w:tcPr>
          <w:p>
            <w:pPr>
              <w:autoSpaceDE w:val="0"/>
              <w:autoSpaceDN w:val="0"/>
              <w:adjustRightInd w:val="0"/>
              <w:snapToGrid w:val="0"/>
              <w:jc w:val="left"/>
              <w:rPr>
                <w:rFonts w:ascii="宋体" w:hAnsi="宋体"/>
                <w:color w:val="auto"/>
                <w:kern w:val="0"/>
                <w:sz w:val="24"/>
                <w:highlight w:val="none"/>
              </w:rPr>
            </w:pPr>
          </w:p>
        </w:tc>
        <w:tc>
          <w:tcPr>
            <w:tcW w:w="1359" w:type="dxa"/>
          </w:tcPr>
          <w:p>
            <w:pPr>
              <w:autoSpaceDE w:val="0"/>
              <w:autoSpaceDN w:val="0"/>
              <w:adjustRightInd w:val="0"/>
              <w:snapToGrid w:val="0"/>
              <w:jc w:val="left"/>
              <w:rPr>
                <w:rFonts w:ascii="宋体" w:hAnsi="宋体"/>
                <w:color w:val="auto"/>
                <w:kern w:val="0"/>
                <w:sz w:val="24"/>
                <w:highlight w:val="none"/>
              </w:rPr>
            </w:pPr>
          </w:p>
        </w:tc>
        <w:tc>
          <w:tcPr>
            <w:tcW w:w="1855" w:type="dxa"/>
          </w:tcPr>
          <w:p>
            <w:pPr>
              <w:autoSpaceDE w:val="0"/>
              <w:autoSpaceDN w:val="0"/>
              <w:adjustRightInd w:val="0"/>
              <w:snapToGrid w:val="0"/>
              <w:jc w:val="left"/>
              <w:rPr>
                <w:rFonts w:ascii="宋体" w:hAnsi="宋体"/>
                <w:color w:val="auto"/>
                <w:kern w:val="0"/>
                <w:sz w:val="24"/>
                <w:highlight w:val="none"/>
              </w:rPr>
            </w:pPr>
          </w:p>
        </w:tc>
        <w:tc>
          <w:tcPr>
            <w:tcW w:w="770"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highlight w:val="none"/>
              </w:rPr>
            </w:pPr>
          </w:p>
        </w:tc>
        <w:tc>
          <w:tcPr>
            <w:tcW w:w="1219" w:type="dxa"/>
          </w:tcPr>
          <w:p>
            <w:pPr>
              <w:autoSpaceDE w:val="0"/>
              <w:autoSpaceDN w:val="0"/>
              <w:adjustRightInd w:val="0"/>
              <w:snapToGrid w:val="0"/>
              <w:jc w:val="left"/>
              <w:rPr>
                <w:rFonts w:ascii="宋体" w:hAnsi="宋体"/>
                <w:color w:val="auto"/>
                <w:kern w:val="0"/>
                <w:sz w:val="24"/>
                <w:highlight w:val="none"/>
              </w:rPr>
            </w:pPr>
          </w:p>
        </w:tc>
        <w:tc>
          <w:tcPr>
            <w:tcW w:w="852" w:type="dxa"/>
          </w:tcPr>
          <w:p>
            <w:pPr>
              <w:autoSpaceDE w:val="0"/>
              <w:autoSpaceDN w:val="0"/>
              <w:adjustRightInd w:val="0"/>
              <w:snapToGrid w:val="0"/>
              <w:jc w:val="left"/>
              <w:rPr>
                <w:rFonts w:ascii="宋体" w:hAnsi="宋体"/>
                <w:color w:val="auto"/>
                <w:kern w:val="0"/>
                <w:sz w:val="24"/>
                <w:highlight w:val="none"/>
              </w:rPr>
            </w:pPr>
          </w:p>
        </w:tc>
        <w:tc>
          <w:tcPr>
            <w:tcW w:w="1111" w:type="dxa"/>
          </w:tcPr>
          <w:p>
            <w:pPr>
              <w:autoSpaceDE w:val="0"/>
              <w:autoSpaceDN w:val="0"/>
              <w:adjustRightInd w:val="0"/>
              <w:snapToGrid w:val="0"/>
              <w:jc w:val="left"/>
              <w:rPr>
                <w:rFonts w:ascii="宋体" w:hAnsi="宋体"/>
                <w:color w:val="auto"/>
                <w:kern w:val="0"/>
                <w:sz w:val="24"/>
                <w:highlight w:val="none"/>
              </w:rPr>
            </w:pPr>
          </w:p>
        </w:tc>
        <w:tc>
          <w:tcPr>
            <w:tcW w:w="754" w:type="dxa"/>
          </w:tcPr>
          <w:p>
            <w:pPr>
              <w:autoSpaceDE w:val="0"/>
              <w:autoSpaceDN w:val="0"/>
              <w:adjustRightInd w:val="0"/>
              <w:snapToGrid w:val="0"/>
              <w:jc w:val="left"/>
              <w:rPr>
                <w:rFonts w:ascii="宋体" w:hAnsi="宋体"/>
                <w:color w:val="auto"/>
                <w:kern w:val="0"/>
                <w:sz w:val="24"/>
                <w:highlight w:val="none"/>
              </w:rPr>
            </w:pPr>
          </w:p>
        </w:tc>
        <w:tc>
          <w:tcPr>
            <w:tcW w:w="827" w:type="dxa"/>
          </w:tcPr>
          <w:p>
            <w:pPr>
              <w:autoSpaceDE w:val="0"/>
              <w:autoSpaceDN w:val="0"/>
              <w:adjustRightInd w:val="0"/>
              <w:snapToGrid w:val="0"/>
              <w:jc w:val="left"/>
              <w:rPr>
                <w:rFonts w:ascii="宋体" w:hAnsi="宋体"/>
                <w:color w:val="auto"/>
                <w:kern w:val="0"/>
                <w:sz w:val="24"/>
                <w:highlight w:val="none"/>
              </w:rPr>
            </w:pPr>
          </w:p>
        </w:tc>
        <w:tc>
          <w:tcPr>
            <w:tcW w:w="1359" w:type="dxa"/>
          </w:tcPr>
          <w:p>
            <w:pPr>
              <w:autoSpaceDE w:val="0"/>
              <w:autoSpaceDN w:val="0"/>
              <w:adjustRightInd w:val="0"/>
              <w:snapToGrid w:val="0"/>
              <w:jc w:val="left"/>
              <w:rPr>
                <w:rFonts w:ascii="宋体" w:hAnsi="宋体"/>
                <w:color w:val="auto"/>
                <w:kern w:val="0"/>
                <w:sz w:val="24"/>
                <w:highlight w:val="none"/>
              </w:rPr>
            </w:pPr>
          </w:p>
        </w:tc>
        <w:tc>
          <w:tcPr>
            <w:tcW w:w="1855" w:type="dxa"/>
          </w:tcPr>
          <w:p>
            <w:pPr>
              <w:autoSpaceDE w:val="0"/>
              <w:autoSpaceDN w:val="0"/>
              <w:adjustRightInd w:val="0"/>
              <w:snapToGrid w:val="0"/>
              <w:jc w:val="left"/>
              <w:rPr>
                <w:rFonts w:ascii="宋体" w:hAnsi="宋体"/>
                <w:color w:val="auto"/>
                <w:kern w:val="0"/>
                <w:sz w:val="24"/>
                <w:highlight w:val="none"/>
              </w:rPr>
            </w:pPr>
          </w:p>
        </w:tc>
        <w:tc>
          <w:tcPr>
            <w:tcW w:w="770" w:type="dxa"/>
          </w:tcPr>
          <w:p>
            <w:pPr>
              <w:autoSpaceDE w:val="0"/>
              <w:autoSpaceDN w:val="0"/>
              <w:adjustRightInd w:val="0"/>
              <w:snapToGrid w:val="0"/>
              <w:jc w:val="left"/>
              <w:rPr>
                <w:rFonts w:ascii="宋体" w:hAnsi="宋体"/>
                <w:color w:val="auto"/>
                <w:kern w:val="0"/>
                <w:sz w:val="24"/>
                <w:highlight w:val="none"/>
              </w:rPr>
            </w:pPr>
          </w:p>
        </w:tc>
      </w:tr>
    </w:tbl>
    <w:p>
      <w:pPr>
        <w:spacing w:line="20" w:lineRule="exact"/>
        <w:rPr>
          <w:rFonts w:ascii="宋体" w:hAnsi="宋体"/>
          <w:color w:val="auto"/>
          <w:highlight w:val="none"/>
        </w:rPr>
      </w:pPr>
    </w:p>
    <w:p>
      <w:pPr>
        <w:jc w:val="center"/>
        <w:rPr>
          <w:rFonts w:ascii="宋体" w:hAnsi="宋体"/>
          <w:b/>
          <w:color w:val="auto"/>
          <w:highlight w:val="none"/>
        </w:rPr>
      </w:pPr>
      <w:bookmarkStart w:id="1425" w:name="_Toc430530541"/>
      <w:bookmarkStart w:id="1426" w:name="_Toc277082652"/>
      <w:bookmarkStart w:id="1427" w:name="_Toc224103506"/>
      <w:bookmarkStart w:id="1428" w:name="_Toc287620825"/>
      <w:bookmarkStart w:id="1429" w:name="_Toc287607878"/>
      <w:r>
        <w:rPr>
          <w:rFonts w:ascii="宋体" w:hAnsi="宋体"/>
          <w:color w:val="auto"/>
          <w:sz w:val="28"/>
          <w:highlight w:val="none"/>
        </w:rPr>
        <w:br w:type="page"/>
      </w:r>
      <w:bookmarkStart w:id="1430" w:name="_Toc534185836"/>
      <w:bookmarkStart w:id="1431" w:name="_Toc509218859"/>
      <w:r>
        <w:rPr>
          <w:color w:val="auto"/>
          <w:sz w:val="32"/>
          <w:szCs w:val="32"/>
          <w:highlight w:val="none"/>
        </w:rPr>
        <w:t>附表三：劳动力计划表</w:t>
      </w:r>
      <w:bookmarkEnd w:id="1425"/>
      <w:bookmarkEnd w:id="1426"/>
      <w:bookmarkEnd w:id="1427"/>
      <w:bookmarkEnd w:id="1428"/>
      <w:bookmarkEnd w:id="1429"/>
      <w:bookmarkEnd w:id="1430"/>
      <w:bookmarkEnd w:id="1431"/>
    </w:p>
    <w:p>
      <w:pPr>
        <w:autoSpaceDE w:val="0"/>
        <w:autoSpaceDN w:val="0"/>
        <w:adjustRightInd w:val="0"/>
        <w:snapToGrid w:val="0"/>
        <w:spacing w:line="360" w:lineRule="auto"/>
        <w:ind w:right="210"/>
        <w:jc w:val="right"/>
        <w:rPr>
          <w:rFonts w:ascii="宋体" w:hAnsi="宋体"/>
          <w:color w:val="auto"/>
          <w:kern w:val="0"/>
          <w:szCs w:val="21"/>
          <w:highlight w:val="none"/>
        </w:rPr>
      </w:pPr>
      <w:r>
        <w:rPr>
          <w:rFonts w:ascii="宋体" w:hAnsi="宋体"/>
          <w:color w:val="auto"/>
          <w:kern w:val="0"/>
          <w:szCs w:val="21"/>
          <w:highlight w:val="none"/>
        </w:rPr>
        <w:t>单位：人</w:t>
      </w:r>
    </w:p>
    <w:tbl>
      <w:tblPr>
        <w:tblStyle w:val="45"/>
        <w:tblW w:w="9498"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924"/>
        <w:gridCol w:w="1453"/>
        <w:gridCol w:w="1186"/>
        <w:gridCol w:w="1188"/>
        <w:gridCol w:w="1186"/>
        <w:gridCol w:w="1188"/>
        <w:gridCol w:w="1186"/>
        <w:gridCol w:w="118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restart"/>
            <w:vAlign w:val="center"/>
          </w:tcPr>
          <w:p>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工种</w:t>
            </w:r>
          </w:p>
        </w:tc>
        <w:tc>
          <w:tcPr>
            <w:tcW w:w="8574" w:type="dxa"/>
            <w:gridSpan w:val="7"/>
            <w:vAlign w:val="center"/>
          </w:tcPr>
          <w:p>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按工程施工阶段投入劳动力情况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continue"/>
          </w:tcPr>
          <w:p>
            <w:pPr>
              <w:autoSpaceDE w:val="0"/>
              <w:autoSpaceDN w:val="0"/>
              <w:adjustRightInd w:val="0"/>
              <w:snapToGrid w:val="0"/>
              <w:jc w:val="left"/>
              <w:rPr>
                <w:rFonts w:ascii="宋体" w:hAnsi="宋体"/>
                <w:color w:val="auto"/>
                <w:kern w:val="0"/>
                <w:sz w:val="24"/>
                <w:highlight w:val="none"/>
              </w:rPr>
            </w:pPr>
          </w:p>
        </w:tc>
        <w:tc>
          <w:tcPr>
            <w:tcW w:w="1453"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7"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highlight w:val="none"/>
              </w:rPr>
            </w:pPr>
          </w:p>
        </w:tc>
        <w:tc>
          <w:tcPr>
            <w:tcW w:w="1453"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7"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highlight w:val="none"/>
              </w:rPr>
            </w:pPr>
          </w:p>
        </w:tc>
        <w:tc>
          <w:tcPr>
            <w:tcW w:w="1453"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7"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highlight w:val="none"/>
              </w:rPr>
            </w:pPr>
          </w:p>
        </w:tc>
        <w:tc>
          <w:tcPr>
            <w:tcW w:w="1453"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7"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highlight w:val="none"/>
              </w:rPr>
            </w:pPr>
          </w:p>
        </w:tc>
        <w:tc>
          <w:tcPr>
            <w:tcW w:w="1453"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7"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highlight w:val="none"/>
              </w:rPr>
            </w:pPr>
          </w:p>
        </w:tc>
        <w:tc>
          <w:tcPr>
            <w:tcW w:w="1453"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7"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highlight w:val="none"/>
              </w:rPr>
            </w:pPr>
          </w:p>
        </w:tc>
        <w:tc>
          <w:tcPr>
            <w:tcW w:w="1453"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7"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highlight w:val="none"/>
              </w:rPr>
            </w:pPr>
          </w:p>
        </w:tc>
        <w:tc>
          <w:tcPr>
            <w:tcW w:w="1453"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7"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highlight w:val="none"/>
              </w:rPr>
            </w:pPr>
          </w:p>
        </w:tc>
        <w:tc>
          <w:tcPr>
            <w:tcW w:w="1453"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7"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highlight w:val="none"/>
              </w:rPr>
            </w:pPr>
          </w:p>
        </w:tc>
        <w:tc>
          <w:tcPr>
            <w:tcW w:w="1453"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7"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highlight w:val="none"/>
              </w:rPr>
            </w:pPr>
          </w:p>
        </w:tc>
        <w:tc>
          <w:tcPr>
            <w:tcW w:w="1453"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7"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highlight w:val="none"/>
              </w:rPr>
            </w:pPr>
          </w:p>
        </w:tc>
        <w:tc>
          <w:tcPr>
            <w:tcW w:w="1453"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7"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highlight w:val="none"/>
              </w:rPr>
            </w:pPr>
          </w:p>
        </w:tc>
        <w:tc>
          <w:tcPr>
            <w:tcW w:w="1453"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7"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highlight w:val="none"/>
              </w:rPr>
            </w:pPr>
          </w:p>
        </w:tc>
        <w:tc>
          <w:tcPr>
            <w:tcW w:w="1453"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7"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highlight w:val="none"/>
              </w:rPr>
            </w:pPr>
          </w:p>
        </w:tc>
        <w:tc>
          <w:tcPr>
            <w:tcW w:w="1453"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7"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highlight w:val="none"/>
              </w:rPr>
            </w:pPr>
          </w:p>
        </w:tc>
        <w:tc>
          <w:tcPr>
            <w:tcW w:w="1453"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7"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highlight w:val="none"/>
              </w:rPr>
            </w:pPr>
          </w:p>
        </w:tc>
        <w:tc>
          <w:tcPr>
            <w:tcW w:w="1453"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7"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highlight w:val="none"/>
              </w:rPr>
            </w:pPr>
          </w:p>
        </w:tc>
        <w:tc>
          <w:tcPr>
            <w:tcW w:w="1453"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7"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highlight w:val="none"/>
              </w:rPr>
            </w:pPr>
          </w:p>
        </w:tc>
        <w:tc>
          <w:tcPr>
            <w:tcW w:w="1453"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7"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highlight w:val="none"/>
              </w:rPr>
            </w:pPr>
          </w:p>
        </w:tc>
        <w:tc>
          <w:tcPr>
            <w:tcW w:w="1453"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7"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highlight w:val="none"/>
              </w:rPr>
            </w:pPr>
          </w:p>
        </w:tc>
        <w:tc>
          <w:tcPr>
            <w:tcW w:w="1453"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7"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highlight w:val="none"/>
              </w:rPr>
            </w:pPr>
          </w:p>
        </w:tc>
        <w:tc>
          <w:tcPr>
            <w:tcW w:w="1453"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7"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highlight w:val="none"/>
              </w:rPr>
            </w:pPr>
          </w:p>
        </w:tc>
        <w:tc>
          <w:tcPr>
            <w:tcW w:w="1453"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7"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highlight w:val="none"/>
              </w:rPr>
            </w:pPr>
          </w:p>
        </w:tc>
        <w:tc>
          <w:tcPr>
            <w:tcW w:w="1453"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7"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highlight w:val="none"/>
              </w:rPr>
            </w:pPr>
          </w:p>
        </w:tc>
        <w:tc>
          <w:tcPr>
            <w:tcW w:w="1453"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8" w:type="dxa"/>
          </w:tcPr>
          <w:p>
            <w:pPr>
              <w:autoSpaceDE w:val="0"/>
              <w:autoSpaceDN w:val="0"/>
              <w:adjustRightInd w:val="0"/>
              <w:snapToGrid w:val="0"/>
              <w:jc w:val="left"/>
              <w:rPr>
                <w:rFonts w:ascii="宋体" w:hAnsi="宋体"/>
                <w:color w:val="auto"/>
                <w:kern w:val="0"/>
                <w:sz w:val="24"/>
                <w:highlight w:val="none"/>
              </w:rPr>
            </w:pPr>
          </w:p>
        </w:tc>
        <w:tc>
          <w:tcPr>
            <w:tcW w:w="1186" w:type="dxa"/>
          </w:tcPr>
          <w:p>
            <w:pPr>
              <w:autoSpaceDE w:val="0"/>
              <w:autoSpaceDN w:val="0"/>
              <w:adjustRightInd w:val="0"/>
              <w:snapToGrid w:val="0"/>
              <w:jc w:val="left"/>
              <w:rPr>
                <w:rFonts w:ascii="宋体" w:hAnsi="宋体"/>
                <w:color w:val="auto"/>
                <w:kern w:val="0"/>
                <w:sz w:val="24"/>
                <w:highlight w:val="none"/>
              </w:rPr>
            </w:pPr>
          </w:p>
        </w:tc>
        <w:tc>
          <w:tcPr>
            <w:tcW w:w="1187" w:type="dxa"/>
          </w:tcPr>
          <w:p>
            <w:pPr>
              <w:autoSpaceDE w:val="0"/>
              <w:autoSpaceDN w:val="0"/>
              <w:adjustRightInd w:val="0"/>
              <w:snapToGrid w:val="0"/>
              <w:jc w:val="left"/>
              <w:rPr>
                <w:rFonts w:ascii="宋体" w:hAnsi="宋体"/>
                <w:color w:val="auto"/>
                <w:kern w:val="0"/>
                <w:sz w:val="24"/>
                <w:highlight w:val="none"/>
              </w:rPr>
            </w:pPr>
          </w:p>
        </w:tc>
      </w:tr>
    </w:tbl>
    <w:p>
      <w:pPr>
        <w:autoSpaceDE w:val="0"/>
        <w:autoSpaceDN w:val="0"/>
        <w:adjustRightInd w:val="0"/>
        <w:snapToGrid w:val="0"/>
        <w:spacing w:line="20" w:lineRule="exact"/>
        <w:jc w:val="left"/>
        <w:rPr>
          <w:rFonts w:ascii="宋体" w:hAnsi="宋体"/>
          <w:color w:val="auto"/>
          <w:kern w:val="0"/>
          <w:highlight w:val="none"/>
        </w:rPr>
      </w:pPr>
    </w:p>
    <w:p>
      <w:pPr>
        <w:jc w:val="center"/>
        <w:rPr>
          <w:rFonts w:ascii="宋体" w:hAnsi="宋体"/>
          <w:b/>
          <w:color w:val="auto"/>
          <w:highlight w:val="none"/>
        </w:rPr>
      </w:pPr>
      <w:bookmarkStart w:id="1432" w:name="_Toc430530542"/>
      <w:r>
        <w:rPr>
          <w:rFonts w:ascii="宋体" w:hAnsi="宋体"/>
          <w:color w:val="auto"/>
          <w:sz w:val="28"/>
          <w:highlight w:val="none"/>
        </w:rPr>
        <w:br w:type="page"/>
      </w:r>
      <w:bookmarkStart w:id="1433" w:name="_Toc509218860"/>
      <w:bookmarkStart w:id="1434" w:name="_Toc534185837"/>
      <w:r>
        <w:rPr>
          <w:color w:val="auto"/>
          <w:sz w:val="32"/>
          <w:szCs w:val="32"/>
          <w:highlight w:val="none"/>
        </w:rPr>
        <w:t>附表四：计划开、竣工日期和施工进度网络图</w:t>
      </w:r>
      <w:bookmarkEnd w:id="1412"/>
      <w:bookmarkEnd w:id="1413"/>
      <w:bookmarkEnd w:id="1414"/>
      <w:bookmarkEnd w:id="1415"/>
      <w:bookmarkEnd w:id="1432"/>
      <w:bookmarkEnd w:id="1433"/>
      <w:bookmarkEnd w:id="1434"/>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ind w:firstLine="420"/>
        <w:jc w:val="left"/>
        <w:rPr>
          <w:rFonts w:ascii="宋体" w:hAnsi="宋体"/>
          <w:color w:val="auto"/>
          <w:kern w:val="0"/>
          <w:szCs w:val="21"/>
          <w:highlight w:val="none"/>
        </w:rPr>
      </w:pPr>
      <w:r>
        <w:rPr>
          <w:rFonts w:ascii="宋体" w:hAnsi="宋体"/>
          <w:color w:val="auto"/>
          <w:kern w:val="0"/>
          <w:szCs w:val="21"/>
          <w:highlight w:val="none"/>
        </w:rPr>
        <w:t xml:space="preserve">1. </w:t>
      </w:r>
      <w:r>
        <w:rPr>
          <w:rFonts w:hint="eastAsia" w:ascii="宋体" w:hAnsi="宋体"/>
          <w:color w:val="auto"/>
          <w:spacing w:val="1"/>
          <w:kern w:val="0"/>
          <w:szCs w:val="21"/>
          <w:highlight w:val="none"/>
          <w:lang w:eastAsia="zh-CN"/>
        </w:rPr>
        <w:t>竞选人</w:t>
      </w:r>
      <w:r>
        <w:rPr>
          <w:rFonts w:ascii="宋体" w:hAnsi="宋体"/>
          <w:color w:val="auto"/>
          <w:spacing w:val="2"/>
          <w:kern w:val="0"/>
          <w:szCs w:val="21"/>
          <w:highlight w:val="none"/>
        </w:rPr>
        <w:t>应</w:t>
      </w:r>
      <w:r>
        <w:rPr>
          <w:rFonts w:ascii="宋体" w:hAnsi="宋体"/>
          <w:color w:val="auto"/>
          <w:spacing w:val="1"/>
          <w:kern w:val="0"/>
          <w:szCs w:val="21"/>
          <w:highlight w:val="none"/>
        </w:rPr>
        <w:t>递交</w:t>
      </w:r>
      <w:r>
        <w:rPr>
          <w:rFonts w:ascii="宋体" w:hAnsi="宋体"/>
          <w:color w:val="auto"/>
          <w:spacing w:val="2"/>
          <w:kern w:val="0"/>
          <w:szCs w:val="21"/>
          <w:highlight w:val="none"/>
        </w:rPr>
        <w:t>施</w:t>
      </w:r>
      <w:r>
        <w:rPr>
          <w:rFonts w:ascii="宋体" w:hAnsi="宋体"/>
          <w:color w:val="auto"/>
          <w:spacing w:val="1"/>
          <w:kern w:val="0"/>
          <w:szCs w:val="21"/>
          <w:highlight w:val="none"/>
        </w:rPr>
        <w:t>工</w:t>
      </w:r>
      <w:r>
        <w:rPr>
          <w:rFonts w:ascii="宋体" w:hAnsi="宋体"/>
          <w:color w:val="auto"/>
          <w:spacing w:val="2"/>
          <w:kern w:val="0"/>
          <w:szCs w:val="21"/>
          <w:highlight w:val="none"/>
        </w:rPr>
        <w:t>进</w:t>
      </w:r>
      <w:r>
        <w:rPr>
          <w:rFonts w:ascii="宋体" w:hAnsi="宋体"/>
          <w:color w:val="auto"/>
          <w:spacing w:val="1"/>
          <w:kern w:val="0"/>
          <w:szCs w:val="21"/>
          <w:highlight w:val="none"/>
        </w:rPr>
        <w:t>度网</w:t>
      </w:r>
      <w:r>
        <w:rPr>
          <w:rFonts w:ascii="宋体" w:hAnsi="宋体"/>
          <w:color w:val="auto"/>
          <w:spacing w:val="2"/>
          <w:kern w:val="0"/>
          <w:szCs w:val="21"/>
          <w:highlight w:val="none"/>
        </w:rPr>
        <w:t>络</w:t>
      </w:r>
      <w:r>
        <w:rPr>
          <w:rFonts w:ascii="宋体" w:hAnsi="宋体"/>
          <w:color w:val="auto"/>
          <w:spacing w:val="1"/>
          <w:kern w:val="0"/>
          <w:szCs w:val="21"/>
          <w:highlight w:val="none"/>
        </w:rPr>
        <w:t>图</w:t>
      </w:r>
      <w:r>
        <w:rPr>
          <w:rFonts w:ascii="宋体" w:hAnsi="宋体"/>
          <w:color w:val="auto"/>
          <w:spacing w:val="2"/>
          <w:kern w:val="0"/>
          <w:szCs w:val="21"/>
          <w:highlight w:val="none"/>
        </w:rPr>
        <w:t>或</w:t>
      </w:r>
      <w:r>
        <w:rPr>
          <w:rFonts w:ascii="宋体" w:hAnsi="宋体"/>
          <w:color w:val="auto"/>
          <w:spacing w:val="1"/>
          <w:kern w:val="0"/>
          <w:szCs w:val="21"/>
          <w:highlight w:val="none"/>
        </w:rPr>
        <w:t>施工</w:t>
      </w:r>
      <w:r>
        <w:rPr>
          <w:rFonts w:ascii="宋体" w:hAnsi="宋体"/>
          <w:color w:val="auto"/>
          <w:spacing w:val="2"/>
          <w:kern w:val="0"/>
          <w:szCs w:val="21"/>
          <w:highlight w:val="none"/>
        </w:rPr>
        <w:t>进</w:t>
      </w:r>
      <w:r>
        <w:rPr>
          <w:rFonts w:ascii="宋体" w:hAnsi="宋体"/>
          <w:color w:val="auto"/>
          <w:spacing w:val="1"/>
          <w:kern w:val="0"/>
          <w:szCs w:val="21"/>
          <w:highlight w:val="none"/>
        </w:rPr>
        <w:t>度</w:t>
      </w:r>
      <w:r>
        <w:rPr>
          <w:rFonts w:ascii="宋体" w:hAnsi="宋体"/>
          <w:color w:val="auto"/>
          <w:spacing w:val="2"/>
          <w:kern w:val="0"/>
          <w:szCs w:val="21"/>
          <w:highlight w:val="none"/>
        </w:rPr>
        <w:t>表</w:t>
      </w:r>
      <w:r>
        <w:rPr>
          <w:rFonts w:ascii="宋体" w:hAnsi="宋体"/>
          <w:color w:val="auto"/>
          <w:spacing w:val="1"/>
          <w:kern w:val="0"/>
          <w:szCs w:val="21"/>
          <w:highlight w:val="none"/>
        </w:rPr>
        <w:t>，说</w:t>
      </w:r>
      <w:r>
        <w:rPr>
          <w:rFonts w:ascii="宋体" w:hAnsi="宋体"/>
          <w:color w:val="auto"/>
          <w:spacing w:val="2"/>
          <w:kern w:val="0"/>
          <w:szCs w:val="21"/>
          <w:highlight w:val="none"/>
        </w:rPr>
        <w:t>明</w:t>
      </w:r>
      <w:r>
        <w:rPr>
          <w:rFonts w:ascii="宋体" w:hAnsi="宋体"/>
          <w:color w:val="auto"/>
          <w:spacing w:val="1"/>
          <w:kern w:val="0"/>
          <w:szCs w:val="21"/>
          <w:highlight w:val="none"/>
        </w:rPr>
        <w:t>按</w:t>
      </w:r>
      <w:r>
        <w:rPr>
          <w:rFonts w:ascii="宋体" w:hAnsi="宋体"/>
          <w:color w:val="auto"/>
          <w:spacing w:val="2"/>
          <w:kern w:val="0"/>
          <w:szCs w:val="21"/>
          <w:highlight w:val="none"/>
        </w:rPr>
        <w:t>招</w:t>
      </w:r>
      <w:r>
        <w:rPr>
          <w:rFonts w:ascii="宋体" w:hAnsi="宋体"/>
          <w:color w:val="auto"/>
          <w:spacing w:val="1"/>
          <w:kern w:val="0"/>
          <w:szCs w:val="21"/>
          <w:highlight w:val="none"/>
        </w:rPr>
        <w:t>标文</w:t>
      </w:r>
      <w:r>
        <w:rPr>
          <w:rFonts w:ascii="宋体" w:hAnsi="宋体"/>
          <w:color w:val="auto"/>
          <w:spacing w:val="2"/>
          <w:kern w:val="0"/>
          <w:szCs w:val="21"/>
          <w:highlight w:val="none"/>
        </w:rPr>
        <w:t>件</w:t>
      </w:r>
      <w:r>
        <w:rPr>
          <w:rFonts w:ascii="宋体" w:hAnsi="宋体"/>
          <w:color w:val="auto"/>
          <w:spacing w:val="1"/>
          <w:kern w:val="0"/>
          <w:szCs w:val="21"/>
          <w:highlight w:val="none"/>
        </w:rPr>
        <w:t>要</w:t>
      </w:r>
      <w:r>
        <w:rPr>
          <w:rFonts w:ascii="宋体" w:hAnsi="宋体"/>
          <w:color w:val="auto"/>
          <w:spacing w:val="2"/>
          <w:kern w:val="0"/>
          <w:szCs w:val="21"/>
          <w:highlight w:val="none"/>
        </w:rPr>
        <w:t>求</w:t>
      </w:r>
      <w:r>
        <w:rPr>
          <w:rFonts w:ascii="宋体" w:hAnsi="宋体"/>
          <w:color w:val="auto"/>
          <w:spacing w:val="1"/>
          <w:kern w:val="0"/>
          <w:szCs w:val="21"/>
          <w:highlight w:val="none"/>
        </w:rPr>
        <w:t>的计</w:t>
      </w:r>
      <w:r>
        <w:rPr>
          <w:rFonts w:ascii="宋体" w:hAnsi="宋体"/>
          <w:color w:val="auto"/>
          <w:spacing w:val="2"/>
          <w:kern w:val="0"/>
          <w:szCs w:val="21"/>
          <w:highlight w:val="none"/>
        </w:rPr>
        <w:t>划</w:t>
      </w:r>
      <w:r>
        <w:rPr>
          <w:rFonts w:ascii="宋体" w:hAnsi="宋体"/>
          <w:color w:val="auto"/>
          <w:spacing w:val="1"/>
          <w:kern w:val="0"/>
          <w:szCs w:val="21"/>
          <w:highlight w:val="none"/>
        </w:rPr>
        <w:t>工</w:t>
      </w:r>
      <w:r>
        <w:rPr>
          <w:rFonts w:ascii="宋体" w:hAnsi="宋体"/>
          <w:color w:val="auto"/>
          <w:spacing w:val="4"/>
          <w:kern w:val="0"/>
          <w:szCs w:val="21"/>
          <w:highlight w:val="none"/>
        </w:rPr>
        <w:t>期</w:t>
      </w:r>
      <w:r>
        <w:rPr>
          <w:rFonts w:ascii="宋体" w:hAnsi="宋体"/>
          <w:color w:val="auto"/>
          <w:spacing w:val="2"/>
          <w:kern w:val="0"/>
          <w:szCs w:val="21"/>
          <w:highlight w:val="none"/>
        </w:rPr>
        <w:t>进</w:t>
      </w:r>
      <w:r>
        <w:rPr>
          <w:rFonts w:ascii="宋体" w:hAnsi="宋体"/>
          <w:color w:val="auto"/>
          <w:spacing w:val="1"/>
          <w:kern w:val="0"/>
          <w:szCs w:val="21"/>
          <w:highlight w:val="none"/>
        </w:rPr>
        <w:t>行</w:t>
      </w:r>
      <w:r>
        <w:rPr>
          <w:rFonts w:ascii="宋体" w:hAnsi="宋体"/>
          <w:color w:val="auto"/>
          <w:kern w:val="0"/>
          <w:szCs w:val="21"/>
          <w:highlight w:val="none"/>
        </w:rPr>
        <w:t>施工的各个关键日期。</w:t>
      </w:r>
    </w:p>
    <w:p>
      <w:pPr>
        <w:autoSpaceDE w:val="0"/>
        <w:autoSpaceDN w:val="0"/>
        <w:adjustRightInd w:val="0"/>
        <w:snapToGrid w:val="0"/>
        <w:spacing w:line="360" w:lineRule="auto"/>
        <w:ind w:firstLine="424" w:firstLineChars="202"/>
        <w:jc w:val="left"/>
        <w:rPr>
          <w:rFonts w:ascii="宋体" w:hAnsi="宋体"/>
          <w:color w:val="auto"/>
          <w:kern w:val="0"/>
          <w:szCs w:val="21"/>
          <w:highlight w:val="none"/>
        </w:rPr>
      </w:pPr>
      <w:r>
        <w:rPr>
          <w:rFonts w:ascii="宋体" w:hAnsi="宋体"/>
          <w:color w:val="auto"/>
          <w:kern w:val="0"/>
          <w:szCs w:val="21"/>
          <w:highlight w:val="none"/>
        </w:rPr>
        <w:t>2.施工进</w:t>
      </w:r>
      <w:r>
        <w:rPr>
          <w:rFonts w:ascii="宋体" w:hAnsi="宋体"/>
          <w:color w:val="auto"/>
          <w:spacing w:val="-1"/>
          <w:kern w:val="0"/>
          <w:szCs w:val="21"/>
          <w:highlight w:val="none"/>
        </w:rPr>
        <w:t>度</w:t>
      </w:r>
      <w:r>
        <w:rPr>
          <w:rFonts w:ascii="宋体" w:hAnsi="宋体"/>
          <w:color w:val="auto"/>
          <w:kern w:val="0"/>
          <w:szCs w:val="21"/>
          <w:highlight w:val="none"/>
        </w:rPr>
        <w:t>表可采用网络图（或横道图）表示。</w:t>
      </w:r>
    </w:p>
    <w:p>
      <w:pPr>
        <w:autoSpaceDE w:val="0"/>
        <w:autoSpaceDN w:val="0"/>
        <w:adjustRightInd w:val="0"/>
        <w:snapToGrid w:val="0"/>
        <w:spacing w:line="360" w:lineRule="auto"/>
        <w:jc w:val="left"/>
        <w:rPr>
          <w:rFonts w:ascii="宋体" w:hAnsi="宋体"/>
          <w:color w:val="auto"/>
          <w:kern w:val="0"/>
          <w:sz w:val="24"/>
          <w:highlight w:val="none"/>
        </w:rPr>
      </w:pPr>
    </w:p>
    <w:p>
      <w:pPr>
        <w:jc w:val="center"/>
        <w:rPr>
          <w:rFonts w:ascii="宋体" w:hAnsi="宋体"/>
          <w:color w:val="auto"/>
          <w:sz w:val="28"/>
          <w:highlight w:val="none"/>
        </w:rPr>
      </w:pPr>
      <w:bookmarkStart w:id="1435" w:name="_Toc287607880"/>
      <w:bookmarkStart w:id="1436" w:name="_Toc430530543"/>
      <w:bookmarkStart w:id="1437" w:name="_Toc287620827"/>
      <w:bookmarkStart w:id="1438" w:name="_Toc224103508"/>
      <w:bookmarkStart w:id="1439" w:name="_Toc277082654"/>
      <w:r>
        <w:rPr>
          <w:rFonts w:ascii="宋体" w:hAnsi="宋体"/>
          <w:color w:val="auto"/>
          <w:sz w:val="28"/>
          <w:highlight w:val="none"/>
        </w:rPr>
        <w:br w:type="page"/>
      </w:r>
      <w:bookmarkStart w:id="1440" w:name="_Toc509218861"/>
      <w:bookmarkStart w:id="1441" w:name="_Toc534185838"/>
      <w:r>
        <w:rPr>
          <w:color w:val="auto"/>
          <w:sz w:val="32"/>
          <w:szCs w:val="32"/>
          <w:highlight w:val="none"/>
        </w:rPr>
        <w:t>附表五：施工总平面图</w:t>
      </w:r>
      <w:bookmarkEnd w:id="1435"/>
      <w:bookmarkEnd w:id="1436"/>
      <w:bookmarkEnd w:id="1437"/>
      <w:bookmarkEnd w:id="1438"/>
      <w:bookmarkEnd w:id="1439"/>
      <w:bookmarkEnd w:id="1440"/>
      <w:bookmarkEnd w:id="1441"/>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ind w:firstLine="424" w:firstLineChars="202"/>
        <w:jc w:val="lef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应递交一份施工总平面图</w:t>
      </w:r>
      <w:r>
        <w:rPr>
          <w:rFonts w:ascii="宋体" w:hAnsi="宋体"/>
          <w:color w:val="auto"/>
          <w:spacing w:val="-47"/>
          <w:kern w:val="0"/>
          <w:szCs w:val="21"/>
          <w:highlight w:val="none"/>
        </w:rPr>
        <w:t>，</w:t>
      </w:r>
      <w:r>
        <w:rPr>
          <w:rFonts w:ascii="宋体" w:hAnsi="宋体"/>
          <w:color w:val="auto"/>
          <w:kern w:val="0"/>
          <w:szCs w:val="21"/>
          <w:highlight w:val="none"/>
        </w:rPr>
        <w:t>绘出现场临时设施布置图表并附文字说明</w:t>
      </w:r>
      <w:r>
        <w:rPr>
          <w:rFonts w:ascii="宋体" w:hAnsi="宋体"/>
          <w:color w:val="auto"/>
          <w:spacing w:val="-47"/>
          <w:kern w:val="0"/>
          <w:szCs w:val="21"/>
          <w:highlight w:val="none"/>
        </w:rPr>
        <w:t>，</w:t>
      </w:r>
      <w:r>
        <w:rPr>
          <w:rFonts w:ascii="宋体" w:hAnsi="宋体"/>
          <w:color w:val="auto"/>
          <w:kern w:val="0"/>
          <w:szCs w:val="21"/>
          <w:highlight w:val="none"/>
        </w:rPr>
        <w:t>说明临时 设施</w:t>
      </w:r>
      <w:r>
        <w:rPr>
          <w:rFonts w:ascii="宋体" w:hAnsi="宋体"/>
          <w:color w:val="auto"/>
          <w:spacing w:val="-11"/>
          <w:kern w:val="0"/>
          <w:szCs w:val="21"/>
          <w:highlight w:val="none"/>
        </w:rPr>
        <w:t>、</w:t>
      </w:r>
      <w:r>
        <w:rPr>
          <w:rFonts w:ascii="宋体" w:hAnsi="宋体"/>
          <w:color w:val="auto"/>
          <w:kern w:val="0"/>
          <w:szCs w:val="21"/>
          <w:highlight w:val="none"/>
        </w:rPr>
        <w:t>加工车间</w:t>
      </w:r>
      <w:r>
        <w:rPr>
          <w:rFonts w:ascii="宋体" w:hAnsi="宋体"/>
          <w:color w:val="auto"/>
          <w:spacing w:val="-11"/>
          <w:kern w:val="0"/>
          <w:szCs w:val="21"/>
          <w:highlight w:val="none"/>
        </w:rPr>
        <w:t>、</w:t>
      </w:r>
      <w:r>
        <w:rPr>
          <w:rFonts w:ascii="宋体" w:hAnsi="宋体"/>
          <w:color w:val="auto"/>
          <w:kern w:val="0"/>
          <w:szCs w:val="21"/>
          <w:highlight w:val="none"/>
        </w:rPr>
        <w:t>现场办公</w:t>
      </w:r>
      <w:r>
        <w:rPr>
          <w:rFonts w:ascii="宋体" w:hAnsi="宋体"/>
          <w:color w:val="auto"/>
          <w:spacing w:val="-11"/>
          <w:kern w:val="0"/>
          <w:szCs w:val="21"/>
          <w:highlight w:val="none"/>
        </w:rPr>
        <w:t>、</w:t>
      </w:r>
      <w:r>
        <w:rPr>
          <w:rFonts w:ascii="宋体" w:hAnsi="宋体"/>
          <w:color w:val="auto"/>
          <w:kern w:val="0"/>
          <w:szCs w:val="21"/>
          <w:highlight w:val="none"/>
        </w:rPr>
        <w:t>设备及仓储</w:t>
      </w:r>
      <w:r>
        <w:rPr>
          <w:rFonts w:ascii="宋体" w:hAnsi="宋体"/>
          <w:color w:val="auto"/>
          <w:spacing w:val="-11"/>
          <w:kern w:val="0"/>
          <w:szCs w:val="21"/>
          <w:highlight w:val="none"/>
        </w:rPr>
        <w:t>、</w:t>
      </w:r>
      <w:r>
        <w:rPr>
          <w:rFonts w:ascii="宋体" w:hAnsi="宋体"/>
          <w:color w:val="auto"/>
          <w:kern w:val="0"/>
          <w:szCs w:val="21"/>
          <w:highlight w:val="none"/>
        </w:rPr>
        <w:t>供电</w:t>
      </w:r>
      <w:r>
        <w:rPr>
          <w:rFonts w:ascii="宋体" w:hAnsi="宋体"/>
          <w:color w:val="auto"/>
          <w:spacing w:val="-11"/>
          <w:kern w:val="0"/>
          <w:szCs w:val="21"/>
          <w:highlight w:val="none"/>
        </w:rPr>
        <w:t>、</w:t>
      </w:r>
      <w:r>
        <w:rPr>
          <w:rFonts w:ascii="宋体" w:hAnsi="宋体"/>
          <w:color w:val="auto"/>
          <w:kern w:val="0"/>
          <w:szCs w:val="21"/>
          <w:highlight w:val="none"/>
        </w:rPr>
        <w:t>供水</w:t>
      </w:r>
      <w:r>
        <w:rPr>
          <w:rFonts w:ascii="宋体" w:hAnsi="宋体"/>
          <w:color w:val="auto"/>
          <w:spacing w:val="-10"/>
          <w:kern w:val="0"/>
          <w:szCs w:val="21"/>
          <w:highlight w:val="none"/>
        </w:rPr>
        <w:t>、</w:t>
      </w:r>
      <w:r>
        <w:rPr>
          <w:rFonts w:ascii="宋体" w:hAnsi="宋体"/>
          <w:color w:val="auto"/>
          <w:kern w:val="0"/>
          <w:szCs w:val="21"/>
          <w:highlight w:val="none"/>
        </w:rPr>
        <w:t>卫生</w:t>
      </w:r>
      <w:r>
        <w:rPr>
          <w:rFonts w:ascii="宋体" w:hAnsi="宋体"/>
          <w:color w:val="auto"/>
          <w:spacing w:val="-11"/>
          <w:kern w:val="0"/>
          <w:szCs w:val="21"/>
          <w:highlight w:val="none"/>
        </w:rPr>
        <w:t>、</w:t>
      </w:r>
      <w:r>
        <w:rPr>
          <w:rFonts w:ascii="宋体" w:hAnsi="宋体"/>
          <w:color w:val="auto"/>
          <w:kern w:val="0"/>
          <w:szCs w:val="21"/>
          <w:highlight w:val="none"/>
        </w:rPr>
        <w:t>生活</w:t>
      </w:r>
      <w:r>
        <w:rPr>
          <w:rFonts w:ascii="宋体" w:hAnsi="宋体"/>
          <w:color w:val="auto"/>
          <w:spacing w:val="-11"/>
          <w:kern w:val="0"/>
          <w:szCs w:val="21"/>
          <w:highlight w:val="none"/>
        </w:rPr>
        <w:t>、</w:t>
      </w:r>
      <w:r>
        <w:rPr>
          <w:rFonts w:ascii="宋体" w:hAnsi="宋体"/>
          <w:color w:val="auto"/>
          <w:kern w:val="0"/>
          <w:szCs w:val="21"/>
          <w:highlight w:val="none"/>
        </w:rPr>
        <w:t>道路</w:t>
      </w:r>
      <w:r>
        <w:rPr>
          <w:rFonts w:ascii="宋体" w:hAnsi="宋体"/>
          <w:color w:val="auto"/>
          <w:spacing w:val="-11"/>
          <w:kern w:val="0"/>
          <w:szCs w:val="21"/>
          <w:highlight w:val="none"/>
        </w:rPr>
        <w:t>、</w:t>
      </w:r>
      <w:r>
        <w:rPr>
          <w:rFonts w:ascii="宋体" w:hAnsi="宋体"/>
          <w:color w:val="auto"/>
          <w:spacing w:val="1"/>
          <w:kern w:val="0"/>
          <w:szCs w:val="21"/>
          <w:highlight w:val="none"/>
        </w:rPr>
        <w:t>消</w:t>
      </w:r>
      <w:r>
        <w:rPr>
          <w:rFonts w:ascii="宋体" w:hAnsi="宋体"/>
          <w:color w:val="auto"/>
          <w:kern w:val="0"/>
          <w:szCs w:val="21"/>
          <w:highlight w:val="none"/>
        </w:rPr>
        <w:t>防等设施的情况和布置。</w:t>
      </w:r>
    </w:p>
    <w:p>
      <w:pPr>
        <w:autoSpaceDE w:val="0"/>
        <w:autoSpaceDN w:val="0"/>
        <w:adjustRightInd w:val="0"/>
        <w:snapToGrid w:val="0"/>
        <w:spacing w:line="360" w:lineRule="auto"/>
        <w:jc w:val="left"/>
        <w:rPr>
          <w:rFonts w:ascii="宋体" w:hAnsi="宋体"/>
          <w:color w:val="auto"/>
          <w:kern w:val="0"/>
          <w:szCs w:val="21"/>
          <w:highlight w:val="none"/>
        </w:rPr>
      </w:pPr>
      <w:r>
        <w:rPr>
          <w:rFonts w:ascii="宋体" w:hAnsi="宋体"/>
          <w:color w:val="auto"/>
          <w:kern w:val="0"/>
          <w:szCs w:val="21"/>
          <w:highlight w:val="none"/>
        </w:rPr>
        <w:br w:type="page"/>
      </w:r>
    </w:p>
    <w:p>
      <w:pPr>
        <w:jc w:val="center"/>
        <w:rPr>
          <w:color w:val="auto"/>
          <w:sz w:val="32"/>
          <w:szCs w:val="32"/>
          <w:highlight w:val="none"/>
        </w:rPr>
      </w:pPr>
      <w:bookmarkStart w:id="1442" w:name="_Toc509218862"/>
      <w:bookmarkStart w:id="1443" w:name="_Toc277082655"/>
      <w:bookmarkStart w:id="1444" w:name="_Toc430530544"/>
      <w:bookmarkStart w:id="1445" w:name="_Toc287620828"/>
      <w:bookmarkStart w:id="1446" w:name="_Toc534185839"/>
      <w:bookmarkStart w:id="1447" w:name="_Toc287607881"/>
      <w:bookmarkStart w:id="1448" w:name="_Toc224103509"/>
      <w:r>
        <w:rPr>
          <w:rFonts w:hint="eastAsia"/>
          <w:color w:val="auto"/>
          <w:sz w:val="32"/>
          <w:szCs w:val="32"/>
          <w:highlight w:val="none"/>
        </w:rPr>
        <w:t>附表六：临时用地表</w:t>
      </w:r>
      <w:bookmarkEnd w:id="1442"/>
      <w:bookmarkEnd w:id="1443"/>
      <w:bookmarkEnd w:id="1444"/>
      <w:bookmarkEnd w:id="1445"/>
      <w:bookmarkEnd w:id="1446"/>
      <w:bookmarkEnd w:id="1447"/>
      <w:bookmarkEnd w:id="1448"/>
    </w:p>
    <w:tbl>
      <w:tblPr>
        <w:tblStyle w:val="45"/>
        <w:tblW w:w="952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2381"/>
        <w:gridCol w:w="2381"/>
        <w:gridCol w:w="2383"/>
        <w:gridCol w:w="238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vAlign w:val="center"/>
          </w:tcPr>
          <w:p>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用 途</w:t>
            </w:r>
          </w:p>
        </w:tc>
        <w:tc>
          <w:tcPr>
            <w:tcW w:w="2381" w:type="dxa"/>
            <w:vAlign w:val="center"/>
          </w:tcPr>
          <w:p>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面 积（平</w:t>
            </w:r>
            <w:r>
              <w:rPr>
                <w:rFonts w:ascii="宋体" w:hAnsi="宋体"/>
                <w:color w:val="auto"/>
                <w:spacing w:val="-1"/>
                <w:kern w:val="0"/>
                <w:szCs w:val="21"/>
                <w:highlight w:val="none"/>
              </w:rPr>
              <w:t>方</w:t>
            </w:r>
            <w:r>
              <w:rPr>
                <w:rFonts w:ascii="宋体" w:hAnsi="宋体"/>
                <w:color w:val="auto"/>
                <w:kern w:val="0"/>
                <w:szCs w:val="21"/>
                <w:highlight w:val="none"/>
              </w:rPr>
              <w:t>米）</w:t>
            </w:r>
          </w:p>
        </w:tc>
        <w:tc>
          <w:tcPr>
            <w:tcW w:w="2383" w:type="dxa"/>
            <w:vAlign w:val="center"/>
          </w:tcPr>
          <w:p>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位 置</w:t>
            </w:r>
          </w:p>
        </w:tc>
        <w:tc>
          <w:tcPr>
            <w:tcW w:w="2384" w:type="dxa"/>
            <w:vAlign w:val="center"/>
          </w:tcPr>
          <w:p>
            <w:pPr>
              <w:autoSpaceDE w:val="0"/>
              <w:autoSpaceDN w:val="0"/>
              <w:adjustRightInd w:val="0"/>
              <w:snapToGrid w:val="0"/>
              <w:jc w:val="center"/>
              <w:rPr>
                <w:rFonts w:ascii="宋体" w:hAnsi="宋体"/>
                <w:color w:val="auto"/>
                <w:kern w:val="0"/>
                <w:sz w:val="24"/>
                <w:highlight w:val="none"/>
              </w:rPr>
            </w:pPr>
            <w:r>
              <w:rPr>
                <w:rFonts w:ascii="宋体" w:hAnsi="宋体"/>
                <w:color w:val="auto"/>
                <w:kern w:val="0"/>
                <w:szCs w:val="21"/>
                <w:highlight w:val="none"/>
              </w:rPr>
              <w:t>需用时间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highlight w:val="none"/>
              </w:rPr>
            </w:pPr>
          </w:p>
        </w:tc>
        <w:tc>
          <w:tcPr>
            <w:tcW w:w="2381" w:type="dxa"/>
          </w:tcPr>
          <w:p>
            <w:pPr>
              <w:autoSpaceDE w:val="0"/>
              <w:autoSpaceDN w:val="0"/>
              <w:adjustRightInd w:val="0"/>
              <w:snapToGrid w:val="0"/>
              <w:jc w:val="left"/>
              <w:rPr>
                <w:rFonts w:ascii="宋体" w:hAnsi="宋体"/>
                <w:color w:val="auto"/>
                <w:kern w:val="0"/>
                <w:sz w:val="24"/>
                <w:highlight w:val="none"/>
              </w:rPr>
            </w:pPr>
          </w:p>
        </w:tc>
        <w:tc>
          <w:tcPr>
            <w:tcW w:w="2383" w:type="dxa"/>
          </w:tcPr>
          <w:p>
            <w:pPr>
              <w:autoSpaceDE w:val="0"/>
              <w:autoSpaceDN w:val="0"/>
              <w:adjustRightInd w:val="0"/>
              <w:snapToGrid w:val="0"/>
              <w:jc w:val="left"/>
              <w:rPr>
                <w:rFonts w:ascii="宋体" w:hAnsi="宋体"/>
                <w:color w:val="auto"/>
                <w:kern w:val="0"/>
                <w:sz w:val="24"/>
                <w:highlight w:val="none"/>
              </w:rPr>
            </w:pPr>
          </w:p>
        </w:tc>
        <w:tc>
          <w:tcPr>
            <w:tcW w:w="2384"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highlight w:val="none"/>
              </w:rPr>
            </w:pPr>
          </w:p>
        </w:tc>
        <w:tc>
          <w:tcPr>
            <w:tcW w:w="2381" w:type="dxa"/>
          </w:tcPr>
          <w:p>
            <w:pPr>
              <w:autoSpaceDE w:val="0"/>
              <w:autoSpaceDN w:val="0"/>
              <w:adjustRightInd w:val="0"/>
              <w:snapToGrid w:val="0"/>
              <w:jc w:val="left"/>
              <w:rPr>
                <w:rFonts w:ascii="宋体" w:hAnsi="宋体"/>
                <w:color w:val="auto"/>
                <w:kern w:val="0"/>
                <w:sz w:val="24"/>
                <w:highlight w:val="none"/>
              </w:rPr>
            </w:pPr>
          </w:p>
        </w:tc>
        <w:tc>
          <w:tcPr>
            <w:tcW w:w="2383" w:type="dxa"/>
          </w:tcPr>
          <w:p>
            <w:pPr>
              <w:autoSpaceDE w:val="0"/>
              <w:autoSpaceDN w:val="0"/>
              <w:adjustRightInd w:val="0"/>
              <w:snapToGrid w:val="0"/>
              <w:jc w:val="left"/>
              <w:rPr>
                <w:rFonts w:ascii="宋体" w:hAnsi="宋体"/>
                <w:color w:val="auto"/>
                <w:kern w:val="0"/>
                <w:sz w:val="24"/>
                <w:highlight w:val="none"/>
              </w:rPr>
            </w:pPr>
          </w:p>
        </w:tc>
        <w:tc>
          <w:tcPr>
            <w:tcW w:w="2384"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highlight w:val="none"/>
              </w:rPr>
            </w:pPr>
          </w:p>
        </w:tc>
        <w:tc>
          <w:tcPr>
            <w:tcW w:w="2381" w:type="dxa"/>
          </w:tcPr>
          <w:p>
            <w:pPr>
              <w:autoSpaceDE w:val="0"/>
              <w:autoSpaceDN w:val="0"/>
              <w:adjustRightInd w:val="0"/>
              <w:snapToGrid w:val="0"/>
              <w:jc w:val="left"/>
              <w:rPr>
                <w:rFonts w:ascii="宋体" w:hAnsi="宋体"/>
                <w:color w:val="auto"/>
                <w:kern w:val="0"/>
                <w:sz w:val="24"/>
                <w:highlight w:val="none"/>
              </w:rPr>
            </w:pPr>
          </w:p>
        </w:tc>
        <w:tc>
          <w:tcPr>
            <w:tcW w:w="2383" w:type="dxa"/>
          </w:tcPr>
          <w:p>
            <w:pPr>
              <w:autoSpaceDE w:val="0"/>
              <w:autoSpaceDN w:val="0"/>
              <w:adjustRightInd w:val="0"/>
              <w:snapToGrid w:val="0"/>
              <w:jc w:val="left"/>
              <w:rPr>
                <w:rFonts w:ascii="宋体" w:hAnsi="宋体"/>
                <w:color w:val="auto"/>
                <w:kern w:val="0"/>
                <w:sz w:val="24"/>
                <w:highlight w:val="none"/>
              </w:rPr>
            </w:pPr>
          </w:p>
        </w:tc>
        <w:tc>
          <w:tcPr>
            <w:tcW w:w="2384"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highlight w:val="none"/>
              </w:rPr>
            </w:pPr>
          </w:p>
        </w:tc>
        <w:tc>
          <w:tcPr>
            <w:tcW w:w="2381" w:type="dxa"/>
          </w:tcPr>
          <w:p>
            <w:pPr>
              <w:autoSpaceDE w:val="0"/>
              <w:autoSpaceDN w:val="0"/>
              <w:adjustRightInd w:val="0"/>
              <w:snapToGrid w:val="0"/>
              <w:jc w:val="left"/>
              <w:rPr>
                <w:rFonts w:ascii="宋体" w:hAnsi="宋体"/>
                <w:color w:val="auto"/>
                <w:kern w:val="0"/>
                <w:sz w:val="24"/>
                <w:highlight w:val="none"/>
              </w:rPr>
            </w:pPr>
          </w:p>
        </w:tc>
        <w:tc>
          <w:tcPr>
            <w:tcW w:w="2383" w:type="dxa"/>
          </w:tcPr>
          <w:p>
            <w:pPr>
              <w:autoSpaceDE w:val="0"/>
              <w:autoSpaceDN w:val="0"/>
              <w:adjustRightInd w:val="0"/>
              <w:snapToGrid w:val="0"/>
              <w:jc w:val="left"/>
              <w:rPr>
                <w:rFonts w:ascii="宋体" w:hAnsi="宋体"/>
                <w:color w:val="auto"/>
                <w:kern w:val="0"/>
                <w:sz w:val="24"/>
                <w:highlight w:val="none"/>
              </w:rPr>
            </w:pPr>
          </w:p>
        </w:tc>
        <w:tc>
          <w:tcPr>
            <w:tcW w:w="2384"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highlight w:val="none"/>
              </w:rPr>
            </w:pPr>
          </w:p>
        </w:tc>
        <w:tc>
          <w:tcPr>
            <w:tcW w:w="2381" w:type="dxa"/>
          </w:tcPr>
          <w:p>
            <w:pPr>
              <w:autoSpaceDE w:val="0"/>
              <w:autoSpaceDN w:val="0"/>
              <w:adjustRightInd w:val="0"/>
              <w:snapToGrid w:val="0"/>
              <w:jc w:val="left"/>
              <w:rPr>
                <w:rFonts w:ascii="宋体" w:hAnsi="宋体"/>
                <w:color w:val="auto"/>
                <w:kern w:val="0"/>
                <w:sz w:val="24"/>
                <w:highlight w:val="none"/>
              </w:rPr>
            </w:pPr>
          </w:p>
        </w:tc>
        <w:tc>
          <w:tcPr>
            <w:tcW w:w="2383" w:type="dxa"/>
          </w:tcPr>
          <w:p>
            <w:pPr>
              <w:autoSpaceDE w:val="0"/>
              <w:autoSpaceDN w:val="0"/>
              <w:adjustRightInd w:val="0"/>
              <w:snapToGrid w:val="0"/>
              <w:jc w:val="left"/>
              <w:rPr>
                <w:rFonts w:ascii="宋体" w:hAnsi="宋体"/>
                <w:color w:val="auto"/>
                <w:kern w:val="0"/>
                <w:sz w:val="24"/>
                <w:highlight w:val="none"/>
              </w:rPr>
            </w:pPr>
          </w:p>
        </w:tc>
        <w:tc>
          <w:tcPr>
            <w:tcW w:w="2384"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highlight w:val="none"/>
              </w:rPr>
            </w:pPr>
          </w:p>
        </w:tc>
        <w:tc>
          <w:tcPr>
            <w:tcW w:w="2381" w:type="dxa"/>
          </w:tcPr>
          <w:p>
            <w:pPr>
              <w:autoSpaceDE w:val="0"/>
              <w:autoSpaceDN w:val="0"/>
              <w:adjustRightInd w:val="0"/>
              <w:snapToGrid w:val="0"/>
              <w:jc w:val="left"/>
              <w:rPr>
                <w:rFonts w:ascii="宋体" w:hAnsi="宋体"/>
                <w:color w:val="auto"/>
                <w:kern w:val="0"/>
                <w:sz w:val="24"/>
                <w:highlight w:val="none"/>
              </w:rPr>
            </w:pPr>
          </w:p>
        </w:tc>
        <w:tc>
          <w:tcPr>
            <w:tcW w:w="2383" w:type="dxa"/>
          </w:tcPr>
          <w:p>
            <w:pPr>
              <w:autoSpaceDE w:val="0"/>
              <w:autoSpaceDN w:val="0"/>
              <w:adjustRightInd w:val="0"/>
              <w:snapToGrid w:val="0"/>
              <w:jc w:val="left"/>
              <w:rPr>
                <w:rFonts w:ascii="宋体" w:hAnsi="宋体"/>
                <w:color w:val="auto"/>
                <w:kern w:val="0"/>
                <w:sz w:val="24"/>
                <w:highlight w:val="none"/>
              </w:rPr>
            </w:pPr>
          </w:p>
        </w:tc>
        <w:tc>
          <w:tcPr>
            <w:tcW w:w="2384"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highlight w:val="none"/>
              </w:rPr>
            </w:pPr>
          </w:p>
        </w:tc>
        <w:tc>
          <w:tcPr>
            <w:tcW w:w="2381" w:type="dxa"/>
          </w:tcPr>
          <w:p>
            <w:pPr>
              <w:autoSpaceDE w:val="0"/>
              <w:autoSpaceDN w:val="0"/>
              <w:adjustRightInd w:val="0"/>
              <w:snapToGrid w:val="0"/>
              <w:jc w:val="left"/>
              <w:rPr>
                <w:rFonts w:ascii="宋体" w:hAnsi="宋体"/>
                <w:color w:val="auto"/>
                <w:kern w:val="0"/>
                <w:sz w:val="24"/>
                <w:highlight w:val="none"/>
              </w:rPr>
            </w:pPr>
          </w:p>
        </w:tc>
        <w:tc>
          <w:tcPr>
            <w:tcW w:w="2383" w:type="dxa"/>
          </w:tcPr>
          <w:p>
            <w:pPr>
              <w:autoSpaceDE w:val="0"/>
              <w:autoSpaceDN w:val="0"/>
              <w:adjustRightInd w:val="0"/>
              <w:snapToGrid w:val="0"/>
              <w:jc w:val="left"/>
              <w:rPr>
                <w:rFonts w:ascii="宋体" w:hAnsi="宋体"/>
                <w:color w:val="auto"/>
                <w:kern w:val="0"/>
                <w:sz w:val="24"/>
                <w:highlight w:val="none"/>
              </w:rPr>
            </w:pPr>
          </w:p>
        </w:tc>
        <w:tc>
          <w:tcPr>
            <w:tcW w:w="2384"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highlight w:val="none"/>
              </w:rPr>
            </w:pPr>
          </w:p>
        </w:tc>
        <w:tc>
          <w:tcPr>
            <w:tcW w:w="2381" w:type="dxa"/>
          </w:tcPr>
          <w:p>
            <w:pPr>
              <w:autoSpaceDE w:val="0"/>
              <w:autoSpaceDN w:val="0"/>
              <w:adjustRightInd w:val="0"/>
              <w:snapToGrid w:val="0"/>
              <w:jc w:val="left"/>
              <w:rPr>
                <w:rFonts w:ascii="宋体" w:hAnsi="宋体"/>
                <w:color w:val="auto"/>
                <w:kern w:val="0"/>
                <w:sz w:val="24"/>
                <w:highlight w:val="none"/>
              </w:rPr>
            </w:pPr>
          </w:p>
        </w:tc>
        <w:tc>
          <w:tcPr>
            <w:tcW w:w="2383" w:type="dxa"/>
          </w:tcPr>
          <w:p>
            <w:pPr>
              <w:autoSpaceDE w:val="0"/>
              <w:autoSpaceDN w:val="0"/>
              <w:adjustRightInd w:val="0"/>
              <w:snapToGrid w:val="0"/>
              <w:jc w:val="left"/>
              <w:rPr>
                <w:rFonts w:ascii="宋体" w:hAnsi="宋体"/>
                <w:color w:val="auto"/>
                <w:kern w:val="0"/>
                <w:sz w:val="24"/>
                <w:highlight w:val="none"/>
              </w:rPr>
            </w:pPr>
          </w:p>
        </w:tc>
        <w:tc>
          <w:tcPr>
            <w:tcW w:w="2384"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highlight w:val="none"/>
              </w:rPr>
            </w:pPr>
          </w:p>
        </w:tc>
        <w:tc>
          <w:tcPr>
            <w:tcW w:w="2381" w:type="dxa"/>
          </w:tcPr>
          <w:p>
            <w:pPr>
              <w:autoSpaceDE w:val="0"/>
              <w:autoSpaceDN w:val="0"/>
              <w:adjustRightInd w:val="0"/>
              <w:snapToGrid w:val="0"/>
              <w:jc w:val="left"/>
              <w:rPr>
                <w:rFonts w:ascii="宋体" w:hAnsi="宋体"/>
                <w:color w:val="auto"/>
                <w:kern w:val="0"/>
                <w:sz w:val="24"/>
                <w:highlight w:val="none"/>
              </w:rPr>
            </w:pPr>
          </w:p>
        </w:tc>
        <w:tc>
          <w:tcPr>
            <w:tcW w:w="2383" w:type="dxa"/>
          </w:tcPr>
          <w:p>
            <w:pPr>
              <w:autoSpaceDE w:val="0"/>
              <w:autoSpaceDN w:val="0"/>
              <w:adjustRightInd w:val="0"/>
              <w:snapToGrid w:val="0"/>
              <w:jc w:val="left"/>
              <w:rPr>
                <w:rFonts w:ascii="宋体" w:hAnsi="宋体"/>
                <w:color w:val="auto"/>
                <w:kern w:val="0"/>
                <w:sz w:val="24"/>
                <w:highlight w:val="none"/>
              </w:rPr>
            </w:pPr>
          </w:p>
        </w:tc>
        <w:tc>
          <w:tcPr>
            <w:tcW w:w="2384"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highlight w:val="none"/>
              </w:rPr>
            </w:pPr>
          </w:p>
        </w:tc>
        <w:tc>
          <w:tcPr>
            <w:tcW w:w="2381" w:type="dxa"/>
          </w:tcPr>
          <w:p>
            <w:pPr>
              <w:autoSpaceDE w:val="0"/>
              <w:autoSpaceDN w:val="0"/>
              <w:adjustRightInd w:val="0"/>
              <w:snapToGrid w:val="0"/>
              <w:jc w:val="left"/>
              <w:rPr>
                <w:rFonts w:ascii="宋体" w:hAnsi="宋体"/>
                <w:color w:val="auto"/>
                <w:kern w:val="0"/>
                <w:sz w:val="24"/>
                <w:highlight w:val="none"/>
              </w:rPr>
            </w:pPr>
          </w:p>
        </w:tc>
        <w:tc>
          <w:tcPr>
            <w:tcW w:w="2383" w:type="dxa"/>
          </w:tcPr>
          <w:p>
            <w:pPr>
              <w:autoSpaceDE w:val="0"/>
              <w:autoSpaceDN w:val="0"/>
              <w:adjustRightInd w:val="0"/>
              <w:snapToGrid w:val="0"/>
              <w:jc w:val="left"/>
              <w:rPr>
                <w:rFonts w:ascii="宋体" w:hAnsi="宋体"/>
                <w:color w:val="auto"/>
                <w:kern w:val="0"/>
                <w:sz w:val="24"/>
                <w:highlight w:val="none"/>
              </w:rPr>
            </w:pPr>
          </w:p>
        </w:tc>
        <w:tc>
          <w:tcPr>
            <w:tcW w:w="2384"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highlight w:val="none"/>
              </w:rPr>
            </w:pPr>
          </w:p>
        </w:tc>
        <w:tc>
          <w:tcPr>
            <w:tcW w:w="2381" w:type="dxa"/>
          </w:tcPr>
          <w:p>
            <w:pPr>
              <w:autoSpaceDE w:val="0"/>
              <w:autoSpaceDN w:val="0"/>
              <w:adjustRightInd w:val="0"/>
              <w:snapToGrid w:val="0"/>
              <w:jc w:val="left"/>
              <w:rPr>
                <w:rFonts w:ascii="宋体" w:hAnsi="宋体"/>
                <w:color w:val="auto"/>
                <w:kern w:val="0"/>
                <w:sz w:val="24"/>
                <w:highlight w:val="none"/>
              </w:rPr>
            </w:pPr>
          </w:p>
        </w:tc>
        <w:tc>
          <w:tcPr>
            <w:tcW w:w="2383" w:type="dxa"/>
          </w:tcPr>
          <w:p>
            <w:pPr>
              <w:autoSpaceDE w:val="0"/>
              <w:autoSpaceDN w:val="0"/>
              <w:adjustRightInd w:val="0"/>
              <w:snapToGrid w:val="0"/>
              <w:jc w:val="left"/>
              <w:rPr>
                <w:rFonts w:ascii="宋体" w:hAnsi="宋体"/>
                <w:color w:val="auto"/>
                <w:kern w:val="0"/>
                <w:sz w:val="24"/>
                <w:highlight w:val="none"/>
              </w:rPr>
            </w:pPr>
          </w:p>
        </w:tc>
        <w:tc>
          <w:tcPr>
            <w:tcW w:w="2384"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highlight w:val="none"/>
              </w:rPr>
            </w:pPr>
          </w:p>
        </w:tc>
        <w:tc>
          <w:tcPr>
            <w:tcW w:w="2381" w:type="dxa"/>
          </w:tcPr>
          <w:p>
            <w:pPr>
              <w:autoSpaceDE w:val="0"/>
              <w:autoSpaceDN w:val="0"/>
              <w:adjustRightInd w:val="0"/>
              <w:snapToGrid w:val="0"/>
              <w:jc w:val="left"/>
              <w:rPr>
                <w:rFonts w:ascii="宋体" w:hAnsi="宋体"/>
                <w:color w:val="auto"/>
                <w:kern w:val="0"/>
                <w:sz w:val="24"/>
                <w:highlight w:val="none"/>
              </w:rPr>
            </w:pPr>
          </w:p>
        </w:tc>
        <w:tc>
          <w:tcPr>
            <w:tcW w:w="2383" w:type="dxa"/>
          </w:tcPr>
          <w:p>
            <w:pPr>
              <w:autoSpaceDE w:val="0"/>
              <w:autoSpaceDN w:val="0"/>
              <w:adjustRightInd w:val="0"/>
              <w:snapToGrid w:val="0"/>
              <w:jc w:val="left"/>
              <w:rPr>
                <w:rFonts w:ascii="宋体" w:hAnsi="宋体"/>
                <w:color w:val="auto"/>
                <w:kern w:val="0"/>
                <w:sz w:val="24"/>
                <w:highlight w:val="none"/>
              </w:rPr>
            </w:pPr>
          </w:p>
        </w:tc>
        <w:tc>
          <w:tcPr>
            <w:tcW w:w="2384"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highlight w:val="none"/>
              </w:rPr>
            </w:pPr>
          </w:p>
        </w:tc>
        <w:tc>
          <w:tcPr>
            <w:tcW w:w="2381" w:type="dxa"/>
          </w:tcPr>
          <w:p>
            <w:pPr>
              <w:autoSpaceDE w:val="0"/>
              <w:autoSpaceDN w:val="0"/>
              <w:adjustRightInd w:val="0"/>
              <w:snapToGrid w:val="0"/>
              <w:jc w:val="left"/>
              <w:rPr>
                <w:rFonts w:ascii="宋体" w:hAnsi="宋体"/>
                <w:color w:val="auto"/>
                <w:kern w:val="0"/>
                <w:sz w:val="24"/>
                <w:highlight w:val="none"/>
              </w:rPr>
            </w:pPr>
          </w:p>
        </w:tc>
        <w:tc>
          <w:tcPr>
            <w:tcW w:w="2383" w:type="dxa"/>
          </w:tcPr>
          <w:p>
            <w:pPr>
              <w:autoSpaceDE w:val="0"/>
              <w:autoSpaceDN w:val="0"/>
              <w:adjustRightInd w:val="0"/>
              <w:snapToGrid w:val="0"/>
              <w:jc w:val="left"/>
              <w:rPr>
                <w:rFonts w:ascii="宋体" w:hAnsi="宋体"/>
                <w:color w:val="auto"/>
                <w:kern w:val="0"/>
                <w:sz w:val="24"/>
                <w:highlight w:val="none"/>
              </w:rPr>
            </w:pPr>
          </w:p>
        </w:tc>
        <w:tc>
          <w:tcPr>
            <w:tcW w:w="2384"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highlight w:val="none"/>
              </w:rPr>
            </w:pPr>
          </w:p>
        </w:tc>
        <w:tc>
          <w:tcPr>
            <w:tcW w:w="2381" w:type="dxa"/>
          </w:tcPr>
          <w:p>
            <w:pPr>
              <w:autoSpaceDE w:val="0"/>
              <w:autoSpaceDN w:val="0"/>
              <w:adjustRightInd w:val="0"/>
              <w:snapToGrid w:val="0"/>
              <w:jc w:val="left"/>
              <w:rPr>
                <w:rFonts w:ascii="宋体" w:hAnsi="宋体"/>
                <w:color w:val="auto"/>
                <w:kern w:val="0"/>
                <w:sz w:val="24"/>
                <w:highlight w:val="none"/>
              </w:rPr>
            </w:pPr>
          </w:p>
        </w:tc>
        <w:tc>
          <w:tcPr>
            <w:tcW w:w="2383" w:type="dxa"/>
          </w:tcPr>
          <w:p>
            <w:pPr>
              <w:autoSpaceDE w:val="0"/>
              <w:autoSpaceDN w:val="0"/>
              <w:adjustRightInd w:val="0"/>
              <w:snapToGrid w:val="0"/>
              <w:jc w:val="left"/>
              <w:rPr>
                <w:rFonts w:ascii="宋体" w:hAnsi="宋体"/>
                <w:color w:val="auto"/>
                <w:kern w:val="0"/>
                <w:sz w:val="24"/>
                <w:highlight w:val="none"/>
              </w:rPr>
            </w:pPr>
          </w:p>
        </w:tc>
        <w:tc>
          <w:tcPr>
            <w:tcW w:w="2384"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highlight w:val="none"/>
              </w:rPr>
            </w:pPr>
          </w:p>
        </w:tc>
        <w:tc>
          <w:tcPr>
            <w:tcW w:w="2381" w:type="dxa"/>
          </w:tcPr>
          <w:p>
            <w:pPr>
              <w:autoSpaceDE w:val="0"/>
              <w:autoSpaceDN w:val="0"/>
              <w:adjustRightInd w:val="0"/>
              <w:snapToGrid w:val="0"/>
              <w:jc w:val="left"/>
              <w:rPr>
                <w:rFonts w:ascii="宋体" w:hAnsi="宋体"/>
                <w:color w:val="auto"/>
                <w:kern w:val="0"/>
                <w:sz w:val="24"/>
                <w:highlight w:val="none"/>
              </w:rPr>
            </w:pPr>
          </w:p>
        </w:tc>
        <w:tc>
          <w:tcPr>
            <w:tcW w:w="2383" w:type="dxa"/>
          </w:tcPr>
          <w:p>
            <w:pPr>
              <w:autoSpaceDE w:val="0"/>
              <w:autoSpaceDN w:val="0"/>
              <w:adjustRightInd w:val="0"/>
              <w:snapToGrid w:val="0"/>
              <w:jc w:val="left"/>
              <w:rPr>
                <w:rFonts w:ascii="宋体" w:hAnsi="宋体"/>
                <w:color w:val="auto"/>
                <w:kern w:val="0"/>
                <w:sz w:val="24"/>
                <w:highlight w:val="none"/>
              </w:rPr>
            </w:pPr>
          </w:p>
        </w:tc>
        <w:tc>
          <w:tcPr>
            <w:tcW w:w="2384"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highlight w:val="none"/>
              </w:rPr>
            </w:pPr>
          </w:p>
        </w:tc>
        <w:tc>
          <w:tcPr>
            <w:tcW w:w="2381" w:type="dxa"/>
          </w:tcPr>
          <w:p>
            <w:pPr>
              <w:autoSpaceDE w:val="0"/>
              <w:autoSpaceDN w:val="0"/>
              <w:adjustRightInd w:val="0"/>
              <w:snapToGrid w:val="0"/>
              <w:jc w:val="left"/>
              <w:rPr>
                <w:rFonts w:ascii="宋体" w:hAnsi="宋体"/>
                <w:color w:val="auto"/>
                <w:kern w:val="0"/>
                <w:sz w:val="24"/>
                <w:highlight w:val="none"/>
              </w:rPr>
            </w:pPr>
          </w:p>
        </w:tc>
        <w:tc>
          <w:tcPr>
            <w:tcW w:w="2383" w:type="dxa"/>
          </w:tcPr>
          <w:p>
            <w:pPr>
              <w:autoSpaceDE w:val="0"/>
              <w:autoSpaceDN w:val="0"/>
              <w:adjustRightInd w:val="0"/>
              <w:snapToGrid w:val="0"/>
              <w:jc w:val="left"/>
              <w:rPr>
                <w:rFonts w:ascii="宋体" w:hAnsi="宋体"/>
                <w:color w:val="auto"/>
                <w:kern w:val="0"/>
                <w:sz w:val="24"/>
                <w:highlight w:val="none"/>
              </w:rPr>
            </w:pPr>
          </w:p>
        </w:tc>
        <w:tc>
          <w:tcPr>
            <w:tcW w:w="2384"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highlight w:val="none"/>
              </w:rPr>
            </w:pPr>
          </w:p>
        </w:tc>
        <w:tc>
          <w:tcPr>
            <w:tcW w:w="2381" w:type="dxa"/>
          </w:tcPr>
          <w:p>
            <w:pPr>
              <w:autoSpaceDE w:val="0"/>
              <w:autoSpaceDN w:val="0"/>
              <w:adjustRightInd w:val="0"/>
              <w:snapToGrid w:val="0"/>
              <w:jc w:val="left"/>
              <w:rPr>
                <w:rFonts w:ascii="宋体" w:hAnsi="宋体"/>
                <w:color w:val="auto"/>
                <w:kern w:val="0"/>
                <w:sz w:val="24"/>
                <w:highlight w:val="none"/>
              </w:rPr>
            </w:pPr>
          </w:p>
        </w:tc>
        <w:tc>
          <w:tcPr>
            <w:tcW w:w="2383" w:type="dxa"/>
          </w:tcPr>
          <w:p>
            <w:pPr>
              <w:autoSpaceDE w:val="0"/>
              <w:autoSpaceDN w:val="0"/>
              <w:adjustRightInd w:val="0"/>
              <w:snapToGrid w:val="0"/>
              <w:jc w:val="left"/>
              <w:rPr>
                <w:rFonts w:ascii="宋体" w:hAnsi="宋体"/>
                <w:color w:val="auto"/>
                <w:kern w:val="0"/>
                <w:sz w:val="24"/>
                <w:highlight w:val="none"/>
              </w:rPr>
            </w:pPr>
          </w:p>
        </w:tc>
        <w:tc>
          <w:tcPr>
            <w:tcW w:w="2384"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highlight w:val="none"/>
              </w:rPr>
            </w:pPr>
          </w:p>
        </w:tc>
        <w:tc>
          <w:tcPr>
            <w:tcW w:w="2381" w:type="dxa"/>
          </w:tcPr>
          <w:p>
            <w:pPr>
              <w:autoSpaceDE w:val="0"/>
              <w:autoSpaceDN w:val="0"/>
              <w:adjustRightInd w:val="0"/>
              <w:snapToGrid w:val="0"/>
              <w:jc w:val="left"/>
              <w:rPr>
                <w:rFonts w:ascii="宋体" w:hAnsi="宋体"/>
                <w:color w:val="auto"/>
                <w:kern w:val="0"/>
                <w:sz w:val="24"/>
                <w:highlight w:val="none"/>
              </w:rPr>
            </w:pPr>
          </w:p>
        </w:tc>
        <w:tc>
          <w:tcPr>
            <w:tcW w:w="2383" w:type="dxa"/>
          </w:tcPr>
          <w:p>
            <w:pPr>
              <w:autoSpaceDE w:val="0"/>
              <w:autoSpaceDN w:val="0"/>
              <w:adjustRightInd w:val="0"/>
              <w:snapToGrid w:val="0"/>
              <w:jc w:val="left"/>
              <w:rPr>
                <w:rFonts w:ascii="宋体" w:hAnsi="宋体"/>
                <w:color w:val="auto"/>
                <w:kern w:val="0"/>
                <w:sz w:val="24"/>
                <w:highlight w:val="none"/>
              </w:rPr>
            </w:pPr>
          </w:p>
        </w:tc>
        <w:tc>
          <w:tcPr>
            <w:tcW w:w="2384"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highlight w:val="none"/>
              </w:rPr>
            </w:pPr>
          </w:p>
        </w:tc>
        <w:tc>
          <w:tcPr>
            <w:tcW w:w="2381" w:type="dxa"/>
          </w:tcPr>
          <w:p>
            <w:pPr>
              <w:autoSpaceDE w:val="0"/>
              <w:autoSpaceDN w:val="0"/>
              <w:adjustRightInd w:val="0"/>
              <w:snapToGrid w:val="0"/>
              <w:jc w:val="left"/>
              <w:rPr>
                <w:rFonts w:ascii="宋体" w:hAnsi="宋体"/>
                <w:color w:val="auto"/>
                <w:kern w:val="0"/>
                <w:sz w:val="24"/>
                <w:highlight w:val="none"/>
              </w:rPr>
            </w:pPr>
          </w:p>
        </w:tc>
        <w:tc>
          <w:tcPr>
            <w:tcW w:w="2383" w:type="dxa"/>
          </w:tcPr>
          <w:p>
            <w:pPr>
              <w:autoSpaceDE w:val="0"/>
              <w:autoSpaceDN w:val="0"/>
              <w:adjustRightInd w:val="0"/>
              <w:snapToGrid w:val="0"/>
              <w:jc w:val="left"/>
              <w:rPr>
                <w:rFonts w:ascii="宋体" w:hAnsi="宋体"/>
                <w:color w:val="auto"/>
                <w:kern w:val="0"/>
                <w:sz w:val="24"/>
                <w:highlight w:val="none"/>
              </w:rPr>
            </w:pPr>
          </w:p>
        </w:tc>
        <w:tc>
          <w:tcPr>
            <w:tcW w:w="2384"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highlight w:val="none"/>
              </w:rPr>
            </w:pPr>
          </w:p>
        </w:tc>
        <w:tc>
          <w:tcPr>
            <w:tcW w:w="2381" w:type="dxa"/>
          </w:tcPr>
          <w:p>
            <w:pPr>
              <w:autoSpaceDE w:val="0"/>
              <w:autoSpaceDN w:val="0"/>
              <w:adjustRightInd w:val="0"/>
              <w:snapToGrid w:val="0"/>
              <w:jc w:val="left"/>
              <w:rPr>
                <w:rFonts w:ascii="宋体" w:hAnsi="宋体"/>
                <w:color w:val="auto"/>
                <w:kern w:val="0"/>
                <w:sz w:val="24"/>
                <w:highlight w:val="none"/>
              </w:rPr>
            </w:pPr>
          </w:p>
        </w:tc>
        <w:tc>
          <w:tcPr>
            <w:tcW w:w="2383" w:type="dxa"/>
          </w:tcPr>
          <w:p>
            <w:pPr>
              <w:autoSpaceDE w:val="0"/>
              <w:autoSpaceDN w:val="0"/>
              <w:adjustRightInd w:val="0"/>
              <w:snapToGrid w:val="0"/>
              <w:jc w:val="left"/>
              <w:rPr>
                <w:rFonts w:ascii="宋体" w:hAnsi="宋体"/>
                <w:color w:val="auto"/>
                <w:kern w:val="0"/>
                <w:sz w:val="24"/>
                <w:highlight w:val="none"/>
              </w:rPr>
            </w:pPr>
          </w:p>
        </w:tc>
        <w:tc>
          <w:tcPr>
            <w:tcW w:w="2384"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highlight w:val="none"/>
              </w:rPr>
            </w:pPr>
          </w:p>
        </w:tc>
        <w:tc>
          <w:tcPr>
            <w:tcW w:w="2381" w:type="dxa"/>
          </w:tcPr>
          <w:p>
            <w:pPr>
              <w:autoSpaceDE w:val="0"/>
              <w:autoSpaceDN w:val="0"/>
              <w:adjustRightInd w:val="0"/>
              <w:snapToGrid w:val="0"/>
              <w:jc w:val="left"/>
              <w:rPr>
                <w:rFonts w:ascii="宋体" w:hAnsi="宋体"/>
                <w:color w:val="auto"/>
                <w:kern w:val="0"/>
                <w:sz w:val="24"/>
                <w:highlight w:val="none"/>
              </w:rPr>
            </w:pPr>
          </w:p>
        </w:tc>
        <w:tc>
          <w:tcPr>
            <w:tcW w:w="2383" w:type="dxa"/>
          </w:tcPr>
          <w:p>
            <w:pPr>
              <w:autoSpaceDE w:val="0"/>
              <w:autoSpaceDN w:val="0"/>
              <w:adjustRightInd w:val="0"/>
              <w:snapToGrid w:val="0"/>
              <w:jc w:val="left"/>
              <w:rPr>
                <w:rFonts w:ascii="宋体" w:hAnsi="宋体"/>
                <w:color w:val="auto"/>
                <w:kern w:val="0"/>
                <w:sz w:val="24"/>
                <w:highlight w:val="none"/>
              </w:rPr>
            </w:pPr>
          </w:p>
        </w:tc>
        <w:tc>
          <w:tcPr>
            <w:tcW w:w="2384" w:type="dxa"/>
          </w:tcPr>
          <w:p>
            <w:pPr>
              <w:autoSpaceDE w:val="0"/>
              <w:autoSpaceDN w:val="0"/>
              <w:adjustRightInd w:val="0"/>
              <w:snapToGrid w:val="0"/>
              <w:jc w:val="left"/>
              <w:rPr>
                <w:rFonts w:ascii="宋体" w:hAnsi="宋体"/>
                <w:color w:val="auto"/>
                <w:kern w:val="0"/>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highlight w:val="none"/>
              </w:rPr>
            </w:pPr>
          </w:p>
        </w:tc>
        <w:tc>
          <w:tcPr>
            <w:tcW w:w="2381" w:type="dxa"/>
          </w:tcPr>
          <w:p>
            <w:pPr>
              <w:autoSpaceDE w:val="0"/>
              <w:autoSpaceDN w:val="0"/>
              <w:adjustRightInd w:val="0"/>
              <w:snapToGrid w:val="0"/>
              <w:jc w:val="left"/>
              <w:rPr>
                <w:rFonts w:ascii="宋体" w:hAnsi="宋体"/>
                <w:color w:val="auto"/>
                <w:kern w:val="0"/>
                <w:sz w:val="24"/>
                <w:highlight w:val="none"/>
              </w:rPr>
            </w:pPr>
          </w:p>
        </w:tc>
        <w:tc>
          <w:tcPr>
            <w:tcW w:w="2383" w:type="dxa"/>
          </w:tcPr>
          <w:p>
            <w:pPr>
              <w:autoSpaceDE w:val="0"/>
              <w:autoSpaceDN w:val="0"/>
              <w:adjustRightInd w:val="0"/>
              <w:snapToGrid w:val="0"/>
              <w:jc w:val="left"/>
              <w:rPr>
                <w:rFonts w:ascii="宋体" w:hAnsi="宋体"/>
                <w:color w:val="auto"/>
                <w:kern w:val="0"/>
                <w:sz w:val="24"/>
                <w:highlight w:val="none"/>
              </w:rPr>
            </w:pPr>
          </w:p>
        </w:tc>
        <w:tc>
          <w:tcPr>
            <w:tcW w:w="2384" w:type="dxa"/>
          </w:tcPr>
          <w:p>
            <w:pPr>
              <w:autoSpaceDE w:val="0"/>
              <w:autoSpaceDN w:val="0"/>
              <w:adjustRightInd w:val="0"/>
              <w:snapToGrid w:val="0"/>
              <w:jc w:val="left"/>
              <w:rPr>
                <w:rFonts w:ascii="宋体" w:hAnsi="宋体"/>
                <w:color w:val="auto"/>
                <w:kern w:val="0"/>
                <w:sz w:val="24"/>
                <w:highlight w:val="none"/>
              </w:rPr>
            </w:pPr>
          </w:p>
        </w:tc>
      </w:tr>
    </w:tbl>
    <w:p>
      <w:pPr>
        <w:autoSpaceDE w:val="0"/>
        <w:autoSpaceDN w:val="0"/>
        <w:adjustRightInd w:val="0"/>
        <w:snapToGrid w:val="0"/>
        <w:spacing w:line="20" w:lineRule="exact"/>
        <w:jc w:val="left"/>
        <w:rPr>
          <w:rFonts w:ascii="宋体" w:hAnsi="宋体"/>
          <w:color w:val="auto"/>
          <w:kern w:val="0"/>
          <w:highlight w:val="none"/>
        </w:rPr>
      </w:pPr>
    </w:p>
    <w:p>
      <w:pPr>
        <w:autoSpaceDE w:val="0"/>
        <w:autoSpaceDN w:val="0"/>
        <w:adjustRightInd w:val="0"/>
        <w:snapToGrid w:val="0"/>
        <w:spacing w:line="360" w:lineRule="auto"/>
        <w:jc w:val="center"/>
        <w:rPr>
          <w:rFonts w:ascii="宋体" w:hAnsi="宋体"/>
          <w:color w:val="auto"/>
          <w:sz w:val="36"/>
          <w:szCs w:val="36"/>
          <w:highlight w:val="none"/>
        </w:rPr>
      </w:pPr>
      <w:r>
        <w:rPr>
          <w:rFonts w:ascii="宋体" w:hAnsi="宋体"/>
          <w:color w:val="auto"/>
          <w:sz w:val="36"/>
          <w:szCs w:val="36"/>
          <w:highlight w:val="none"/>
        </w:rPr>
        <w:br w:type="page"/>
      </w:r>
    </w:p>
    <w:p>
      <w:pPr>
        <w:pStyle w:val="4"/>
        <w:spacing w:line="360" w:lineRule="auto"/>
        <w:jc w:val="center"/>
        <w:rPr>
          <w:rFonts w:ascii="宋体" w:hAnsi="宋体"/>
          <w:b w:val="0"/>
          <w:bCs w:val="0"/>
          <w:color w:val="auto"/>
          <w:sz w:val="44"/>
          <w:szCs w:val="44"/>
          <w:highlight w:val="none"/>
        </w:rPr>
      </w:pPr>
      <w:bookmarkStart w:id="1449" w:name="_Toc287620829"/>
      <w:bookmarkStart w:id="1450" w:name="_Toc277082656"/>
      <w:bookmarkStart w:id="1451" w:name="_Toc430530545"/>
      <w:bookmarkStart w:id="1452" w:name="_Toc287607882"/>
      <w:bookmarkStart w:id="1453" w:name="_Toc224103510"/>
      <w:bookmarkStart w:id="1454" w:name="_Toc27141"/>
      <w:bookmarkStart w:id="1455" w:name="_Toc20341"/>
      <w:r>
        <w:rPr>
          <w:rFonts w:hint="eastAsia" w:ascii="宋体" w:hAnsi="宋体"/>
          <w:b w:val="0"/>
          <w:bCs w:val="0"/>
          <w:color w:val="auto"/>
          <w:sz w:val="44"/>
          <w:szCs w:val="44"/>
          <w:highlight w:val="none"/>
          <w:lang w:val="en-US" w:eastAsia="zh-CN"/>
        </w:rPr>
        <w:t>四</w:t>
      </w:r>
      <w:r>
        <w:rPr>
          <w:rFonts w:hint="eastAsia" w:ascii="宋体" w:hAnsi="宋体"/>
          <w:b w:val="0"/>
          <w:bCs w:val="0"/>
          <w:color w:val="auto"/>
          <w:sz w:val="44"/>
          <w:szCs w:val="44"/>
          <w:highlight w:val="none"/>
        </w:rPr>
        <w:t>、</w:t>
      </w:r>
      <w:bookmarkEnd w:id="1449"/>
      <w:bookmarkEnd w:id="1450"/>
      <w:bookmarkEnd w:id="1451"/>
      <w:bookmarkEnd w:id="1452"/>
      <w:bookmarkEnd w:id="1453"/>
      <w:r>
        <w:rPr>
          <w:rFonts w:hint="eastAsia" w:ascii="宋体" w:hAnsi="宋体"/>
          <w:b w:val="0"/>
          <w:bCs w:val="0"/>
          <w:color w:val="auto"/>
          <w:sz w:val="44"/>
          <w:szCs w:val="44"/>
          <w:highlight w:val="none"/>
        </w:rPr>
        <w:t>资格审查部分</w:t>
      </w:r>
      <w:bookmarkEnd w:id="1454"/>
      <w:bookmarkEnd w:id="1455"/>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r>
        <w:rPr>
          <w:rFonts w:ascii="宋体" w:hAnsi="宋体"/>
          <w:color w:val="auto"/>
          <w:sz w:val="32"/>
          <w:szCs w:val="32"/>
          <w:highlight w:val="none"/>
        </w:rPr>
        <w:br w:type="page"/>
      </w:r>
    </w:p>
    <w:p>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pPr>
        <w:autoSpaceDE w:val="0"/>
        <w:autoSpaceDN w:val="0"/>
        <w:adjustRightInd w:val="0"/>
        <w:snapToGrid w:val="0"/>
        <w:spacing w:line="360" w:lineRule="auto"/>
        <w:jc w:val="left"/>
        <w:rPr>
          <w:rFonts w:ascii="宋体" w:hAnsi="宋体"/>
          <w:color w:val="auto"/>
          <w:kern w:val="0"/>
          <w:sz w:val="16"/>
          <w:szCs w:val="16"/>
          <w:highlight w:val="none"/>
        </w:rPr>
      </w:pP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资格审查部分</w:t>
      </w: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djustRightInd w:val="0"/>
        <w:snapToGrid w:val="0"/>
        <w:spacing w:line="264" w:lineRule="auto"/>
        <w:rPr>
          <w:rFonts w:ascii="宋体" w:hAnsi="宋体"/>
          <w:color w:val="auto"/>
          <w:szCs w:val="21"/>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eastAsia="zh-CN"/>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pPr>
        <w:autoSpaceDE w:val="0"/>
        <w:autoSpaceDN w:val="0"/>
        <w:adjustRightInd w:val="0"/>
        <w:snapToGrid w:val="0"/>
        <w:jc w:val="center"/>
        <w:rPr>
          <w:rFonts w:hint="eastAsia" w:ascii="宋体" w:hAnsi="宋体"/>
          <w:color w:val="auto"/>
          <w:kern w:val="0"/>
          <w:sz w:val="36"/>
          <w:szCs w:val="36"/>
          <w:highlight w:val="none"/>
        </w:rPr>
      </w:pPr>
    </w:p>
    <w:p>
      <w:pPr>
        <w:autoSpaceDE w:val="0"/>
        <w:autoSpaceDN w:val="0"/>
        <w:adjustRightInd w:val="0"/>
        <w:snapToGrid w:val="0"/>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pPr>
        <w:spacing w:line="360" w:lineRule="auto"/>
        <w:jc w:val="center"/>
        <w:rPr>
          <w:rFonts w:ascii="宋体" w:hAnsi="宋体"/>
          <w:b/>
          <w:color w:val="auto"/>
          <w:kern w:val="0"/>
          <w:sz w:val="32"/>
          <w:szCs w:val="32"/>
          <w:highlight w:val="none"/>
        </w:rPr>
      </w:pPr>
    </w:p>
    <w:p>
      <w:pPr>
        <w:spacing w:line="360" w:lineRule="auto"/>
        <w:ind w:firstLine="420" w:firstLineChars="200"/>
        <w:rPr>
          <w:rFonts w:ascii="宋体" w:hAnsi="宋体"/>
          <w:color w:val="auto"/>
          <w:highlight w:val="none"/>
        </w:rPr>
      </w:pPr>
      <w:r>
        <w:rPr>
          <w:rFonts w:ascii="宋体" w:hAnsi="宋体"/>
          <w:color w:val="auto"/>
          <w:highlight w:val="none"/>
        </w:rPr>
        <w:t>（一）</w:t>
      </w:r>
      <w:r>
        <w:rPr>
          <w:rFonts w:hint="eastAsia" w:ascii="宋体" w:hAnsi="宋体"/>
          <w:color w:val="auto"/>
          <w:highlight w:val="none"/>
        </w:rPr>
        <w:t>法定代表人身份证明或附有法定代表人身份证明的授权委托书</w:t>
      </w:r>
    </w:p>
    <w:p>
      <w:pPr>
        <w:spacing w:line="360" w:lineRule="auto"/>
        <w:ind w:firstLine="420" w:firstLineChars="200"/>
        <w:rPr>
          <w:rFonts w:ascii="宋体" w:hAnsi="宋体"/>
          <w:color w:val="auto"/>
          <w:highlight w:val="none"/>
        </w:rPr>
      </w:pPr>
      <w:r>
        <w:rPr>
          <w:rFonts w:ascii="宋体" w:hAnsi="宋体"/>
          <w:color w:val="auto"/>
          <w:highlight w:val="none"/>
        </w:rPr>
        <w:t>（二）</w:t>
      </w:r>
      <w:r>
        <w:rPr>
          <w:rFonts w:hint="eastAsia" w:ascii="宋体" w:hAnsi="宋体"/>
          <w:color w:val="auto"/>
          <w:highlight w:val="none"/>
          <w:lang w:eastAsia="zh-CN"/>
        </w:rPr>
        <w:t>竞选人</w:t>
      </w:r>
      <w:r>
        <w:rPr>
          <w:rFonts w:ascii="宋体" w:hAnsi="宋体"/>
          <w:color w:val="auto"/>
          <w:highlight w:val="none"/>
        </w:rPr>
        <w:t>基本情况表</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三</w:t>
      </w:r>
      <w:r>
        <w:rPr>
          <w:rFonts w:ascii="宋体" w:hAnsi="宋体"/>
          <w:color w:val="auto"/>
          <w:highlight w:val="none"/>
        </w:rPr>
        <w:t>）项目管理机构</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四</w:t>
      </w:r>
      <w:r>
        <w:rPr>
          <w:rFonts w:ascii="宋体" w:hAnsi="宋体"/>
          <w:color w:val="auto"/>
          <w:highlight w:val="none"/>
        </w:rPr>
        <w:t>）近年财务状况表</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五</w:t>
      </w:r>
      <w:r>
        <w:rPr>
          <w:rFonts w:ascii="宋体" w:hAnsi="宋体"/>
          <w:color w:val="auto"/>
          <w:highlight w:val="none"/>
        </w:rPr>
        <w:t>）类似项目情况表</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六</w:t>
      </w:r>
      <w:r>
        <w:rPr>
          <w:rFonts w:ascii="宋体" w:hAnsi="宋体"/>
          <w:color w:val="auto"/>
          <w:highlight w:val="none"/>
        </w:rPr>
        <w:t>）</w:t>
      </w:r>
      <w:r>
        <w:rPr>
          <w:rFonts w:hint="eastAsia" w:ascii="宋体" w:hAnsi="宋体"/>
          <w:color w:val="auto"/>
          <w:highlight w:val="none"/>
        </w:rPr>
        <w:t>承诺</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七</w:t>
      </w:r>
      <w:r>
        <w:rPr>
          <w:rFonts w:ascii="宋体" w:hAnsi="宋体"/>
          <w:color w:val="auto"/>
          <w:highlight w:val="none"/>
        </w:rPr>
        <w:t>）其他资料</w:t>
      </w:r>
    </w:p>
    <w:p>
      <w:pPr>
        <w:spacing w:line="360" w:lineRule="auto"/>
        <w:jc w:val="center"/>
        <w:rPr>
          <w:rFonts w:ascii="宋体" w:hAnsi="宋体"/>
          <w:b/>
          <w:color w:val="auto"/>
          <w:kern w:val="0"/>
          <w:sz w:val="32"/>
          <w:szCs w:val="32"/>
          <w:highlight w:val="none"/>
        </w:rPr>
      </w:pPr>
    </w:p>
    <w:p>
      <w:pPr>
        <w:spacing w:line="360" w:lineRule="auto"/>
        <w:jc w:val="center"/>
        <w:rPr>
          <w:rFonts w:ascii="宋体" w:hAnsi="宋体"/>
          <w:b/>
          <w:color w:val="auto"/>
          <w:kern w:val="0"/>
          <w:sz w:val="32"/>
          <w:szCs w:val="32"/>
          <w:highlight w:val="none"/>
        </w:rPr>
      </w:pPr>
    </w:p>
    <w:p>
      <w:pPr>
        <w:pStyle w:val="5"/>
        <w:jc w:val="center"/>
        <w:rPr>
          <w:rFonts w:ascii="宋体" w:hAnsi="宋体"/>
          <w:snapToGrid w:val="0"/>
          <w:color w:val="auto"/>
          <w:kern w:val="0"/>
          <w:sz w:val="30"/>
          <w:szCs w:val="30"/>
          <w:highlight w:val="none"/>
        </w:rPr>
      </w:pPr>
      <w:r>
        <w:rPr>
          <w:rFonts w:ascii="宋体" w:hAnsi="宋体"/>
          <w:color w:val="auto"/>
          <w:highlight w:val="none"/>
        </w:rPr>
        <w:br w:type="page"/>
      </w:r>
      <w:bookmarkStart w:id="1456" w:name="_Toc5633"/>
      <w:bookmarkStart w:id="1457" w:name="_Toc25741"/>
      <w:bookmarkStart w:id="1458" w:name="_Toc277082657"/>
      <w:bookmarkStart w:id="1459" w:name="_Toc287607883"/>
      <w:bookmarkStart w:id="1460" w:name="_Toc430530546"/>
      <w:bookmarkStart w:id="1461" w:name="_Toc287620830"/>
      <w:bookmarkStart w:id="1462" w:name="_Toc224103511"/>
      <w:r>
        <w:rPr>
          <w:color w:val="auto"/>
          <w:sz w:val="30"/>
          <w:szCs w:val="30"/>
          <w:highlight w:val="none"/>
        </w:rPr>
        <w:t>（一）</w:t>
      </w:r>
      <w:r>
        <w:rPr>
          <w:rFonts w:hint="eastAsia"/>
          <w:color w:val="auto"/>
          <w:sz w:val="30"/>
          <w:szCs w:val="30"/>
          <w:highlight w:val="none"/>
        </w:rPr>
        <w:t>法定代表人身份证明或附有法定代表人身份证明的授权委托书</w:t>
      </w:r>
      <w:bookmarkEnd w:id="1456"/>
      <w:bookmarkEnd w:id="1457"/>
    </w:p>
    <w:p>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pPr>
        <w:spacing w:line="480" w:lineRule="auto"/>
        <w:jc w:val="center"/>
        <w:rPr>
          <w:rFonts w:ascii="宋体" w:hAnsi="宋体"/>
          <w:color w:val="auto"/>
          <w:highlight w:val="none"/>
        </w:rPr>
      </w:pPr>
    </w:p>
    <w:p>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pPr>
        <w:autoSpaceDE w:val="0"/>
        <w:autoSpaceDN w:val="0"/>
        <w:adjustRightInd w:val="0"/>
        <w:snapToGrid w:val="0"/>
        <w:spacing w:line="360" w:lineRule="auto"/>
        <w:jc w:val="left"/>
        <w:rPr>
          <w:rFonts w:ascii="宋体" w:hAnsi="宋体"/>
          <w:color w:val="auto"/>
          <w:szCs w:val="21"/>
          <w:highlight w:val="none"/>
        </w:rPr>
      </w:pPr>
    </w:p>
    <w:p>
      <w:pPr>
        <w:pStyle w:val="2"/>
        <w:spacing w:after="0" w:line="360" w:lineRule="auto"/>
        <w:rPr>
          <w:rFonts w:ascii="宋体" w:hAnsi="宋体"/>
          <w:color w:val="auto"/>
          <w:szCs w:val="21"/>
          <w:highlight w:val="none"/>
        </w:rPr>
      </w:pPr>
    </w:p>
    <w:p>
      <w:pPr>
        <w:pStyle w:val="2"/>
        <w:spacing w:after="0" w:line="360" w:lineRule="auto"/>
        <w:rPr>
          <w:rFonts w:ascii="宋体" w:hAnsi="宋体"/>
          <w:color w:val="auto"/>
          <w:szCs w:val="21"/>
          <w:highlight w:val="none"/>
        </w:rPr>
      </w:pPr>
    </w:p>
    <w:p>
      <w:pPr>
        <w:pStyle w:val="2"/>
        <w:spacing w:after="0" w:line="360" w:lineRule="auto"/>
        <w:rPr>
          <w:rFonts w:ascii="宋体" w:hAnsi="宋体"/>
          <w:color w:val="auto"/>
          <w:szCs w:val="21"/>
          <w:highlight w:val="none"/>
        </w:rPr>
      </w:pPr>
    </w:p>
    <w:p>
      <w:pPr>
        <w:pStyle w:val="2"/>
        <w:spacing w:after="0" w:line="360" w:lineRule="auto"/>
        <w:rPr>
          <w:rFonts w:ascii="宋体" w:hAnsi="宋体"/>
          <w:color w:val="auto"/>
          <w:szCs w:val="21"/>
          <w:highlight w:val="none"/>
        </w:rPr>
      </w:pPr>
    </w:p>
    <w:p>
      <w:pPr>
        <w:pStyle w:val="2"/>
        <w:spacing w:after="0" w:line="360" w:lineRule="auto"/>
        <w:rPr>
          <w:rFonts w:ascii="宋体" w:hAnsi="宋体"/>
          <w:color w:val="auto"/>
          <w:szCs w:val="21"/>
          <w:highlight w:val="none"/>
        </w:rPr>
      </w:pPr>
    </w:p>
    <w:p>
      <w:pPr>
        <w:autoSpaceDE w:val="0"/>
        <w:autoSpaceDN w:val="0"/>
        <w:adjustRightInd w:val="0"/>
        <w:snapToGrid w:val="0"/>
        <w:spacing w:line="480" w:lineRule="auto"/>
        <w:ind w:firstLine="810" w:firstLineChars="386"/>
        <w:jc w:val="righ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r>
        <w:rPr>
          <w:color w:val="auto"/>
          <w:highlight w:val="none"/>
        </w:rPr>
        <w:t>注：法定代表人身份证明需按上述格式填写完整，不可缺少内容。在此基础上增加内容的不影响其有效性</w:t>
      </w:r>
      <w:bookmarkEnd w:id="1458"/>
      <w:bookmarkEnd w:id="1459"/>
      <w:bookmarkEnd w:id="1460"/>
      <w:bookmarkEnd w:id="1461"/>
      <w:bookmarkEnd w:id="1462"/>
      <w:r>
        <w:rPr>
          <w:rFonts w:hint="eastAsia" w:ascii="宋体" w:hAnsi="宋体"/>
          <w:color w:val="auto"/>
          <w:kern w:val="0"/>
          <w:szCs w:val="21"/>
          <w:highlight w:val="none"/>
        </w:rPr>
        <w:t>。</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lang w:eastAsia="zh-CN"/>
        </w:rPr>
        <w:t>竞选文件</w:t>
      </w:r>
      <w:r>
        <w:rPr>
          <w:rFonts w:ascii="宋体" w:hAnsi="宋体"/>
          <w:color w:val="auto"/>
          <w:kern w:val="0"/>
          <w:szCs w:val="21"/>
          <w:highlight w:val="none"/>
        </w:rPr>
        <w:t>、签订合同和处理有关事宜，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hint="eastAsia" w:ascii="宋体" w:hAnsi="宋体"/>
          <w:color w:val="auto"/>
          <w:kern w:val="0"/>
          <w:szCs w:val="21"/>
          <w:highlight w:val="none"/>
          <w:lang w:val="en-US" w:eastAsia="zh-CN"/>
        </w:rPr>
        <w:t>竞选</w:t>
      </w:r>
      <w:r>
        <w:rPr>
          <w:rFonts w:ascii="宋体" w:hAnsi="宋体"/>
          <w:color w:val="auto"/>
          <w:kern w:val="0"/>
          <w:szCs w:val="21"/>
          <w:highlight w:val="none"/>
        </w:rPr>
        <w:t>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lang w:eastAsia="zh-CN"/>
        </w:rPr>
        <w:t>竞选文件</w:t>
      </w:r>
      <w:r>
        <w:rPr>
          <w:rFonts w:ascii="宋体" w:hAnsi="宋体"/>
          <w:color w:val="auto"/>
          <w:kern w:val="0"/>
          <w:szCs w:val="21"/>
          <w:highlight w:val="none"/>
        </w:rPr>
        <w:t>一并递交。另外须准备一份授权委托书原件在开标现场出具。</w:t>
      </w:r>
    </w:p>
    <w:p>
      <w:pPr>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pPr>
        <w:pStyle w:val="5"/>
        <w:spacing w:before="0" w:after="0" w:line="240" w:lineRule="auto"/>
        <w:jc w:val="center"/>
        <w:rPr>
          <w:rFonts w:ascii="宋体" w:hAnsi="宋体"/>
          <w:color w:val="auto"/>
          <w:highlight w:val="none"/>
        </w:rPr>
      </w:pPr>
      <w:bookmarkStart w:id="1463" w:name="_Toc287620831"/>
      <w:bookmarkStart w:id="1464" w:name="_Toc287607884"/>
      <w:bookmarkStart w:id="1465" w:name="_Toc430530547"/>
      <w:bookmarkStart w:id="1466" w:name="_Toc224103512"/>
      <w:bookmarkStart w:id="1467" w:name="_Toc277082658"/>
      <w:bookmarkStart w:id="1468" w:name="_Toc9629"/>
      <w:r>
        <w:rPr>
          <w:color w:val="auto"/>
          <w:highlight w:val="none"/>
        </w:rPr>
        <w:t>（二）</w:t>
      </w:r>
      <w:bookmarkEnd w:id="1463"/>
      <w:bookmarkEnd w:id="1464"/>
      <w:bookmarkEnd w:id="1465"/>
      <w:bookmarkEnd w:id="1466"/>
      <w:bookmarkEnd w:id="1467"/>
      <w:bookmarkStart w:id="1469" w:name="_Toc287607887"/>
      <w:bookmarkStart w:id="1470" w:name="_Toc277082659"/>
      <w:r>
        <w:rPr>
          <w:rFonts w:hint="eastAsia" w:ascii="宋体" w:hAnsi="宋体"/>
          <w:b w:val="0"/>
          <w:bCs w:val="0"/>
          <w:color w:val="auto"/>
          <w:highlight w:val="none"/>
          <w:lang w:eastAsia="zh-CN"/>
        </w:rPr>
        <w:t>竞选人</w:t>
      </w:r>
      <w:r>
        <w:rPr>
          <w:rFonts w:hint="eastAsia" w:ascii="宋体" w:hAnsi="宋体"/>
          <w:b w:val="0"/>
          <w:bCs w:val="0"/>
          <w:color w:val="auto"/>
          <w:highlight w:val="none"/>
        </w:rPr>
        <w:t>基本情况表</w:t>
      </w:r>
      <w:bookmarkEnd w:id="1468"/>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lang w:eastAsia="zh-CN"/>
              </w:rPr>
              <w:t>竞选人</w:t>
            </w:r>
            <w:r>
              <w:rPr>
                <w:rFonts w:hint="eastAsia" w:ascii="宋体" w:hAnsi="宋体" w:cs="MingLiU"/>
                <w:color w:val="auto"/>
                <w:kern w:val="0"/>
                <w:szCs w:val="21"/>
                <w:highlight w:val="none"/>
              </w:rPr>
              <w:t>名称</w:t>
            </w:r>
          </w:p>
        </w:tc>
        <w:tc>
          <w:tcPr>
            <w:tcW w:w="7607" w:type="dxa"/>
            <w:gridSpan w:val="9"/>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450" w:type="dxa"/>
            <w:gridSpan w:val="5"/>
            <w:vAlign w:val="center"/>
          </w:tcPr>
          <w:p>
            <w:pPr>
              <w:autoSpaceDE w:val="0"/>
              <w:autoSpaceDN w:val="0"/>
              <w:adjustRightInd w:val="0"/>
              <w:snapToGrid w:val="0"/>
              <w:jc w:val="center"/>
              <w:rPr>
                <w:rFonts w:ascii="宋体" w:hAnsi="宋体"/>
                <w:color w:val="auto"/>
                <w:kern w:val="0"/>
                <w:szCs w:val="21"/>
                <w:highlight w:val="none"/>
              </w:rPr>
            </w:pPr>
          </w:p>
        </w:tc>
        <w:tc>
          <w:tcPr>
            <w:tcW w:w="139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65" w:type="dxa"/>
            <w:gridSpan w:val="3"/>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83"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9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65" w:type="dxa"/>
            <w:gridSpan w:val="3"/>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ascii="宋体" w:hAnsi="宋体"/>
                <w:color w:val="auto"/>
                <w:kern w:val="0"/>
                <w:szCs w:val="21"/>
                <w:highlight w:val="none"/>
              </w:rPr>
            </w:pPr>
          </w:p>
        </w:tc>
        <w:tc>
          <w:tcPr>
            <w:tcW w:w="967" w:type="dxa"/>
            <w:vAlign w:val="center"/>
          </w:tcPr>
          <w:p>
            <w:pPr>
              <w:tabs>
                <w:tab w:val="left" w:pos="5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83"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9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65" w:type="dxa"/>
            <w:gridSpan w:val="3"/>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9"/>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pPr>
              <w:autoSpaceDE w:val="0"/>
              <w:autoSpaceDN w:val="0"/>
              <w:adjustRightInd w:val="0"/>
              <w:snapToGrid w:val="0"/>
              <w:jc w:val="center"/>
              <w:rPr>
                <w:rFonts w:ascii="宋体" w:hAnsi="宋体"/>
                <w:color w:val="auto"/>
                <w:kern w:val="0"/>
                <w:szCs w:val="21"/>
                <w:highlight w:val="none"/>
              </w:rPr>
            </w:pPr>
          </w:p>
        </w:tc>
        <w:tc>
          <w:tcPr>
            <w:tcW w:w="925"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技术负责人</w:t>
            </w:r>
          </w:p>
        </w:tc>
        <w:tc>
          <w:tcPr>
            <w:tcW w:w="967"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pPr>
              <w:autoSpaceDE w:val="0"/>
              <w:autoSpaceDN w:val="0"/>
              <w:adjustRightInd w:val="0"/>
              <w:snapToGrid w:val="0"/>
              <w:jc w:val="center"/>
              <w:rPr>
                <w:rFonts w:ascii="宋体" w:hAnsi="宋体"/>
                <w:color w:val="auto"/>
                <w:kern w:val="0"/>
                <w:szCs w:val="21"/>
                <w:highlight w:val="none"/>
              </w:rPr>
            </w:pPr>
          </w:p>
        </w:tc>
        <w:tc>
          <w:tcPr>
            <w:tcW w:w="925"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5616" w:type="dxa"/>
            <w:gridSpan w:val="7"/>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904"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476" w:type="dxa"/>
            <w:gridSpan w:val="4"/>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项目经理</w:t>
            </w:r>
          </w:p>
        </w:tc>
        <w:tc>
          <w:tcPr>
            <w:tcW w:w="223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统一社会信用代码</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23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23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23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pPr>
              <w:tabs>
                <w:tab w:val="left" w:pos="12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w:t>
            </w:r>
            <w:r>
              <w:rPr>
                <w:rFonts w:ascii="宋体" w:hAnsi="宋体"/>
                <w:color w:val="auto"/>
                <w:kern w:val="0"/>
                <w:szCs w:val="21"/>
                <w:highlight w:val="none"/>
              </w:rPr>
              <w:tab/>
            </w:r>
            <w:r>
              <w:rPr>
                <w:rFonts w:hint="eastAsia" w:ascii="宋体" w:hAnsi="宋体" w:cs="MingLiU"/>
                <w:color w:val="auto"/>
                <w:kern w:val="0"/>
                <w:szCs w:val="21"/>
                <w:highlight w:val="none"/>
              </w:rPr>
              <w:t>工</w:t>
            </w:r>
          </w:p>
        </w:tc>
        <w:tc>
          <w:tcPr>
            <w:tcW w:w="223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9"/>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9"/>
            <w:vAlign w:val="center"/>
          </w:tcPr>
          <w:p>
            <w:pPr>
              <w:autoSpaceDE w:val="0"/>
              <w:autoSpaceDN w:val="0"/>
              <w:adjustRightInd w:val="0"/>
              <w:snapToGrid w:val="0"/>
              <w:jc w:val="center"/>
              <w:rPr>
                <w:rFonts w:ascii="宋体" w:hAnsi="宋体"/>
                <w:color w:val="auto"/>
                <w:kern w:val="0"/>
                <w:szCs w:val="21"/>
                <w:highlight w:val="none"/>
              </w:rPr>
            </w:pPr>
          </w:p>
        </w:tc>
      </w:tr>
    </w:tbl>
    <w:p>
      <w:pPr>
        <w:spacing w:line="360" w:lineRule="auto"/>
        <w:jc w:val="center"/>
        <w:rPr>
          <w:rFonts w:ascii="宋体" w:hAnsi="宋体"/>
          <w:color w:val="auto"/>
          <w:szCs w:val="21"/>
          <w:highlight w:val="none"/>
        </w:rPr>
      </w:pPr>
    </w:p>
    <w:p>
      <w:pPr>
        <w:pStyle w:val="5"/>
        <w:spacing w:before="0" w:after="0" w:line="240" w:lineRule="auto"/>
        <w:jc w:val="center"/>
        <w:rPr>
          <w:rFonts w:ascii="宋体" w:hAnsi="宋体"/>
          <w:b w:val="0"/>
          <w:bCs w:val="0"/>
          <w:color w:val="auto"/>
          <w:highlight w:val="none"/>
        </w:rPr>
      </w:pPr>
      <w:r>
        <w:rPr>
          <w:rFonts w:ascii="宋体" w:hAnsi="宋体"/>
          <w:color w:val="auto"/>
          <w:szCs w:val="21"/>
          <w:highlight w:val="none"/>
        </w:rPr>
        <w:br w:type="page"/>
      </w:r>
      <w:bookmarkEnd w:id="1469"/>
      <w:bookmarkEnd w:id="1470"/>
      <w:bookmarkStart w:id="1471" w:name="_Toc534185840"/>
      <w:bookmarkStart w:id="1472" w:name="_Toc509218863"/>
      <w:bookmarkStart w:id="1473" w:name="_Toc6036"/>
      <w:bookmarkStart w:id="1474" w:name="_Toc430530552"/>
      <w:bookmarkStart w:id="1475" w:name="_Toc287620839"/>
      <w:bookmarkStart w:id="1476" w:name="_Toc277082663"/>
      <w:bookmarkStart w:id="1477" w:name="_Toc287607893"/>
      <w:bookmarkStart w:id="1478" w:name="_Toc224103520"/>
      <w:bookmarkStart w:id="1479" w:name="_Toc509218866"/>
      <w:bookmarkStart w:id="1480" w:name="_Toc534185843"/>
      <w:r>
        <w:rPr>
          <w:rFonts w:hint="eastAsia" w:ascii="宋体" w:hAnsi="宋体"/>
          <w:b w:val="0"/>
          <w:bCs w:val="0"/>
          <w:color w:val="auto"/>
          <w:highlight w:val="none"/>
        </w:rPr>
        <w:t>（</w:t>
      </w:r>
      <w:r>
        <w:rPr>
          <w:rFonts w:hint="eastAsia" w:ascii="宋体" w:hAnsi="宋体"/>
          <w:b w:val="0"/>
          <w:bCs w:val="0"/>
          <w:color w:val="auto"/>
          <w:highlight w:val="none"/>
          <w:lang w:val="en-US" w:eastAsia="zh-CN"/>
        </w:rPr>
        <w:t>三</w:t>
      </w:r>
      <w:r>
        <w:rPr>
          <w:rFonts w:hint="eastAsia" w:ascii="宋体" w:hAnsi="宋体"/>
          <w:b w:val="0"/>
          <w:bCs w:val="0"/>
          <w:color w:val="auto"/>
          <w:highlight w:val="none"/>
        </w:rPr>
        <w:t>）项目管理机构</w:t>
      </w:r>
      <w:bookmarkEnd w:id="1471"/>
      <w:bookmarkEnd w:id="1472"/>
      <w:bookmarkEnd w:id="1473"/>
    </w:p>
    <w:p>
      <w:pPr>
        <w:spacing w:line="360" w:lineRule="auto"/>
        <w:rPr>
          <w:rFonts w:ascii="宋体" w:hAnsi="宋体"/>
          <w:color w:val="auto"/>
          <w:highlight w:val="none"/>
        </w:rPr>
      </w:pPr>
    </w:p>
    <w:p>
      <w:pPr>
        <w:autoSpaceDE w:val="0"/>
        <w:autoSpaceDN w:val="0"/>
        <w:adjustRightInd w:val="0"/>
        <w:snapToGrid w:val="0"/>
        <w:spacing w:line="360" w:lineRule="auto"/>
        <w:jc w:val="center"/>
        <w:rPr>
          <w:rFonts w:ascii="宋体" w:hAnsi="宋体" w:cs="MingLiU"/>
          <w:color w:val="auto"/>
          <w:kern w:val="0"/>
          <w:sz w:val="28"/>
          <w:szCs w:val="28"/>
          <w:highlight w:val="none"/>
        </w:rPr>
      </w:pPr>
      <w:r>
        <w:rPr>
          <w:rFonts w:hint="eastAsia" w:ascii="宋体" w:hAnsi="宋体" w:cs="MingLiU"/>
          <w:color w:val="auto"/>
          <w:kern w:val="0"/>
          <w:sz w:val="28"/>
          <w:szCs w:val="28"/>
          <w:highlight w:val="none"/>
        </w:rPr>
        <w:t>项目管理机构组成表</w:t>
      </w:r>
    </w:p>
    <w:tbl>
      <w:tblPr>
        <w:tblStyle w:val="45"/>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734"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776"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职称</w:t>
            </w:r>
          </w:p>
        </w:tc>
        <w:tc>
          <w:tcPr>
            <w:tcW w:w="6220" w:type="dxa"/>
            <w:gridSpan w:val="5"/>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89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pPr>
              <w:autoSpaceDE w:val="0"/>
              <w:autoSpaceDN w:val="0"/>
              <w:adjustRightInd w:val="0"/>
              <w:snapToGrid w:val="0"/>
              <w:jc w:val="left"/>
              <w:rPr>
                <w:rFonts w:ascii="宋体" w:hAnsi="宋体"/>
                <w:color w:val="auto"/>
                <w:kern w:val="0"/>
                <w:szCs w:val="21"/>
                <w:highlight w:val="none"/>
              </w:rPr>
            </w:pPr>
          </w:p>
        </w:tc>
        <w:tc>
          <w:tcPr>
            <w:tcW w:w="734" w:type="dxa"/>
            <w:vMerge w:val="continue"/>
          </w:tcPr>
          <w:p>
            <w:pPr>
              <w:autoSpaceDE w:val="0"/>
              <w:autoSpaceDN w:val="0"/>
              <w:adjustRightInd w:val="0"/>
              <w:snapToGrid w:val="0"/>
              <w:jc w:val="left"/>
              <w:rPr>
                <w:rFonts w:ascii="宋体" w:hAnsi="宋体"/>
                <w:color w:val="auto"/>
                <w:kern w:val="0"/>
                <w:szCs w:val="21"/>
                <w:highlight w:val="none"/>
              </w:rPr>
            </w:pPr>
          </w:p>
        </w:tc>
        <w:tc>
          <w:tcPr>
            <w:tcW w:w="776" w:type="dxa"/>
            <w:vMerge w:val="continue"/>
          </w:tcPr>
          <w:p>
            <w:pPr>
              <w:autoSpaceDE w:val="0"/>
              <w:autoSpaceDN w:val="0"/>
              <w:adjustRightInd w:val="0"/>
              <w:snapToGrid w:val="0"/>
              <w:jc w:val="left"/>
              <w:rPr>
                <w:rFonts w:ascii="宋体" w:hAnsi="宋体"/>
                <w:color w:val="auto"/>
                <w:kern w:val="0"/>
                <w:szCs w:val="21"/>
                <w:highlight w:val="none"/>
              </w:rPr>
            </w:pPr>
          </w:p>
        </w:tc>
        <w:tc>
          <w:tcPr>
            <w:tcW w:w="1167"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77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778"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77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2723"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项目经理</w:t>
            </w: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项目技术负责人</w:t>
            </w: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bl>
    <w:p>
      <w:pPr>
        <w:spacing w:line="20" w:lineRule="exact"/>
        <w:jc w:val="center"/>
        <w:rPr>
          <w:rFonts w:ascii="宋体" w:hAnsi="宋体"/>
          <w:color w:val="auto"/>
          <w:szCs w:val="21"/>
          <w:highlight w:val="none"/>
        </w:rPr>
      </w:pPr>
    </w:p>
    <w:p>
      <w:pPr>
        <w:spacing w:line="360" w:lineRule="auto"/>
        <w:ind w:firstLine="420" w:firstLineChars="200"/>
        <w:jc w:val="center"/>
        <w:rPr>
          <w:rFonts w:ascii="宋体" w:hAnsi="宋体"/>
          <w:color w:val="auto"/>
          <w:sz w:val="32"/>
          <w:szCs w:val="32"/>
          <w:highlight w:val="none"/>
        </w:rPr>
      </w:pPr>
      <w:r>
        <w:rPr>
          <w:rFonts w:hint="eastAsia" w:ascii="宋体" w:hAnsi="宋体"/>
          <w:color w:val="auto"/>
          <w:szCs w:val="21"/>
          <w:highlight w:val="none"/>
        </w:rPr>
        <w:t>备注：本表仅填项目经理、项目技术负责人相关信息</w:t>
      </w:r>
      <w:r>
        <w:rPr>
          <w:rFonts w:ascii="宋体" w:hAnsi="宋体"/>
          <w:color w:val="auto"/>
          <w:sz w:val="32"/>
          <w:szCs w:val="32"/>
          <w:highlight w:val="none"/>
        </w:rPr>
        <w:br w:type="page"/>
      </w:r>
      <w:r>
        <w:rPr>
          <w:rFonts w:hint="eastAsia" w:ascii="宋体" w:hAnsi="宋体"/>
          <w:color w:val="auto"/>
          <w:sz w:val="32"/>
          <w:szCs w:val="32"/>
          <w:highlight w:val="none"/>
        </w:rPr>
        <w:t>项目经理及项目技术负责人简历表</w:t>
      </w:r>
    </w:p>
    <w:tbl>
      <w:tblPr>
        <w:tblStyle w:val="45"/>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姓名</w:t>
            </w:r>
          </w:p>
        </w:tc>
        <w:tc>
          <w:tcPr>
            <w:tcW w:w="1190"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1020"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年龄</w:t>
            </w:r>
          </w:p>
        </w:tc>
        <w:tc>
          <w:tcPr>
            <w:tcW w:w="1175" w:type="dxa"/>
            <w:vAlign w:val="center"/>
          </w:tcPr>
          <w:p>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学历</w:t>
            </w:r>
          </w:p>
        </w:tc>
        <w:tc>
          <w:tcPr>
            <w:tcW w:w="2528"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职称</w:t>
            </w:r>
          </w:p>
        </w:tc>
        <w:tc>
          <w:tcPr>
            <w:tcW w:w="1190"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1020"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职务</w:t>
            </w:r>
          </w:p>
        </w:tc>
        <w:tc>
          <w:tcPr>
            <w:tcW w:w="1175" w:type="dxa"/>
            <w:vAlign w:val="center"/>
          </w:tcPr>
          <w:p>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拟在本合同任职</w:t>
            </w:r>
          </w:p>
        </w:tc>
        <w:tc>
          <w:tcPr>
            <w:tcW w:w="2528"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毕业学校</w:t>
            </w:r>
          </w:p>
        </w:tc>
        <w:tc>
          <w:tcPr>
            <w:tcW w:w="8259" w:type="dxa"/>
            <w:gridSpan w:val="8"/>
            <w:vAlign w:val="center"/>
          </w:tcPr>
          <w:p>
            <w:pPr>
              <w:tabs>
                <w:tab w:val="left" w:pos="2820"/>
                <w:tab w:val="left" w:pos="408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w:t>
            </w:r>
            <w:r>
              <w:rPr>
                <w:rFonts w:ascii="宋体" w:hAnsi="宋体"/>
                <w:color w:val="auto"/>
                <w:spacing w:val="-1"/>
                <w:kern w:val="0"/>
                <w:szCs w:val="21"/>
                <w:highlight w:val="none"/>
              </w:rPr>
              <w:t>毕</w:t>
            </w:r>
            <w:r>
              <w:rPr>
                <w:rFonts w:ascii="宋体" w:hAnsi="宋体"/>
                <w:color w:val="auto"/>
                <w:kern w:val="0"/>
                <w:szCs w:val="21"/>
                <w:highlight w:val="none"/>
              </w:rPr>
              <w:t>业于</w:t>
            </w:r>
            <w:r>
              <w:rPr>
                <w:rFonts w:ascii="宋体" w:hAnsi="宋体"/>
                <w:color w:val="auto"/>
                <w:kern w:val="0"/>
                <w:szCs w:val="21"/>
                <w:highlight w:val="none"/>
              </w:rPr>
              <w:tab/>
            </w:r>
            <w:r>
              <w:rPr>
                <w:rFonts w:ascii="宋体" w:hAnsi="宋体"/>
                <w:color w:val="auto"/>
                <w:kern w:val="0"/>
                <w:szCs w:val="21"/>
                <w:highlight w:val="none"/>
              </w:rPr>
              <w:t>学校</w:t>
            </w:r>
            <w:r>
              <w:rPr>
                <w:rFonts w:ascii="宋体" w:hAnsi="宋体"/>
                <w:color w:val="auto"/>
                <w:kern w:val="0"/>
                <w:szCs w:val="21"/>
                <w:highlight w:val="none"/>
              </w:rPr>
              <w:tab/>
            </w:r>
            <w:r>
              <w:rPr>
                <w:rFonts w:ascii="宋体" w:hAnsi="宋体"/>
                <w:color w:val="auto"/>
                <w:kern w:val="0"/>
                <w:szCs w:val="21"/>
                <w:highlight w:val="none"/>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时间</w:t>
            </w: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参加过的类似项目</w:t>
            </w:r>
          </w:p>
        </w:tc>
        <w:tc>
          <w:tcPr>
            <w:tcW w:w="1388"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担任职务</w:t>
            </w: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bl>
    <w:p>
      <w:pPr>
        <w:spacing w:line="360" w:lineRule="auto"/>
        <w:rPr>
          <w:rFonts w:ascii="宋体" w:hAnsi="宋体"/>
          <w:color w:val="auto"/>
          <w:highlight w:val="none"/>
        </w:rPr>
      </w:pPr>
      <w:bookmarkStart w:id="1481" w:name="_Toc224103515"/>
    </w:p>
    <w:p>
      <w:pPr>
        <w:pStyle w:val="5"/>
        <w:spacing w:before="0" w:line="240" w:lineRule="auto"/>
        <w:jc w:val="center"/>
        <w:rPr>
          <w:rFonts w:ascii="宋体" w:hAnsi="宋体"/>
          <w:b w:val="0"/>
          <w:color w:val="auto"/>
          <w:highlight w:val="none"/>
        </w:rPr>
      </w:pPr>
      <w:bookmarkStart w:id="1482" w:name="_Toc534185841"/>
      <w:bookmarkStart w:id="1483" w:name="_Toc509218864"/>
      <w:bookmarkStart w:id="1484" w:name="_Toc277082660"/>
      <w:bookmarkStart w:id="1485" w:name="_Toc287607888"/>
      <w:bookmarkStart w:id="1486" w:name="_Toc430530550"/>
      <w:bookmarkStart w:id="1487" w:name="_Toc287620834"/>
      <w:bookmarkStart w:id="1488" w:name="_Toc16294"/>
      <w:r>
        <w:rPr>
          <w:rFonts w:hint="eastAsia" w:ascii="宋体" w:hAnsi="宋体"/>
          <w:b w:val="0"/>
          <w:color w:val="auto"/>
          <w:highlight w:val="none"/>
        </w:rPr>
        <w:t>（</w:t>
      </w:r>
      <w:r>
        <w:rPr>
          <w:rFonts w:hint="eastAsia" w:ascii="宋体" w:hAnsi="宋体"/>
          <w:b w:val="0"/>
          <w:color w:val="auto"/>
          <w:highlight w:val="none"/>
          <w:lang w:val="en-US" w:eastAsia="zh-CN"/>
        </w:rPr>
        <w:t>四</w:t>
      </w:r>
      <w:r>
        <w:rPr>
          <w:rFonts w:hint="eastAsia" w:ascii="宋体" w:hAnsi="宋体"/>
          <w:b w:val="0"/>
          <w:color w:val="auto"/>
          <w:highlight w:val="none"/>
        </w:rPr>
        <w:t>）近年财务状况表</w:t>
      </w:r>
      <w:bookmarkEnd w:id="1481"/>
      <w:bookmarkEnd w:id="1482"/>
      <w:bookmarkEnd w:id="1483"/>
      <w:bookmarkEnd w:id="1484"/>
      <w:bookmarkEnd w:id="1485"/>
      <w:bookmarkEnd w:id="1486"/>
      <w:bookmarkEnd w:id="1487"/>
      <w:bookmarkEnd w:id="1488"/>
    </w:p>
    <w:p>
      <w:pPr>
        <w:adjustRightInd w:val="0"/>
        <w:snapToGrid w:val="0"/>
        <w:spacing w:line="360" w:lineRule="auto"/>
        <w:rPr>
          <w:rFonts w:ascii="宋体" w:hAnsi="宋体"/>
          <w:color w:val="auto"/>
          <w:highlight w:val="none"/>
        </w:rPr>
      </w:pPr>
    </w:p>
    <w:p>
      <w:pPr>
        <w:rPr>
          <w:rFonts w:ascii="宋体" w:hAnsi="宋体"/>
          <w:color w:val="auto"/>
          <w:highlight w:val="none"/>
        </w:rPr>
      </w:pPr>
    </w:p>
    <w:p>
      <w:pPr>
        <w:pStyle w:val="2"/>
        <w:rPr>
          <w:rFonts w:ascii="宋体" w:hAnsi="宋体"/>
          <w:color w:val="auto"/>
          <w:highlight w:val="none"/>
        </w:rPr>
      </w:pPr>
    </w:p>
    <w:p>
      <w:pPr>
        <w:rPr>
          <w:rFonts w:ascii="宋体" w:hAnsi="宋体"/>
          <w:color w:val="auto"/>
          <w:highlight w:val="none"/>
        </w:rPr>
      </w:pPr>
    </w:p>
    <w:p>
      <w:pPr>
        <w:pStyle w:val="2"/>
        <w:rPr>
          <w:rFonts w:ascii="宋体" w:hAnsi="宋体"/>
          <w:color w:val="auto"/>
          <w:highlight w:val="none"/>
        </w:rPr>
      </w:pPr>
    </w:p>
    <w:p>
      <w:pPr>
        <w:rPr>
          <w:rFonts w:ascii="宋体" w:hAnsi="宋体"/>
          <w:color w:val="auto"/>
          <w:highlight w:val="none"/>
        </w:rPr>
      </w:pPr>
    </w:p>
    <w:p>
      <w:pPr>
        <w:pStyle w:val="2"/>
        <w:rPr>
          <w:rFonts w:ascii="宋体" w:hAnsi="宋体"/>
          <w:color w:val="auto"/>
          <w:highlight w:val="none"/>
        </w:rPr>
      </w:pPr>
    </w:p>
    <w:p>
      <w:pPr>
        <w:rPr>
          <w:rFonts w:ascii="宋体" w:hAnsi="宋体"/>
          <w:color w:val="auto"/>
          <w:highlight w:val="none"/>
        </w:rPr>
      </w:pPr>
    </w:p>
    <w:p>
      <w:pPr>
        <w:pStyle w:val="2"/>
        <w:rPr>
          <w:rFonts w:ascii="宋体" w:hAnsi="宋体"/>
          <w:color w:val="auto"/>
          <w:highlight w:val="none"/>
        </w:rPr>
      </w:pPr>
    </w:p>
    <w:p>
      <w:pPr>
        <w:rPr>
          <w:rFonts w:ascii="宋体" w:hAnsi="宋体"/>
          <w:color w:val="auto"/>
          <w:highlight w:val="none"/>
        </w:rPr>
      </w:pPr>
    </w:p>
    <w:p>
      <w:pPr>
        <w:pStyle w:val="2"/>
        <w:rPr>
          <w:rFonts w:ascii="宋体" w:hAnsi="宋体"/>
          <w:color w:val="auto"/>
          <w:highlight w:val="none"/>
        </w:rPr>
      </w:pPr>
    </w:p>
    <w:p>
      <w:pPr>
        <w:rPr>
          <w:rFonts w:ascii="宋体" w:hAnsi="宋体"/>
          <w:color w:val="auto"/>
          <w:highlight w:val="none"/>
        </w:rPr>
      </w:pPr>
    </w:p>
    <w:p>
      <w:pPr>
        <w:pStyle w:val="2"/>
        <w:rPr>
          <w:rFonts w:ascii="宋体" w:hAnsi="宋体"/>
          <w:color w:val="auto"/>
          <w:highlight w:val="none"/>
        </w:rPr>
      </w:pPr>
    </w:p>
    <w:p>
      <w:pPr>
        <w:rPr>
          <w:rFonts w:ascii="宋体" w:hAnsi="宋体"/>
          <w:color w:val="auto"/>
          <w:highlight w:val="none"/>
        </w:rPr>
      </w:pPr>
    </w:p>
    <w:p>
      <w:pPr>
        <w:pStyle w:val="2"/>
        <w:rPr>
          <w:rFonts w:ascii="宋体" w:hAnsi="宋体"/>
          <w:color w:val="auto"/>
          <w:highlight w:val="none"/>
        </w:rPr>
      </w:pPr>
    </w:p>
    <w:p>
      <w:pPr>
        <w:rPr>
          <w:rFonts w:ascii="宋体" w:hAnsi="宋体"/>
          <w:color w:val="auto"/>
          <w:highlight w:val="none"/>
        </w:rPr>
      </w:pPr>
    </w:p>
    <w:p>
      <w:pPr>
        <w:pStyle w:val="2"/>
        <w:rPr>
          <w:rFonts w:ascii="宋体" w:hAnsi="宋体"/>
          <w:color w:val="auto"/>
          <w:highlight w:val="none"/>
        </w:rPr>
      </w:pPr>
    </w:p>
    <w:p>
      <w:pPr>
        <w:rPr>
          <w:rFonts w:ascii="宋体" w:hAnsi="宋体"/>
          <w:color w:val="auto"/>
          <w:highlight w:val="none"/>
        </w:rPr>
      </w:pPr>
    </w:p>
    <w:p>
      <w:pPr>
        <w:pStyle w:val="2"/>
        <w:rPr>
          <w:rFonts w:ascii="宋体" w:hAnsi="宋体"/>
          <w:color w:val="auto"/>
          <w:highlight w:val="none"/>
        </w:rPr>
      </w:pPr>
    </w:p>
    <w:p>
      <w:pPr>
        <w:rPr>
          <w:rFonts w:ascii="宋体" w:hAnsi="宋体"/>
          <w:color w:val="auto"/>
          <w:highlight w:val="none"/>
        </w:rPr>
      </w:pPr>
    </w:p>
    <w:p>
      <w:pPr>
        <w:pStyle w:val="2"/>
        <w:rPr>
          <w:rFonts w:ascii="宋体" w:hAnsi="宋体"/>
          <w:color w:val="auto"/>
          <w:highlight w:val="none"/>
        </w:rPr>
      </w:pPr>
    </w:p>
    <w:p>
      <w:pPr>
        <w:rPr>
          <w:rFonts w:ascii="宋体" w:hAnsi="宋体"/>
          <w:color w:val="auto"/>
          <w:highlight w:val="none"/>
        </w:rPr>
      </w:pPr>
    </w:p>
    <w:p>
      <w:pPr>
        <w:pStyle w:val="2"/>
        <w:rPr>
          <w:rFonts w:ascii="宋体" w:hAnsi="宋体"/>
          <w:color w:val="auto"/>
          <w:highlight w:val="none"/>
        </w:rPr>
      </w:pPr>
    </w:p>
    <w:p>
      <w:pPr>
        <w:rPr>
          <w:rFonts w:ascii="宋体" w:hAnsi="宋体"/>
          <w:color w:val="auto"/>
          <w:highlight w:val="none"/>
        </w:rPr>
      </w:pPr>
    </w:p>
    <w:p>
      <w:pPr>
        <w:pStyle w:val="2"/>
        <w:rPr>
          <w:rFonts w:ascii="宋体" w:hAnsi="宋体"/>
          <w:color w:val="auto"/>
          <w:highlight w:val="none"/>
        </w:rPr>
      </w:pPr>
    </w:p>
    <w:p>
      <w:pPr>
        <w:rPr>
          <w:rFonts w:ascii="宋体" w:hAnsi="宋体"/>
          <w:color w:val="auto"/>
          <w:highlight w:val="none"/>
        </w:rPr>
      </w:pPr>
    </w:p>
    <w:p>
      <w:pPr>
        <w:pStyle w:val="2"/>
        <w:rPr>
          <w:rFonts w:ascii="宋体" w:hAnsi="宋体"/>
          <w:color w:val="auto"/>
          <w:highlight w:val="none"/>
        </w:rPr>
      </w:pPr>
    </w:p>
    <w:p>
      <w:pPr>
        <w:rPr>
          <w:rFonts w:ascii="宋体" w:hAnsi="宋体"/>
          <w:color w:val="auto"/>
          <w:highlight w:val="none"/>
        </w:rPr>
      </w:pPr>
    </w:p>
    <w:p>
      <w:pPr>
        <w:pStyle w:val="2"/>
        <w:rPr>
          <w:rFonts w:ascii="宋体" w:hAnsi="宋体"/>
          <w:color w:val="auto"/>
          <w:highlight w:val="none"/>
        </w:rPr>
      </w:pPr>
    </w:p>
    <w:p>
      <w:pPr>
        <w:rPr>
          <w:rFonts w:ascii="宋体" w:hAnsi="宋体"/>
          <w:color w:val="auto"/>
          <w:highlight w:val="none"/>
        </w:rPr>
      </w:pPr>
    </w:p>
    <w:p>
      <w:pPr>
        <w:pStyle w:val="2"/>
        <w:rPr>
          <w:rFonts w:ascii="宋体" w:hAnsi="宋体"/>
          <w:color w:val="auto"/>
          <w:highlight w:val="none"/>
        </w:rPr>
      </w:pPr>
    </w:p>
    <w:p>
      <w:pPr>
        <w:rPr>
          <w:rFonts w:ascii="宋体" w:hAnsi="宋体"/>
          <w:color w:val="auto"/>
          <w:highlight w:val="none"/>
        </w:rPr>
      </w:pPr>
    </w:p>
    <w:p>
      <w:pPr>
        <w:pStyle w:val="2"/>
        <w:rPr>
          <w:rFonts w:ascii="宋体" w:hAnsi="宋体"/>
          <w:color w:val="auto"/>
          <w:highlight w:val="none"/>
        </w:rPr>
      </w:pPr>
    </w:p>
    <w:p>
      <w:pPr>
        <w:rPr>
          <w:color w:val="auto"/>
          <w:highlight w:val="none"/>
        </w:rPr>
      </w:pPr>
    </w:p>
    <w:bookmarkEnd w:id="1474"/>
    <w:bookmarkEnd w:id="1475"/>
    <w:bookmarkEnd w:id="1476"/>
    <w:bookmarkEnd w:id="1477"/>
    <w:bookmarkEnd w:id="1478"/>
    <w:p>
      <w:pPr>
        <w:pStyle w:val="5"/>
        <w:spacing w:before="0" w:line="240" w:lineRule="auto"/>
        <w:jc w:val="center"/>
        <w:rPr>
          <w:rFonts w:ascii="宋体" w:hAnsi="宋体"/>
          <w:b w:val="0"/>
          <w:color w:val="auto"/>
          <w:highlight w:val="none"/>
        </w:rPr>
      </w:pPr>
      <w:bookmarkStart w:id="1489" w:name="_Toc534185842"/>
      <w:bookmarkStart w:id="1490" w:name="_Toc509218865"/>
      <w:bookmarkStart w:id="1491" w:name="_Toc13630"/>
      <w:r>
        <w:rPr>
          <w:rFonts w:ascii="宋体" w:hAnsi="宋体"/>
          <w:b w:val="0"/>
          <w:color w:val="auto"/>
          <w:highlight w:val="none"/>
        </w:rPr>
        <w:t>（</w:t>
      </w:r>
      <w:r>
        <w:rPr>
          <w:rFonts w:hint="eastAsia" w:ascii="宋体" w:hAnsi="宋体"/>
          <w:b w:val="0"/>
          <w:color w:val="auto"/>
          <w:highlight w:val="none"/>
          <w:lang w:val="en-US" w:eastAsia="zh-CN"/>
        </w:rPr>
        <w:t>五</w:t>
      </w:r>
      <w:r>
        <w:rPr>
          <w:rFonts w:ascii="宋体" w:hAnsi="宋体"/>
          <w:b w:val="0"/>
          <w:color w:val="auto"/>
          <w:highlight w:val="none"/>
        </w:rPr>
        <w:t>）类似项目情况表</w:t>
      </w:r>
      <w:bookmarkEnd w:id="1489"/>
      <w:bookmarkEnd w:id="1490"/>
      <w:bookmarkEnd w:id="1491"/>
    </w:p>
    <w:tbl>
      <w:tblPr>
        <w:tblStyle w:val="45"/>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643" w:hRule="exact"/>
          <w:jc w:val="center"/>
        </w:trPr>
        <w:tc>
          <w:tcPr>
            <w:tcW w:w="145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项目名称</w:t>
            </w:r>
          </w:p>
        </w:tc>
        <w:tc>
          <w:tcPr>
            <w:tcW w:w="8027"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项目所在地</w:t>
            </w:r>
          </w:p>
        </w:tc>
        <w:tc>
          <w:tcPr>
            <w:tcW w:w="8027"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发包人名称</w:t>
            </w:r>
          </w:p>
        </w:tc>
        <w:tc>
          <w:tcPr>
            <w:tcW w:w="8027"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发包人地址</w:t>
            </w:r>
          </w:p>
        </w:tc>
        <w:tc>
          <w:tcPr>
            <w:tcW w:w="8027"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667" w:hRule="exact"/>
          <w:jc w:val="center"/>
        </w:trPr>
        <w:tc>
          <w:tcPr>
            <w:tcW w:w="145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发包人电话</w:t>
            </w:r>
          </w:p>
        </w:tc>
        <w:tc>
          <w:tcPr>
            <w:tcW w:w="8027"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661" w:hRule="exact"/>
          <w:jc w:val="center"/>
        </w:trPr>
        <w:tc>
          <w:tcPr>
            <w:tcW w:w="145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合同价格</w:t>
            </w:r>
          </w:p>
        </w:tc>
        <w:tc>
          <w:tcPr>
            <w:tcW w:w="8027"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655" w:hRule="exact"/>
          <w:jc w:val="center"/>
        </w:trPr>
        <w:tc>
          <w:tcPr>
            <w:tcW w:w="145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开工日期</w:t>
            </w:r>
          </w:p>
        </w:tc>
        <w:tc>
          <w:tcPr>
            <w:tcW w:w="8027"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679" w:hRule="exact"/>
          <w:jc w:val="center"/>
        </w:trPr>
        <w:tc>
          <w:tcPr>
            <w:tcW w:w="145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竣工日期</w:t>
            </w:r>
          </w:p>
        </w:tc>
        <w:tc>
          <w:tcPr>
            <w:tcW w:w="8027"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658" w:hRule="exact"/>
          <w:jc w:val="center"/>
        </w:trPr>
        <w:tc>
          <w:tcPr>
            <w:tcW w:w="145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承担的工作</w:t>
            </w:r>
          </w:p>
        </w:tc>
        <w:tc>
          <w:tcPr>
            <w:tcW w:w="8027"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667" w:hRule="exact"/>
          <w:jc w:val="center"/>
        </w:trPr>
        <w:tc>
          <w:tcPr>
            <w:tcW w:w="145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工程质量</w:t>
            </w:r>
          </w:p>
        </w:tc>
        <w:tc>
          <w:tcPr>
            <w:tcW w:w="8027"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659" w:hRule="exact"/>
          <w:jc w:val="center"/>
        </w:trPr>
        <w:tc>
          <w:tcPr>
            <w:tcW w:w="145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项目经理</w:t>
            </w:r>
          </w:p>
        </w:tc>
        <w:tc>
          <w:tcPr>
            <w:tcW w:w="8027"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670" w:hRule="exact"/>
          <w:jc w:val="center"/>
        </w:trPr>
        <w:tc>
          <w:tcPr>
            <w:tcW w:w="145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技术负责人</w:t>
            </w:r>
          </w:p>
        </w:tc>
        <w:tc>
          <w:tcPr>
            <w:tcW w:w="8027"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863" w:hRule="exact"/>
          <w:jc w:val="center"/>
        </w:trPr>
        <w:tc>
          <w:tcPr>
            <w:tcW w:w="145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总监理工程师及电话</w:t>
            </w:r>
          </w:p>
        </w:tc>
        <w:tc>
          <w:tcPr>
            <w:tcW w:w="8027"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2367" w:hRule="exact"/>
          <w:jc w:val="center"/>
        </w:trPr>
        <w:tc>
          <w:tcPr>
            <w:tcW w:w="145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项目描述</w:t>
            </w:r>
          </w:p>
        </w:tc>
        <w:tc>
          <w:tcPr>
            <w:tcW w:w="8027"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1048" w:hRule="exact"/>
          <w:jc w:val="center"/>
        </w:trPr>
        <w:tc>
          <w:tcPr>
            <w:tcW w:w="145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备注</w:t>
            </w:r>
          </w:p>
        </w:tc>
        <w:tc>
          <w:tcPr>
            <w:tcW w:w="8027" w:type="dxa"/>
            <w:vAlign w:val="center"/>
          </w:tcPr>
          <w:p>
            <w:pPr>
              <w:autoSpaceDE w:val="0"/>
              <w:autoSpaceDN w:val="0"/>
              <w:adjustRightInd w:val="0"/>
              <w:snapToGrid w:val="0"/>
              <w:jc w:val="center"/>
              <w:rPr>
                <w:rFonts w:ascii="宋体" w:hAnsi="宋体"/>
                <w:color w:val="auto"/>
                <w:kern w:val="0"/>
                <w:szCs w:val="21"/>
                <w:highlight w:val="none"/>
              </w:rPr>
            </w:pPr>
          </w:p>
        </w:tc>
      </w:tr>
    </w:tbl>
    <w:p>
      <w:pPr>
        <w:rPr>
          <w:rFonts w:ascii="宋体" w:hAnsi="宋体"/>
          <w:color w:val="auto"/>
          <w:highlight w:val="none"/>
        </w:rPr>
      </w:pPr>
      <w:r>
        <w:rPr>
          <w:rFonts w:ascii="宋体" w:hAnsi="宋体"/>
          <w:color w:val="auto"/>
          <w:highlight w:val="none"/>
        </w:rPr>
        <w:br w:type="page"/>
      </w:r>
    </w:p>
    <w:p>
      <w:pPr>
        <w:pStyle w:val="5"/>
        <w:spacing w:before="0" w:after="0" w:line="360" w:lineRule="auto"/>
        <w:jc w:val="center"/>
        <w:rPr>
          <w:rFonts w:ascii="宋体" w:hAnsi="宋体"/>
          <w:b w:val="0"/>
          <w:color w:val="auto"/>
          <w:highlight w:val="none"/>
        </w:rPr>
      </w:pPr>
      <w:bookmarkStart w:id="1492" w:name="_Toc5117"/>
      <w:r>
        <w:rPr>
          <w:rFonts w:ascii="宋体" w:hAnsi="宋体"/>
          <w:b w:val="0"/>
          <w:color w:val="auto"/>
          <w:highlight w:val="none"/>
        </w:rPr>
        <w:t>（</w:t>
      </w:r>
      <w:r>
        <w:rPr>
          <w:rFonts w:hint="eastAsia" w:ascii="宋体" w:hAnsi="宋体"/>
          <w:b w:val="0"/>
          <w:color w:val="auto"/>
          <w:highlight w:val="none"/>
          <w:lang w:val="en-US" w:eastAsia="zh-CN"/>
        </w:rPr>
        <w:t>六</w:t>
      </w:r>
      <w:r>
        <w:rPr>
          <w:rFonts w:ascii="宋体" w:hAnsi="宋体"/>
          <w:b w:val="0"/>
          <w:color w:val="auto"/>
          <w:highlight w:val="none"/>
        </w:rPr>
        <w:t>）</w:t>
      </w:r>
      <w:r>
        <w:rPr>
          <w:rFonts w:hint="eastAsia" w:ascii="宋体" w:hAnsi="宋体"/>
          <w:b w:val="0"/>
          <w:color w:val="auto"/>
          <w:highlight w:val="none"/>
        </w:rPr>
        <w:t>承诺</w:t>
      </w:r>
      <w:bookmarkEnd w:id="1492"/>
    </w:p>
    <w:p>
      <w:pPr>
        <w:snapToGrid w:val="0"/>
        <w:spacing w:line="380" w:lineRule="exact"/>
        <w:rPr>
          <w:rFonts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比选人</w:t>
      </w:r>
      <w:r>
        <w:rPr>
          <w:rFonts w:hint="eastAsia" w:ascii="宋体" w:hAnsi="宋体"/>
          <w:color w:val="auto"/>
          <w:szCs w:val="21"/>
          <w:highlight w:val="none"/>
          <w:u w:val="single"/>
        </w:rPr>
        <w:t>名称）</w:t>
      </w:r>
      <w:r>
        <w:rPr>
          <w:rFonts w:hint="eastAsia" w:ascii="宋体" w:hAnsi="宋体"/>
          <w:color w:val="auto"/>
          <w:szCs w:val="21"/>
          <w:highlight w:val="none"/>
        </w:rPr>
        <w:t>：</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竞选</w:t>
      </w:r>
      <w:r>
        <w:rPr>
          <w:rFonts w:hint="eastAsia" w:ascii="宋体" w:hAnsi="宋体"/>
          <w:color w:val="auto"/>
          <w:szCs w:val="21"/>
          <w:highlight w:val="none"/>
          <w:u w:val="single"/>
        </w:rPr>
        <w:t>人名称）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1、我公司投标截止日投标资格情况不存在下列情形之一：</w:t>
      </w:r>
    </w:p>
    <w:p>
      <w:pPr>
        <w:snapToGri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（3）被列入《重庆市工程建设领域招标投标信用管理暂行办法》规定的黑名单且在记分有效期内；</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（5）被重庆市</w:t>
      </w:r>
      <w:r>
        <w:rPr>
          <w:rFonts w:hint="eastAsia" w:ascii="宋体" w:hAnsi="宋体"/>
          <w:color w:val="auto"/>
          <w:szCs w:val="21"/>
          <w:highlight w:val="none"/>
          <w:lang w:eastAsia="zh-CN"/>
        </w:rPr>
        <w:t>市级有关行业</w:t>
      </w:r>
      <w:r>
        <w:rPr>
          <w:rFonts w:hint="eastAsia" w:ascii="宋体" w:hAnsi="宋体"/>
          <w:color w:val="auto"/>
          <w:szCs w:val="21"/>
          <w:highlight w:val="none"/>
        </w:rPr>
        <w:t>主管部门暂停在渝承揽新业务且在暂停期内。</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2、我公司拟派的项目经理按注册建造师的相关规定到岗履职和未被禁止参与投标。</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2.2拟派的项目经理未被重庆市</w:t>
      </w:r>
      <w:r>
        <w:rPr>
          <w:rFonts w:hint="eastAsia" w:ascii="宋体" w:hAnsi="宋体"/>
          <w:color w:val="auto"/>
          <w:szCs w:val="21"/>
          <w:highlight w:val="none"/>
          <w:lang w:eastAsia="zh-CN"/>
        </w:rPr>
        <w:t>市级有关行业</w:t>
      </w:r>
      <w:r>
        <w:rPr>
          <w:rFonts w:hint="eastAsia" w:ascii="宋体" w:hAnsi="宋体"/>
          <w:color w:val="auto"/>
          <w:szCs w:val="21"/>
          <w:highlight w:val="none"/>
        </w:rPr>
        <w:t>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2.3为保证我公司拟派的项目经理到本项目到岗履职，我公司还承诺：</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若我公司拟派本项目的项目经理有在其他项目任职的情形的（或有在其他项目中标或拟中标的情形的），应在收到中标通知书后</w:t>
      </w:r>
      <w:r>
        <w:rPr>
          <w:rFonts w:hint="eastAsia" w:ascii="宋体" w:hAnsi="宋体"/>
          <w:color w:val="auto"/>
          <w:szCs w:val="21"/>
          <w:highlight w:val="none"/>
          <w:u w:val="single"/>
        </w:rPr>
        <w:t xml:space="preserve"> 14 </w:t>
      </w:r>
      <w:r>
        <w:rPr>
          <w:rFonts w:hint="eastAsia" w:ascii="宋体" w:hAnsi="宋体"/>
          <w:color w:val="auto"/>
          <w:szCs w:val="21"/>
          <w:highlight w:val="none"/>
        </w:rPr>
        <w:t>日（7～30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若我公司拟派项目经理放弃在其他项目任职的将提供：①经业主或建设单位同意任职变更的文件；②负责项目监管的行业行政主管部门出具同意任职变更的证明材料。</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若我公司拟派项目经理放弃在其他项目中标或拟中标的将提供：①经中标或拟中标的其他项目建设单位同意的放弃中标函。</w:t>
      </w:r>
    </w:p>
    <w:p>
      <w:pPr>
        <w:numPr>
          <w:ilvl w:val="0"/>
          <w:numId w:val="3"/>
        </w:num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color w:val="auto"/>
          <w:szCs w:val="21"/>
          <w:highlight w:val="none"/>
          <w:lang w:val="en-US" w:eastAsia="zh-CN"/>
        </w:rPr>
        <w:t>贵单位</w:t>
      </w:r>
      <w:r>
        <w:rPr>
          <w:rFonts w:hint="eastAsia" w:ascii="宋体" w:hAnsi="宋体"/>
          <w:color w:val="auto"/>
          <w:szCs w:val="21"/>
          <w:highlight w:val="none"/>
        </w:rPr>
        <w:t>。相关岗位管理人员应持有建设行政主管部门要求的岗位证书，并提供我公司为其缴纳的养老保险证明材料。中标后不能满足该要求的，取消我公司中标资格，给</w:t>
      </w:r>
      <w:r>
        <w:rPr>
          <w:rFonts w:hint="eastAsia" w:ascii="宋体" w:hAnsi="宋体"/>
          <w:color w:val="auto"/>
          <w:szCs w:val="21"/>
          <w:highlight w:val="none"/>
          <w:lang w:val="en-US" w:eastAsia="zh-CN"/>
        </w:rPr>
        <w:t>贵单位</w:t>
      </w:r>
      <w:r>
        <w:rPr>
          <w:rFonts w:hint="eastAsia" w:ascii="宋体" w:hAnsi="宋体"/>
          <w:color w:val="auto"/>
          <w:szCs w:val="21"/>
          <w:highlight w:val="none"/>
        </w:rPr>
        <w:t>造成损失的，我公司依法承担违约赔偿责任。</w:t>
      </w:r>
    </w:p>
    <w:p>
      <w:pPr>
        <w:numPr>
          <w:ilvl w:val="0"/>
          <w:numId w:val="3"/>
        </w:num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我公司承诺：已标价工程量清单符合第五章“工程量清单”给出的范围及数量，招标文件中规定工程量清单不允许修改的内容不得修改，每项工程量清单综合单价报价不得高于对应工程量清单综合单价最高限价。</w:t>
      </w:r>
      <w:r>
        <w:rPr>
          <w:rFonts w:hint="eastAsia" w:ascii="宋体" w:hAnsi="宋体"/>
          <w:color w:val="auto"/>
          <w:szCs w:val="21"/>
          <w:highlight w:val="none"/>
          <w:lang w:val="en-US" w:eastAsia="zh-CN"/>
        </w:rPr>
        <w:t>贵单位</w:t>
      </w:r>
      <w:r>
        <w:rPr>
          <w:rFonts w:hint="eastAsia" w:ascii="宋体" w:hAnsi="宋体"/>
          <w:color w:val="auto"/>
          <w:szCs w:val="21"/>
          <w:highlight w:val="none"/>
        </w:rPr>
        <w:t>可在合同签订前对我公司已标价工程量清单进行清标。若发现我公司的工程量清单综合单价报价超过招标时给出的工程量清单综合单价最高限价的，在工程结算时</w:t>
      </w:r>
      <w:r>
        <w:rPr>
          <w:rFonts w:hint="eastAsia" w:ascii="宋体" w:hAnsi="宋体"/>
          <w:color w:val="auto"/>
          <w:szCs w:val="21"/>
          <w:highlight w:val="none"/>
          <w:lang w:val="en-US" w:eastAsia="zh-CN"/>
        </w:rPr>
        <w:t>贵单位</w:t>
      </w:r>
      <w:r>
        <w:rPr>
          <w:rFonts w:hint="eastAsia" w:ascii="宋体" w:hAnsi="宋体"/>
          <w:color w:val="auto"/>
          <w:szCs w:val="21"/>
          <w:highlight w:val="none"/>
        </w:rPr>
        <w:t>以发出的工程量清单综合单价最高限价为基础，按照我公司的中标总报价与本工程的总价最高限价的下浮比例进行同比例下调，我公司无条件接受，否则按我公司违约处理。</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5、我公司在资格审查部分中提供的相关证明材料真实有效，不存在弄虚作假情形。</w:t>
      </w:r>
      <w:r>
        <w:rPr>
          <w:rFonts w:hint="eastAsia" w:ascii="宋体" w:hAnsi="宋体"/>
          <w:color w:val="auto"/>
          <w:szCs w:val="21"/>
          <w:highlight w:val="none"/>
          <w:u w:val="single"/>
          <w:lang w:val="en-US" w:eastAsia="zh-CN"/>
        </w:rPr>
        <w:t>贵单位</w:t>
      </w:r>
      <w:r>
        <w:rPr>
          <w:rFonts w:hint="eastAsia" w:ascii="宋体" w:hAnsi="宋体"/>
          <w:color w:val="auto"/>
          <w:szCs w:val="21"/>
          <w:highlight w:val="none"/>
          <w:u w:val="single"/>
        </w:rPr>
        <w:t>在合同签订前均有权对我</w:t>
      </w:r>
      <w:r>
        <w:rPr>
          <w:rFonts w:hint="eastAsia" w:ascii="宋体" w:hAnsi="宋体"/>
          <w:color w:val="auto"/>
          <w:szCs w:val="21"/>
          <w:highlight w:val="none"/>
          <w:u w:val="single"/>
          <w:lang w:val="en-US" w:eastAsia="zh-CN"/>
        </w:rPr>
        <w:t>公</w:t>
      </w:r>
      <w:r>
        <w:rPr>
          <w:rFonts w:hint="eastAsia" w:ascii="宋体" w:hAnsi="宋体"/>
          <w:color w:val="auto"/>
          <w:szCs w:val="21"/>
          <w:highlight w:val="none"/>
          <w:u w:val="single"/>
        </w:rPr>
        <w:t>司提供的资料进行核实，若发现弄虚作假，</w:t>
      </w:r>
      <w:r>
        <w:rPr>
          <w:rFonts w:hint="eastAsia" w:ascii="宋体" w:hAnsi="宋体"/>
          <w:color w:val="auto"/>
          <w:szCs w:val="21"/>
          <w:highlight w:val="none"/>
          <w:u w:val="single"/>
          <w:lang w:val="en-US" w:eastAsia="zh-CN"/>
        </w:rPr>
        <w:t>按相关规定</w:t>
      </w:r>
      <w:r>
        <w:rPr>
          <w:rFonts w:hint="eastAsia" w:ascii="宋体" w:hAnsi="宋体"/>
          <w:color w:val="auto"/>
          <w:szCs w:val="21"/>
          <w:highlight w:val="none"/>
          <w:u w:val="single"/>
        </w:rPr>
        <w:t>取消</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u w:val="single"/>
        </w:rPr>
        <w:t>中标资格，并按相关法律法规报招标投标监督部门，投标保证金不予退还，我</w:t>
      </w:r>
      <w:r>
        <w:rPr>
          <w:rFonts w:hint="eastAsia" w:ascii="宋体" w:hAnsi="宋体"/>
          <w:color w:val="auto"/>
          <w:szCs w:val="21"/>
          <w:highlight w:val="none"/>
          <w:u w:val="single"/>
          <w:lang w:val="en-US" w:eastAsia="zh-CN"/>
        </w:rPr>
        <w:t>公</w:t>
      </w:r>
      <w:r>
        <w:rPr>
          <w:rFonts w:hint="eastAsia" w:ascii="宋体" w:hAnsi="宋体"/>
          <w:color w:val="auto"/>
          <w:szCs w:val="21"/>
          <w:highlight w:val="none"/>
          <w:u w:val="single"/>
        </w:rPr>
        <w:t>司自愿承担因此造成的相关责任并赔偿相应损失</w:t>
      </w:r>
      <w:r>
        <w:rPr>
          <w:rFonts w:hint="eastAsia" w:ascii="宋体" w:hAnsi="宋体"/>
          <w:color w:val="auto"/>
          <w:szCs w:val="21"/>
          <w:highlight w:val="none"/>
        </w:rPr>
        <w:t>。</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6、我公司不存在第二章 投标人须知第 1.4.3 项规定的任何一种情形。</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7、我公司的投标文件符合第二章 投标人须知第 1.3.1 项的规定。</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8、我公司的投标文件符合第四章 合同条款及格式规定，投标文件中没有</w:t>
      </w:r>
      <w:r>
        <w:rPr>
          <w:rFonts w:hint="eastAsia" w:ascii="宋体" w:hAnsi="宋体"/>
          <w:color w:val="auto"/>
          <w:szCs w:val="21"/>
          <w:highlight w:val="none"/>
          <w:lang w:val="en-US" w:eastAsia="zh-CN"/>
        </w:rPr>
        <w:t>贵单位</w:t>
      </w:r>
      <w:r>
        <w:rPr>
          <w:rFonts w:hint="eastAsia" w:ascii="宋体" w:hAnsi="宋体"/>
          <w:color w:val="auto"/>
          <w:szCs w:val="21"/>
          <w:highlight w:val="none"/>
        </w:rPr>
        <w:t>不能接受的条件。</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9、我公司的投标文件符合第七章 技术标准和要求（如有）。</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10、我公司接受招标文件中关于“不平衡报价”的相关约定（如有）。</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11、我公司接受招标文件中关于“不允许负数报价”的相关要求（如有）</w:t>
      </w:r>
      <w:r>
        <w:rPr>
          <w:rFonts w:hint="eastAsia" w:ascii="宋体" w:hAnsi="宋体"/>
          <w:color w:val="auto"/>
          <w:szCs w:val="21"/>
          <w:highlight w:val="none"/>
        </w:rPr>
        <w:t>。</w:t>
      </w:r>
    </w:p>
    <w:p>
      <w:pPr>
        <w:tabs>
          <w:tab w:val="left" w:pos="4200"/>
          <w:tab w:val="left" w:pos="4620"/>
        </w:tabs>
        <w:autoSpaceDE w:val="0"/>
        <w:autoSpaceDN w:val="0"/>
        <w:adjustRightInd w:val="0"/>
        <w:snapToGrid w:val="0"/>
        <w:spacing w:line="360" w:lineRule="auto"/>
        <w:jc w:val="left"/>
        <w:rPr>
          <w:rFonts w:ascii="宋体" w:hAnsi="宋体"/>
          <w:color w:val="auto"/>
          <w:kern w:val="0"/>
          <w:szCs w:val="21"/>
          <w:highlight w:val="none"/>
        </w:rPr>
      </w:pPr>
    </w:p>
    <w:bookmarkEnd w:id="1479"/>
    <w:bookmarkEnd w:id="1480"/>
    <w:p>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lang w:val="en-US" w:eastAsia="zh-CN"/>
        </w:rPr>
        <w:t>竞  选</w:t>
      </w:r>
      <w:r>
        <w:rPr>
          <w:rFonts w:ascii="宋体" w:hAnsi="宋体"/>
          <w:color w:val="auto"/>
          <w:kern w:val="0"/>
          <w:szCs w:val="21"/>
          <w:highlight w:val="none"/>
        </w:rPr>
        <w:t xml:space="preserve">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p>
    <w:p>
      <w:pPr>
        <w:tabs>
          <w:tab w:val="left" w:pos="6300"/>
        </w:tabs>
        <w:autoSpaceDE w:val="0"/>
        <w:autoSpaceDN w:val="0"/>
        <w:adjustRightInd w:val="0"/>
        <w:snapToGrid w:val="0"/>
        <w:ind w:firstLine="420" w:firstLineChars="200"/>
        <w:jc w:val="right"/>
        <w:rPr>
          <w:rFonts w:ascii="宋体" w:hAnsi="宋体"/>
          <w:b/>
          <w:color w:val="auto"/>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日</w:t>
      </w:r>
    </w:p>
    <w:p>
      <w:pPr>
        <w:rPr>
          <w:color w:val="auto"/>
          <w:highlight w:val="none"/>
        </w:rPr>
      </w:pPr>
      <w:r>
        <w:rPr>
          <w:color w:val="auto"/>
          <w:highlight w:val="none"/>
        </w:rPr>
        <w:br w:type="page"/>
      </w:r>
    </w:p>
    <w:p>
      <w:pPr>
        <w:pStyle w:val="5"/>
        <w:spacing w:before="0" w:line="360" w:lineRule="auto"/>
        <w:jc w:val="center"/>
        <w:rPr>
          <w:rFonts w:ascii="宋体" w:hAnsi="宋体"/>
          <w:b w:val="0"/>
          <w:color w:val="auto"/>
          <w:highlight w:val="none"/>
        </w:rPr>
      </w:pPr>
      <w:bookmarkStart w:id="1493" w:name="_Toc24154"/>
      <w:r>
        <w:rPr>
          <w:rFonts w:hint="eastAsia" w:ascii="宋体" w:hAnsi="宋体"/>
          <w:b w:val="0"/>
          <w:color w:val="auto"/>
          <w:highlight w:val="none"/>
        </w:rPr>
        <w:t>（</w:t>
      </w:r>
      <w:r>
        <w:rPr>
          <w:rFonts w:hint="eastAsia" w:ascii="宋体" w:hAnsi="宋体"/>
          <w:b w:val="0"/>
          <w:color w:val="auto"/>
          <w:highlight w:val="none"/>
          <w:lang w:val="en-US" w:eastAsia="zh-CN"/>
        </w:rPr>
        <w:t>七</w:t>
      </w:r>
      <w:r>
        <w:rPr>
          <w:rFonts w:hint="eastAsia" w:ascii="宋体" w:hAnsi="宋体"/>
          <w:b w:val="0"/>
          <w:color w:val="auto"/>
          <w:highlight w:val="none"/>
        </w:rPr>
        <w:t>）其他资料</w:t>
      </w:r>
      <w:bookmarkEnd w:id="1493"/>
    </w:p>
    <w:p>
      <w:pPr>
        <w:rPr>
          <w:color w:val="auto"/>
          <w:highlight w:val="none"/>
        </w:rPr>
      </w:pPr>
    </w:p>
    <w:bookmarkEnd w:id="320"/>
    <w:bookmarkEnd w:id="321"/>
    <w:bookmarkEnd w:id="322"/>
    <w:p>
      <w:pPr>
        <w:rPr>
          <w:rFonts w:ascii="宋体" w:hAnsi="宋体"/>
          <w:b/>
          <w:color w:val="auto"/>
          <w:highlight w:val="none"/>
        </w:rPr>
        <w:sectPr>
          <w:footerReference r:id="rId9" w:type="default"/>
          <w:pgSz w:w="11906" w:h="16838"/>
          <w:pgMar w:top="1304" w:right="1134" w:bottom="1304" w:left="1304" w:header="851" w:footer="992" w:gutter="0"/>
          <w:cols w:space="720" w:num="1"/>
          <w:docGrid w:type="lines" w:linePitch="312" w:charSpace="0"/>
        </w:sectPr>
      </w:pPr>
    </w:p>
    <w:p>
      <w:pPr>
        <w:rPr>
          <w:rFonts w:ascii="宋体" w:hAnsi="宋体"/>
          <w:b/>
          <w:color w:val="auto"/>
          <w:highlight w:val="none"/>
        </w:rPr>
      </w:pPr>
      <w:r>
        <w:rPr>
          <w:color w:val="auto"/>
          <w:highlight w:val="none"/>
        </w:rPr>
        <mc:AlternateContent>
          <mc:Choice Requires="wps">
            <w:drawing>
              <wp:anchor distT="0" distB="0" distL="0" distR="0" simplePos="0" relativeHeight="251659264" behindDoc="0" locked="0" layoutInCell="1" allowOverlap="1">
                <wp:simplePos x="0" y="0"/>
                <wp:positionH relativeFrom="character">
                  <wp:posOffset>1805305</wp:posOffset>
                </wp:positionH>
                <wp:positionV relativeFrom="line">
                  <wp:posOffset>1351280</wp:posOffset>
                </wp:positionV>
                <wp:extent cx="2134235" cy="792480"/>
                <wp:effectExtent l="0" t="0" r="0" b="0"/>
                <wp:wrapNone/>
                <wp:docPr id="1027" name="矩形 111"/>
                <wp:cNvGraphicFramePr/>
                <a:graphic xmlns:a="http://schemas.openxmlformats.org/drawingml/2006/main">
                  <a:graphicData uri="http://schemas.microsoft.com/office/word/2010/wordprocessingShape">
                    <wps:wsp>
                      <wps:cNvSpPr/>
                      <wps:spPr>
                        <a:xfrm>
                          <a:off x="0" y="0"/>
                          <a:ext cx="2134235" cy="792479"/>
                        </a:xfrm>
                        <a:prstGeom prst="rect">
                          <a:avLst/>
                        </a:prstGeom>
                        <a:ln>
                          <a:noFill/>
                        </a:ln>
                      </wps:spPr>
                      <wps:txbx>
                        <w:txbxContent>
                          <w:p>
                            <w:pPr>
                              <w:jc w:val="center"/>
                              <w:rPr>
                                <w:rFonts w:ascii="仿宋" w:hAnsi="仿宋" w:eastAsia="仿宋" w:cs="仿宋"/>
                                <w:sz w:val="84"/>
                                <w:szCs w:val="84"/>
                              </w:rPr>
                            </w:pPr>
                            <w:r>
                              <w:rPr>
                                <w:rFonts w:hint="eastAsia" w:ascii="仿宋" w:hAnsi="仿宋" w:eastAsia="仿宋" w:cs="仿宋"/>
                                <w:color w:val="000000"/>
                                <w:sz w:val="84"/>
                                <w:szCs w:val="84"/>
                              </w:rPr>
                              <w:t>技术方案</w:t>
                            </w:r>
                          </w:p>
                        </w:txbxContent>
                      </wps:txbx>
                      <wps:bodyPr wrap="none" lIns="0" tIns="0" rIns="0" bIns="0" upright="1">
                        <a:spAutoFit/>
                      </wps:bodyPr>
                    </wps:wsp>
                  </a:graphicData>
                </a:graphic>
              </wp:anchor>
            </w:drawing>
          </mc:Choice>
          <mc:Fallback>
            <w:pict>
              <v:rect id="矩形 111" o:spid="_x0000_s1026" o:spt="1" style="position:absolute;left:0pt;margin-left:142.15pt;margin-top:106.4pt;height:62.4pt;width:168.05pt;mso-position-horizontal-relative:char;mso-position-vertical-relative:line;mso-wrap-style:none;z-index:251659264;mso-width-relative:page;mso-height-relative:page;" filled="f" stroked="f" coordsize="21600,21600" o:gfxdata="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xFzdfYAAAACwEAAA8AAAAAAAAAAQAgAAAAIgAAAGRycy9kb3du&#10;cmV2LnhtbFBLAQIUABQAAAAIAIdO4kAKcI4RxgEAAIUDAAAOAAAAAAAAAAEAIAAAACcBAABkcnMv&#10;ZTJvRG9jLnhtbFBLBQYAAAAABgAGAFkBAABfBQAAAAA=&#10;">
                <v:fill on="f" focussize="0,0"/>
                <v:stroke on="f"/>
                <v:imagedata o:title=""/>
                <o:lock v:ext="edit" aspectratio="f"/>
                <v:textbox inset="0mm,0mm,0mm,0mm" style="mso-fit-shape-to-text:t;">
                  <w:txbxContent>
                    <w:p>
                      <w:pPr>
                        <w:jc w:val="center"/>
                        <w:rPr>
                          <w:rFonts w:ascii="仿宋" w:hAnsi="仿宋" w:eastAsia="仿宋" w:cs="仿宋"/>
                          <w:sz w:val="84"/>
                          <w:szCs w:val="84"/>
                        </w:rPr>
                      </w:pPr>
                      <w:r>
                        <w:rPr>
                          <w:rFonts w:hint="eastAsia" w:ascii="仿宋" w:hAnsi="仿宋" w:eastAsia="仿宋" w:cs="仿宋"/>
                          <w:color w:val="000000"/>
                          <w:sz w:val="84"/>
                          <w:szCs w:val="84"/>
                        </w:rPr>
                        <w:t>技术方案</w:t>
                      </w:r>
                    </w:p>
                  </w:txbxContent>
                </v:textbox>
              </v:rect>
            </w:pict>
          </mc:Fallback>
        </mc:AlternateContent>
      </w:r>
      <w:r>
        <w:rPr>
          <w:color w:val="auto"/>
          <w:highlight w:val="none"/>
        </w:rPr>
        <mc:AlternateContent>
          <mc:Choice Requires="wps">
            <w:drawing>
              <wp:anchor distT="0" distB="0" distL="0" distR="0" simplePos="0" relativeHeight="251659264" behindDoc="0" locked="0" layoutInCell="1" allowOverlap="1">
                <wp:simplePos x="0" y="0"/>
                <wp:positionH relativeFrom="character">
                  <wp:posOffset>3884295</wp:posOffset>
                </wp:positionH>
                <wp:positionV relativeFrom="line">
                  <wp:posOffset>9352915</wp:posOffset>
                </wp:positionV>
                <wp:extent cx="419735" cy="198120"/>
                <wp:effectExtent l="0" t="0" r="0" b="0"/>
                <wp:wrapNone/>
                <wp:docPr id="1028" name="矩形 114"/>
                <wp:cNvGraphicFramePr/>
                <a:graphic xmlns:a="http://schemas.openxmlformats.org/drawingml/2006/main">
                  <a:graphicData uri="http://schemas.microsoft.com/office/word/2010/wordprocessingShape">
                    <wps:wsp>
                      <wps:cNvSpPr/>
                      <wps:spPr>
                        <a:xfrm rot="-2640000">
                          <a:off x="0" y="0"/>
                          <a:ext cx="419734" cy="198119"/>
                        </a:xfrm>
                        <a:prstGeom prst="rect">
                          <a:avLst/>
                        </a:prstGeom>
                        <a:ln>
                          <a:noFill/>
                        </a:ln>
                      </wps:spPr>
                      <wps:txbx>
                        <w:txbxContent>
                          <w:p>
                            <w:pPr>
                              <w:rPr>
                                <w:sz w:val="20"/>
                              </w:rPr>
                            </w:pPr>
                            <w:r>
                              <w:rPr>
                                <w:rFonts w:hint="eastAsia" w:ascii="宋体" w:cs="宋体"/>
                                <w:bCs/>
                                <w:color w:val="000000"/>
                                <w:sz w:val="22"/>
                              </w:rPr>
                              <w:t>密封线</w:t>
                            </w:r>
                          </w:p>
                        </w:txbxContent>
                      </wps:txbx>
                      <wps:bodyPr wrap="none" lIns="0" tIns="0" rIns="0" bIns="0" upright="1">
                        <a:spAutoFit/>
                      </wps:bodyPr>
                    </wps:wsp>
                  </a:graphicData>
                </a:graphic>
              </wp:anchor>
            </w:drawing>
          </mc:Choice>
          <mc:Fallback>
            <w:pict>
              <v:rect id="矩形 114" o:spid="_x0000_s1026" o:spt="1" style="position:absolute;left:0pt;margin-left:305.85pt;margin-top:736.45pt;height:15.6pt;width:33.05pt;mso-position-horizontal-relative:char;mso-position-vertical-relative:line;mso-wrap-style:none;rotation:-2883584f;z-index:251659264;mso-width-relative:page;mso-height-relative:page;" filled="f" stroked="f" coordsize="21600,21600" o:gfxdata="UEsDBAoAAAAAAIdO4kAAAAAAAAAAAAAAAAAEAAAAZHJzL1BLAwQUAAAACACHTuJA1hgYZN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WGBhk2QAAAA0BAAAPAAAAAAAAAAEAIAAAACIA&#10;AABkcnMvZG93bnJldi54bWxQSwECFAAUAAAACACHTuJAxnHWZ88BAACTAwAADgAAAAAAAAABACAA&#10;AAAoAQAAZHJzL2Uyb0RvYy54bWxQSwUGAAAAAAYABgBZAQAAaQUAAAAA&#10;">
                <v:fill on="f" focussize="0,0"/>
                <v:stroke on="f"/>
                <v:imagedata o:title=""/>
                <o:lock v:ext="edit" aspectratio="f"/>
                <v:textbox inset="0mm,0mm,0mm,0mm" style="mso-fit-shape-to-text:t;">
                  <w:txbxContent>
                    <w:p>
                      <w:pPr>
                        <w:rPr>
                          <w:sz w:val="20"/>
                        </w:rPr>
                      </w:pPr>
                      <w:r>
                        <w:rPr>
                          <w:rFonts w:hint="eastAsia" w:ascii="宋体" w:cs="宋体"/>
                          <w:bCs/>
                          <w:color w:val="000000"/>
                          <w:sz w:val="22"/>
                        </w:rPr>
                        <w:t>密封线</w:t>
                      </w:r>
                    </w:p>
                  </w:txbxContent>
                </v:textbox>
              </v:rect>
            </w:pict>
          </mc:Fallback>
        </mc:AlternateContent>
      </w:r>
      <w:r>
        <w:rPr>
          <w:color w:val="auto"/>
          <w:highlight w:val="none"/>
        </w:rPr>
        <mc:AlternateContent>
          <mc:Choice Requires="wps">
            <w:drawing>
              <wp:anchor distT="0" distB="0" distL="0" distR="0" simplePos="0" relativeHeight="251659264" behindDoc="0" locked="0" layoutInCell="1" allowOverlap="1">
                <wp:simplePos x="0" y="0"/>
                <wp:positionH relativeFrom="character">
                  <wp:posOffset>3668395</wp:posOffset>
                </wp:positionH>
                <wp:positionV relativeFrom="line">
                  <wp:posOffset>6773545</wp:posOffset>
                </wp:positionV>
                <wp:extent cx="3175" cy="3128010"/>
                <wp:effectExtent l="0" t="0" r="0" b="0"/>
                <wp:wrapNone/>
                <wp:docPr id="1029" name="直线 132"/>
                <wp:cNvGraphicFramePr/>
                <a:graphic xmlns:a="http://schemas.openxmlformats.org/drawingml/2006/main">
                  <a:graphicData uri="http://schemas.microsoft.com/office/word/2010/wordprocessingShape">
                    <wps:wsp>
                      <wps:cNvCnPr/>
                      <wps:spPr>
                        <a:xfrm flipH="1" flipV="1">
                          <a:off x="0" y="0"/>
                          <a:ext cx="3175" cy="3128009"/>
                        </a:xfrm>
                        <a:prstGeom prst="line">
                          <a:avLst/>
                        </a:prstGeom>
                        <a:ln w="9525" cap="flat" cmpd="sng">
                          <a:solidFill>
                            <a:srgbClr val="000000"/>
                          </a:solidFill>
                          <a:prstDash val="dash"/>
                          <a:miter/>
                          <a:headEnd type="none" w="med" len="med"/>
                          <a:tailEnd type="none" w="med" len="med"/>
                        </a:ln>
                      </wps:spPr>
                      <wps:bodyPr/>
                    </wps:wsp>
                  </a:graphicData>
                </a:graphic>
              </wp:anchor>
            </w:drawing>
          </mc:Choice>
          <mc:Fallback>
            <w:pict>
              <v:line id="直线 132" o:spid="_x0000_s1026" o:spt="20" style="position:absolute;left:0pt;flip:x y;margin-left:288.85pt;margin-top:533.35pt;height:246.3pt;width:0.25pt;mso-position-horizontal-relative:char;mso-position-vertical-relative:line;z-index:251659264;mso-width-relative:page;mso-height-relative:page;" filled="f" stroked="t" coordsize="21600,21600" o:gfxdata="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wzRIg3AAAAA0BAAAPAAAAAAAAAAEAIAAAACIAAABkcnMvZG93bnJldi54&#10;bWxQSwECFAAUAAAACACHTuJAGmEdwvYBAAD0AwAADgAAAAAAAAABACAAAAArAQAAZHJzL2Uyb0Rv&#10;Yy54bWxQSwUGAAAAAAYABgBZAQAAkwUAAAAA&#10;">
                <v:fill on="f" focussize="0,0"/>
                <v:stroke color="#000000" joinstyle="miter" dashstyle="dash"/>
                <v:imagedata o:title=""/>
                <o:lock v:ext="edit" aspectratio="f"/>
              </v:line>
            </w:pict>
          </mc:Fallback>
        </mc:AlternateContent>
      </w:r>
      <w:r>
        <w:rPr>
          <w:color w:val="auto"/>
          <w:highlight w:val="none"/>
        </w:rPr>
        <mc:AlternateContent>
          <mc:Choice Requires="wps">
            <w:drawing>
              <wp:anchor distT="0" distB="0" distL="0" distR="0" simplePos="0" relativeHeight="251659264" behindDoc="0" locked="0" layoutInCell="1" allowOverlap="1">
                <wp:simplePos x="0" y="0"/>
                <wp:positionH relativeFrom="character">
                  <wp:posOffset>3685540</wp:posOffset>
                </wp:positionH>
                <wp:positionV relativeFrom="line">
                  <wp:posOffset>6776720</wp:posOffset>
                </wp:positionV>
                <wp:extent cx="3077210" cy="4445"/>
                <wp:effectExtent l="0" t="0" r="0" b="0"/>
                <wp:wrapNone/>
                <wp:docPr id="1030" name="直接连接符 112"/>
                <wp:cNvGraphicFramePr/>
                <a:graphic xmlns:a="http://schemas.openxmlformats.org/drawingml/2006/main">
                  <a:graphicData uri="http://schemas.microsoft.com/office/word/2010/wordprocessingShape">
                    <wps:wsp>
                      <wps:cNvCnPr/>
                      <wps:spPr>
                        <a:xfrm flipV="1">
                          <a:off x="0" y="0"/>
                          <a:ext cx="3077209" cy="4444"/>
                        </a:xfrm>
                        <a:prstGeom prst="straightConnector1">
                          <a:avLst/>
                        </a:prstGeom>
                        <a:ln w="9525" cap="flat" cmpd="sng">
                          <a:solidFill>
                            <a:srgbClr val="000000"/>
                          </a:solidFill>
                          <a:prstDash val="dash"/>
                          <a:miter/>
                          <a:headEnd type="none" w="med" len="med"/>
                          <a:tailEnd type="none" w="med" len="med"/>
                        </a:ln>
                      </wps:spPr>
                      <wps:bodyPr/>
                    </wps:wsp>
                  </a:graphicData>
                </a:graphic>
              </wp:anchor>
            </w:drawing>
          </mc:Choice>
          <mc:Fallback>
            <w:pict>
              <v:shape id="直接连接符 112" o:spid="_x0000_s1026" o:spt="32" type="#_x0000_t32" style="position:absolute;left:0pt;flip:y;margin-left:290.2pt;margin-top:533.6pt;height:0.35pt;width:242.3pt;mso-position-horizontal-relative:char;mso-position-vertical-relative:line;z-index:251659264;mso-width-relative:page;mso-height-relative:page;" filled="f" stroked="t" coordsize="21600,21600" o:gfxdata="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vfTrXaAAAADgEAAA8AAAAAAAAAAQAgAAAAIgAA&#10;AGRycy9kb3ducmV2LnhtbFBLAQIUABQAAAAIAIdO4kDAUDblBgIAAAEEAAAOAAAAAAAAAAEAIAAA&#10;ACkBAABkcnMvZTJvRG9jLnhtbFBLBQYAAAAABgAGAFkBAAChBQAAAAA=&#10;">
                <v:fill on="f" focussize="0,0"/>
                <v:stroke color="#000000" joinstyle="miter" dashstyle="dash"/>
                <v:imagedata o:title=""/>
                <o:lock v:ext="edit" aspectratio="f"/>
              </v:shape>
            </w:pict>
          </mc:Fallback>
        </mc:AlternateContent>
      </w:r>
      <w:r>
        <w:rPr>
          <w:color w:val="auto"/>
          <w:highlight w:val="none"/>
        </w:rPr>
        <mc:AlternateContent>
          <mc:Choice Requires="wps">
            <w:drawing>
              <wp:anchor distT="0" distB="0" distL="0" distR="0" simplePos="0" relativeHeight="251659264" behindDoc="0" locked="0" layoutInCell="1" allowOverlap="1">
                <wp:simplePos x="0" y="0"/>
                <wp:positionH relativeFrom="character">
                  <wp:posOffset>3689985</wp:posOffset>
                </wp:positionH>
                <wp:positionV relativeFrom="line">
                  <wp:posOffset>6782435</wp:posOffset>
                </wp:positionV>
                <wp:extent cx="3057525" cy="3085465"/>
                <wp:effectExtent l="3175" t="3175" r="6350" b="16510"/>
                <wp:wrapNone/>
                <wp:docPr id="1031" name="直线 134"/>
                <wp:cNvGraphicFramePr/>
                <a:graphic xmlns:a="http://schemas.openxmlformats.org/drawingml/2006/main">
                  <a:graphicData uri="http://schemas.microsoft.com/office/word/2010/wordprocessingShape">
                    <wps:wsp>
                      <wps:cNvCnPr/>
                      <wps:spPr>
                        <a:xfrm flipV="1">
                          <a:off x="0" y="0"/>
                          <a:ext cx="3057525" cy="3085465"/>
                        </a:xfrm>
                        <a:prstGeom prst="line">
                          <a:avLst/>
                        </a:prstGeom>
                        <a:ln w="9525" cap="flat" cmpd="sng">
                          <a:solidFill>
                            <a:srgbClr val="000000"/>
                          </a:solidFill>
                          <a:prstDash val="dashDot"/>
                          <a:miter/>
                          <a:headEnd type="none" w="med" len="med"/>
                          <a:tailEnd type="none" w="med" len="med"/>
                        </a:ln>
                      </wps:spPr>
                      <wps:bodyPr/>
                    </wps:wsp>
                  </a:graphicData>
                </a:graphic>
              </wp:anchor>
            </w:drawing>
          </mc:Choice>
          <mc:Fallback>
            <w:pict>
              <v:line id="直线 134" o:spid="_x0000_s1026" o:spt="20" style="position:absolute;left:0pt;flip:y;margin-left:290.55pt;margin-top:534.05pt;height:242.95pt;width:240.75pt;mso-position-horizontal-relative:char;mso-position-vertical-relative:line;z-index:251659264;mso-width-relative:page;mso-height-relative:page;" filled="f" stroked="t" coordsize="21600,21600" o:gfxdata="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Xf55NoAAAAOAQAADwAAAAAAAAABACAAAAAiAAAAZHJzL2Rvd25yZXYueG1s&#10;UEsBAhQAFAAAAAgAh07iQDBRPmv2AQAA8AMAAA4AAAAAAAAAAQAgAAAAKQEAAGRycy9lMm9Eb2Mu&#10;eG1sUEsFBgAAAAAGAAYAWQEAAJEFAAAAAA==&#10;">
                <v:fill on="f" focussize="0,0"/>
                <v:stroke color="#000000" joinstyle="miter" dashstyle="dashDot"/>
                <v:imagedata o:title=""/>
                <o:lock v:ext="edit" aspectratio="f"/>
              </v:line>
            </w:pict>
          </mc:Fallback>
        </mc:AlternateContent>
      </w:r>
      <w:r>
        <w:rPr>
          <w:color w:val="auto"/>
          <w:highlight w:val="none"/>
        </w:rPr>
        <mc:AlternateContent>
          <mc:Choice Requires="wps">
            <w:drawing>
              <wp:anchor distT="0" distB="0" distL="0" distR="0" simplePos="0" relativeHeight="251659264" behindDoc="0" locked="0" layoutInCell="1" allowOverlap="1">
                <wp:simplePos x="0" y="0"/>
                <wp:positionH relativeFrom="character">
                  <wp:posOffset>4256405</wp:posOffset>
                </wp:positionH>
                <wp:positionV relativeFrom="line">
                  <wp:posOffset>7359015</wp:posOffset>
                </wp:positionV>
                <wp:extent cx="1857375" cy="1856740"/>
                <wp:effectExtent l="5080" t="5080" r="4445" b="5080"/>
                <wp:wrapNone/>
                <wp:docPr id="1032" name="椭圆 115"/>
                <wp:cNvGraphicFramePr/>
                <a:graphic xmlns:a="http://schemas.openxmlformats.org/drawingml/2006/main">
                  <a:graphicData uri="http://schemas.microsoft.com/office/word/2010/wordprocessingShape">
                    <wps:wsp>
                      <wps:cNvSpPr/>
                      <wps:spPr>
                        <a:xfrm>
                          <a:off x="0" y="0"/>
                          <a:ext cx="1857375" cy="1856740"/>
                        </a:xfrm>
                        <a:prstGeom prst="ellipse">
                          <a:avLst/>
                        </a:prstGeom>
                        <a:ln w="9525" cap="flat" cmpd="sng">
                          <a:solidFill>
                            <a:srgbClr val="000000"/>
                          </a:solidFill>
                          <a:prstDash val="dashDot"/>
                          <a:miter/>
                          <a:headEnd type="none" w="med" len="med"/>
                          <a:tailEnd type="none" w="med" len="med"/>
                        </a:ln>
                      </wps:spPr>
                      <wps:txbx>
                        <w:txbxContent>
                          <w:p/>
                        </w:txbxContent>
                      </wps:txbx>
                      <wps:bodyPr wrap="square" upright="1"/>
                    </wps:wsp>
                  </a:graphicData>
                </a:graphic>
              </wp:anchor>
            </w:drawing>
          </mc:Choice>
          <mc:Fallback>
            <w:pict>
              <v:shape id="椭圆 115" o:spid="_x0000_s1026" o:spt="3" type="#_x0000_t3" style="position:absolute;left:0pt;margin-left:335.15pt;margin-top:579.45pt;height:146.2pt;width:146.25pt;mso-position-horizontal-relative:char;mso-position-vertical-relative:line;z-index:251659264;mso-width-relative:page;mso-height-relative:page;" filled="f" stroked="t" coordsize="21600,21600" o:gfxdata="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0Djb/aAAAADQEAAA8AAAAAAAAAAQAgAAAA&#10;IgAAAGRycy9kb3ducmV2LnhtbFBLAQIUABQAAAAIAIdO4kDKmMKTCQIAAA4EAAAOAAAAAAAAAAEA&#10;IAAAACkBAABkcnMvZTJvRG9jLnhtbFBLBQYAAAAABgAGAFkBAACkBQAAAAA=&#10;">
                <v:fill on="f" focussize="0,0"/>
                <v:stroke color="#000000" joinstyle="miter" dashstyle="dashDot"/>
                <v:imagedata o:title=""/>
                <o:lock v:ext="edit" aspectratio="f"/>
                <v:textbox>
                  <w:txbxContent>
                    <w:p/>
                  </w:txbxContent>
                </v:textbox>
              </v:shape>
            </w:pict>
          </mc:Fallback>
        </mc:AlternateContent>
      </w:r>
      <w:r>
        <w:rPr>
          <w:color w:val="auto"/>
          <w:highlight w:val="none"/>
        </w:rPr>
        <mc:AlternateContent>
          <mc:Choice Requires="wps">
            <w:drawing>
              <wp:anchor distT="0" distB="0" distL="0" distR="0" simplePos="0" relativeHeight="251659264" behindDoc="0" locked="0" layoutInCell="1" allowOverlap="1">
                <wp:simplePos x="0" y="0"/>
                <wp:positionH relativeFrom="character">
                  <wp:posOffset>6140450</wp:posOffset>
                </wp:positionH>
                <wp:positionV relativeFrom="line">
                  <wp:posOffset>7091045</wp:posOffset>
                </wp:positionV>
                <wp:extent cx="419735" cy="198120"/>
                <wp:effectExtent l="0" t="0" r="0" b="0"/>
                <wp:wrapNone/>
                <wp:docPr id="1033" name="矩形 114"/>
                <wp:cNvGraphicFramePr/>
                <a:graphic xmlns:a="http://schemas.openxmlformats.org/drawingml/2006/main">
                  <a:graphicData uri="http://schemas.microsoft.com/office/word/2010/wordprocessingShape">
                    <wps:wsp>
                      <wps:cNvSpPr/>
                      <wps:spPr>
                        <a:xfrm rot="-2640000">
                          <a:off x="0" y="0"/>
                          <a:ext cx="419734" cy="198119"/>
                        </a:xfrm>
                        <a:prstGeom prst="rect">
                          <a:avLst/>
                        </a:prstGeom>
                        <a:ln>
                          <a:noFill/>
                        </a:ln>
                      </wps:spPr>
                      <wps:txbx>
                        <w:txbxContent>
                          <w:p>
                            <w:pPr>
                              <w:rPr>
                                <w:sz w:val="20"/>
                              </w:rPr>
                            </w:pPr>
                            <w:r>
                              <w:rPr>
                                <w:rFonts w:hint="eastAsia" w:ascii="宋体" w:cs="宋体"/>
                                <w:bCs/>
                                <w:color w:val="000000"/>
                                <w:sz w:val="22"/>
                              </w:rPr>
                              <w:t>密封线</w:t>
                            </w:r>
                          </w:p>
                        </w:txbxContent>
                      </wps:txbx>
                      <wps:bodyPr wrap="none" lIns="0" tIns="0" rIns="0" bIns="0" upright="1">
                        <a:spAutoFit/>
                      </wps:bodyPr>
                    </wps:wsp>
                  </a:graphicData>
                </a:graphic>
              </wp:anchor>
            </w:drawing>
          </mc:Choice>
          <mc:Fallback>
            <w:pict>
              <v:rect id="矩形 114" o:spid="_x0000_s1026" o:spt="1" style="position:absolute;left:0pt;margin-left:483.5pt;margin-top:558.35pt;height:15.6pt;width:33.05pt;mso-position-horizontal-relative:char;mso-position-vertical-relative:line;mso-wrap-style:none;rotation:-2883584f;z-index:251659264;mso-width-relative:page;mso-height-relative:page;" filled="f" stroked="f" coordsize="21600,21600" o:gfxdata="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t3wFdoAAAAOAQAADwAAAAAAAAABACAAAAAi&#10;AAAAZHJzL2Rvd25yZXYueG1sUEsBAhQAFAAAAAgAh07iQLmTYLrPAQAAkwMAAA4AAAAAAAAAAQAg&#10;AAAAKQEAAGRycy9lMm9Eb2MueG1sUEsFBgAAAAAGAAYAWQEAAGoFAAAAAA==&#10;">
                <v:fill on="f" focussize="0,0"/>
                <v:stroke on="f"/>
                <v:imagedata o:title=""/>
                <o:lock v:ext="edit" aspectratio="f"/>
                <v:textbox inset="0mm,0mm,0mm,0mm" style="mso-fit-shape-to-text:t;">
                  <w:txbxContent>
                    <w:p>
                      <w:pPr>
                        <w:rPr>
                          <w:sz w:val="20"/>
                        </w:rPr>
                      </w:pPr>
                      <w:r>
                        <w:rPr>
                          <w:rFonts w:hint="eastAsia" w:ascii="宋体" w:cs="宋体"/>
                          <w:bCs/>
                          <w:color w:val="000000"/>
                          <w:sz w:val="22"/>
                        </w:rPr>
                        <w:t>密封线</w:t>
                      </w:r>
                    </w:p>
                  </w:txbxContent>
                </v:textbox>
              </v:rect>
            </w:pict>
          </mc:Fallback>
        </mc:AlternateContent>
      </w:r>
      <w:r>
        <w:rPr>
          <w:color w:val="auto"/>
          <w:highlight w:val="none"/>
        </w:rPr>
        <mc:AlternateContent>
          <mc:Choice Requires="wps">
            <w:drawing>
              <wp:anchor distT="0" distB="0" distL="0" distR="0" simplePos="0" relativeHeight="251659264" behindDoc="0" locked="0" layoutInCell="1" allowOverlap="1">
                <wp:simplePos x="0" y="0"/>
                <wp:positionH relativeFrom="character">
                  <wp:posOffset>4615180</wp:posOffset>
                </wp:positionH>
                <wp:positionV relativeFrom="line">
                  <wp:posOffset>8111490</wp:posOffset>
                </wp:positionV>
                <wp:extent cx="1156335" cy="396240"/>
                <wp:effectExtent l="0" t="0" r="0" b="0"/>
                <wp:wrapNone/>
                <wp:docPr id="1034" name="矩形 113"/>
                <wp:cNvGraphicFramePr/>
                <a:graphic xmlns:a="http://schemas.openxmlformats.org/drawingml/2006/main">
                  <a:graphicData uri="http://schemas.microsoft.com/office/word/2010/wordprocessingShape">
                    <wps:wsp>
                      <wps:cNvSpPr/>
                      <wps:spPr>
                        <a:xfrm>
                          <a:off x="0" y="0"/>
                          <a:ext cx="1156335" cy="396240"/>
                        </a:xfrm>
                        <a:prstGeom prst="rect">
                          <a:avLst/>
                        </a:prstGeom>
                        <a:ln>
                          <a:noFill/>
                        </a:ln>
                      </wps:spPr>
                      <wps:txbx>
                        <w:txbxContent>
                          <w:p>
                            <w:pPr>
                              <w:rPr>
                                <w:sz w:val="20"/>
                              </w:rPr>
                            </w:pPr>
                            <w:r>
                              <w:rPr>
                                <w:rFonts w:hint="eastAsia" w:ascii="宋体" w:cs="宋体"/>
                                <w:bCs/>
                                <w:color w:val="000000"/>
                                <w:sz w:val="28"/>
                                <w:szCs w:val="30"/>
                              </w:rPr>
                              <w:t>(盖单位章处）</w:t>
                            </w:r>
                          </w:p>
                        </w:txbxContent>
                      </wps:txbx>
                      <wps:bodyPr wrap="none" lIns="0" tIns="0" rIns="0" bIns="0" upright="1">
                        <a:spAutoFit/>
                      </wps:bodyPr>
                    </wps:wsp>
                  </a:graphicData>
                </a:graphic>
              </wp:anchor>
            </w:drawing>
          </mc:Choice>
          <mc:Fallback>
            <w:pict>
              <v:rect id="矩形 113" o:spid="_x0000_s1026" o:spt="1" style="position:absolute;left:0pt;margin-left:363.4pt;margin-top:638.7pt;height:31.2pt;width:91.05pt;mso-position-horizontal-relative:char;mso-position-vertical-relative:line;mso-wrap-style:none;z-index:251659264;mso-width-relative:page;mso-height-relative:page;" filled="f" stroked="f" coordsize="21600,21600" o:gfxdata="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sNk7S2QAAAA0BAAAPAAAAAAAAAAEAIAAAACIAAABkcnMvZG93&#10;bnJldi54bWxQSwECFAAUAAAACACHTuJA6jlPXcYBAACFAwAADgAAAAAAAAABACAAAAAoAQAAZHJz&#10;L2Uyb0RvYy54bWxQSwUGAAAAAAYABgBZAQAAYAUAAAAA&#10;">
                <v:fill on="f" focussize="0,0"/>
                <v:stroke on="f"/>
                <v:imagedata o:title=""/>
                <o:lock v:ext="edit" aspectratio="f"/>
                <v:textbox inset="0mm,0mm,0mm,0mm" style="mso-fit-shape-to-text:t;">
                  <w:txbxContent>
                    <w:p>
                      <w:pPr>
                        <w:rPr>
                          <w:sz w:val="20"/>
                        </w:rPr>
                      </w:pPr>
                      <w:r>
                        <w:rPr>
                          <w:rFonts w:hint="eastAsia" w:ascii="宋体" w:cs="宋体"/>
                          <w:bCs/>
                          <w:color w:val="000000"/>
                          <w:sz w:val="28"/>
                          <w:szCs w:val="30"/>
                        </w:rPr>
                        <w:t>(盖单位章处）</w:t>
                      </w:r>
                    </w:p>
                  </w:txbxContent>
                </v:textbox>
              </v:rect>
            </w:pict>
          </mc:Fallback>
        </mc:AlternateContent>
      </w:r>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Wingdings 2">
    <w:panose1 w:val="05020102010507070707"/>
    <w:charset w:val="00"/>
    <w:family w:val="auto"/>
    <w:pitch w:val="default"/>
    <w:sig w:usb0="00000000" w:usb1="00000000" w:usb2="00000000" w:usb3="00000000" w:csb0="80000000" w:csb1="00000000"/>
  </w:font>
  <w:font w:name="Mongolian Baiti">
    <w:panose1 w:val="03000500000000000000"/>
    <w:charset w:val="00"/>
    <w:family w:val="script"/>
    <w:pitch w:val="default"/>
    <w:sig w:usb0="80000023" w:usb1="00000000" w:usb2="00020000" w:usb3="00000000" w:csb0="00000001" w:csb1="00000000"/>
  </w:font>
  <w:font w:name="方正仿宋_GBK">
    <w:panose1 w:val="03000509000000000000"/>
    <w:charset w:val="86"/>
    <w:family w:val="script"/>
    <w:pitch w:val="default"/>
    <w:sig w:usb0="00000001" w:usb1="080E0000" w:usb2="00000000" w:usb3="00000000" w:csb0="00040000" w:csb1="00000000"/>
  </w:font>
  <w:font w:name="Microsoft Sans Serif">
    <w:panose1 w:val="020B0604020202020204"/>
    <w:charset w:val="00"/>
    <w:family w:val="swiss"/>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- 3 -</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2</w:t>
    </w:r>
    <w:r>
      <w:fldChar w:fldCharType="end"/>
    </w:r>
  </w:p>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pPr>
      <w:pStyle w:val="29"/>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pzPrS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Ij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unM+tL0BAAB7AwAADgAAAAAAAAABACAAAAAfAQAAZHJzL2Uyb0RvYy54bWxQSwUGAAAA&#10;AAYABgBZAQAATgU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t xml:space="preserve">- </w:t>
    </w:r>
    <w:r>
      <w:fldChar w:fldCharType="begin"/>
    </w:r>
    <w:r>
      <w:instrText xml:space="preserve"> PAGE </w:instrText>
    </w:r>
    <w:r>
      <w:fldChar w:fldCharType="separate"/>
    </w:r>
    <w:r>
      <w:t>243</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34"/>
        <w:ind w:firstLine="360" w:firstLineChars="200"/>
        <w:rPr>
          <w:rFonts w:ascii="Times New Roman" w:hAnsi="Times New Roman" w:cs="Times New Roman"/>
          <w:lang w:eastAsia="zh-CN"/>
        </w:rPr>
      </w:pPr>
      <w:r>
        <w:rPr>
          <w:rStyle w:val="55"/>
        </w:rPr>
        <w:footnoteRef/>
      </w:r>
      <w:r>
        <w:rPr>
          <w:rFonts w:ascii="Times New Roman" w:hAnsi="Times New Roman" w:cs="Times New Roman"/>
          <w:lang w:eastAsia="zh-CN"/>
        </w:rPr>
        <w:t>“</w:t>
      </w:r>
      <w:r>
        <w:rPr>
          <w:rFonts w:ascii="Times New Roman" w:cs="Times New Roman"/>
          <w:lang w:eastAsia="zh-CN"/>
        </w:rPr>
        <w:t>总价</w:t>
      </w:r>
      <w:r>
        <w:rPr>
          <w:rFonts w:ascii="Times New Roman" w:hAnsi="Times New Roman" w:cs="Times New Roman"/>
          <w:lang w:eastAsia="zh-CN"/>
        </w:rPr>
        <w:t>”</w:t>
      </w:r>
      <w:r>
        <w:rPr>
          <w:rFonts w:ascii="Times New Roman" w:cs="Times New Roman"/>
          <w:lang w:eastAsia="zh-CN"/>
        </w:rPr>
        <w:t>是指</w:t>
      </w:r>
      <w:r>
        <w:rPr>
          <w:rFonts w:ascii="Times New Roman" w:hAnsi="Times New Roman" w:cs="Times New Roman"/>
          <w:lang w:eastAsia="zh-CN"/>
        </w:rPr>
        <w:t>在工程量清单中以“项”或“总额”为计量单位、以总价计价的子目，一般用于不能按照约定的工程量计算规则确定数量的子目。总价子目一般按照分期、完成合同价的百分比或完成进度计划的形象进度节点等方式予以分解支付。总价子目的计量方法由发包人在专用合同条款12.3.1中明</w:t>
      </w:r>
      <w:r>
        <w:rPr>
          <w:rFonts w:ascii="Times New Roman" w:cs="Times New Roman"/>
          <w:lang w:eastAsia="zh-CN"/>
        </w:rPr>
        <w:t>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2"/>
    <w:multiLevelType w:val="singleLevel"/>
    <w:tmpl w:val="00000002"/>
    <w:lvl w:ilvl="0" w:tentative="0">
      <w:start w:val="1"/>
      <w:numFmt w:val="chineseCounting"/>
      <w:suff w:val="nothing"/>
      <w:lvlText w:val="%1、"/>
      <w:lvlJc w:val="left"/>
    </w:lvl>
  </w:abstractNum>
  <w:abstractNum w:abstractNumId="2">
    <w:nsid w:val="5F471D00"/>
    <w:multiLevelType w:val="singleLevel"/>
    <w:tmpl w:val="5F471D00"/>
    <w:lvl w:ilvl="0" w:tentative="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xOGExZTU2YmJjNDk4YzM0OWNmNDE4YjNmNmJhMDIifQ=="/>
  </w:docVars>
  <w:rsids>
    <w:rsidRoot w:val="00000000"/>
    <w:rsid w:val="01750EDE"/>
    <w:rsid w:val="02497534"/>
    <w:rsid w:val="02CB3070"/>
    <w:rsid w:val="03712D21"/>
    <w:rsid w:val="043C1EA8"/>
    <w:rsid w:val="057364D8"/>
    <w:rsid w:val="07146850"/>
    <w:rsid w:val="0747316B"/>
    <w:rsid w:val="0B374AB7"/>
    <w:rsid w:val="0B8A12CF"/>
    <w:rsid w:val="0F3118B1"/>
    <w:rsid w:val="0FED2443"/>
    <w:rsid w:val="102C328E"/>
    <w:rsid w:val="10D14EF7"/>
    <w:rsid w:val="11F12DFD"/>
    <w:rsid w:val="13CA799C"/>
    <w:rsid w:val="155F0AA1"/>
    <w:rsid w:val="17BC12F4"/>
    <w:rsid w:val="1C0B3C53"/>
    <w:rsid w:val="1D9E2B66"/>
    <w:rsid w:val="202820DF"/>
    <w:rsid w:val="210618F0"/>
    <w:rsid w:val="21270CC2"/>
    <w:rsid w:val="24266EC9"/>
    <w:rsid w:val="26D36140"/>
    <w:rsid w:val="28AF528E"/>
    <w:rsid w:val="30BF31A0"/>
    <w:rsid w:val="316600C5"/>
    <w:rsid w:val="3300448E"/>
    <w:rsid w:val="344A7EB3"/>
    <w:rsid w:val="39F66AF3"/>
    <w:rsid w:val="3E485474"/>
    <w:rsid w:val="4009290C"/>
    <w:rsid w:val="43317379"/>
    <w:rsid w:val="43BE2B8A"/>
    <w:rsid w:val="48093C71"/>
    <w:rsid w:val="4D920C64"/>
    <w:rsid w:val="4F79447E"/>
    <w:rsid w:val="53394028"/>
    <w:rsid w:val="53B03160"/>
    <w:rsid w:val="566209E7"/>
    <w:rsid w:val="56CC3E96"/>
    <w:rsid w:val="57E00501"/>
    <w:rsid w:val="57F13481"/>
    <w:rsid w:val="59952F94"/>
    <w:rsid w:val="5F370970"/>
    <w:rsid w:val="618D4BBE"/>
    <w:rsid w:val="63091321"/>
    <w:rsid w:val="6534707B"/>
    <w:rsid w:val="671764AB"/>
    <w:rsid w:val="68233E92"/>
    <w:rsid w:val="6C243671"/>
    <w:rsid w:val="6D6C1709"/>
    <w:rsid w:val="6F00293A"/>
    <w:rsid w:val="6F0D49D1"/>
    <w:rsid w:val="72824D85"/>
    <w:rsid w:val="760A6969"/>
    <w:rsid w:val="7A4160FC"/>
    <w:rsid w:val="7AFE0EDA"/>
    <w:rsid w:val="7F4A6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4"/>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93"/>
    <w:qFormat/>
    <w:uiPriority w:val="0"/>
    <w:pPr>
      <w:keepNext/>
      <w:keepLines/>
      <w:spacing w:before="260" w:after="260" w:line="416" w:lineRule="auto"/>
      <w:outlineLvl w:val="2"/>
    </w:pPr>
    <w:rPr>
      <w:b/>
      <w:bCs/>
      <w:sz w:val="32"/>
      <w:szCs w:val="32"/>
    </w:rPr>
  </w:style>
  <w:style w:type="paragraph" w:styleId="6">
    <w:name w:val="heading 4"/>
    <w:basedOn w:val="1"/>
    <w:next w:val="1"/>
    <w:link w:val="179"/>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5"/>
    <w:qFormat/>
    <w:uiPriority w:val="0"/>
    <w:pPr>
      <w:keepNext/>
      <w:keepLines/>
      <w:ind w:firstLine="200" w:firstLineChars="200"/>
      <w:outlineLvl w:val="5"/>
    </w:pPr>
    <w:rPr>
      <w:rFonts w:hAnsi="Arial"/>
    </w:rPr>
  </w:style>
  <w:style w:type="paragraph" w:styleId="10">
    <w:name w:val="heading 7"/>
    <w:basedOn w:val="1"/>
    <w:next w:val="1"/>
    <w:link w:val="272"/>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7"/>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8"/>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qFormat/>
    <w:uiPriority w:val="1"/>
  </w:style>
  <w:style w:type="table" w:default="1" w:styleId="45">
    <w:name w:val="Normal Table"/>
    <w:qFormat/>
    <w:uiPriority w:val="99"/>
    <w:tblPr>
      <w:tblCellMar>
        <w:top w:w="0" w:type="dxa"/>
        <w:left w:w="108" w:type="dxa"/>
        <w:bottom w:w="0" w:type="dxa"/>
        <w:right w:w="108" w:type="dxa"/>
      </w:tblCellMar>
    </w:tblPr>
  </w:style>
  <w:style w:type="paragraph" w:styleId="2">
    <w:name w:val="Body Text"/>
    <w:basedOn w:val="1"/>
    <w:next w:val="1"/>
    <w:link w:val="214"/>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204"/>
    <w:qFormat/>
    <w:uiPriority w:val="0"/>
    <w:pPr>
      <w:shd w:val="clear" w:color="auto" w:fill="000080"/>
    </w:pPr>
  </w:style>
  <w:style w:type="paragraph" w:styleId="16">
    <w:name w:val="annotation text"/>
    <w:basedOn w:val="1"/>
    <w:link w:val="289"/>
    <w:qFormat/>
    <w:uiPriority w:val="99"/>
    <w:pPr>
      <w:jc w:val="left"/>
    </w:pPr>
  </w:style>
  <w:style w:type="paragraph" w:styleId="17">
    <w:name w:val="Body Text 3"/>
    <w:basedOn w:val="1"/>
    <w:link w:val="308"/>
    <w:qFormat/>
    <w:uiPriority w:val="0"/>
    <w:pPr>
      <w:spacing w:after="120"/>
    </w:pPr>
    <w:rPr>
      <w:sz w:val="16"/>
      <w:szCs w:val="16"/>
    </w:rPr>
  </w:style>
  <w:style w:type="paragraph" w:styleId="18">
    <w:name w:val="Body Text Indent"/>
    <w:basedOn w:val="1"/>
    <w:link w:val="269"/>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4"/>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57"/>
    <w:qFormat/>
    <w:uiPriority w:val="0"/>
    <w:pPr>
      <w:ind w:left="100" w:leftChars="2500"/>
    </w:pPr>
  </w:style>
  <w:style w:type="paragraph" w:styleId="26">
    <w:name w:val="Body Text Indent 2"/>
    <w:basedOn w:val="1"/>
    <w:link w:val="271"/>
    <w:qFormat/>
    <w:uiPriority w:val="0"/>
    <w:pPr>
      <w:widowControl/>
      <w:spacing w:line="480" w:lineRule="auto"/>
      <w:ind w:firstLine="560"/>
      <w:jc w:val="left"/>
    </w:pPr>
    <w:rPr>
      <w:kern w:val="0"/>
      <w:sz w:val="28"/>
    </w:rPr>
  </w:style>
  <w:style w:type="paragraph" w:styleId="27">
    <w:name w:val="endnote text"/>
    <w:basedOn w:val="1"/>
    <w:link w:val="181"/>
    <w:qFormat/>
    <w:uiPriority w:val="0"/>
    <w:pPr>
      <w:widowControl/>
      <w:snapToGrid w:val="0"/>
      <w:jc w:val="left"/>
    </w:pPr>
    <w:rPr>
      <w:rFonts w:ascii="Arial" w:hAnsi="Arial" w:cs="Arial"/>
      <w:kern w:val="0"/>
      <w:sz w:val="20"/>
      <w:lang w:eastAsia="en-US"/>
    </w:rPr>
  </w:style>
  <w:style w:type="paragraph" w:styleId="28">
    <w:name w:val="Balloon Text"/>
    <w:basedOn w:val="1"/>
    <w:link w:val="208"/>
    <w:qFormat/>
    <w:uiPriority w:val="0"/>
    <w:rPr>
      <w:sz w:val="18"/>
      <w:szCs w:val="18"/>
    </w:rPr>
  </w:style>
  <w:style w:type="paragraph" w:styleId="29">
    <w:name w:val="footer"/>
    <w:basedOn w:val="1"/>
    <w:link w:val="196"/>
    <w:qFormat/>
    <w:uiPriority w:val="0"/>
    <w:pPr>
      <w:tabs>
        <w:tab w:val="center" w:pos="4153"/>
        <w:tab w:val="right" w:pos="8306"/>
      </w:tabs>
      <w:snapToGrid w:val="0"/>
      <w:jc w:val="left"/>
    </w:pPr>
    <w:rPr>
      <w:sz w:val="18"/>
      <w:szCs w:val="18"/>
    </w:rPr>
  </w:style>
  <w:style w:type="paragraph" w:styleId="30">
    <w:name w:val="header"/>
    <w:basedOn w:val="1"/>
    <w:link w:val="23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1"/>
    <w:qFormat/>
    <w:uiPriority w:val="0"/>
    <w:pPr>
      <w:widowControl/>
      <w:jc w:val="center"/>
    </w:pPr>
    <w:rPr>
      <w:kern w:val="0"/>
      <w:sz w:val="20"/>
      <w:u w:val="single"/>
      <w:lang w:eastAsia="en-US"/>
    </w:rPr>
  </w:style>
  <w:style w:type="paragraph" w:styleId="34">
    <w:name w:val="footnote text"/>
    <w:basedOn w:val="1"/>
    <w:link w:val="216"/>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68"/>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64"/>
    <w:qFormat/>
    <w:uiPriority w:val="0"/>
    <w:rPr>
      <w:i/>
      <w:iCs/>
      <w:sz w:val="26"/>
    </w:rPr>
  </w:style>
  <w:style w:type="paragraph" w:styleId="40">
    <w:name w:val="HTML Preformatted"/>
    <w:basedOn w:val="1"/>
    <w:link w:val="16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11"/>
    <w:qFormat/>
    <w:uiPriority w:val="0"/>
    <w:pPr>
      <w:widowControl/>
      <w:jc w:val="center"/>
    </w:pPr>
    <w:rPr>
      <w:kern w:val="0"/>
      <w:sz w:val="20"/>
      <w:u w:val="single"/>
      <w:lang w:eastAsia="en-US"/>
    </w:rPr>
  </w:style>
  <w:style w:type="paragraph" w:styleId="44">
    <w:name w:val="annotation subject"/>
    <w:basedOn w:val="16"/>
    <w:next w:val="16"/>
    <w:link w:val="263"/>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目录 53"/>
    <w:next w:val="1"/>
    <w:qFormat/>
    <w:uiPriority w:val="99"/>
    <w:pPr>
      <w:wordWrap w:val="0"/>
      <w:ind w:left="1275"/>
      <w:jc w:val="both"/>
    </w:pPr>
    <w:rPr>
      <w:rFonts w:ascii="Calibri" w:hAnsi="Calibri" w:eastAsia="宋体" w:cs="Times New Roman"/>
      <w:sz w:val="21"/>
      <w:lang w:val="en-US" w:eastAsia="zh-CN" w:bidi="ar-SA"/>
    </w:rPr>
  </w:style>
  <w:style w:type="paragraph" w:customStyle="1" w:styleId="57">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8">
    <w:name w:val="_Style 101"/>
    <w:basedOn w:val="1"/>
    <w:qFormat/>
    <w:uiPriority w:val="99"/>
    <w:pPr>
      <w:ind w:firstLine="420" w:firstLineChars="200"/>
    </w:pPr>
    <w:rPr>
      <w:sz w:val="28"/>
      <w:szCs w:val="28"/>
    </w:rPr>
  </w:style>
  <w:style w:type="paragraph" w:customStyle="1" w:styleId="59">
    <w:name w:val="表格标题"/>
    <w:basedOn w:val="60"/>
    <w:qFormat/>
    <w:uiPriority w:val="0"/>
  </w:style>
  <w:style w:type="paragraph" w:customStyle="1" w:styleId="60">
    <w:name w:val="表格内容"/>
    <w:basedOn w:val="1"/>
    <w:qFormat/>
    <w:uiPriority w:val="0"/>
    <w:pPr>
      <w:suppressLineNumbers/>
      <w:suppressAutoHyphens/>
    </w:pPr>
  </w:style>
  <w:style w:type="paragraph" w:customStyle="1" w:styleId="61">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2">
    <w:name w:val="修订1"/>
    <w:qFormat/>
    <w:uiPriority w:val="0"/>
    <w:rPr>
      <w:rFonts w:ascii="Times New Roman" w:hAnsi="Times New Roman" w:eastAsia="宋体" w:cs="Times New Roman"/>
      <w:kern w:val="2"/>
      <w:sz w:val="21"/>
      <w:szCs w:val="24"/>
      <w:lang w:val="en-US" w:eastAsia="zh-CN" w:bidi="ar-SA"/>
    </w:rPr>
  </w:style>
  <w:style w:type="paragraph" w:customStyle="1" w:styleId="63">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4">
    <w:name w:val="标准样式1"/>
    <w:basedOn w:val="1"/>
    <w:qFormat/>
    <w:uiPriority w:val="0"/>
    <w:pPr>
      <w:spacing w:line="600" w:lineRule="exact"/>
      <w:ind w:firstLine="567"/>
    </w:pPr>
    <w:rPr>
      <w:rFonts w:ascii="Calibri" w:hAnsi="Calibri"/>
      <w:sz w:val="28"/>
    </w:rPr>
  </w:style>
  <w:style w:type="paragraph" w:customStyle="1" w:styleId="65">
    <w:name w:val="列出段落11"/>
    <w:basedOn w:val="1"/>
    <w:qFormat/>
    <w:uiPriority w:val="0"/>
    <w:pPr>
      <w:ind w:firstLine="420" w:firstLineChars="200"/>
    </w:pPr>
    <w:rPr>
      <w:sz w:val="28"/>
      <w:szCs w:val="28"/>
    </w:rPr>
  </w:style>
  <w:style w:type="paragraph" w:customStyle="1" w:styleId="66">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7">
    <w:name w:val="WW-表格标题"/>
    <w:basedOn w:val="68"/>
    <w:qFormat/>
    <w:uiPriority w:val="0"/>
  </w:style>
  <w:style w:type="paragraph" w:customStyle="1" w:styleId="68">
    <w:name w:val="WW-表格内容"/>
    <w:basedOn w:val="1"/>
    <w:qFormat/>
    <w:uiPriority w:val="0"/>
    <w:pPr>
      <w:suppressLineNumbers/>
      <w:suppressAutoHyphens/>
    </w:pPr>
  </w:style>
  <w:style w:type="paragraph" w:customStyle="1" w:styleId="69">
    <w:name w:val="引用2"/>
    <w:basedOn w:val="1"/>
    <w:next w:val="1"/>
    <w:link w:val="300"/>
    <w:qFormat/>
    <w:uiPriority w:val="0"/>
    <w:rPr>
      <w:i/>
      <w:iCs/>
      <w:color w:val="000000"/>
    </w:rPr>
  </w:style>
  <w:style w:type="paragraph" w:customStyle="1" w:styleId="70">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Char Char Char Char"/>
    <w:basedOn w:val="15"/>
    <w:qFormat/>
    <w:uiPriority w:val="0"/>
    <w:pPr>
      <w:spacing w:line="360" w:lineRule="auto"/>
      <w:ind w:firstLine="200" w:firstLineChars="200"/>
    </w:pPr>
    <w:rPr>
      <w:rFonts w:ascii="Tahoma" w:hAnsi="Tahoma"/>
      <w:sz w:val="24"/>
    </w:rPr>
  </w:style>
  <w:style w:type="paragraph" w:customStyle="1" w:styleId="73">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4">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5">
    <w:name w:val="p16"/>
    <w:basedOn w:val="1"/>
    <w:qFormat/>
    <w:uiPriority w:val="0"/>
    <w:pPr>
      <w:widowControl/>
    </w:pPr>
    <w:rPr>
      <w:rFonts w:ascii="Calibri" w:hAnsi="Calibri" w:cs="宋体"/>
      <w:kern w:val="0"/>
      <w:szCs w:val="21"/>
    </w:rPr>
  </w:style>
  <w:style w:type="paragraph" w:customStyle="1" w:styleId="76">
    <w:name w:val="列出段落1"/>
    <w:basedOn w:val="1"/>
    <w:qFormat/>
    <w:uiPriority w:val="0"/>
    <w:pPr>
      <w:ind w:firstLine="420" w:firstLineChars="200"/>
    </w:pPr>
    <w:rPr>
      <w:sz w:val="28"/>
      <w:szCs w:val="28"/>
    </w:rPr>
  </w:style>
  <w:style w:type="paragraph" w:customStyle="1" w:styleId="77">
    <w:name w:val="样式1"/>
    <w:basedOn w:val="1"/>
    <w:next w:val="6"/>
    <w:qFormat/>
    <w:uiPriority w:val="0"/>
    <w:pPr>
      <w:spacing w:line="360" w:lineRule="auto"/>
      <w:ind w:firstLine="420" w:firstLineChars="200"/>
    </w:pPr>
    <w:rPr>
      <w:rFonts w:ascii="宋体" w:hAnsi="宋体"/>
      <w:szCs w:val="21"/>
    </w:rPr>
  </w:style>
  <w:style w:type="paragraph" w:customStyle="1" w:styleId="78">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79">
    <w:name w:val="Char9 Char Char Char Char Char Char"/>
    <w:basedOn w:val="15"/>
    <w:qFormat/>
    <w:uiPriority w:val="0"/>
    <w:pPr>
      <w:spacing w:line="360" w:lineRule="auto"/>
      <w:ind w:firstLine="200" w:firstLineChars="200"/>
    </w:pPr>
    <w:rPr>
      <w:rFonts w:ascii="Tahoma" w:hAnsi="Tahoma"/>
      <w:sz w:val="24"/>
    </w:rPr>
  </w:style>
  <w:style w:type="paragraph" w:customStyle="1" w:styleId="80">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1">
    <w:name w:val="引用1"/>
    <w:basedOn w:val="1"/>
    <w:next w:val="1"/>
    <w:link w:val="150"/>
    <w:qFormat/>
    <w:uiPriority w:val="29"/>
    <w:rPr>
      <w:i/>
      <w:iCs/>
      <w:color w:val="000000"/>
      <w:szCs w:val="20"/>
    </w:rPr>
  </w:style>
  <w:style w:type="paragraph" w:customStyle="1" w:styleId="82">
    <w:name w:val="表格文字"/>
    <w:basedOn w:val="1"/>
    <w:qFormat/>
    <w:uiPriority w:val="0"/>
    <w:pPr>
      <w:adjustRightInd w:val="0"/>
      <w:spacing w:line="420" w:lineRule="atLeast"/>
      <w:jc w:val="left"/>
      <w:textAlignment w:val="baseline"/>
    </w:pPr>
    <w:rPr>
      <w:kern w:val="0"/>
      <w:szCs w:val="20"/>
    </w:rPr>
  </w:style>
  <w:style w:type="paragraph" w:customStyle="1" w:styleId="83">
    <w:name w:val="_Style 96"/>
    <w:qFormat/>
    <w:uiPriority w:val="99"/>
    <w:rPr>
      <w:rFonts w:ascii="Calibri" w:hAnsi="Calibri" w:eastAsia="宋体" w:cs="Times New Roman"/>
      <w:kern w:val="2"/>
      <w:sz w:val="21"/>
      <w:szCs w:val="24"/>
      <w:lang w:val="en-US" w:eastAsia="zh-CN" w:bidi="ar-SA"/>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5">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6">
    <w:name w:val="正  文"/>
    <w:basedOn w:val="1"/>
    <w:qFormat/>
    <w:uiPriority w:val="0"/>
    <w:pPr>
      <w:spacing w:line="360" w:lineRule="auto"/>
      <w:ind w:firstLine="200" w:firstLineChars="200"/>
    </w:pPr>
    <w:rPr>
      <w:rFonts w:ascii="宋体" w:hAnsi="Calibri"/>
      <w:sz w:val="24"/>
    </w:rPr>
  </w:style>
  <w:style w:type="paragraph" w:customStyle="1" w:styleId="87">
    <w:name w:val="标题4"/>
    <w:basedOn w:val="4"/>
    <w:next w:val="20"/>
    <w:link w:val="243"/>
    <w:qFormat/>
    <w:uiPriority w:val="0"/>
    <w:pPr>
      <w:spacing w:line="413" w:lineRule="auto"/>
    </w:pPr>
    <w:rPr>
      <w:rFonts w:ascii="Arial" w:hAnsi="Arial"/>
      <w:kern w:val="0"/>
      <w:sz w:val="24"/>
    </w:rPr>
  </w:style>
  <w:style w:type="paragraph" w:customStyle="1" w:styleId="88">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8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2">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3">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4">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5">
    <w:name w:val="1 Char"/>
    <w:basedOn w:val="1"/>
    <w:qFormat/>
    <w:uiPriority w:val="0"/>
    <w:pPr>
      <w:widowControl/>
      <w:spacing w:after="160" w:line="240" w:lineRule="exact"/>
      <w:jc w:val="left"/>
    </w:pPr>
    <w:rPr>
      <w:rFonts w:ascii="Calibri" w:hAnsi="Calibri"/>
      <w:szCs w:val="20"/>
    </w:rPr>
  </w:style>
  <w:style w:type="paragraph" w:customStyle="1" w:styleId="96">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7">
    <w:name w:val="pa-34"/>
    <w:basedOn w:val="1"/>
    <w:qFormat/>
    <w:uiPriority w:val="0"/>
    <w:pPr>
      <w:widowControl/>
      <w:spacing w:line="360" w:lineRule="atLeast"/>
      <w:ind w:firstLine="420"/>
      <w:jc w:val="left"/>
    </w:pPr>
    <w:rPr>
      <w:rFonts w:ascii="宋体" w:hAnsi="宋体" w:cs="宋体"/>
      <w:kern w:val="0"/>
      <w:sz w:val="24"/>
    </w:rPr>
  </w:style>
  <w:style w:type="paragraph" w:customStyle="1" w:styleId="98">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9">
    <w:name w:val="p15"/>
    <w:basedOn w:val="1"/>
    <w:qFormat/>
    <w:uiPriority w:val="0"/>
    <w:pPr>
      <w:widowControl/>
      <w:spacing w:after="120"/>
    </w:pPr>
    <w:rPr>
      <w:kern w:val="0"/>
      <w:szCs w:val="21"/>
    </w:rPr>
  </w:style>
  <w:style w:type="paragraph" w:customStyle="1" w:styleId="10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02">
    <w:name w:val="_Style 124"/>
    <w:basedOn w:val="1"/>
    <w:next w:val="1"/>
    <w:link w:val="197"/>
    <w:qFormat/>
    <w:uiPriority w:val="0"/>
    <w:rPr>
      <w:i/>
      <w:iCs/>
      <w:color w:val="000000"/>
      <w:szCs w:val="22"/>
    </w:rPr>
  </w:style>
  <w:style w:type="paragraph" w:customStyle="1" w:styleId="103">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5">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6">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07">
    <w:name w:val="pa-27"/>
    <w:basedOn w:val="1"/>
    <w:qFormat/>
    <w:uiPriority w:val="0"/>
    <w:pPr>
      <w:widowControl/>
      <w:spacing w:line="360" w:lineRule="atLeast"/>
      <w:ind w:firstLine="420"/>
    </w:pPr>
    <w:rPr>
      <w:rFonts w:ascii="宋体" w:hAnsi="宋体" w:cs="宋体"/>
      <w:kern w:val="0"/>
      <w:sz w:val="24"/>
    </w:rPr>
  </w:style>
  <w:style w:type="paragraph" w:customStyle="1" w:styleId="108">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9">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明显引用1"/>
    <w:basedOn w:val="1"/>
    <w:next w:val="1"/>
    <w:link w:val="298"/>
    <w:qFormat/>
    <w:uiPriority w:val="30"/>
    <w:pPr>
      <w:pBdr>
        <w:bottom w:val="single" w:color="4F81BD" w:sz="4" w:space="4"/>
      </w:pBdr>
      <w:spacing w:before="200" w:after="280"/>
      <w:ind w:left="936" w:right="936"/>
    </w:pPr>
    <w:rPr>
      <w:b/>
      <w:bCs/>
      <w:i/>
      <w:iCs/>
      <w:color w:val="4F81BD"/>
      <w:szCs w:val="20"/>
    </w:rPr>
  </w:style>
  <w:style w:type="paragraph" w:customStyle="1" w:styleId="112">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3">
    <w:name w:val="TOC 标题2"/>
    <w:basedOn w:val="3"/>
    <w:next w:val="1"/>
    <w:qFormat/>
    <w:uiPriority w:val="0"/>
    <w:pPr>
      <w:outlineLvl w:val="9"/>
    </w:pPr>
    <w:rPr>
      <w:rFonts w:ascii="Calibri" w:hAnsi="Calibri"/>
    </w:rPr>
  </w:style>
  <w:style w:type="paragraph" w:customStyle="1" w:styleId="114">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5">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标题5"/>
    <w:basedOn w:val="5"/>
    <w:link w:val="165"/>
    <w:qFormat/>
    <w:uiPriority w:val="0"/>
    <w:pPr>
      <w:spacing w:line="413" w:lineRule="auto"/>
    </w:pPr>
    <w:rPr>
      <w:rFonts w:ascii="Arial" w:hAnsi="Arial"/>
      <w:kern w:val="0"/>
      <w:sz w:val="24"/>
    </w:rPr>
  </w:style>
  <w:style w:type="paragraph" w:customStyle="1" w:styleId="117">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8">
    <w:name w:val="_Style 64"/>
    <w:basedOn w:val="1"/>
    <w:next w:val="1"/>
    <w:link w:val="297"/>
    <w:qFormat/>
    <w:uiPriority w:val="0"/>
    <w:pPr>
      <w:pBdr>
        <w:bottom w:val="single" w:color="4F81BD" w:sz="4" w:space="4"/>
      </w:pBdr>
      <w:spacing w:before="200" w:after="280"/>
      <w:ind w:left="936" w:right="936"/>
    </w:pPr>
    <w:rPr>
      <w:b/>
      <w:bCs/>
      <w:i/>
      <w:iCs/>
      <w:color w:val="4F81BD"/>
      <w:szCs w:val="22"/>
    </w:rPr>
  </w:style>
  <w:style w:type="paragraph" w:customStyle="1" w:styleId="119">
    <w:name w:val="_Style 128"/>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0">
    <w:name w:val="Char2"/>
    <w:basedOn w:val="1"/>
    <w:qFormat/>
    <w:uiPriority w:val="0"/>
    <w:rPr>
      <w:rFonts w:ascii="Calibri" w:hAnsi="Calibri"/>
    </w:rPr>
  </w:style>
  <w:style w:type="paragraph" w:customStyle="1" w:styleId="121">
    <w:name w:val="_Style 87"/>
    <w:basedOn w:val="1"/>
    <w:qFormat/>
    <w:uiPriority w:val="99"/>
    <w:pPr>
      <w:ind w:firstLine="420" w:firstLineChars="200"/>
    </w:pPr>
    <w:rPr>
      <w:rFonts w:ascii="Calibri" w:hAnsi="Calibri"/>
      <w:sz w:val="28"/>
      <w:szCs w:val="28"/>
    </w:rPr>
  </w:style>
  <w:style w:type="paragraph" w:customStyle="1" w:styleId="122">
    <w:name w:val="自定样式1"/>
    <w:basedOn w:val="1"/>
    <w:qFormat/>
    <w:uiPriority w:val="0"/>
    <w:pPr>
      <w:suppressAutoHyphens/>
      <w:jc w:val="center"/>
    </w:pPr>
    <w:rPr>
      <w:rFonts w:ascii="宋体" w:hAnsi="宋体"/>
      <w:color w:val="000000"/>
      <w:sz w:val="18"/>
    </w:rPr>
  </w:style>
  <w:style w:type="paragraph" w:customStyle="1" w:styleId="123">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Char"/>
    <w:basedOn w:val="1"/>
    <w:qFormat/>
    <w:uiPriority w:val="0"/>
  </w:style>
  <w:style w:type="paragraph" w:customStyle="1" w:styleId="125">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列表段落1"/>
    <w:basedOn w:val="1"/>
    <w:qFormat/>
    <w:uiPriority w:val="34"/>
    <w:pPr>
      <w:ind w:firstLine="420" w:firstLineChars="200"/>
    </w:pPr>
    <w:rPr>
      <w:rFonts w:ascii="Calibri" w:hAnsi="Calibri"/>
    </w:rPr>
  </w:style>
  <w:style w:type="paragraph" w:customStyle="1" w:styleId="12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8">
    <w:name w:val="表体"/>
    <w:basedOn w:val="1"/>
    <w:next w:val="1"/>
    <w:qFormat/>
    <w:uiPriority w:val="0"/>
    <w:pPr>
      <w:spacing w:line="0" w:lineRule="atLeast"/>
    </w:pPr>
    <w:rPr>
      <w:rFonts w:ascii="Calibri" w:hAnsi="Calibri"/>
      <w:b/>
      <w:snapToGrid w:val="0"/>
      <w:szCs w:val="20"/>
    </w:rPr>
  </w:style>
  <w:style w:type="paragraph" w:customStyle="1" w:styleId="129">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0">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1">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2">
    <w:name w:val="Char11"/>
    <w:basedOn w:val="1"/>
    <w:qFormat/>
    <w:uiPriority w:val="0"/>
  </w:style>
  <w:style w:type="paragraph" w:customStyle="1" w:styleId="133">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4">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135">
    <w:name w:val="_Style 86"/>
    <w:qFormat/>
    <w:uiPriority w:val="0"/>
    <w:rPr>
      <w:rFonts w:ascii="Times New Roman" w:hAnsi="Times New Roman" w:eastAsia="宋体" w:cs="Times New Roman"/>
      <w:kern w:val="2"/>
      <w:sz w:val="21"/>
      <w:szCs w:val="24"/>
      <w:lang w:val="en-US" w:eastAsia="zh-CN" w:bidi="ar-SA"/>
    </w:rPr>
  </w:style>
  <w:style w:type="paragraph" w:customStyle="1" w:styleId="136">
    <w:name w:val="Char1"/>
    <w:basedOn w:val="1"/>
    <w:qFormat/>
    <w:uiPriority w:val="0"/>
  </w:style>
  <w:style w:type="paragraph" w:customStyle="1" w:styleId="137">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2">
    <w:name w:val="正文文本 Char2"/>
    <w:qFormat/>
    <w:uiPriority w:val="99"/>
    <w:rPr>
      <w:kern w:val="2"/>
      <w:sz w:val="21"/>
      <w:szCs w:val="24"/>
    </w:rPr>
  </w:style>
  <w:style w:type="character" w:customStyle="1" w:styleId="143">
    <w:name w:val="尾注文本 Char1"/>
    <w:qFormat/>
    <w:uiPriority w:val="0"/>
    <w:rPr>
      <w:rFonts w:ascii="Arial" w:hAnsi="Arial" w:cs="Arial"/>
      <w:szCs w:val="24"/>
      <w:lang w:eastAsia="en-US"/>
    </w:rPr>
  </w:style>
  <w:style w:type="character" w:customStyle="1" w:styleId="144">
    <w:name w:val="脚注文本 Char"/>
    <w:qFormat/>
    <w:uiPriority w:val="0"/>
    <w:rPr>
      <w:rFonts w:ascii="Arial" w:hAnsi="Arial" w:eastAsia="宋体" w:cs="Arial"/>
      <w:sz w:val="18"/>
      <w:szCs w:val="18"/>
      <w:lang w:eastAsia="en-US"/>
    </w:rPr>
  </w:style>
  <w:style w:type="character" w:customStyle="1" w:styleId="145">
    <w:name w:val="Char Char17"/>
    <w:qFormat/>
    <w:uiPriority w:val="0"/>
    <w:rPr>
      <w:kern w:val="2"/>
      <w:sz w:val="26"/>
      <w:szCs w:val="24"/>
    </w:rPr>
  </w:style>
  <w:style w:type="character" w:customStyle="1" w:styleId="146">
    <w:name w:val="副标题 Char1"/>
    <w:qFormat/>
    <w:uiPriority w:val="0"/>
    <w:rPr>
      <w:szCs w:val="24"/>
      <w:u w:val="single"/>
      <w:lang w:eastAsia="en-US"/>
    </w:rPr>
  </w:style>
  <w:style w:type="character" w:customStyle="1" w:styleId="147">
    <w:name w:val="标题 Char1"/>
    <w:qFormat/>
    <w:uiPriority w:val="10"/>
    <w:rPr>
      <w:szCs w:val="24"/>
      <w:u w:val="single"/>
      <w:lang w:eastAsia="en-US"/>
    </w:rPr>
  </w:style>
  <w:style w:type="character" w:customStyle="1" w:styleId="148">
    <w:name w:val="Char Char24"/>
    <w:qFormat/>
    <w:uiPriority w:val="0"/>
    <w:rPr>
      <w:b/>
      <w:bCs/>
      <w:kern w:val="44"/>
      <w:sz w:val="44"/>
      <w:szCs w:val="44"/>
    </w:rPr>
  </w:style>
  <w:style w:type="character" w:customStyle="1" w:styleId="149">
    <w:name w:val="批注主题 Char"/>
    <w:qFormat/>
    <w:uiPriority w:val="0"/>
    <w:rPr>
      <w:rFonts w:ascii="宋体" w:hAnsi="宋体" w:eastAsia="宋体"/>
      <w:kern w:val="2"/>
      <w:sz w:val="24"/>
      <w:szCs w:val="28"/>
      <w:lang w:val="en-US" w:eastAsia="zh-CN" w:bidi="ar-SA"/>
    </w:rPr>
  </w:style>
  <w:style w:type="character" w:customStyle="1" w:styleId="150">
    <w:name w:val="引用 Char1"/>
    <w:link w:val="81"/>
    <w:qFormat/>
    <w:uiPriority w:val="29"/>
    <w:rPr>
      <w:i/>
      <w:iCs/>
      <w:color w:val="000000"/>
      <w:kern w:val="2"/>
      <w:sz w:val="21"/>
    </w:rPr>
  </w:style>
  <w:style w:type="character" w:customStyle="1" w:styleId="151">
    <w:name w:val="Char Char23"/>
    <w:qFormat/>
    <w:uiPriority w:val="0"/>
    <w:rPr>
      <w:rFonts w:ascii="Cambria" w:hAnsi="Cambria" w:eastAsia="宋体" w:cs="Times New Roman"/>
      <w:b/>
      <w:bCs/>
      <w:kern w:val="2"/>
      <w:sz w:val="32"/>
      <w:szCs w:val="32"/>
    </w:rPr>
  </w:style>
  <w:style w:type="character" w:customStyle="1" w:styleId="152">
    <w:name w:val="ITTHEADER2 Char"/>
    <w:qFormat/>
    <w:uiPriority w:val="0"/>
    <w:rPr>
      <w:rFonts w:ascii="仿宋_GB2312" w:eastAsia="仿宋_GB2312" w:cs="MingLiU"/>
      <w:b/>
      <w:spacing w:val="1"/>
      <w:w w:val="99"/>
      <w:sz w:val="28"/>
      <w:szCs w:val="32"/>
      <w:lang w:val="en-US" w:eastAsia="zh-CN" w:bidi="ar-SA"/>
    </w:rPr>
  </w:style>
  <w:style w:type="character" w:customStyle="1" w:styleId="153">
    <w:name w:val="标题 9 Char1"/>
    <w:qFormat/>
    <w:uiPriority w:val="0"/>
    <w:rPr>
      <w:rFonts w:ascii="Times New Roman" w:hAnsi="Times New Roman" w:eastAsia="仿宋_GB2312" w:cs="Times New Roman"/>
      <w:sz w:val="30"/>
      <w:szCs w:val="20"/>
    </w:rPr>
  </w:style>
  <w:style w:type="character" w:customStyle="1" w:styleId="154">
    <w:name w:val="正文文本 Char1"/>
    <w:qFormat/>
    <w:uiPriority w:val="0"/>
    <w:rPr>
      <w:kern w:val="2"/>
      <w:sz w:val="21"/>
      <w:szCs w:val="22"/>
    </w:rPr>
  </w:style>
  <w:style w:type="character" w:customStyle="1" w:styleId="155">
    <w:name w:val="引用 Char2"/>
    <w:qFormat/>
    <w:uiPriority w:val="99"/>
    <w:rPr>
      <w:i/>
      <w:iCs/>
      <w:color w:val="000000"/>
      <w:kern w:val="2"/>
      <w:sz w:val="21"/>
      <w:szCs w:val="24"/>
    </w:rPr>
  </w:style>
  <w:style w:type="character" w:customStyle="1" w:styleId="156">
    <w:name w:val="正文文本 Char3"/>
    <w:qFormat/>
    <w:uiPriority w:val="99"/>
    <w:rPr>
      <w:rFonts w:ascii="Calibri" w:hAnsi="Calibri" w:eastAsia="宋体" w:cs="Times New Roman"/>
      <w:szCs w:val="24"/>
    </w:rPr>
  </w:style>
  <w:style w:type="character" w:customStyle="1" w:styleId="157">
    <w:name w:val="日期 字符"/>
    <w:link w:val="25"/>
    <w:qFormat/>
    <w:uiPriority w:val="0"/>
    <w:rPr>
      <w:rFonts w:eastAsia="宋体"/>
      <w:kern w:val="2"/>
      <w:sz w:val="21"/>
      <w:szCs w:val="24"/>
      <w:lang w:val="en-US" w:eastAsia="zh-CN" w:bidi="ar-SA"/>
    </w:rPr>
  </w:style>
  <w:style w:type="character" w:customStyle="1" w:styleId="158">
    <w:name w:val="标题 2 Char"/>
    <w:qFormat/>
    <w:uiPriority w:val="0"/>
    <w:rPr>
      <w:rFonts w:ascii="仿宋_GB2312" w:hAnsi="Calibri" w:eastAsia="仿宋_GB2312" w:cs="Times New Roman"/>
      <w:b/>
      <w:spacing w:val="1"/>
      <w:w w:val="99"/>
      <w:kern w:val="0"/>
      <w:sz w:val="28"/>
      <w:szCs w:val="32"/>
    </w:rPr>
  </w:style>
  <w:style w:type="character" w:customStyle="1" w:styleId="159">
    <w:name w:val="标题 7 Char"/>
    <w:qFormat/>
    <w:uiPriority w:val="0"/>
    <w:rPr>
      <w:rFonts w:ascii="Calibri" w:hAnsi="Calibri" w:eastAsia="宋体" w:cs="Times New Roman"/>
      <w:b/>
      <w:bCs/>
      <w:sz w:val="24"/>
      <w:szCs w:val="24"/>
    </w:rPr>
  </w:style>
  <w:style w:type="character" w:customStyle="1" w:styleId="160">
    <w:name w:val="批注框文本 Char1"/>
    <w:qFormat/>
    <w:uiPriority w:val="0"/>
    <w:rPr>
      <w:kern w:val="2"/>
      <w:sz w:val="18"/>
      <w:szCs w:val="18"/>
    </w:rPr>
  </w:style>
  <w:style w:type="character" w:customStyle="1" w:styleId="161">
    <w:name w:val="日期 Char1"/>
    <w:qFormat/>
    <w:uiPriority w:val="0"/>
    <w:rPr>
      <w:kern w:val="2"/>
      <w:sz w:val="21"/>
      <w:szCs w:val="22"/>
    </w:rPr>
  </w:style>
  <w:style w:type="character" w:customStyle="1" w:styleId="162">
    <w:name w:val="_Style 171"/>
    <w:qFormat/>
    <w:uiPriority w:val="0"/>
    <w:rPr>
      <w:b/>
      <w:bCs/>
      <w:i/>
      <w:iCs/>
      <w:color w:val="4F81BD"/>
    </w:rPr>
  </w:style>
  <w:style w:type="character" w:customStyle="1" w:styleId="163">
    <w:name w:val="Char Char22"/>
    <w:qFormat/>
    <w:uiPriority w:val="0"/>
    <w:rPr>
      <w:b/>
      <w:bCs/>
      <w:kern w:val="2"/>
      <w:sz w:val="32"/>
      <w:szCs w:val="32"/>
    </w:rPr>
  </w:style>
  <w:style w:type="character" w:customStyle="1" w:styleId="164">
    <w:name w:val="标题 6 Char1"/>
    <w:qFormat/>
    <w:uiPriority w:val="0"/>
    <w:rPr>
      <w:rFonts w:ascii="Times New Roman" w:hAnsi="Arial" w:eastAsia="仿宋_GB2312" w:cs="Times New Roman"/>
      <w:sz w:val="30"/>
      <w:szCs w:val="20"/>
    </w:rPr>
  </w:style>
  <w:style w:type="character" w:customStyle="1" w:styleId="165">
    <w:name w:val="标题5 Char Char"/>
    <w:link w:val="116"/>
    <w:qFormat/>
    <w:uiPriority w:val="0"/>
    <w:rPr>
      <w:rFonts w:ascii="Arial" w:hAnsi="Arial"/>
      <w:b/>
      <w:bCs/>
      <w:sz w:val="24"/>
      <w:szCs w:val="32"/>
      <w:lang w:bidi="ar-SA"/>
    </w:rPr>
  </w:style>
  <w:style w:type="character" w:customStyle="1" w:styleId="166">
    <w:name w:val="正文文本缩进 Char1"/>
    <w:qFormat/>
    <w:uiPriority w:val="0"/>
    <w:rPr>
      <w:kern w:val="2"/>
      <w:sz w:val="21"/>
      <w:szCs w:val="24"/>
    </w:rPr>
  </w:style>
  <w:style w:type="character" w:customStyle="1" w:styleId="167">
    <w:name w:val="标题 4 Char1"/>
    <w:qFormat/>
    <w:uiPriority w:val="0"/>
    <w:rPr>
      <w:rFonts w:ascii="宋体" w:hAnsi="宋体" w:eastAsia="宋体" w:cs="宋体"/>
      <w:b/>
      <w:bCs/>
      <w:sz w:val="24"/>
      <w:szCs w:val="24"/>
    </w:rPr>
  </w:style>
  <w:style w:type="character" w:customStyle="1" w:styleId="168">
    <w:name w:val="尾注文本 Char"/>
    <w:qFormat/>
    <w:uiPriority w:val="0"/>
    <w:rPr>
      <w:kern w:val="2"/>
      <w:sz w:val="21"/>
      <w:szCs w:val="24"/>
    </w:rPr>
  </w:style>
  <w:style w:type="character" w:customStyle="1" w:styleId="169">
    <w:name w:val="HTML 预设格式 字符"/>
    <w:link w:val="40"/>
    <w:qFormat/>
    <w:uiPriority w:val="0"/>
    <w:rPr>
      <w:rFonts w:ascii="宋体" w:hAnsi="宋体" w:eastAsia="宋体" w:cs="宋体"/>
      <w:color w:val="000000"/>
      <w:sz w:val="24"/>
      <w:szCs w:val="24"/>
      <w:lang w:val="en-US" w:eastAsia="zh-CN" w:bidi="ar-SA"/>
    </w:rPr>
  </w:style>
  <w:style w:type="character" w:customStyle="1" w:styleId="170">
    <w:name w:val="尾注文本 Char2"/>
    <w:qFormat/>
    <w:uiPriority w:val="99"/>
    <w:rPr>
      <w:rFonts w:ascii="Calibri" w:hAnsi="Calibri" w:eastAsia="宋体" w:cs="Times New Roman"/>
      <w:szCs w:val="24"/>
    </w:rPr>
  </w:style>
  <w:style w:type="character" w:customStyle="1" w:styleId="171">
    <w:name w:val="明显强调1"/>
    <w:qFormat/>
    <w:uiPriority w:val="0"/>
    <w:rPr>
      <w:b/>
      <w:bCs/>
      <w:i/>
      <w:iCs/>
      <w:color w:val="4F81BD"/>
    </w:rPr>
  </w:style>
  <w:style w:type="character" w:customStyle="1" w:styleId="172">
    <w:name w:val="正文文本 Char"/>
    <w:qFormat/>
    <w:uiPriority w:val="0"/>
    <w:rPr>
      <w:sz w:val="26"/>
      <w:szCs w:val="24"/>
    </w:rPr>
  </w:style>
  <w:style w:type="character" w:customStyle="1" w:styleId="173">
    <w:name w:val="脚注文本 Char2"/>
    <w:qFormat/>
    <w:uiPriority w:val="99"/>
    <w:rPr>
      <w:rFonts w:ascii="Calibri" w:hAnsi="Calibri" w:eastAsia="宋体" w:cs="Times New Roman"/>
      <w:sz w:val="18"/>
      <w:szCs w:val="18"/>
    </w:rPr>
  </w:style>
  <w:style w:type="character" w:customStyle="1" w:styleId="174">
    <w:name w:val="正文文本 2 Char1"/>
    <w:qFormat/>
    <w:uiPriority w:val="99"/>
    <w:rPr>
      <w:rFonts w:ascii="Calibri" w:hAnsi="Calibri" w:eastAsia="宋体" w:cs="Times New Roman"/>
      <w:szCs w:val="24"/>
    </w:rPr>
  </w:style>
  <w:style w:type="character" w:customStyle="1" w:styleId="175">
    <w:name w:val="_Style 248"/>
    <w:qFormat/>
    <w:uiPriority w:val="0"/>
    <w:rPr>
      <w:b/>
      <w:bCs/>
      <w:smallCaps/>
      <w:spacing w:val="5"/>
    </w:rPr>
  </w:style>
  <w:style w:type="character" w:customStyle="1" w:styleId="176">
    <w:name w:val="明显引用 Char3"/>
    <w:qFormat/>
    <w:uiPriority w:val="30"/>
    <w:rPr>
      <w:rFonts w:ascii="Calibri" w:hAnsi="Calibri" w:eastAsia="宋体" w:cs="Times New Roman"/>
      <w:b/>
      <w:bCs/>
      <w:i/>
      <w:iCs/>
      <w:color w:val="4F81BD"/>
      <w:szCs w:val="24"/>
    </w:rPr>
  </w:style>
  <w:style w:type="character" w:customStyle="1" w:styleId="177">
    <w:name w:val="_Style 254"/>
    <w:qFormat/>
    <w:uiPriority w:val="0"/>
    <w:rPr>
      <w:b/>
      <w:bCs/>
      <w:smallCaps/>
      <w:color w:val="C0504D"/>
      <w:spacing w:val="5"/>
      <w:u w:val="single"/>
    </w:rPr>
  </w:style>
  <w:style w:type="character" w:customStyle="1" w:styleId="178">
    <w:name w:val="正文文本缩进 Char2"/>
    <w:qFormat/>
    <w:uiPriority w:val="99"/>
    <w:rPr>
      <w:rFonts w:ascii="Calibri" w:hAnsi="Calibri" w:eastAsia="宋体" w:cs="Times New Roman"/>
      <w:szCs w:val="24"/>
    </w:rPr>
  </w:style>
  <w:style w:type="character" w:customStyle="1" w:styleId="179">
    <w:name w:val="标题 4 字符"/>
    <w:link w:val="6"/>
    <w:qFormat/>
    <w:uiPriority w:val="0"/>
    <w:rPr>
      <w:rFonts w:ascii="宋体" w:hAnsi="宋体" w:eastAsia="宋体" w:cs="宋体"/>
      <w:b/>
      <w:bCs/>
      <w:sz w:val="24"/>
      <w:szCs w:val="24"/>
      <w:lang w:val="en-US" w:eastAsia="zh-CN" w:bidi="ar-SA"/>
    </w:rPr>
  </w:style>
  <w:style w:type="character" w:customStyle="1" w:styleId="180">
    <w:name w:val="正文文本缩进 3 Char"/>
    <w:qFormat/>
    <w:uiPriority w:val="0"/>
    <w:rPr>
      <w:kern w:val="2"/>
      <w:sz w:val="16"/>
      <w:szCs w:val="16"/>
    </w:rPr>
  </w:style>
  <w:style w:type="character" w:customStyle="1" w:styleId="181">
    <w:name w:val="尾注文本 字符"/>
    <w:link w:val="27"/>
    <w:qFormat/>
    <w:uiPriority w:val="0"/>
    <w:rPr>
      <w:rFonts w:ascii="Arial" w:hAnsi="Arial" w:eastAsia="宋体" w:cs="Arial"/>
      <w:szCs w:val="24"/>
      <w:lang w:val="en-US" w:eastAsia="en-US" w:bidi="ar-SA"/>
    </w:rPr>
  </w:style>
  <w:style w:type="character" w:customStyle="1" w:styleId="182">
    <w:name w:val="引用 Char3"/>
    <w:qFormat/>
    <w:uiPriority w:val="29"/>
    <w:rPr>
      <w:rFonts w:ascii="Calibri" w:hAnsi="Calibri" w:eastAsia="宋体" w:cs="Times New Roman"/>
      <w:i/>
      <w:iCs/>
      <w:color w:val="000000"/>
      <w:szCs w:val="24"/>
    </w:rPr>
  </w:style>
  <w:style w:type="character" w:customStyle="1" w:styleId="183">
    <w:name w:val="Char Char32"/>
    <w:qFormat/>
    <w:uiPriority w:val="0"/>
    <w:rPr>
      <w:rFonts w:ascii="仿宋_GB2312" w:eastAsia="仿宋_GB2312" w:cs="MingLiU"/>
      <w:b/>
      <w:spacing w:val="1"/>
      <w:w w:val="99"/>
      <w:sz w:val="28"/>
      <w:szCs w:val="32"/>
    </w:rPr>
  </w:style>
  <w:style w:type="character" w:customStyle="1" w:styleId="184">
    <w:name w:val="日期 Char"/>
    <w:qFormat/>
    <w:uiPriority w:val="0"/>
    <w:rPr>
      <w:rFonts w:eastAsia="宋体"/>
      <w:szCs w:val="24"/>
    </w:rPr>
  </w:style>
  <w:style w:type="character" w:customStyle="1" w:styleId="185">
    <w:name w:val="页脚 Char"/>
    <w:qFormat/>
    <w:uiPriority w:val="0"/>
    <w:rPr>
      <w:sz w:val="18"/>
      <w:szCs w:val="18"/>
    </w:rPr>
  </w:style>
  <w:style w:type="character" w:customStyle="1" w:styleId="186">
    <w:name w:val="style121"/>
    <w:qFormat/>
    <w:uiPriority w:val="0"/>
    <w:rPr>
      <w:rFonts w:hint="eastAsia" w:ascii="宋体" w:hAnsi="宋体" w:eastAsia="宋体"/>
      <w:sz w:val="18"/>
      <w:szCs w:val="18"/>
    </w:rPr>
  </w:style>
  <w:style w:type="character" w:customStyle="1" w:styleId="187">
    <w:name w:val="ss16"/>
    <w:qFormat/>
    <w:uiPriority w:val="0"/>
    <w:rPr>
      <w:rFonts w:hint="eastAsia" w:ascii="宋体" w:hAnsi="宋体" w:eastAsia="宋体"/>
      <w:color w:val="000000"/>
      <w:sz w:val="9"/>
      <w:szCs w:val="9"/>
    </w:rPr>
  </w:style>
  <w:style w:type="character" w:customStyle="1" w:styleId="188">
    <w:name w:val="textcontents"/>
    <w:qFormat/>
    <w:uiPriority w:val="0"/>
    <w:rPr>
      <w:rFonts w:cs="Times New Roman"/>
    </w:rPr>
  </w:style>
  <w:style w:type="character" w:customStyle="1" w:styleId="189">
    <w:name w:val="14t1"/>
    <w:qFormat/>
    <w:uiPriority w:val="0"/>
    <w:rPr>
      <w:rFonts w:hint="eastAsia" w:ascii="宋体" w:hAnsi="宋体" w:eastAsia="宋体"/>
      <w:sz w:val="11"/>
      <w:szCs w:val="11"/>
    </w:rPr>
  </w:style>
  <w:style w:type="character" w:customStyle="1" w:styleId="190">
    <w:name w:val="不明显参考1"/>
    <w:qFormat/>
    <w:uiPriority w:val="0"/>
    <w:rPr>
      <w:smallCaps/>
      <w:color w:val="C0504D"/>
      <w:u w:val="single"/>
    </w:rPr>
  </w:style>
  <w:style w:type="character" w:customStyle="1" w:styleId="191">
    <w:name w:val="unnamed1"/>
    <w:basedOn w:val="47"/>
    <w:qFormat/>
    <w:uiPriority w:val="0"/>
  </w:style>
  <w:style w:type="character" w:customStyle="1" w:styleId="192">
    <w:name w:val="批注主题 Char3"/>
    <w:qFormat/>
    <w:uiPriority w:val="99"/>
    <w:rPr>
      <w:rFonts w:ascii="Calibri" w:hAnsi="Calibri" w:eastAsia="宋体" w:cs="Times New Roman"/>
      <w:b/>
      <w:bCs/>
      <w:szCs w:val="24"/>
    </w:rPr>
  </w:style>
  <w:style w:type="character" w:customStyle="1" w:styleId="193">
    <w:name w:val="标题 3 字符"/>
    <w:link w:val="5"/>
    <w:qFormat/>
    <w:uiPriority w:val="0"/>
    <w:rPr>
      <w:rFonts w:eastAsia="宋体"/>
      <w:b/>
      <w:bCs/>
      <w:kern w:val="2"/>
      <w:sz w:val="32"/>
      <w:szCs w:val="32"/>
      <w:lang w:val="en-US" w:eastAsia="zh-CN" w:bidi="ar-SA"/>
    </w:rPr>
  </w:style>
  <w:style w:type="character" w:customStyle="1" w:styleId="194">
    <w:name w:val="标题 2 字符"/>
    <w:link w:val="4"/>
    <w:qFormat/>
    <w:uiPriority w:val="0"/>
    <w:rPr>
      <w:rFonts w:ascii="Cambria" w:hAnsi="Cambria" w:eastAsia="宋体"/>
      <w:b/>
      <w:bCs/>
      <w:kern w:val="2"/>
      <w:sz w:val="32"/>
      <w:szCs w:val="32"/>
      <w:lang w:val="en-US" w:eastAsia="zh-CN" w:bidi="ar-SA"/>
    </w:rPr>
  </w:style>
  <w:style w:type="character" w:customStyle="1" w:styleId="195">
    <w:name w:val="标题 6 字符"/>
    <w:link w:val="8"/>
    <w:qFormat/>
    <w:uiPriority w:val="0"/>
    <w:rPr>
      <w:rFonts w:hAnsi="Arial" w:eastAsia="仿宋_GB2312"/>
      <w:sz w:val="30"/>
      <w:lang w:val="en-US" w:eastAsia="zh-CN" w:bidi="ar-SA"/>
    </w:rPr>
  </w:style>
  <w:style w:type="character" w:customStyle="1" w:styleId="196">
    <w:name w:val="页脚 字符"/>
    <w:link w:val="29"/>
    <w:qFormat/>
    <w:uiPriority w:val="0"/>
    <w:rPr>
      <w:rFonts w:eastAsia="宋体"/>
      <w:kern w:val="2"/>
      <w:sz w:val="18"/>
      <w:szCs w:val="18"/>
      <w:lang w:val="en-US" w:eastAsia="zh-CN" w:bidi="ar-SA"/>
    </w:rPr>
  </w:style>
  <w:style w:type="character" w:customStyle="1" w:styleId="197">
    <w:name w:val="引用 Char4"/>
    <w:link w:val="102"/>
    <w:qFormat/>
    <w:uiPriority w:val="0"/>
    <w:rPr>
      <w:i/>
      <w:iCs/>
      <w:color w:val="000000"/>
      <w:kern w:val="2"/>
      <w:sz w:val="21"/>
      <w:szCs w:val="22"/>
      <w:lang w:bidi="ar-SA"/>
    </w:rPr>
  </w:style>
  <w:style w:type="character" w:customStyle="1" w:styleId="198">
    <w:name w:val="标题 9 字符"/>
    <w:link w:val="12"/>
    <w:qFormat/>
    <w:uiPriority w:val="0"/>
    <w:rPr>
      <w:rFonts w:eastAsia="仿宋_GB2312"/>
      <w:sz w:val="30"/>
      <w:lang w:val="en-US" w:eastAsia="zh-CN" w:bidi="ar-SA"/>
    </w:rPr>
  </w:style>
  <w:style w:type="character" w:customStyle="1" w:styleId="199">
    <w:name w:val="标题 3 Char"/>
    <w:qFormat/>
    <w:uiPriority w:val="0"/>
    <w:rPr>
      <w:rFonts w:ascii="仿宋_GB2312" w:hAnsi="Calibri" w:eastAsia="仿宋_GB2312" w:cs="Times New Roman"/>
      <w:b/>
      <w:kern w:val="0"/>
      <w:sz w:val="24"/>
      <w:szCs w:val="28"/>
    </w:rPr>
  </w:style>
  <w:style w:type="character" w:customStyle="1" w:styleId="200">
    <w:name w:val="批注文字 Char2"/>
    <w:qFormat/>
    <w:uiPriority w:val="0"/>
    <w:rPr>
      <w:rFonts w:ascii="Calibri" w:hAnsi="Calibri" w:eastAsia="宋体" w:cs="Times New Roman"/>
      <w:szCs w:val="24"/>
    </w:rPr>
  </w:style>
  <w:style w:type="character" w:customStyle="1" w:styleId="201">
    <w:name w:val="normaltext1"/>
    <w:qFormat/>
    <w:uiPriority w:val="0"/>
    <w:rPr>
      <w:rFonts w:hint="default" w:ascii="ˎ̥" w:hAnsi="ˎ̥"/>
      <w:sz w:val="9"/>
      <w:szCs w:val="9"/>
    </w:rPr>
  </w:style>
  <w:style w:type="character" w:customStyle="1" w:styleId="202">
    <w:name w:val="ca-141"/>
    <w:qFormat/>
    <w:uiPriority w:val="0"/>
    <w:rPr>
      <w:rFonts w:hint="eastAsia" w:ascii="仿宋_GB2312" w:eastAsia="仿宋_GB2312"/>
      <w:sz w:val="21"/>
      <w:szCs w:val="21"/>
    </w:rPr>
  </w:style>
  <w:style w:type="character" w:customStyle="1" w:styleId="203">
    <w:name w:val="main_tdbg_7601"/>
    <w:qFormat/>
    <w:uiPriority w:val="0"/>
    <w:rPr>
      <w:sz w:val="14"/>
      <w:szCs w:val="14"/>
    </w:rPr>
  </w:style>
  <w:style w:type="character" w:customStyle="1" w:styleId="204">
    <w:name w:val="文档结构图 字符"/>
    <w:link w:val="15"/>
    <w:qFormat/>
    <w:uiPriority w:val="0"/>
    <w:rPr>
      <w:rFonts w:eastAsia="宋体"/>
      <w:kern w:val="2"/>
      <w:sz w:val="21"/>
      <w:szCs w:val="24"/>
      <w:lang w:val="en-US" w:eastAsia="zh-CN" w:bidi="ar-SA"/>
    </w:rPr>
  </w:style>
  <w:style w:type="character" w:customStyle="1" w:styleId="205">
    <w:name w:val="批注框文本 Char3"/>
    <w:qFormat/>
    <w:uiPriority w:val="99"/>
    <w:rPr>
      <w:rFonts w:ascii="Calibri" w:hAnsi="Calibri" w:eastAsia="宋体" w:cs="Times New Roman"/>
      <w:sz w:val="18"/>
      <w:szCs w:val="18"/>
    </w:rPr>
  </w:style>
  <w:style w:type="character" w:customStyle="1" w:styleId="206">
    <w:name w:val="Char Char9"/>
    <w:qFormat/>
    <w:uiPriority w:val="0"/>
    <w:rPr>
      <w:rFonts w:ascii="仿宋_GB2312" w:eastAsia="仿宋_GB2312" w:cs="MingLiU"/>
      <w:b/>
      <w:sz w:val="24"/>
      <w:szCs w:val="28"/>
      <w:lang w:val="en-US" w:eastAsia="zh-CN" w:bidi="ar-SA"/>
    </w:rPr>
  </w:style>
  <w:style w:type="character" w:customStyle="1" w:styleId="207">
    <w:name w:val="title11"/>
    <w:qFormat/>
    <w:uiPriority w:val="0"/>
    <w:rPr>
      <w:b/>
      <w:bCs/>
      <w:color w:val="FFFFFF"/>
      <w:sz w:val="11"/>
      <w:szCs w:val="11"/>
    </w:rPr>
  </w:style>
  <w:style w:type="character" w:customStyle="1" w:styleId="208">
    <w:name w:val="批注框文本 字符"/>
    <w:link w:val="28"/>
    <w:qFormat/>
    <w:uiPriority w:val="0"/>
    <w:rPr>
      <w:rFonts w:eastAsia="宋体"/>
      <w:kern w:val="2"/>
      <w:sz w:val="18"/>
      <w:szCs w:val="18"/>
      <w:lang w:val="en-US" w:eastAsia="zh-CN" w:bidi="ar-SA"/>
    </w:rPr>
  </w:style>
  <w:style w:type="character" w:customStyle="1" w:styleId="209">
    <w:name w:val="标题 8 Char1"/>
    <w:qFormat/>
    <w:uiPriority w:val="0"/>
    <w:rPr>
      <w:rFonts w:ascii="Times New Roman" w:hAnsi="Arial" w:eastAsia="仿宋_GB2312" w:cs="Times New Roman"/>
      <w:sz w:val="30"/>
      <w:szCs w:val="20"/>
    </w:rPr>
  </w:style>
  <w:style w:type="character" w:customStyle="1" w:styleId="210">
    <w:name w:val="标题 Char2"/>
    <w:qFormat/>
    <w:uiPriority w:val="10"/>
    <w:rPr>
      <w:rFonts w:ascii="Cambria" w:hAnsi="Cambria" w:eastAsia="宋体" w:cs="Times New Roman"/>
      <w:b/>
      <w:bCs/>
      <w:sz w:val="32"/>
      <w:szCs w:val="32"/>
    </w:rPr>
  </w:style>
  <w:style w:type="character" w:customStyle="1" w:styleId="211">
    <w:name w:val="标题 字符"/>
    <w:link w:val="43"/>
    <w:qFormat/>
    <w:uiPriority w:val="0"/>
    <w:rPr>
      <w:rFonts w:eastAsia="宋体"/>
      <w:szCs w:val="24"/>
      <w:u w:val="single"/>
      <w:lang w:val="en-US" w:eastAsia="en-US" w:bidi="ar-SA"/>
    </w:rPr>
  </w:style>
  <w:style w:type="character" w:customStyle="1" w:styleId="212">
    <w:name w:val="批注主题 Char1"/>
    <w:qFormat/>
    <w:uiPriority w:val="0"/>
    <w:rPr>
      <w:b/>
      <w:bCs/>
      <w:kern w:val="2"/>
      <w:sz w:val="21"/>
      <w:szCs w:val="22"/>
    </w:rPr>
  </w:style>
  <w:style w:type="character" w:customStyle="1" w:styleId="213">
    <w:name w:val="副标题 Char"/>
    <w:qFormat/>
    <w:uiPriority w:val="0"/>
    <w:rPr>
      <w:rFonts w:ascii="Cambria" w:hAnsi="Cambria" w:eastAsia="宋体" w:cs="Times New Roman"/>
      <w:b/>
      <w:bCs/>
      <w:kern w:val="28"/>
      <w:sz w:val="32"/>
      <w:szCs w:val="32"/>
    </w:rPr>
  </w:style>
  <w:style w:type="character" w:customStyle="1" w:styleId="214">
    <w:name w:val="正文文本 字符"/>
    <w:link w:val="2"/>
    <w:qFormat/>
    <w:uiPriority w:val="0"/>
    <w:rPr>
      <w:rFonts w:eastAsia="宋体"/>
      <w:kern w:val="2"/>
      <w:sz w:val="21"/>
      <w:szCs w:val="24"/>
      <w:lang w:val="en-US" w:eastAsia="zh-CN" w:bidi="ar-SA"/>
    </w:rPr>
  </w:style>
  <w:style w:type="character" w:customStyle="1" w:styleId="215">
    <w:name w:val="纯文本 Char1"/>
    <w:qFormat/>
    <w:uiPriority w:val="0"/>
    <w:rPr>
      <w:rFonts w:ascii="宋体" w:hAnsi="Courier New" w:cs="Courier New"/>
      <w:kern w:val="2"/>
      <w:sz w:val="21"/>
      <w:szCs w:val="21"/>
    </w:rPr>
  </w:style>
  <w:style w:type="character" w:customStyle="1" w:styleId="216">
    <w:name w:val="脚注文本 字符"/>
    <w:link w:val="34"/>
    <w:qFormat/>
    <w:uiPriority w:val="0"/>
    <w:rPr>
      <w:rFonts w:ascii="Arial" w:hAnsi="Arial" w:eastAsia="宋体" w:cs="Arial"/>
      <w:sz w:val="18"/>
      <w:szCs w:val="18"/>
      <w:lang w:val="en-US" w:eastAsia="en-US" w:bidi="ar-SA"/>
    </w:rPr>
  </w:style>
  <w:style w:type="character" w:customStyle="1" w:styleId="217">
    <w:name w:val="标题 2 Char1"/>
    <w:qFormat/>
    <w:uiPriority w:val="0"/>
    <w:rPr>
      <w:rFonts w:ascii="Cambria" w:hAnsi="Cambria" w:eastAsia="宋体" w:cs="Times New Roman"/>
      <w:b/>
      <w:bCs/>
      <w:kern w:val="2"/>
      <w:sz w:val="32"/>
      <w:szCs w:val="32"/>
    </w:rPr>
  </w:style>
  <w:style w:type="character" w:customStyle="1" w:styleId="218">
    <w:name w:val="脚注文本 Char1"/>
    <w:qFormat/>
    <w:uiPriority w:val="0"/>
    <w:rPr>
      <w:rFonts w:ascii="Arial" w:hAnsi="Arial" w:cs="Arial"/>
      <w:sz w:val="18"/>
      <w:szCs w:val="18"/>
      <w:lang w:eastAsia="en-US"/>
    </w:rPr>
  </w:style>
  <w:style w:type="character" w:customStyle="1" w:styleId="219">
    <w:name w:val="HTML 预设格式 Char2"/>
    <w:qFormat/>
    <w:uiPriority w:val="99"/>
    <w:rPr>
      <w:rFonts w:ascii="Courier New" w:hAnsi="Courier New" w:eastAsia="宋体" w:cs="Courier New"/>
      <w:sz w:val="20"/>
      <w:szCs w:val="20"/>
    </w:rPr>
  </w:style>
  <w:style w:type="character" w:customStyle="1" w:styleId="220">
    <w:name w:val="标题 8 Char"/>
    <w:qFormat/>
    <w:uiPriority w:val="0"/>
    <w:rPr>
      <w:rFonts w:ascii="Arial" w:hAnsi="Arial" w:eastAsia="黑体" w:cs="Times New Roman"/>
      <w:sz w:val="24"/>
      <w:szCs w:val="24"/>
    </w:rPr>
  </w:style>
  <w:style w:type="character" w:customStyle="1" w:styleId="221">
    <w:name w:val="s3"/>
    <w:qFormat/>
    <w:uiPriority w:val="0"/>
  </w:style>
  <w:style w:type="character" w:customStyle="1" w:styleId="222">
    <w:name w:val="标题 4 Char"/>
    <w:qFormat/>
    <w:uiPriority w:val="0"/>
    <w:rPr>
      <w:rFonts w:ascii="仿宋_GB2312" w:hAnsi="Calibri" w:eastAsia="仿宋_GB2312" w:cs="Times New Roman"/>
      <w:b/>
      <w:kern w:val="0"/>
      <w:sz w:val="24"/>
      <w:szCs w:val="28"/>
    </w:rPr>
  </w:style>
  <w:style w:type="character" w:customStyle="1" w:styleId="223">
    <w:name w:val="正文文本缩进 2 Char"/>
    <w:qFormat/>
    <w:uiPriority w:val="0"/>
    <w:rPr>
      <w:kern w:val="2"/>
      <w:sz w:val="21"/>
      <w:szCs w:val="24"/>
    </w:rPr>
  </w:style>
  <w:style w:type="character" w:customStyle="1" w:styleId="224">
    <w:name w:val="style21"/>
    <w:qFormat/>
    <w:uiPriority w:val="0"/>
    <w:rPr>
      <w:b/>
      <w:bCs/>
      <w:sz w:val="28"/>
      <w:szCs w:val="28"/>
    </w:rPr>
  </w:style>
  <w:style w:type="character" w:customStyle="1" w:styleId="225">
    <w:name w:val="正文文本缩进 2 Char2"/>
    <w:qFormat/>
    <w:uiPriority w:val="99"/>
    <w:rPr>
      <w:rFonts w:ascii="Calibri" w:hAnsi="Calibri" w:eastAsia="宋体" w:cs="Times New Roman"/>
      <w:szCs w:val="24"/>
    </w:rPr>
  </w:style>
  <w:style w:type="character" w:customStyle="1" w:styleId="226">
    <w:name w:val="ht1"/>
    <w:qFormat/>
    <w:uiPriority w:val="0"/>
    <w:rPr>
      <w:rFonts w:ascii="黑体" w:eastAsia="黑体"/>
      <w:b/>
      <w:bCs/>
    </w:rPr>
  </w:style>
  <w:style w:type="character" w:customStyle="1" w:styleId="227">
    <w:name w:val="文档结构图 Char3"/>
    <w:qFormat/>
    <w:uiPriority w:val="99"/>
    <w:rPr>
      <w:rFonts w:ascii="宋体" w:hAnsi="Calibri" w:eastAsia="宋体" w:cs="Times New Roman"/>
      <w:sz w:val="18"/>
      <w:szCs w:val="18"/>
    </w:rPr>
  </w:style>
  <w:style w:type="character" w:customStyle="1" w:styleId="228">
    <w:name w:val="书籍标题1"/>
    <w:qFormat/>
    <w:uiPriority w:val="0"/>
    <w:rPr>
      <w:b/>
      <w:bCs/>
      <w:smallCaps/>
      <w:spacing w:val="5"/>
    </w:rPr>
  </w:style>
  <w:style w:type="character" w:customStyle="1" w:styleId="229">
    <w:name w:val="标题 7 Char1"/>
    <w:qFormat/>
    <w:uiPriority w:val="0"/>
    <w:rPr>
      <w:rFonts w:ascii="Times New Roman" w:hAnsi="Times New Roman" w:eastAsia="仿宋_GB2312" w:cs="Times New Roman"/>
      <w:sz w:val="30"/>
      <w:szCs w:val="20"/>
    </w:rPr>
  </w:style>
  <w:style w:type="character" w:customStyle="1" w:styleId="230">
    <w:name w:val="明显引用 Char2"/>
    <w:qFormat/>
    <w:uiPriority w:val="99"/>
    <w:rPr>
      <w:b/>
      <w:bCs/>
      <w:i/>
      <w:iCs/>
      <w:color w:val="4F81BD"/>
      <w:kern w:val="2"/>
      <w:sz w:val="21"/>
      <w:szCs w:val="24"/>
    </w:rPr>
  </w:style>
  <w:style w:type="character" w:customStyle="1" w:styleId="231">
    <w:name w:val="不明显强调1"/>
    <w:qFormat/>
    <w:uiPriority w:val="0"/>
    <w:rPr>
      <w:i/>
      <w:iCs/>
      <w:color w:val="808080"/>
    </w:rPr>
  </w:style>
  <w:style w:type="character" w:customStyle="1" w:styleId="232">
    <w:name w:val="普通文字 Char Char2"/>
    <w:qFormat/>
    <w:uiPriority w:val="0"/>
    <w:rPr>
      <w:rFonts w:ascii="宋体" w:hAnsi="Courier New"/>
      <w:kern w:val="2"/>
      <w:sz w:val="28"/>
      <w:szCs w:val="28"/>
    </w:rPr>
  </w:style>
  <w:style w:type="character" w:customStyle="1" w:styleId="233">
    <w:name w:val="标题 6 Char"/>
    <w:qFormat/>
    <w:uiPriority w:val="0"/>
    <w:rPr>
      <w:rFonts w:ascii="Arial" w:hAnsi="Arial" w:eastAsia="黑体" w:cs="Times New Roman"/>
      <w:b/>
      <w:bCs/>
      <w:sz w:val="24"/>
      <w:szCs w:val="24"/>
    </w:rPr>
  </w:style>
  <w:style w:type="character" w:customStyle="1" w:styleId="234">
    <w:name w:val="l1"/>
    <w:basedOn w:val="47"/>
    <w:qFormat/>
    <w:uiPriority w:val="0"/>
  </w:style>
  <w:style w:type="character" w:customStyle="1" w:styleId="235">
    <w:name w:val="未处理的提及1"/>
    <w:qFormat/>
    <w:uiPriority w:val="99"/>
    <w:rPr>
      <w:color w:val="808080"/>
      <w:shd w:val="clear" w:color="auto" w:fill="E6E6E6"/>
    </w:rPr>
  </w:style>
  <w:style w:type="character" w:customStyle="1" w:styleId="236">
    <w:name w:val="页眉 字符"/>
    <w:link w:val="30"/>
    <w:qFormat/>
    <w:uiPriority w:val="0"/>
    <w:rPr>
      <w:rFonts w:eastAsia="宋体"/>
      <w:kern w:val="2"/>
      <w:sz w:val="18"/>
      <w:szCs w:val="18"/>
      <w:lang w:val="en-US" w:eastAsia="zh-CN" w:bidi="ar-SA"/>
    </w:rPr>
  </w:style>
  <w:style w:type="character" w:customStyle="1" w:styleId="237">
    <w:name w:val="Char Char35"/>
    <w:qFormat/>
    <w:uiPriority w:val="0"/>
    <w:rPr>
      <w:rFonts w:ascii="仿宋_GB2312" w:eastAsia="仿宋_GB2312" w:cs="MingLiU"/>
      <w:b/>
      <w:sz w:val="24"/>
      <w:szCs w:val="28"/>
    </w:rPr>
  </w:style>
  <w:style w:type="character" w:customStyle="1" w:styleId="238">
    <w:name w:val="Char Char11"/>
    <w:qFormat/>
    <w:uiPriority w:val="0"/>
    <w:rPr>
      <w:rFonts w:eastAsia="黑体"/>
      <w:kern w:val="2"/>
      <w:sz w:val="44"/>
      <w:szCs w:val="44"/>
      <w:lang w:val="en-US" w:eastAsia="zh-CN" w:bidi="ar-SA"/>
    </w:rPr>
  </w:style>
  <w:style w:type="character" w:customStyle="1" w:styleId="239">
    <w:name w:val="style31"/>
    <w:qFormat/>
    <w:uiPriority w:val="0"/>
    <w:rPr>
      <w:sz w:val="10"/>
      <w:szCs w:val="10"/>
    </w:rPr>
  </w:style>
  <w:style w:type="character" w:customStyle="1" w:styleId="240">
    <w:name w:val="0d1471"/>
    <w:qFormat/>
    <w:uiPriority w:val="0"/>
    <w:rPr>
      <w:color w:val="000000"/>
      <w:sz w:val="11"/>
      <w:szCs w:val="11"/>
      <w:u w:val="none"/>
    </w:rPr>
  </w:style>
  <w:style w:type="character" w:customStyle="1" w:styleId="241">
    <w:name w:val="标题 9 Char"/>
    <w:qFormat/>
    <w:uiPriority w:val="0"/>
    <w:rPr>
      <w:rFonts w:ascii="Arial" w:hAnsi="Arial" w:eastAsia="黑体" w:cs="Times New Roman"/>
      <w:szCs w:val="21"/>
    </w:rPr>
  </w:style>
  <w:style w:type="character" w:customStyle="1" w:styleId="242">
    <w:name w:val="标题 3 Char1"/>
    <w:qFormat/>
    <w:uiPriority w:val="0"/>
    <w:rPr>
      <w:rFonts w:ascii="Times New Roman" w:hAnsi="Times New Roman" w:eastAsia="宋体" w:cs="Times New Roman"/>
      <w:b/>
      <w:bCs/>
      <w:kern w:val="2"/>
      <w:sz w:val="32"/>
      <w:szCs w:val="32"/>
    </w:rPr>
  </w:style>
  <w:style w:type="character" w:customStyle="1" w:styleId="243">
    <w:name w:val="标题4 Char Char"/>
    <w:link w:val="87"/>
    <w:qFormat/>
    <w:uiPriority w:val="0"/>
    <w:rPr>
      <w:rFonts w:ascii="Arial" w:hAnsi="Arial"/>
      <w:b/>
      <w:bCs/>
      <w:sz w:val="24"/>
      <w:szCs w:val="32"/>
      <w:lang w:bidi="ar-SA"/>
    </w:rPr>
  </w:style>
  <w:style w:type="character" w:customStyle="1" w:styleId="244">
    <w:name w:val="标题 5 Char1"/>
    <w:qFormat/>
    <w:uiPriority w:val="0"/>
    <w:rPr>
      <w:rFonts w:ascii="宋体" w:hAnsi="宋体" w:eastAsia="宋体" w:cs="宋体"/>
      <w:b/>
      <w:bCs/>
      <w:sz w:val="20"/>
      <w:szCs w:val="20"/>
    </w:rPr>
  </w:style>
  <w:style w:type="character" w:customStyle="1" w:styleId="245">
    <w:name w:val="正文文本缩进 3 Char1"/>
    <w:qFormat/>
    <w:uiPriority w:val="0"/>
    <w:rPr>
      <w:rFonts w:ascii="宋体" w:hAnsi="宋体"/>
      <w:kern w:val="2"/>
      <w:sz w:val="28"/>
      <w:szCs w:val="28"/>
    </w:rPr>
  </w:style>
  <w:style w:type="character" w:customStyle="1" w:styleId="246">
    <w:name w:val="Char Char33"/>
    <w:qFormat/>
    <w:uiPriority w:val="0"/>
    <w:rPr>
      <w:rFonts w:ascii="仿宋_GB2312" w:eastAsia="仿宋_GB2312" w:cs="MingLiU"/>
      <w:b/>
      <w:sz w:val="24"/>
      <w:szCs w:val="28"/>
    </w:rPr>
  </w:style>
  <w:style w:type="character" w:customStyle="1" w:styleId="247">
    <w:name w:val="批注文字 Char1"/>
    <w:qFormat/>
    <w:uiPriority w:val="99"/>
    <w:rPr>
      <w:rFonts w:ascii="Times New Roman" w:hAnsi="Times New Roman" w:eastAsia="宋体" w:cs="Times New Roman"/>
      <w:szCs w:val="24"/>
    </w:rPr>
  </w:style>
  <w:style w:type="character" w:customStyle="1" w:styleId="248">
    <w:name w:val="正文文本 3 Char1"/>
    <w:qFormat/>
    <w:uiPriority w:val="0"/>
    <w:rPr>
      <w:kern w:val="2"/>
      <w:sz w:val="16"/>
      <w:szCs w:val="16"/>
    </w:rPr>
  </w:style>
  <w:style w:type="character" w:customStyle="1" w:styleId="249">
    <w:name w:val="页眉 Char"/>
    <w:qFormat/>
    <w:uiPriority w:val="0"/>
    <w:rPr>
      <w:sz w:val="18"/>
      <w:szCs w:val="18"/>
    </w:rPr>
  </w:style>
  <w:style w:type="character" w:customStyle="1" w:styleId="250">
    <w:name w:val="明显引用 Char"/>
    <w:qFormat/>
    <w:uiPriority w:val="0"/>
    <w:rPr>
      <w:rFonts w:ascii="Times New Roman" w:hAnsi="Times New Roman" w:eastAsia="宋体" w:cs="Times New Roman"/>
      <w:b/>
      <w:bCs/>
      <w:i/>
      <w:iCs/>
      <w:color w:val="4F81BD"/>
      <w:kern w:val="2"/>
      <w:sz w:val="21"/>
      <w:szCs w:val="24"/>
    </w:rPr>
  </w:style>
  <w:style w:type="character" w:customStyle="1" w:styleId="251">
    <w:name w:val="color_red1"/>
    <w:qFormat/>
    <w:uiPriority w:val="0"/>
    <w:rPr>
      <w:color w:val="FA0004"/>
    </w:rPr>
  </w:style>
  <w:style w:type="character" w:customStyle="1" w:styleId="252">
    <w:name w:val="批注主题 Char2"/>
    <w:qFormat/>
    <w:uiPriority w:val="99"/>
    <w:rPr>
      <w:b/>
      <w:bCs/>
      <w:kern w:val="2"/>
      <w:sz w:val="21"/>
      <w:szCs w:val="24"/>
    </w:rPr>
  </w:style>
  <w:style w:type="character" w:customStyle="1" w:styleId="253">
    <w:name w:val="Char Char34"/>
    <w:qFormat/>
    <w:uiPriority w:val="0"/>
    <w:rPr>
      <w:rFonts w:ascii="仿宋_GB2312" w:eastAsia="仿宋_GB2312" w:cs="MingLiU"/>
      <w:b/>
      <w:spacing w:val="1"/>
      <w:w w:val="99"/>
      <w:sz w:val="28"/>
      <w:szCs w:val="32"/>
    </w:rPr>
  </w:style>
  <w:style w:type="character" w:customStyle="1" w:styleId="254">
    <w:name w:val="标题 1 Char"/>
    <w:qFormat/>
    <w:uiPriority w:val="0"/>
    <w:rPr>
      <w:rFonts w:ascii="Times New Roman" w:hAnsi="Times New Roman" w:eastAsia="宋体" w:cs="Times New Roman"/>
      <w:b/>
      <w:bCs/>
      <w:kern w:val="44"/>
      <w:sz w:val="44"/>
      <w:szCs w:val="44"/>
    </w:rPr>
  </w:style>
  <w:style w:type="character" w:customStyle="1" w:styleId="255">
    <w:name w:val="docpro"/>
    <w:basedOn w:val="47"/>
    <w:qFormat/>
    <w:uiPriority w:val="0"/>
  </w:style>
  <w:style w:type="character" w:customStyle="1" w:styleId="256">
    <w:name w:val="正文文本 3 Char"/>
    <w:qFormat/>
    <w:uiPriority w:val="0"/>
    <w:rPr>
      <w:kern w:val="2"/>
      <w:sz w:val="16"/>
      <w:szCs w:val="16"/>
    </w:rPr>
  </w:style>
  <w:style w:type="character" w:customStyle="1" w:styleId="257">
    <w:name w:val="标题 5 Char"/>
    <w:qFormat/>
    <w:uiPriority w:val="0"/>
    <w:rPr>
      <w:rFonts w:ascii="Calibri" w:hAnsi="Calibri" w:eastAsia="宋体" w:cs="Times New Roman"/>
      <w:b/>
      <w:bCs/>
      <w:sz w:val="28"/>
      <w:szCs w:val="28"/>
    </w:rPr>
  </w:style>
  <w:style w:type="character" w:customStyle="1" w:styleId="258">
    <w:name w:val="style161"/>
    <w:qFormat/>
    <w:uiPriority w:val="0"/>
    <w:rPr>
      <w:b/>
      <w:bCs/>
      <w:color w:val="333333"/>
    </w:rPr>
  </w:style>
  <w:style w:type="character" w:customStyle="1" w:styleId="259">
    <w:name w:val="文档结构图 Char2"/>
    <w:qFormat/>
    <w:uiPriority w:val="99"/>
    <w:rPr>
      <w:kern w:val="2"/>
      <w:sz w:val="21"/>
      <w:szCs w:val="24"/>
      <w:shd w:val="clear" w:color="auto" w:fill="000080"/>
    </w:rPr>
  </w:style>
  <w:style w:type="character" w:customStyle="1" w:styleId="260">
    <w:name w:val="页脚 Char1"/>
    <w:qFormat/>
    <w:uiPriority w:val="99"/>
    <w:rPr>
      <w:kern w:val="2"/>
      <w:sz w:val="18"/>
      <w:szCs w:val="18"/>
    </w:rPr>
  </w:style>
  <w:style w:type="character" w:customStyle="1" w:styleId="261">
    <w:name w:val="日期 Char2"/>
    <w:qFormat/>
    <w:uiPriority w:val="99"/>
    <w:rPr>
      <w:kern w:val="2"/>
      <w:sz w:val="21"/>
      <w:szCs w:val="24"/>
    </w:rPr>
  </w:style>
  <w:style w:type="character" w:customStyle="1" w:styleId="262">
    <w:name w:val="HTML 预设格式 Char"/>
    <w:qFormat/>
    <w:uiPriority w:val="0"/>
    <w:rPr>
      <w:rFonts w:ascii="宋体" w:hAnsi="宋体" w:eastAsia="宋体" w:cs="宋体"/>
      <w:color w:val="000000"/>
      <w:sz w:val="24"/>
      <w:szCs w:val="24"/>
    </w:rPr>
  </w:style>
  <w:style w:type="character" w:customStyle="1" w:styleId="263">
    <w:name w:val="批注主题 字符"/>
    <w:link w:val="44"/>
    <w:qFormat/>
    <w:uiPriority w:val="0"/>
    <w:rPr>
      <w:rFonts w:eastAsia="宋体"/>
      <w:b/>
      <w:bCs/>
      <w:kern w:val="2"/>
      <w:sz w:val="21"/>
      <w:szCs w:val="24"/>
      <w:lang w:val="en-US" w:eastAsia="zh-CN" w:bidi="ar-SA"/>
    </w:rPr>
  </w:style>
  <w:style w:type="character" w:customStyle="1" w:styleId="264">
    <w:name w:val="正文文本 2 字符"/>
    <w:link w:val="39"/>
    <w:qFormat/>
    <w:uiPriority w:val="0"/>
    <w:rPr>
      <w:i/>
      <w:iCs/>
      <w:kern w:val="2"/>
      <w:sz w:val="26"/>
      <w:szCs w:val="24"/>
    </w:rPr>
  </w:style>
  <w:style w:type="character" w:customStyle="1" w:styleId="265">
    <w:name w:val="批注框文本 Char"/>
    <w:qFormat/>
    <w:uiPriority w:val="0"/>
    <w:rPr>
      <w:sz w:val="18"/>
      <w:szCs w:val="18"/>
    </w:rPr>
  </w:style>
  <w:style w:type="character" w:customStyle="1" w:styleId="266">
    <w:name w:val="文档结构图 Char"/>
    <w:qFormat/>
    <w:uiPriority w:val="0"/>
    <w:rPr>
      <w:rFonts w:ascii="宋体"/>
      <w:kern w:val="2"/>
      <w:sz w:val="18"/>
      <w:szCs w:val="18"/>
    </w:rPr>
  </w:style>
  <w:style w:type="character" w:customStyle="1" w:styleId="267">
    <w:name w:val="标题 8 字符"/>
    <w:link w:val="11"/>
    <w:qFormat/>
    <w:uiPriority w:val="0"/>
    <w:rPr>
      <w:rFonts w:hAnsi="Arial" w:eastAsia="仿宋_GB2312"/>
      <w:sz w:val="30"/>
      <w:lang w:val="en-US" w:eastAsia="zh-CN" w:bidi="ar-SA"/>
    </w:rPr>
  </w:style>
  <w:style w:type="character" w:customStyle="1" w:styleId="268">
    <w:name w:val="正文文本缩进 3 字符"/>
    <w:link w:val="36"/>
    <w:qFormat/>
    <w:uiPriority w:val="0"/>
    <w:rPr>
      <w:rFonts w:ascii="宋体" w:hAnsi="宋体" w:eastAsia="宋体"/>
      <w:kern w:val="2"/>
      <w:sz w:val="28"/>
      <w:szCs w:val="28"/>
      <w:lang w:val="en-US" w:eastAsia="zh-CN" w:bidi="ar-SA"/>
    </w:rPr>
  </w:style>
  <w:style w:type="character" w:customStyle="1" w:styleId="269">
    <w:name w:val="正文文本缩进 字符"/>
    <w:link w:val="18"/>
    <w:qFormat/>
    <w:uiPriority w:val="0"/>
    <w:rPr>
      <w:rFonts w:eastAsia="宋体"/>
      <w:kern w:val="2"/>
      <w:sz w:val="21"/>
      <w:szCs w:val="24"/>
      <w:lang w:val="en-US" w:eastAsia="zh-CN" w:bidi="ar-SA"/>
    </w:rPr>
  </w:style>
  <w:style w:type="character" w:customStyle="1" w:styleId="270">
    <w:name w:val="_Style 196"/>
    <w:qFormat/>
    <w:uiPriority w:val="0"/>
    <w:rPr>
      <w:i/>
      <w:iCs/>
      <w:color w:val="808080"/>
    </w:rPr>
  </w:style>
  <w:style w:type="character" w:customStyle="1" w:styleId="271">
    <w:name w:val="正文文本缩进 2 字符"/>
    <w:link w:val="26"/>
    <w:qFormat/>
    <w:uiPriority w:val="0"/>
    <w:rPr>
      <w:rFonts w:eastAsia="宋体"/>
      <w:sz w:val="28"/>
      <w:szCs w:val="24"/>
      <w:lang w:val="en-US" w:eastAsia="zh-CN" w:bidi="ar-SA"/>
    </w:rPr>
  </w:style>
  <w:style w:type="character" w:customStyle="1" w:styleId="272">
    <w:name w:val="标题 7 字符"/>
    <w:link w:val="10"/>
    <w:qFormat/>
    <w:uiPriority w:val="0"/>
    <w:rPr>
      <w:rFonts w:eastAsia="仿宋_GB2312"/>
      <w:sz w:val="30"/>
      <w:lang w:val="en-US" w:eastAsia="zh-CN" w:bidi="ar-SA"/>
    </w:rPr>
  </w:style>
  <w:style w:type="character" w:customStyle="1" w:styleId="273">
    <w:name w:val="Char Char13"/>
    <w:qFormat/>
    <w:uiPriority w:val="0"/>
    <w:rPr>
      <w:kern w:val="2"/>
      <w:sz w:val="18"/>
      <w:szCs w:val="18"/>
    </w:rPr>
  </w:style>
  <w:style w:type="character" w:customStyle="1" w:styleId="274">
    <w:name w:val="正文文本缩进 2 Char1"/>
    <w:qFormat/>
    <w:uiPriority w:val="0"/>
    <w:rPr>
      <w:sz w:val="28"/>
      <w:szCs w:val="24"/>
    </w:rPr>
  </w:style>
  <w:style w:type="character" w:customStyle="1" w:styleId="275">
    <w:name w:val="Char Char21"/>
    <w:qFormat/>
    <w:uiPriority w:val="0"/>
    <w:rPr>
      <w:rFonts w:ascii="宋体" w:hAnsi="宋体" w:cs="宋体"/>
      <w:b/>
      <w:bCs/>
      <w:sz w:val="24"/>
      <w:szCs w:val="24"/>
    </w:rPr>
  </w:style>
  <w:style w:type="character" w:customStyle="1" w:styleId="276">
    <w:name w:val="文档结构图 Char1"/>
    <w:qFormat/>
    <w:uiPriority w:val="0"/>
    <w:rPr>
      <w:rFonts w:ascii="宋体"/>
      <w:kern w:val="2"/>
      <w:sz w:val="18"/>
      <w:szCs w:val="18"/>
    </w:rPr>
  </w:style>
  <w:style w:type="character" w:customStyle="1" w:styleId="277">
    <w:name w:val="标题 Char"/>
    <w:qFormat/>
    <w:uiPriority w:val="0"/>
    <w:rPr>
      <w:rFonts w:ascii="Cambria" w:hAnsi="Cambria" w:eastAsia="宋体" w:cs="Times New Roman"/>
      <w:b/>
      <w:bCs/>
      <w:kern w:val="2"/>
      <w:sz w:val="32"/>
      <w:szCs w:val="32"/>
    </w:rPr>
  </w:style>
  <w:style w:type="character" w:customStyle="1" w:styleId="278">
    <w:name w:val="_Style 275"/>
    <w:qFormat/>
    <w:uiPriority w:val="0"/>
    <w:rPr>
      <w:smallCaps/>
      <w:color w:val="C0504D"/>
      <w:u w:val="single"/>
    </w:rPr>
  </w:style>
  <w:style w:type="character" w:customStyle="1" w:styleId="279">
    <w:name w:val="Char Char12"/>
    <w:qFormat/>
    <w:uiPriority w:val="0"/>
    <w:rPr>
      <w:rFonts w:eastAsia="黑体"/>
      <w:kern w:val="2"/>
      <w:sz w:val="44"/>
      <w:szCs w:val="44"/>
      <w:lang w:val="en-US" w:eastAsia="zh-CN" w:bidi="ar-SA"/>
    </w:rPr>
  </w:style>
  <w:style w:type="character" w:customStyle="1" w:styleId="280">
    <w:name w:val="明显参考1"/>
    <w:qFormat/>
    <w:uiPriority w:val="0"/>
    <w:rPr>
      <w:b/>
      <w:bCs/>
      <w:smallCaps/>
      <w:color w:val="C0504D"/>
      <w:spacing w:val="5"/>
      <w:u w:val="single"/>
    </w:rPr>
  </w:style>
  <w:style w:type="character" w:customStyle="1" w:styleId="281">
    <w:name w:val="Char Char36"/>
    <w:qFormat/>
    <w:uiPriority w:val="0"/>
    <w:rPr>
      <w:rFonts w:ascii="仿宋_GB2312" w:eastAsia="仿宋_GB2312" w:cs="MingLiU"/>
      <w:b/>
      <w:sz w:val="24"/>
      <w:szCs w:val="28"/>
    </w:rPr>
  </w:style>
  <w:style w:type="character" w:customStyle="1" w:styleId="282">
    <w:name w:val="批注框文本 Char2"/>
    <w:qFormat/>
    <w:uiPriority w:val="99"/>
    <w:rPr>
      <w:kern w:val="2"/>
      <w:sz w:val="18"/>
      <w:szCs w:val="18"/>
    </w:rPr>
  </w:style>
  <w:style w:type="character" w:customStyle="1" w:styleId="283">
    <w:name w:val="subhead1"/>
    <w:qFormat/>
    <w:uiPriority w:val="0"/>
    <w:rPr>
      <w:rFonts w:hint="default" w:ascii="Tahoma" w:hAnsi="Tahoma" w:cs="Tahoma"/>
      <w:color w:val="000000"/>
      <w:sz w:val="18"/>
      <w:szCs w:val="18"/>
      <w:u w:val="none"/>
      <w:shd w:val="clear" w:color="auto" w:fill="FFFFFF"/>
    </w:rPr>
  </w:style>
  <w:style w:type="character" w:customStyle="1" w:styleId="284">
    <w:name w:val="正文文本缩进 3 Char2"/>
    <w:qFormat/>
    <w:uiPriority w:val="99"/>
    <w:rPr>
      <w:rFonts w:ascii="Calibri" w:hAnsi="Calibri" w:eastAsia="宋体" w:cs="Times New Roman"/>
      <w:sz w:val="16"/>
      <w:szCs w:val="16"/>
    </w:rPr>
  </w:style>
  <w:style w:type="character" w:customStyle="1" w:styleId="285">
    <w:name w:val="纯文本 Char"/>
    <w:qFormat/>
    <w:uiPriority w:val="0"/>
    <w:rPr>
      <w:rFonts w:ascii="宋体" w:hAnsi="Courier New"/>
      <w:sz w:val="28"/>
      <w:szCs w:val="28"/>
    </w:rPr>
  </w:style>
  <w:style w:type="character" w:customStyle="1" w:styleId="286">
    <w:name w:val="纯文本 Char2"/>
    <w:qFormat/>
    <w:uiPriority w:val="99"/>
    <w:rPr>
      <w:rFonts w:ascii="宋体" w:hAnsi="Courier New" w:eastAsia="宋体" w:cs="Courier New"/>
      <w:szCs w:val="21"/>
    </w:rPr>
  </w:style>
  <w:style w:type="character" w:customStyle="1" w:styleId="287">
    <w:name w:val="页眉 Char1"/>
    <w:qFormat/>
    <w:uiPriority w:val="99"/>
    <w:rPr>
      <w:kern w:val="2"/>
      <w:sz w:val="18"/>
      <w:szCs w:val="18"/>
    </w:rPr>
  </w:style>
  <w:style w:type="character" w:customStyle="1" w:styleId="288">
    <w:name w:val="Char Char14"/>
    <w:qFormat/>
    <w:uiPriority w:val="0"/>
    <w:rPr>
      <w:kern w:val="2"/>
      <w:sz w:val="18"/>
      <w:szCs w:val="18"/>
    </w:rPr>
  </w:style>
  <w:style w:type="character" w:customStyle="1" w:styleId="289">
    <w:name w:val="批注文字 字符"/>
    <w:link w:val="16"/>
    <w:qFormat/>
    <w:uiPriority w:val="99"/>
    <w:rPr>
      <w:rFonts w:eastAsia="宋体"/>
      <w:kern w:val="2"/>
      <w:sz w:val="21"/>
      <w:szCs w:val="24"/>
      <w:lang w:val="en-US" w:eastAsia="zh-CN" w:bidi="ar-SA"/>
    </w:rPr>
  </w:style>
  <w:style w:type="character" w:customStyle="1" w:styleId="290">
    <w:name w:val="批注文字 Char Char"/>
    <w:qFormat/>
    <w:uiPriority w:val="0"/>
    <w:rPr>
      <w:rFonts w:ascii="宋体" w:hAnsi="Times New Roman" w:eastAsia="宋体" w:cs="Times New Roman"/>
      <w:sz w:val="28"/>
      <w:szCs w:val="20"/>
    </w:rPr>
  </w:style>
  <w:style w:type="character" w:customStyle="1" w:styleId="291">
    <w:name w:val="标题 1 Char1"/>
    <w:qFormat/>
    <w:uiPriority w:val="0"/>
    <w:rPr>
      <w:rFonts w:ascii="Times New Roman" w:hAnsi="Times New Roman" w:eastAsia="宋体" w:cs="Times New Roman"/>
      <w:b/>
      <w:bCs/>
      <w:kern w:val="44"/>
      <w:sz w:val="44"/>
      <w:szCs w:val="44"/>
    </w:rPr>
  </w:style>
  <w:style w:type="character" w:customStyle="1" w:styleId="292">
    <w:name w:val="标题 5 字符"/>
    <w:link w:val="7"/>
    <w:qFormat/>
    <w:uiPriority w:val="0"/>
    <w:rPr>
      <w:rFonts w:ascii="宋体" w:hAnsi="宋体" w:eastAsia="宋体" w:cs="宋体"/>
      <w:b/>
      <w:bCs/>
      <w:lang w:val="en-US" w:eastAsia="zh-CN" w:bidi="ar-SA"/>
    </w:rPr>
  </w:style>
  <w:style w:type="character" w:customStyle="1" w:styleId="293">
    <w:name w:val="手改 Char Char"/>
    <w:qFormat/>
    <w:uiPriority w:val="0"/>
    <w:rPr>
      <w:kern w:val="2"/>
      <w:sz w:val="21"/>
      <w:szCs w:val="24"/>
    </w:rPr>
  </w:style>
  <w:style w:type="character" w:customStyle="1" w:styleId="294">
    <w:name w:val="标题 1 字符"/>
    <w:link w:val="3"/>
    <w:qFormat/>
    <w:uiPriority w:val="0"/>
    <w:rPr>
      <w:rFonts w:eastAsia="宋体"/>
      <w:b/>
      <w:bCs/>
      <w:kern w:val="44"/>
      <w:sz w:val="44"/>
      <w:szCs w:val="44"/>
      <w:lang w:val="en-US" w:eastAsia="zh-CN" w:bidi="ar-SA"/>
    </w:rPr>
  </w:style>
  <w:style w:type="character" w:customStyle="1" w:styleId="295">
    <w:name w:val="intel3"/>
    <w:basedOn w:val="47"/>
    <w:qFormat/>
    <w:uiPriority w:val="0"/>
  </w:style>
  <w:style w:type="character" w:customStyle="1" w:styleId="296">
    <w:name w:val="副标题 Char2"/>
    <w:qFormat/>
    <w:uiPriority w:val="11"/>
    <w:rPr>
      <w:rFonts w:ascii="Cambria" w:hAnsi="Cambria" w:eastAsia="宋体" w:cs="Times New Roman"/>
      <w:b/>
      <w:bCs/>
      <w:kern w:val="28"/>
      <w:sz w:val="32"/>
      <w:szCs w:val="32"/>
    </w:rPr>
  </w:style>
  <w:style w:type="character" w:customStyle="1" w:styleId="297">
    <w:name w:val="明显引用 Char4"/>
    <w:link w:val="118"/>
    <w:qFormat/>
    <w:uiPriority w:val="0"/>
    <w:rPr>
      <w:b/>
      <w:bCs/>
      <w:i/>
      <w:iCs/>
      <w:color w:val="4F81BD"/>
      <w:kern w:val="2"/>
      <w:sz w:val="21"/>
      <w:szCs w:val="22"/>
      <w:lang w:bidi="ar-SA"/>
    </w:rPr>
  </w:style>
  <w:style w:type="character" w:customStyle="1" w:styleId="298">
    <w:name w:val="明显引用 Char1"/>
    <w:link w:val="111"/>
    <w:qFormat/>
    <w:uiPriority w:val="30"/>
    <w:rPr>
      <w:b/>
      <w:bCs/>
      <w:i/>
      <w:iCs/>
      <w:color w:val="4F81BD"/>
      <w:kern w:val="2"/>
      <w:sz w:val="21"/>
    </w:rPr>
  </w:style>
  <w:style w:type="character" w:customStyle="1" w:styleId="299">
    <w:name w:val="HTML 预设格式 Char1"/>
    <w:qFormat/>
    <w:uiPriority w:val="0"/>
    <w:rPr>
      <w:rFonts w:ascii="宋体" w:hAnsi="宋体" w:cs="宋体"/>
      <w:color w:val="000000"/>
      <w:sz w:val="24"/>
      <w:szCs w:val="24"/>
    </w:rPr>
  </w:style>
  <w:style w:type="character" w:customStyle="1" w:styleId="300">
    <w:name w:val="引用 Char"/>
    <w:link w:val="69"/>
    <w:qFormat/>
    <w:uiPriority w:val="0"/>
    <w:rPr>
      <w:rFonts w:ascii="Times New Roman" w:hAnsi="Times New Roman" w:eastAsia="宋体" w:cs="Times New Roman"/>
      <w:i/>
      <w:iCs/>
      <w:color w:val="000000"/>
      <w:kern w:val="2"/>
      <w:sz w:val="21"/>
      <w:szCs w:val="24"/>
    </w:rPr>
  </w:style>
  <w:style w:type="character" w:customStyle="1" w:styleId="301">
    <w:name w:val="副标题 字符"/>
    <w:link w:val="33"/>
    <w:qFormat/>
    <w:uiPriority w:val="0"/>
    <w:rPr>
      <w:rFonts w:eastAsia="宋体"/>
      <w:szCs w:val="24"/>
      <w:u w:val="single"/>
      <w:lang w:val="en-US" w:eastAsia="en-US" w:bidi="ar-SA"/>
    </w:rPr>
  </w:style>
  <w:style w:type="character" w:customStyle="1" w:styleId="302">
    <w:name w:val="ITTHEADER1 Char"/>
    <w:qFormat/>
    <w:uiPriority w:val="0"/>
    <w:rPr>
      <w:rFonts w:eastAsia="黑体"/>
      <w:kern w:val="2"/>
      <w:sz w:val="44"/>
      <w:szCs w:val="44"/>
      <w:lang w:val="en-US" w:eastAsia="zh-CN" w:bidi="ar-SA"/>
    </w:rPr>
  </w:style>
  <w:style w:type="character" w:customStyle="1" w:styleId="303">
    <w:name w:val="日期 Char3"/>
    <w:qFormat/>
    <w:uiPriority w:val="99"/>
    <w:rPr>
      <w:rFonts w:ascii="Calibri" w:hAnsi="Calibri" w:eastAsia="宋体" w:cs="Times New Roman"/>
      <w:szCs w:val="24"/>
    </w:rPr>
  </w:style>
  <w:style w:type="character" w:customStyle="1" w:styleId="304">
    <w:name w:val="纯文本 字符"/>
    <w:link w:val="23"/>
    <w:qFormat/>
    <w:uiPriority w:val="0"/>
    <w:rPr>
      <w:rFonts w:ascii="宋体" w:hAnsi="Courier New" w:eastAsia="宋体" w:cs="Courier New"/>
      <w:kern w:val="2"/>
      <w:sz w:val="21"/>
      <w:szCs w:val="21"/>
      <w:lang w:val="en-US" w:eastAsia="zh-CN" w:bidi="ar-SA"/>
    </w:rPr>
  </w:style>
  <w:style w:type="character" w:customStyle="1" w:styleId="305">
    <w:name w:val="批注文字 Char"/>
    <w:qFormat/>
    <w:uiPriority w:val="0"/>
    <w:rPr>
      <w:rFonts w:ascii="Times New Roman" w:hAnsi="Times New Roman" w:eastAsia="宋体" w:cs="Times New Roman"/>
      <w:kern w:val="2"/>
      <w:sz w:val="21"/>
      <w:szCs w:val="24"/>
    </w:rPr>
  </w:style>
  <w:style w:type="character" w:customStyle="1" w:styleId="306">
    <w:name w:val="Section Char"/>
    <w:qFormat/>
    <w:uiPriority w:val="0"/>
    <w:rPr>
      <w:rFonts w:ascii="仿宋_GB2312" w:eastAsia="仿宋_GB2312" w:cs="MingLiU"/>
      <w:b/>
      <w:sz w:val="24"/>
      <w:szCs w:val="28"/>
      <w:lang w:val="en-US" w:eastAsia="zh-CN" w:bidi="ar-SA"/>
    </w:rPr>
  </w:style>
  <w:style w:type="character" w:customStyle="1" w:styleId="307">
    <w:name w:val="正文文本 3 Char2"/>
    <w:qFormat/>
    <w:uiPriority w:val="99"/>
    <w:rPr>
      <w:rFonts w:ascii="Calibri" w:hAnsi="Calibri" w:eastAsia="宋体" w:cs="Times New Roman"/>
      <w:sz w:val="16"/>
      <w:szCs w:val="16"/>
    </w:rPr>
  </w:style>
  <w:style w:type="character" w:customStyle="1" w:styleId="308">
    <w:name w:val="正文文本 3 字符"/>
    <w:link w:val="17"/>
    <w:qFormat/>
    <w:uiPriority w:val="0"/>
    <w:rPr>
      <w:rFonts w:eastAsia="宋体"/>
      <w:kern w:val="2"/>
      <w:sz w:val="16"/>
      <w:szCs w:val="16"/>
      <w:lang w:val="en-US" w:eastAsia="zh-CN" w:bidi="ar-SA"/>
    </w:rPr>
  </w:style>
  <w:style w:type="character" w:customStyle="1" w:styleId="309">
    <w:name w:val="普通文字 Char Char1"/>
    <w:qFormat/>
    <w:uiPriority w:val="0"/>
    <w:rPr>
      <w:rFonts w:ascii="宋体" w:hAnsi="Courier New"/>
      <w:kern w:val="2"/>
      <w:sz w:val="28"/>
      <w:szCs w:val="28"/>
    </w:rPr>
  </w:style>
  <w:style w:type="character" w:customStyle="1" w:styleId="310">
    <w:name w:val="正文文本缩进 Char"/>
    <w:qFormat/>
    <w:uiPriority w:val="0"/>
    <w:rPr>
      <w:rFonts w:ascii="黑体" w:hAnsi="宋体" w:eastAsia="黑体"/>
      <w:color w:val="000000"/>
      <w:sz w:val="28"/>
      <w:szCs w:val="32"/>
    </w:rPr>
  </w:style>
  <w:style w:type="character" w:customStyle="1" w:styleId="311">
    <w:name w:val="font161"/>
    <w:qFormat/>
    <w:uiPriority w:val="0"/>
    <w:rPr>
      <w:b/>
      <w:bCs/>
      <w:sz w:val="32"/>
      <w:szCs w:val="32"/>
    </w:rPr>
  </w:style>
  <w:style w:type="paragraph" w:customStyle="1" w:styleId="312">
    <w:name w:val="List Paragraph_2053445d-0ea7-4fc6-805c-24e9551bff14"/>
    <w:basedOn w:val="1"/>
    <w:qFormat/>
    <w:uiPriority w:val="99"/>
    <w:pPr>
      <w:ind w:firstLine="420" w:firstLineChars="200"/>
    </w:pPr>
    <w:rPr>
      <w:sz w:val="28"/>
      <w:szCs w:val="28"/>
    </w:rPr>
  </w:style>
  <w:style w:type="paragraph" w:customStyle="1" w:styleId="313">
    <w:name w:val="Revision_be56d849-df43-460f-89c6-231392157f72"/>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159</Pages>
  <Words>82773</Words>
  <Characters>87085</Characters>
  <Paragraphs>4432</Paragraphs>
  <TotalTime>6</TotalTime>
  <ScaleCrop>false</ScaleCrop>
  <LinksUpToDate>false</LinksUpToDate>
  <CharactersWithSpaces>94594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 </cp:lastModifiedBy>
  <cp:lastPrinted>2023-07-03T06:22:00Z</cp:lastPrinted>
  <dcterms:modified xsi:type="dcterms:W3CDTF">2023-07-18T07:18:55Z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A3419D8ED7AC45C3B6EA4F08968DE1E2_13</vt:lpwstr>
  </property>
</Properties>
</file>