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highlight w:val="none"/>
          <w:lang w:val="en-US" w:eastAsia="zh-CN"/>
        </w:rPr>
      </w:pPr>
      <w:r>
        <w:rPr>
          <w:rFonts w:hint="eastAsia" w:ascii="宋体" w:hAnsi="宋体"/>
          <w:b/>
          <w:sz w:val="44"/>
          <w:szCs w:val="44"/>
          <w:highlight w:val="none"/>
          <w:lang w:val="en-US" w:eastAsia="zh-CN"/>
        </w:rPr>
        <w:t xml:space="preserve"> </w:t>
      </w:r>
    </w:p>
    <w:p>
      <w:pPr>
        <w:spacing w:line="360" w:lineRule="auto"/>
        <w:jc w:val="center"/>
        <w:rPr>
          <w:rFonts w:ascii="宋体" w:hAnsi="宋体"/>
          <w:kern w:val="0"/>
          <w:sz w:val="32"/>
          <w:szCs w:val="32"/>
          <w:highlight w:val="none"/>
        </w:rPr>
      </w:pPr>
      <w:r>
        <w:rPr>
          <w:rFonts w:hint="eastAsia" w:ascii="宋体" w:hAnsi="宋体"/>
          <w:color w:val="0000FF"/>
          <w:kern w:val="0"/>
          <w:sz w:val="32"/>
          <w:szCs w:val="32"/>
          <w:highlight w:val="none"/>
          <w:u w:val="single"/>
          <w:lang w:eastAsia="zh-CN"/>
        </w:rPr>
        <w:t>经开.博睿庭（人才公寓）项目广告</w:t>
      </w:r>
      <w:r>
        <w:rPr>
          <w:rFonts w:hint="eastAsia" w:ascii="宋体" w:hAnsi="宋体"/>
          <w:color w:val="0000FF"/>
          <w:kern w:val="0"/>
          <w:sz w:val="32"/>
          <w:szCs w:val="32"/>
          <w:highlight w:val="none"/>
          <w:u w:val="single"/>
          <w:lang w:val="en-US" w:eastAsia="zh-CN"/>
        </w:rPr>
        <w:t>媒体（2024年5月）</w:t>
      </w:r>
      <w:r>
        <w:rPr>
          <w:rFonts w:hint="eastAsia" w:ascii="宋体" w:hAnsi="宋体"/>
          <w:kern w:val="0"/>
          <w:sz w:val="32"/>
          <w:szCs w:val="32"/>
          <w:highlight w:val="none"/>
          <w:u w:val="single"/>
        </w:rPr>
        <w:t>（项目名称）</w:t>
      </w: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center"/>
        <w:outlineLvl w:val="0"/>
        <w:rPr>
          <w:rFonts w:ascii="宋体" w:hAnsi="宋体"/>
          <w:kern w:val="0"/>
          <w:sz w:val="72"/>
          <w:szCs w:val="72"/>
          <w:highlight w:val="none"/>
        </w:rPr>
      </w:pPr>
      <w:bookmarkStart w:id="0" w:name="_Toc13180"/>
      <w:r>
        <w:rPr>
          <w:rFonts w:hint="eastAsia" w:ascii="宋体" w:hAnsi="宋体"/>
          <w:kern w:val="0"/>
          <w:sz w:val="72"/>
          <w:szCs w:val="72"/>
          <w:highlight w:val="none"/>
          <w:lang w:val="en-US" w:eastAsia="zh-CN"/>
        </w:rPr>
        <w:t>竞争性比选</w:t>
      </w:r>
      <w:r>
        <w:rPr>
          <w:rFonts w:ascii="宋体" w:hAnsi="宋体"/>
          <w:kern w:val="0"/>
          <w:sz w:val="72"/>
          <w:szCs w:val="72"/>
          <w:highlight w:val="none"/>
        </w:rPr>
        <w:t>文件</w:t>
      </w:r>
      <w:bookmarkEnd w:id="0"/>
    </w:p>
    <w:p>
      <w:pPr>
        <w:autoSpaceDE w:val="0"/>
        <w:autoSpaceDN w:val="0"/>
        <w:adjustRightInd w:val="0"/>
        <w:snapToGrid w:val="0"/>
        <w:spacing w:line="360" w:lineRule="auto"/>
        <w:jc w:val="left"/>
        <w:rPr>
          <w:rFonts w:ascii="宋体" w:hAnsi="宋体"/>
          <w:kern w:val="0"/>
          <w:sz w:val="10"/>
          <w:szCs w:val="1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bookmarkStart w:id="433" w:name="_GoBack"/>
      <w:bookmarkEnd w:id="433"/>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jc w:val="left"/>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autoSpaceDE w:val="0"/>
        <w:autoSpaceDN w:val="0"/>
        <w:adjustRightInd w:val="0"/>
        <w:snapToGrid w:val="0"/>
        <w:spacing w:line="360" w:lineRule="auto"/>
        <w:rPr>
          <w:rFonts w:ascii="宋体" w:hAnsi="宋体"/>
          <w:kern w:val="0"/>
          <w:sz w:val="20"/>
          <w:szCs w:val="20"/>
          <w:highlight w:val="none"/>
        </w:rPr>
      </w:pPr>
    </w:p>
    <w:p>
      <w:pPr>
        <w:tabs>
          <w:tab w:val="left" w:pos="6219"/>
        </w:tabs>
        <w:autoSpaceDE w:val="0"/>
        <w:autoSpaceDN w:val="0"/>
        <w:adjustRightInd w:val="0"/>
        <w:snapToGrid w:val="0"/>
        <w:spacing w:line="360" w:lineRule="auto"/>
        <w:jc w:val="center"/>
        <w:outlineLvl w:val="0"/>
        <w:rPr>
          <w:rFonts w:ascii="宋体" w:hAnsi="宋体"/>
          <w:b/>
          <w:w w:val="99"/>
          <w:kern w:val="0"/>
          <w:sz w:val="28"/>
          <w:szCs w:val="28"/>
          <w:highlight w:val="none"/>
        </w:rPr>
      </w:pPr>
      <w:bookmarkStart w:id="1" w:name="_Toc22934"/>
      <w:r>
        <w:rPr>
          <w:rFonts w:hint="eastAsia" w:ascii="宋体" w:hAnsi="宋体"/>
          <w:b/>
          <w:w w:val="99"/>
          <w:kern w:val="0"/>
          <w:sz w:val="28"/>
          <w:szCs w:val="28"/>
          <w:highlight w:val="none"/>
          <w:lang w:val="en-US" w:eastAsia="zh-CN"/>
        </w:rPr>
        <w:t>比选</w:t>
      </w:r>
      <w:r>
        <w:rPr>
          <w:rFonts w:ascii="宋体" w:hAnsi="宋体"/>
          <w:b/>
          <w:w w:val="99"/>
          <w:kern w:val="0"/>
          <w:sz w:val="28"/>
          <w:szCs w:val="28"/>
          <w:highlight w:val="none"/>
        </w:rPr>
        <w:t>人：</w:t>
      </w:r>
      <w:r>
        <w:rPr>
          <w:rFonts w:hint="eastAsia" w:ascii="宋体" w:hAnsi="宋体"/>
          <w:b/>
          <w:w w:val="99"/>
          <w:kern w:val="0"/>
          <w:sz w:val="28"/>
          <w:szCs w:val="28"/>
          <w:highlight w:val="none"/>
          <w:lang w:val="en-US" w:eastAsia="zh-CN"/>
        </w:rPr>
        <w:t>重庆新汇商实业有限公司</w:t>
      </w:r>
      <w:r>
        <w:rPr>
          <w:rFonts w:ascii="宋体" w:hAnsi="宋体"/>
          <w:b/>
          <w:w w:val="99"/>
          <w:kern w:val="0"/>
          <w:sz w:val="28"/>
          <w:szCs w:val="28"/>
          <w:highlight w:val="none"/>
        </w:rPr>
        <w:t>（盖单位法人章）</w:t>
      </w:r>
      <w:bookmarkEnd w:id="1"/>
    </w:p>
    <w:p>
      <w:pPr>
        <w:autoSpaceDE w:val="0"/>
        <w:autoSpaceDN w:val="0"/>
        <w:adjustRightInd w:val="0"/>
        <w:snapToGrid w:val="0"/>
        <w:spacing w:line="360" w:lineRule="auto"/>
        <w:jc w:val="center"/>
        <w:rPr>
          <w:rFonts w:ascii="宋体" w:hAnsi="宋体"/>
          <w:b/>
          <w:kern w:val="0"/>
          <w:sz w:val="20"/>
          <w:szCs w:val="20"/>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jc w:val="center"/>
        <w:rPr>
          <w:rFonts w:ascii="宋体" w:hAnsi="宋体"/>
          <w:b/>
          <w:kern w:val="0"/>
          <w:sz w:val="28"/>
          <w:szCs w:val="28"/>
          <w:highlight w:val="none"/>
        </w:rPr>
      </w:pPr>
    </w:p>
    <w:p>
      <w:pPr>
        <w:autoSpaceDE w:val="0"/>
        <w:autoSpaceDN w:val="0"/>
        <w:adjustRightInd w:val="0"/>
        <w:snapToGrid w:val="0"/>
        <w:spacing w:line="360" w:lineRule="auto"/>
        <w:rPr>
          <w:rFonts w:ascii="宋体" w:hAnsi="宋体"/>
          <w:b/>
          <w:kern w:val="0"/>
          <w:sz w:val="20"/>
          <w:szCs w:val="20"/>
          <w:highlight w:val="none"/>
        </w:rPr>
      </w:pPr>
    </w:p>
    <w:p>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2" w:name="_Toc536797277"/>
      <w:bookmarkStart w:id="3" w:name="_Toc536621766"/>
      <w:bookmarkStart w:id="4" w:name="_Toc536796736"/>
      <w:bookmarkStart w:id="5" w:name="_Toc509218549"/>
      <w:bookmarkStart w:id="6" w:name="_Toc13210649"/>
      <w:r>
        <w:rPr>
          <w:rFonts w:hint="eastAsia" w:ascii="宋体" w:hAnsi="宋体"/>
          <w:b/>
          <w:spacing w:val="8"/>
          <w:kern w:val="0"/>
          <w:sz w:val="28"/>
          <w:szCs w:val="28"/>
          <w:highlight w:val="none"/>
          <w:u w:val="single"/>
          <w:lang w:val="en-US" w:eastAsia="zh-CN"/>
        </w:rPr>
        <w:t>2024</w:t>
      </w:r>
      <w:r>
        <w:rPr>
          <w:rFonts w:ascii="宋体" w:hAnsi="宋体"/>
          <w:b/>
          <w:spacing w:val="8"/>
          <w:kern w:val="0"/>
          <w:sz w:val="28"/>
          <w:szCs w:val="28"/>
          <w:highlight w:val="none"/>
        </w:rPr>
        <w:t>年</w:t>
      </w:r>
      <w:r>
        <w:rPr>
          <w:rFonts w:hint="eastAsia" w:ascii="宋体" w:hAnsi="宋体"/>
          <w:b/>
          <w:spacing w:val="8"/>
          <w:kern w:val="0"/>
          <w:sz w:val="28"/>
          <w:szCs w:val="28"/>
          <w:highlight w:val="none"/>
          <w:u w:val="single"/>
          <w:lang w:val="en-US" w:eastAsia="zh-CN"/>
        </w:rPr>
        <w:t>4</w:t>
      </w:r>
      <w:r>
        <w:rPr>
          <w:rFonts w:ascii="宋体" w:hAnsi="宋体"/>
          <w:b/>
          <w:spacing w:val="8"/>
          <w:kern w:val="0"/>
          <w:sz w:val="28"/>
          <w:szCs w:val="28"/>
          <w:highlight w:val="none"/>
        </w:rPr>
        <w:t>月</w:t>
      </w:r>
      <w:bookmarkEnd w:id="2"/>
      <w:bookmarkEnd w:id="3"/>
      <w:bookmarkEnd w:id="4"/>
      <w:bookmarkEnd w:id="5"/>
      <w:bookmarkEnd w:id="6"/>
    </w:p>
    <w:p>
      <w:pPr>
        <w:pStyle w:val="3"/>
        <w:spacing w:line="360" w:lineRule="auto"/>
        <w:jc w:val="center"/>
        <w:outlineLvl w:val="9"/>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120"/>
        <w:jc w:val="center"/>
        <w:rPr>
          <w:rFonts w:ascii="宋体" w:hAnsi="宋体"/>
          <w:color w:val="auto"/>
          <w:sz w:val="44"/>
          <w:szCs w:val="44"/>
          <w:highlight w:val="none"/>
          <w:lang w:val="zh-CN"/>
        </w:rPr>
      </w:pPr>
      <w:bookmarkStart w:id="7" w:name="_Toc5767"/>
      <w:bookmarkStart w:id="8" w:name="_Toc28843"/>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7"/>
      <w:bookmarkEnd w:id="8"/>
    </w:p>
    <w:sdt>
      <w:sdtPr>
        <w:rPr>
          <w:rFonts w:ascii="宋体" w:hAnsi="宋体" w:eastAsia="宋体" w:cs="Times New Roman"/>
          <w:kern w:val="2"/>
          <w:sz w:val="21"/>
          <w:szCs w:val="24"/>
          <w:lang w:val="en-US" w:eastAsia="zh-CN" w:bidi="ar-SA"/>
        </w:rPr>
        <w:id w:val="14746035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9" w:name="_Toc224103298"/>
          <w:bookmarkStart w:id="10" w:name="_Toc287620666"/>
          <w:bookmarkStart w:id="11" w:name="_Toc277082535"/>
          <w:bookmarkStart w:id="12" w:name="_Toc509218691"/>
          <w:bookmarkStart w:id="13" w:name="_Toc430530415"/>
          <w:bookmarkStart w:id="14" w:name="_Toc287607727"/>
          <w:bookmarkStart w:id="15" w:name="_Toc12819"/>
          <w:bookmarkStart w:id="16" w:name="_Toc7997"/>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_Toc13180 </w:instrText>
          </w:r>
          <w:r>
            <w:rPr>
              <w:sz w:val="24"/>
              <w:szCs w:val="24"/>
            </w:rPr>
            <w:fldChar w:fldCharType="separate"/>
          </w:r>
          <w:r>
            <w:rPr>
              <w:rFonts w:hint="eastAsia" w:ascii="宋体" w:hAnsi="宋体"/>
              <w:kern w:val="0"/>
              <w:sz w:val="24"/>
              <w:szCs w:val="24"/>
              <w:highlight w:val="none"/>
              <w:lang w:val="en-US" w:eastAsia="zh-CN"/>
            </w:rPr>
            <w:t>竞争性比选</w:t>
          </w:r>
          <w:r>
            <w:rPr>
              <w:rFonts w:ascii="宋体" w:hAnsi="宋体"/>
              <w:kern w:val="0"/>
              <w:sz w:val="24"/>
              <w:szCs w:val="24"/>
              <w:highlight w:val="none"/>
            </w:rPr>
            <w:t>文件</w:t>
          </w:r>
          <w:r>
            <w:rPr>
              <w:sz w:val="24"/>
              <w:szCs w:val="24"/>
            </w:rPr>
            <w:tab/>
          </w:r>
          <w:r>
            <w:rPr>
              <w:sz w:val="24"/>
              <w:szCs w:val="24"/>
            </w:rPr>
            <w:fldChar w:fldCharType="begin"/>
          </w:r>
          <w:r>
            <w:rPr>
              <w:sz w:val="24"/>
              <w:szCs w:val="24"/>
            </w:rPr>
            <w:instrText xml:space="preserve"> PAGEREF _Toc13180 \h </w:instrText>
          </w:r>
          <w:r>
            <w:rPr>
              <w:sz w:val="24"/>
              <w:szCs w:val="24"/>
            </w:rPr>
            <w:fldChar w:fldCharType="separate"/>
          </w:r>
          <w:r>
            <w:rPr>
              <w:sz w:val="24"/>
              <w:szCs w:val="24"/>
            </w:rPr>
            <w:t>- 1 -</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_Toc21307 </w:instrText>
          </w:r>
          <w:r>
            <w:rPr>
              <w:sz w:val="24"/>
              <w:szCs w:val="24"/>
            </w:rPr>
            <w:fldChar w:fldCharType="separate"/>
          </w:r>
          <w:r>
            <w:rPr>
              <w:rFonts w:ascii="宋体" w:hAnsi="宋体"/>
              <w:snapToGrid w:val="0"/>
              <w:kern w:val="0"/>
              <w:sz w:val="24"/>
              <w:szCs w:val="24"/>
              <w:highlight w:val="none"/>
            </w:rPr>
            <w:t xml:space="preserve">第一章  </w:t>
          </w:r>
          <w:r>
            <w:rPr>
              <w:rFonts w:hint="eastAsia" w:ascii="宋体" w:hAnsi="宋体"/>
              <w:snapToGrid w:val="0"/>
              <w:kern w:val="0"/>
              <w:sz w:val="24"/>
              <w:szCs w:val="24"/>
              <w:highlight w:val="none"/>
              <w:lang w:eastAsia="zh-CN"/>
            </w:rPr>
            <w:t>比选公告</w:t>
          </w:r>
          <w:r>
            <w:rPr>
              <w:sz w:val="24"/>
              <w:szCs w:val="24"/>
            </w:rPr>
            <w:tab/>
          </w:r>
          <w:r>
            <w:rPr>
              <w:sz w:val="24"/>
              <w:szCs w:val="24"/>
            </w:rPr>
            <w:fldChar w:fldCharType="begin"/>
          </w:r>
          <w:r>
            <w:rPr>
              <w:sz w:val="24"/>
              <w:szCs w:val="24"/>
            </w:rPr>
            <w:instrText xml:space="preserve"> PAGEREF _Toc21307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_Toc22622 </w:instrText>
          </w:r>
          <w:r>
            <w:rPr>
              <w:sz w:val="24"/>
              <w:szCs w:val="24"/>
            </w:rPr>
            <w:fldChar w:fldCharType="separate"/>
          </w:r>
          <w:r>
            <w:rPr>
              <w:rFonts w:ascii="宋体" w:hAnsi="宋体"/>
              <w:snapToGrid w:val="0"/>
              <w:kern w:val="0"/>
              <w:sz w:val="24"/>
              <w:szCs w:val="24"/>
              <w:highlight w:val="none"/>
            </w:rPr>
            <w:t xml:space="preserve">第二章  </w:t>
          </w:r>
          <w:r>
            <w:rPr>
              <w:rFonts w:hint="eastAsia" w:ascii="宋体" w:hAnsi="宋体"/>
              <w:snapToGrid w:val="0"/>
              <w:kern w:val="0"/>
              <w:sz w:val="24"/>
              <w:szCs w:val="24"/>
              <w:highlight w:val="none"/>
              <w:lang w:eastAsia="zh-CN"/>
            </w:rPr>
            <w:t>竞选人</w:t>
          </w:r>
          <w:r>
            <w:rPr>
              <w:rFonts w:ascii="宋体" w:hAnsi="宋体"/>
              <w:snapToGrid w:val="0"/>
              <w:kern w:val="0"/>
              <w:sz w:val="24"/>
              <w:szCs w:val="24"/>
              <w:highlight w:val="none"/>
            </w:rPr>
            <w:t>须知</w:t>
          </w:r>
          <w:r>
            <w:rPr>
              <w:sz w:val="24"/>
              <w:szCs w:val="24"/>
            </w:rPr>
            <w:tab/>
          </w:r>
          <w:r>
            <w:rPr>
              <w:sz w:val="24"/>
              <w:szCs w:val="24"/>
            </w:rPr>
            <w:fldChar w:fldCharType="begin"/>
          </w:r>
          <w:r>
            <w:rPr>
              <w:sz w:val="24"/>
              <w:szCs w:val="24"/>
            </w:rPr>
            <w:instrText xml:space="preserve"> PAGEREF _Toc22622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_Toc4335 </w:instrText>
          </w:r>
          <w:r>
            <w:rPr>
              <w:sz w:val="24"/>
              <w:szCs w:val="24"/>
            </w:rPr>
            <w:fldChar w:fldCharType="separate"/>
          </w:r>
          <w:r>
            <w:rPr>
              <w:rFonts w:ascii="宋体" w:hAnsi="宋体"/>
              <w:sz w:val="24"/>
              <w:szCs w:val="24"/>
              <w:highlight w:val="none"/>
            </w:rPr>
            <w:t xml:space="preserve">第三章 </w:t>
          </w:r>
          <w:r>
            <w:rPr>
              <w:rFonts w:hint="eastAsia" w:ascii="宋体" w:hAnsi="宋体"/>
              <w:sz w:val="24"/>
              <w:szCs w:val="24"/>
              <w:highlight w:val="none"/>
            </w:rPr>
            <w:t xml:space="preserve"> </w:t>
          </w:r>
          <w:r>
            <w:rPr>
              <w:rFonts w:ascii="宋体" w:hAnsi="宋体"/>
              <w:sz w:val="24"/>
              <w:szCs w:val="24"/>
              <w:highlight w:val="none"/>
            </w:rPr>
            <w:t>评标办法（综合评估法）</w:t>
          </w:r>
          <w:r>
            <w:rPr>
              <w:sz w:val="24"/>
              <w:szCs w:val="24"/>
            </w:rPr>
            <w:tab/>
          </w:r>
          <w:r>
            <w:rPr>
              <w:sz w:val="24"/>
              <w:szCs w:val="24"/>
            </w:rPr>
            <w:fldChar w:fldCharType="begin"/>
          </w:r>
          <w:r>
            <w:rPr>
              <w:sz w:val="24"/>
              <w:szCs w:val="24"/>
            </w:rPr>
            <w:instrText xml:space="preserve"> PAGEREF _Toc4335 \h </w:instrText>
          </w:r>
          <w:r>
            <w:rPr>
              <w:sz w:val="24"/>
              <w:szCs w:val="24"/>
            </w:rPr>
            <w:fldChar w:fldCharType="separate"/>
          </w:r>
          <w:r>
            <w:rPr>
              <w:sz w:val="24"/>
              <w:szCs w:val="24"/>
            </w:rPr>
            <w:t>27</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_Toc29884 </w:instrText>
          </w:r>
          <w:r>
            <w:rPr>
              <w:sz w:val="24"/>
              <w:szCs w:val="24"/>
            </w:rPr>
            <w:fldChar w:fldCharType="separate"/>
          </w:r>
          <w:r>
            <w:rPr>
              <w:rFonts w:ascii="宋体" w:hAnsi="宋体"/>
              <w:sz w:val="24"/>
              <w:szCs w:val="24"/>
              <w:highlight w:val="none"/>
              <w:lang w:eastAsia="zh-CN"/>
            </w:rPr>
            <w:t>附件A：综合评估法否决投标情况一览表</w:t>
          </w:r>
          <w:r>
            <w:rPr>
              <w:sz w:val="24"/>
              <w:szCs w:val="24"/>
            </w:rPr>
            <w:tab/>
          </w:r>
          <w:r>
            <w:rPr>
              <w:sz w:val="24"/>
              <w:szCs w:val="24"/>
            </w:rPr>
            <w:fldChar w:fldCharType="begin"/>
          </w:r>
          <w:r>
            <w:rPr>
              <w:sz w:val="24"/>
              <w:szCs w:val="24"/>
            </w:rPr>
            <w:instrText xml:space="preserve"> PAGEREF _Toc29884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_Toc12421 </w:instrText>
          </w:r>
          <w:r>
            <w:rPr>
              <w:sz w:val="24"/>
              <w:szCs w:val="24"/>
            </w:rPr>
            <w:fldChar w:fldCharType="separate"/>
          </w:r>
          <w:r>
            <w:rPr>
              <w:rFonts w:hint="eastAsia" w:ascii="宋体" w:hAnsi="宋体"/>
              <w:kern w:val="0"/>
              <w:sz w:val="24"/>
              <w:szCs w:val="24"/>
              <w:highlight w:val="none"/>
            </w:rPr>
            <w:t>第四章  合同条款及格式</w:t>
          </w:r>
          <w:r>
            <w:rPr>
              <w:sz w:val="24"/>
              <w:szCs w:val="24"/>
            </w:rPr>
            <w:tab/>
          </w:r>
          <w:r>
            <w:rPr>
              <w:sz w:val="24"/>
              <w:szCs w:val="24"/>
            </w:rPr>
            <w:fldChar w:fldCharType="begin"/>
          </w:r>
          <w:r>
            <w:rPr>
              <w:sz w:val="24"/>
              <w:szCs w:val="24"/>
            </w:rPr>
            <w:instrText xml:space="preserve"> PAGEREF _Toc12421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_Toc23430 </w:instrText>
          </w:r>
          <w:r>
            <w:rPr>
              <w:sz w:val="24"/>
              <w:szCs w:val="24"/>
            </w:rPr>
            <w:fldChar w:fldCharType="separate"/>
          </w:r>
          <w:r>
            <w:rPr>
              <w:rFonts w:hint="eastAsia" w:ascii="宋体" w:hAnsi="宋体"/>
              <w:sz w:val="24"/>
              <w:szCs w:val="24"/>
              <w:highlight w:val="none"/>
            </w:rPr>
            <w:t>第五章  工程量清单</w:t>
          </w:r>
          <w:r>
            <w:rPr>
              <w:sz w:val="24"/>
              <w:szCs w:val="24"/>
            </w:rPr>
            <w:tab/>
          </w:r>
          <w:r>
            <w:rPr>
              <w:sz w:val="24"/>
              <w:szCs w:val="24"/>
            </w:rPr>
            <w:fldChar w:fldCharType="begin"/>
          </w:r>
          <w:r>
            <w:rPr>
              <w:sz w:val="24"/>
              <w:szCs w:val="24"/>
            </w:rPr>
            <w:instrText xml:space="preserve"> PAGEREF _Toc23430 \h </w:instrText>
          </w:r>
          <w:r>
            <w:rPr>
              <w:sz w:val="24"/>
              <w:szCs w:val="24"/>
            </w:rPr>
            <w:fldChar w:fldCharType="separate"/>
          </w:r>
          <w:r>
            <w:rPr>
              <w:sz w:val="24"/>
              <w:szCs w:val="24"/>
            </w:rPr>
            <w:t>107</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_Toc8087 </w:instrText>
          </w:r>
          <w:r>
            <w:rPr>
              <w:sz w:val="24"/>
              <w:szCs w:val="24"/>
            </w:rPr>
            <w:fldChar w:fldCharType="separate"/>
          </w:r>
          <w:r>
            <w:rPr>
              <w:rFonts w:hint="eastAsia" w:ascii="宋体" w:hAnsi="宋体"/>
              <w:sz w:val="24"/>
              <w:szCs w:val="24"/>
              <w:highlight w:val="none"/>
            </w:rPr>
            <w:t>第六章  图纸</w:t>
          </w:r>
          <w:r>
            <w:rPr>
              <w:sz w:val="24"/>
              <w:szCs w:val="24"/>
            </w:rPr>
            <w:tab/>
          </w:r>
          <w:r>
            <w:rPr>
              <w:sz w:val="24"/>
              <w:szCs w:val="24"/>
            </w:rPr>
            <w:fldChar w:fldCharType="begin"/>
          </w:r>
          <w:r>
            <w:rPr>
              <w:sz w:val="24"/>
              <w:szCs w:val="24"/>
            </w:rPr>
            <w:instrText xml:space="preserve"> PAGEREF _Toc8087 \h </w:instrText>
          </w:r>
          <w:r>
            <w:rPr>
              <w:sz w:val="24"/>
              <w:szCs w:val="24"/>
            </w:rPr>
            <w:fldChar w:fldCharType="separate"/>
          </w:r>
          <w:r>
            <w:rPr>
              <w:sz w:val="24"/>
              <w:szCs w:val="24"/>
            </w:rPr>
            <w:t>108</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_Toc28155 </w:instrText>
          </w:r>
          <w:r>
            <w:rPr>
              <w:sz w:val="24"/>
              <w:szCs w:val="24"/>
            </w:rPr>
            <w:fldChar w:fldCharType="separate"/>
          </w:r>
          <w:r>
            <w:rPr>
              <w:rFonts w:ascii="宋体" w:hAnsi="宋体"/>
              <w:sz w:val="24"/>
              <w:szCs w:val="24"/>
              <w:highlight w:val="none"/>
            </w:rPr>
            <w:t>第七章</w:t>
          </w:r>
          <w:r>
            <w:rPr>
              <w:rFonts w:hint="eastAsia" w:ascii="宋体" w:hAnsi="宋体"/>
              <w:sz w:val="24"/>
              <w:szCs w:val="24"/>
              <w:highlight w:val="none"/>
            </w:rPr>
            <w:t xml:space="preserve">  </w:t>
          </w:r>
          <w:r>
            <w:rPr>
              <w:rFonts w:ascii="宋体" w:hAnsi="宋体"/>
              <w:sz w:val="24"/>
              <w:szCs w:val="24"/>
              <w:highlight w:val="none"/>
            </w:rPr>
            <w:t>技术标准和要求</w:t>
          </w:r>
          <w:r>
            <w:rPr>
              <w:sz w:val="24"/>
              <w:szCs w:val="24"/>
            </w:rPr>
            <w:tab/>
          </w:r>
          <w:r>
            <w:rPr>
              <w:sz w:val="24"/>
              <w:szCs w:val="24"/>
            </w:rPr>
            <w:fldChar w:fldCharType="begin"/>
          </w:r>
          <w:r>
            <w:rPr>
              <w:sz w:val="24"/>
              <w:szCs w:val="24"/>
            </w:rPr>
            <w:instrText xml:space="preserve"> PAGEREF _Toc28155 \h </w:instrText>
          </w:r>
          <w:r>
            <w:rPr>
              <w:sz w:val="24"/>
              <w:szCs w:val="24"/>
            </w:rPr>
            <w:fldChar w:fldCharType="separate"/>
          </w:r>
          <w:r>
            <w:rPr>
              <w:sz w:val="24"/>
              <w:szCs w:val="24"/>
            </w:rPr>
            <w:t>109</w:t>
          </w:r>
          <w:r>
            <w:rPr>
              <w:sz w:val="24"/>
              <w:szCs w:val="24"/>
            </w:rPr>
            <w:fldChar w:fldCharType="end"/>
          </w:r>
          <w:r>
            <w:rPr>
              <w:sz w:val="24"/>
              <w:szCs w:val="24"/>
            </w:rPr>
            <w:fldChar w:fldCharType="end"/>
          </w:r>
        </w:p>
        <w:p>
          <w:pPr>
            <w:pStyle w:val="315"/>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24"/>
              <w:szCs w:val="24"/>
            </w:rPr>
          </w:pPr>
          <w:r>
            <w:rPr>
              <w:sz w:val="24"/>
              <w:szCs w:val="24"/>
            </w:rPr>
            <w:fldChar w:fldCharType="begin"/>
          </w:r>
          <w:r>
            <w:rPr>
              <w:sz w:val="24"/>
              <w:szCs w:val="24"/>
            </w:rPr>
            <w:instrText xml:space="preserve"> HYPERLINK \l _Toc3098 </w:instrText>
          </w:r>
          <w:r>
            <w:rPr>
              <w:sz w:val="24"/>
              <w:szCs w:val="24"/>
            </w:rPr>
            <w:fldChar w:fldCharType="separate"/>
          </w:r>
          <w:r>
            <w:rPr>
              <w:rFonts w:hint="eastAsia" w:ascii="宋体" w:hAnsi="宋体"/>
              <w:sz w:val="24"/>
              <w:szCs w:val="24"/>
              <w:highlight w:val="none"/>
            </w:rPr>
            <w:t xml:space="preserve">第八章  </w:t>
          </w:r>
          <w:r>
            <w:rPr>
              <w:rFonts w:hint="eastAsia" w:ascii="宋体" w:hAnsi="宋体"/>
              <w:sz w:val="24"/>
              <w:szCs w:val="24"/>
              <w:highlight w:val="none"/>
              <w:lang w:eastAsia="zh-CN"/>
            </w:rPr>
            <w:t>竞选文件</w:t>
          </w:r>
          <w:r>
            <w:rPr>
              <w:rFonts w:hint="eastAsia" w:ascii="宋体" w:hAnsi="宋体"/>
              <w:sz w:val="24"/>
              <w:szCs w:val="24"/>
              <w:highlight w:val="none"/>
            </w:rPr>
            <w:t>格式</w:t>
          </w:r>
          <w:r>
            <w:rPr>
              <w:sz w:val="24"/>
              <w:szCs w:val="24"/>
            </w:rPr>
            <w:tab/>
          </w:r>
          <w:r>
            <w:rPr>
              <w:sz w:val="24"/>
              <w:szCs w:val="24"/>
            </w:rPr>
            <w:fldChar w:fldCharType="begin"/>
          </w:r>
          <w:r>
            <w:rPr>
              <w:sz w:val="24"/>
              <w:szCs w:val="24"/>
            </w:rPr>
            <w:instrText xml:space="preserve"> PAGEREF _Toc3098 \h </w:instrText>
          </w:r>
          <w:r>
            <w:rPr>
              <w:sz w:val="24"/>
              <w:szCs w:val="24"/>
            </w:rPr>
            <w:fldChar w:fldCharType="separate"/>
          </w:r>
          <w:r>
            <w:rPr>
              <w:sz w:val="24"/>
              <w:szCs w:val="24"/>
            </w:rPr>
            <w:t>110</w:t>
          </w:r>
          <w:r>
            <w:rPr>
              <w:sz w:val="24"/>
              <w:szCs w:val="24"/>
            </w:rPr>
            <w:fldChar w:fldCharType="end"/>
          </w:r>
          <w:r>
            <w:rPr>
              <w:sz w:val="24"/>
              <w:szCs w:val="24"/>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napToGrid w:val="0"/>
              <w:kern w:val="0"/>
              <w:highlight w:val="none"/>
            </w:rPr>
            <w:sectPr>
              <w:footerReference r:id="rId5" w:type="default"/>
              <w:pgSz w:w="11906" w:h="16838"/>
              <w:pgMar w:top="1134" w:right="1418" w:bottom="1134" w:left="1418" w:header="851" w:footer="992" w:gutter="0"/>
              <w:cols w:space="720" w:num="1"/>
              <w:docGrid w:type="lines" w:linePitch="312" w:charSpace="0"/>
            </w:sectPr>
          </w:pPr>
          <w:r>
            <w:rPr>
              <w:sz w:val="24"/>
              <w:szCs w:val="24"/>
            </w:rPr>
            <w:fldChar w:fldCharType="end"/>
          </w:r>
          <w:bookmarkStart w:id="17" w:name="_Toc21307"/>
        </w:p>
      </w:sdtContent>
    </w:sdt>
    <w:p>
      <w:pPr>
        <w:pStyle w:val="3"/>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lang w:eastAsia="zh-CN"/>
        </w:rPr>
        <w:t>比选公告</w:t>
      </w:r>
      <w:bookmarkEnd w:id="9"/>
      <w:bookmarkEnd w:id="10"/>
      <w:bookmarkEnd w:id="11"/>
      <w:bookmarkEnd w:id="12"/>
      <w:bookmarkEnd w:id="13"/>
      <w:bookmarkEnd w:id="14"/>
      <w:bookmarkEnd w:id="15"/>
      <w:bookmarkEnd w:id="16"/>
      <w:bookmarkEnd w:id="17"/>
    </w:p>
    <w:p>
      <w:pPr>
        <w:pStyle w:val="4"/>
        <w:spacing w:before="100" w:after="100" w:line="460" w:lineRule="exact"/>
        <w:jc w:val="center"/>
        <w:rPr>
          <w:rFonts w:hint="eastAsia" w:ascii="宋体" w:hAnsi="宋体"/>
          <w:color w:val="0000FF"/>
          <w:kern w:val="0"/>
          <w:sz w:val="32"/>
          <w:szCs w:val="32"/>
          <w:highlight w:val="none"/>
          <w:u w:val="single"/>
          <w:lang w:val="en-US" w:eastAsia="zh-CN"/>
        </w:rPr>
      </w:pPr>
      <w:bookmarkStart w:id="18" w:name="_Toc26523"/>
      <w:bookmarkStart w:id="19" w:name="_Toc277082536"/>
      <w:bookmarkStart w:id="20" w:name="_Toc509218692"/>
      <w:bookmarkStart w:id="21" w:name="_Toc430530416"/>
      <w:bookmarkStart w:id="22" w:name="_Toc287620667"/>
      <w:bookmarkStart w:id="23" w:name="_Toc200359238"/>
      <w:bookmarkStart w:id="24" w:name="_Toc200359427"/>
      <w:bookmarkStart w:id="25" w:name="_Toc287607728"/>
      <w:bookmarkStart w:id="26" w:name="_Toc224103299"/>
      <w:bookmarkStart w:id="27" w:name="_Toc27491"/>
      <w:r>
        <w:rPr>
          <w:rFonts w:hint="eastAsia" w:ascii="宋体" w:hAnsi="宋体"/>
          <w:color w:val="0000FF"/>
          <w:kern w:val="0"/>
          <w:sz w:val="32"/>
          <w:szCs w:val="32"/>
          <w:highlight w:val="none"/>
          <w:u w:val="single"/>
          <w:lang w:eastAsia="zh-CN"/>
        </w:rPr>
        <w:t>经开.博睿庭（人才公寓）项目广告</w:t>
      </w:r>
      <w:r>
        <w:rPr>
          <w:rFonts w:hint="eastAsia" w:ascii="宋体" w:hAnsi="宋体"/>
          <w:color w:val="0000FF"/>
          <w:kern w:val="0"/>
          <w:sz w:val="32"/>
          <w:szCs w:val="32"/>
          <w:highlight w:val="none"/>
          <w:u w:val="single"/>
          <w:lang w:val="en-US" w:eastAsia="zh-CN"/>
        </w:rPr>
        <w:t>媒体（2024年5月）</w:t>
      </w:r>
    </w:p>
    <w:p>
      <w:pPr>
        <w:pStyle w:val="4"/>
        <w:spacing w:before="100" w:after="100" w:line="460" w:lineRule="exact"/>
        <w:jc w:val="both"/>
        <w:rPr>
          <w:rFonts w:ascii="宋体" w:hAnsi="宋体"/>
          <w:snapToGrid w:val="0"/>
          <w:color w:val="auto"/>
          <w:sz w:val="28"/>
          <w:szCs w:val="28"/>
          <w:highlight w:val="none"/>
        </w:rPr>
      </w:pPr>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18"/>
      <w:bookmarkEnd w:id="19"/>
      <w:bookmarkEnd w:id="20"/>
      <w:bookmarkEnd w:id="21"/>
      <w:bookmarkEnd w:id="22"/>
      <w:bookmarkEnd w:id="23"/>
      <w:bookmarkEnd w:id="24"/>
      <w:bookmarkEnd w:id="25"/>
      <w:bookmarkEnd w:id="26"/>
      <w:bookmarkEnd w:id="27"/>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本招标项目</w:t>
      </w:r>
      <w:r>
        <w:rPr>
          <w:rFonts w:hint="eastAsia" w:ascii="宋体" w:hAnsi="宋体"/>
          <w:snapToGrid w:val="0"/>
          <w:color w:val="auto"/>
          <w:kern w:val="0"/>
          <w:szCs w:val="21"/>
          <w:highlight w:val="none"/>
          <w:u w:val="single"/>
        </w:rPr>
        <w:t>经开.博睿庭（人才公寓）项目广告</w:t>
      </w:r>
      <w:r>
        <w:rPr>
          <w:rFonts w:hint="eastAsia" w:ascii="宋体" w:hAnsi="宋体"/>
          <w:snapToGrid w:val="0"/>
          <w:color w:val="auto"/>
          <w:kern w:val="0"/>
          <w:szCs w:val="21"/>
          <w:highlight w:val="none"/>
          <w:u w:val="single"/>
          <w:lang w:val="en-US" w:eastAsia="zh-CN"/>
        </w:rPr>
        <w:t>媒体（2024年5月）</w:t>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ascii="宋体" w:hAnsi="宋体"/>
          <w:snapToGrid w:val="0"/>
          <w:color w:val="auto"/>
          <w:kern w:val="0"/>
          <w:szCs w:val="21"/>
          <w:highlight w:val="none"/>
          <w:u w:val="single"/>
        </w:rPr>
        <w:t>（资金来源）</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100%</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 xml:space="preserve"> </w:t>
      </w:r>
      <w:r>
        <w:rPr>
          <w:rFonts w:ascii="宋体" w:hAnsi="宋体" w:eastAsia="宋体" w:cs="宋体"/>
          <w:spacing w:val="-4"/>
          <w:sz w:val="21"/>
          <w:szCs w:val="21"/>
          <w:u w:val="single" w:color="auto"/>
        </w:rPr>
        <w:t>重庆</w:t>
      </w:r>
      <w:r>
        <w:rPr>
          <w:rFonts w:hint="eastAsia" w:ascii="宋体" w:hAnsi="宋体" w:cs="宋体"/>
          <w:spacing w:val="-4"/>
          <w:sz w:val="21"/>
          <w:szCs w:val="21"/>
          <w:u w:val="single" w:color="auto"/>
          <w:lang w:val="en-US" w:eastAsia="zh-CN"/>
        </w:rPr>
        <w:t>新汇商实业有限公司</w:t>
      </w:r>
      <w:r>
        <w:rPr>
          <w:rFonts w:hint="eastAsia" w:ascii="宋体" w:hAnsi="宋体"/>
          <w:snapToGrid w:val="0"/>
          <w:color w:val="auto"/>
          <w:kern w:val="0"/>
          <w:szCs w:val="21"/>
          <w:highlight w:val="none"/>
          <w:u w:val="single"/>
        </w:rPr>
        <w:t xml:space="preserve"> </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non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lang w:val="en-US" w:eastAsia="zh-CN"/>
        </w:rPr>
        <w:t>比选</w:t>
      </w:r>
      <w:r>
        <w:rPr>
          <w:rFonts w:ascii="宋体" w:hAnsi="宋体"/>
          <w:snapToGrid w:val="0"/>
          <w:color w:val="auto"/>
          <w:kern w:val="0"/>
          <w:position w:val="-2"/>
          <w:szCs w:val="21"/>
          <w:highlight w:val="none"/>
        </w:rPr>
        <w:t>。</w:t>
      </w:r>
    </w:p>
    <w:p>
      <w:pPr>
        <w:pStyle w:val="4"/>
        <w:spacing w:before="100" w:after="100" w:line="460" w:lineRule="exact"/>
        <w:rPr>
          <w:rFonts w:ascii="宋体" w:hAnsi="宋体"/>
          <w:snapToGrid w:val="0"/>
          <w:color w:val="auto"/>
          <w:sz w:val="28"/>
          <w:szCs w:val="28"/>
          <w:highlight w:val="none"/>
        </w:rPr>
      </w:pPr>
      <w:bookmarkStart w:id="28" w:name="_Toc16344"/>
      <w:bookmarkStart w:id="29" w:name="_Toc287607729"/>
      <w:bookmarkStart w:id="30" w:name="_Toc224103300"/>
      <w:bookmarkStart w:id="31" w:name="_Toc509218693"/>
      <w:bookmarkStart w:id="32" w:name="_Toc200359239"/>
      <w:bookmarkStart w:id="33" w:name="_Toc22556"/>
      <w:bookmarkStart w:id="34" w:name="_Toc430530417"/>
      <w:bookmarkStart w:id="35" w:name="_Toc277082537"/>
      <w:bookmarkStart w:id="36" w:name="_Toc200359428"/>
      <w:bookmarkStart w:id="37" w:name="_Toc28762066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项目概况与招标范围</w:t>
      </w:r>
      <w:bookmarkEnd w:id="28"/>
      <w:bookmarkEnd w:id="29"/>
      <w:bookmarkEnd w:id="30"/>
      <w:bookmarkEnd w:id="31"/>
      <w:bookmarkEnd w:id="32"/>
      <w:bookmarkEnd w:id="33"/>
      <w:bookmarkEnd w:id="34"/>
      <w:bookmarkEnd w:id="35"/>
      <w:bookmarkEnd w:id="36"/>
      <w:bookmarkEnd w:id="37"/>
    </w:p>
    <w:p>
      <w:pPr>
        <w:tabs>
          <w:tab w:val="left" w:pos="3315"/>
          <w:tab w:val="left" w:pos="3390"/>
          <w:tab w:val="left" w:pos="6120"/>
          <w:tab w:val="left" w:pos="8850"/>
        </w:tabs>
        <w:autoSpaceDE w:val="0"/>
        <w:autoSpaceDN w:val="0"/>
        <w:adjustRightInd w:val="0"/>
        <w:snapToGrid w:val="0"/>
        <w:spacing w:line="460" w:lineRule="exact"/>
        <w:ind w:firstLine="420"/>
        <w:jc w:val="left"/>
        <w:rPr>
          <w:rFonts w:hint="default"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u w:val="single"/>
        </w:rPr>
        <w:t xml:space="preserve">2.1 </w:t>
      </w:r>
      <w:r>
        <w:rPr>
          <w:rFonts w:hint="eastAsia" w:ascii="宋体" w:hAnsi="宋体"/>
          <w:snapToGrid w:val="0"/>
          <w:color w:val="auto"/>
          <w:kern w:val="0"/>
          <w:szCs w:val="21"/>
          <w:highlight w:val="none"/>
          <w:u w:val="single"/>
          <w:lang w:val="en-US" w:eastAsia="zh-CN"/>
        </w:rPr>
        <w:t>项目</w:t>
      </w:r>
      <w:r>
        <w:rPr>
          <w:rFonts w:hint="eastAsia" w:ascii="宋体" w:hAnsi="宋体"/>
          <w:snapToGrid w:val="0"/>
          <w:color w:val="auto"/>
          <w:kern w:val="0"/>
          <w:szCs w:val="21"/>
          <w:highlight w:val="none"/>
          <w:u w:val="single"/>
        </w:rPr>
        <w:t>地点：重庆</w:t>
      </w:r>
      <w:r>
        <w:rPr>
          <w:rFonts w:hint="eastAsia" w:ascii="宋体" w:hAnsi="宋体"/>
          <w:snapToGrid w:val="0"/>
          <w:color w:val="auto"/>
          <w:kern w:val="0"/>
          <w:szCs w:val="21"/>
          <w:highlight w:val="none"/>
          <w:u w:val="single"/>
          <w:lang w:eastAsia="zh-CN"/>
        </w:rPr>
        <w:t>经开区</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rPr>
        <w:t>2.2 项目概况与</w:t>
      </w:r>
      <w:r>
        <w:rPr>
          <w:rFonts w:hint="eastAsia" w:ascii="宋体" w:hAnsi="宋体"/>
          <w:snapToGrid w:val="0"/>
          <w:color w:val="auto"/>
          <w:kern w:val="0"/>
          <w:szCs w:val="21"/>
          <w:highlight w:val="none"/>
          <w:u w:val="single"/>
          <w:lang w:val="en-US" w:eastAsia="zh-CN"/>
        </w:rPr>
        <w:t>工作内容</w:t>
      </w:r>
      <w:r>
        <w:rPr>
          <w:rFonts w:hint="eastAsia" w:ascii="宋体" w:hAnsi="宋体"/>
          <w:snapToGrid w:val="0"/>
          <w:color w:val="auto"/>
          <w:kern w:val="0"/>
          <w:szCs w:val="21"/>
          <w:highlight w:val="none"/>
          <w:u w:val="single"/>
        </w:rPr>
        <w:t>：</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b w:val="0"/>
          <w:bCs w:val="0"/>
          <w:snapToGrid w:val="0"/>
          <w:color w:val="auto"/>
          <w:kern w:val="0"/>
          <w:szCs w:val="21"/>
          <w:highlight w:val="none"/>
          <w:u w:val="none"/>
          <w:lang w:val="en-US" w:eastAsia="zh-CN"/>
        </w:rPr>
      </w:pPr>
      <w:r>
        <w:rPr>
          <w:rFonts w:hint="eastAsia" w:ascii="宋体" w:hAnsi="宋体"/>
          <w:b w:val="0"/>
          <w:bCs w:val="0"/>
          <w:snapToGrid w:val="0"/>
          <w:color w:val="auto"/>
          <w:kern w:val="0"/>
          <w:szCs w:val="21"/>
          <w:highlight w:val="none"/>
          <w:u w:val="single"/>
        </w:rPr>
        <w:t>1.网络媒体广告：APP房产首页焦点图(第1-4帧之内），投放时间为2天；APP房产首页（信息流30常规-重庆），投放时间为2天；APP房产重庆首页热盘推荐，投放时间为2天；APP开机屏3天；APP重磅推荐3天；APP原创稿件1篇；品质好房榜单1次。</w:t>
      </w:r>
      <w:r>
        <w:rPr>
          <w:rFonts w:hint="eastAsia" w:ascii="宋体" w:hAnsi="宋体"/>
          <w:b w:val="0"/>
          <w:bCs w:val="0"/>
          <w:snapToGrid w:val="0"/>
          <w:color w:val="auto"/>
          <w:kern w:val="0"/>
          <w:szCs w:val="21"/>
          <w:highlight w:val="none"/>
          <w:u w:val="single"/>
        </w:rPr>
        <w:br w:type="textWrapping"/>
      </w:r>
      <w:r>
        <w:rPr>
          <w:rFonts w:hint="eastAsia" w:ascii="宋体" w:hAnsi="宋体"/>
          <w:b w:val="0"/>
          <w:bCs w:val="0"/>
          <w:snapToGrid w:val="0"/>
          <w:color w:val="auto"/>
          <w:kern w:val="0"/>
          <w:szCs w:val="21"/>
          <w:highlight w:val="none"/>
          <w:u w:val="none"/>
          <w:lang w:val="en-US" w:eastAsia="zh-CN"/>
        </w:rPr>
        <w:t xml:space="preserve">    </w:t>
      </w:r>
      <w:r>
        <w:rPr>
          <w:rFonts w:hint="eastAsia" w:ascii="宋体" w:hAnsi="宋体"/>
          <w:b w:val="0"/>
          <w:bCs w:val="0"/>
          <w:snapToGrid w:val="0"/>
          <w:color w:val="auto"/>
          <w:kern w:val="0"/>
          <w:szCs w:val="21"/>
          <w:highlight w:val="none"/>
          <w:u w:val="single"/>
        </w:rPr>
        <w:t>2.朋友圈广告：图文或视频</w:t>
      </w:r>
      <w:r>
        <w:rPr>
          <w:rFonts w:hint="eastAsia" w:ascii="宋体" w:hAnsi="宋体"/>
          <w:b w:val="0"/>
          <w:bCs w:val="0"/>
          <w:snapToGrid w:val="0"/>
          <w:color w:val="auto"/>
          <w:kern w:val="0"/>
          <w:szCs w:val="21"/>
          <w:highlight w:val="none"/>
          <w:u w:val="single"/>
          <w:lang w:eastAsia="zh-CN"/>
        </w:rPr>
        <w:t>，</w:t>
      </w:r>
      <w:r>
        <w:rPr>
          <w:rFonts w:hint="eastAsia" w:ascii="宋体" w:hAnsi="宋体"/>
          <w:b w:val="0"/>
          <w:bCs w:val="0"/>
          <w:snapToGrid w:val="0"/>
          <w:color w:val="auto"/>
          <w:kern w:val="0"/>
          <w:szCs w:val="21"/>
          <w:highlight w:val="none"/>
          <w:u w:val="single"/>
        </w:rPr>
        <w:t>曝光量不低于62.5万次（以实际投放天数为准）</w:t>
      </w:r>
      <w:r>
        <w:rPr>
          <w:rFonts w:hint="eastAsia" w:ascii="宋体" w:hAnsi="宋体"/>
          <w:b w:val="0"/>
          <w:bCs w:val="0"/>
          <w:snapToGrid w:val="0"/>
          <w:color w:val="auto"/>
          <w:kern w:val="0"/>
          <w:szCs w:val="21"/>
          <w:highlight w:val="none"/>
          <w:u w:val="single"/>
          <w:lang w:eastAsia="zh-CN"/>
        </w:rPr>
        <w:t>。</w:t>
      </w:r>
      <w:r>
        <w:rPr>
          <w:rFonts w:hint="eastAsia" w:ascii="宋体" w:hAnsi="宋体"/>
          <w:b w:val="0"/>
          <w:bCs w:val="0"/>
          <w:snapToGrid w:val="0"/>
          <w:color w:val="auto"/>
          <w:kern w:val="0"/>
          <w:szCs w:val="21"/>
          <w:highlight w:val="none"/>
          <w:u w:val="single"/>
        </w:rPr>
        <w:br w:type="textWrapping"/>
      </w:r>
      <w:r>
        <w:rPr>
          <w:rFonts w:hint="eastAsia" w:ascii="宋体" w:hAnsi="宋体"/>
          <w:b w:val="0"/>
          <w:bCs w:val="0"/>
          <w:snapToGrid w:val="0"/>
          <w:color w:val="auto"/>
          <w:kern w:val="0"/>
          <w:szCs w:val="21"/>
          <w:highlight w:val="none"/>
          <w:u w:val="none"/>
          <w:lang w:val="en-US" w:eastAsia="zh-CN"/>
        </w:rPr>
        <w:t xml:space="preserve">    </w:t>
      </w:r>
      <w:r>
        <w:rPr>
          <w:rFonts w:hint="eastAsia" w:ascii="宋体" w:hAnsi="宋体"/>
          <w:b w:val="0"/>
          <w:bCs w:val="0"/>
          <w:snapToGrid w:val="0"/>
          <w:color w:val="auto"/>
          <w:kern w:val="0"/>
          <w:szCs w:val="21"/>
          <w:highlight w:val="none"/>
          <w:u w:val="single"/>
        </w:rPr>
        <w:t>3.户外广告：投放时间为4个月，含项目辖区核心地段户外T牌广告2块（面积 18米x6米x2面）</w:t>
      </w:r>
      <w:r>
        <w:rPr>
          <w:rFonts w:hint="eastAsia" w:ascii="宋体" w:hAnsi="宋体"/>
          <w:b w:val="0"/>
          <w:bCs w:val="0"/>
          <w:snapToGrid w:val="0"/>
          <w:color w:val="auto"/>
          <w:kern w:val="0"/>
          <w:szCs w:val="21"/>
          <w:highlight w:val="none"/>
          <w:u w:val="single"/>
          <w:lang w:eastAsia="zh-CN"/>
        </w:rPr>
        <w:t>。</w:t>
      </w:r>
      <w:r>
        <w:rPr>
          <w:rFonts w:hint="eastAsia" w:ascii="宋体" w:hAnsi="宋体"/>
          <w:b w:val="0"/>
          <w:bCs w:val="0"/>
          <w:snapToGrid w:val="0"/>
          <w:color w:val="auto"/>
          <w:kern w:val="0"/>
          <w:szCs w:val="21"/>
          <w:highlight w:val="none"/>
          <w:u w:val="none"/>
          <w:lang w:val="en-US" w:eastAsia="zh-CN"/>
        </w:rPr>
        <w:t xml:space="preserve">        </w:t>
      </w:r>
    </w:p>
    <w:p>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b w:val="0"/>
          <w:bCs w:val="0"/>
          <w:snapToGrid w:val="0"/>
          <w:color w:val="auto"/>
          <w:kern w:val="0"/>
          <w:szCs w:val="21"/>
          <w:highlight w:val="none"/>
          <w:u w:val="single"/>
        </w:rPr>
      </w:pPr>
      <w:r>
        <w:rPr>
          <w:rFonts w:hint="eastAsia" w:ascii="宋体" w:hAnsi="宋体"/>
          <w:b w:val="0"/>
          <w:bCs w:val="0"/>
          <w:snapToGrid w:val="0"/>
          <w:color w:val="auto"/>
          <w:kern w:val="0"/>
          <w:szCs w:val="21"/>
          <w:highlight w:val="none"/>
          <w:u w:val="single"/>
        </w:rPr>
        <w:t>4.物业广告：投放时间为12个月，含项目辖区1家物业公司所属物业电梯、道闸、海报、桁架、墙体喷绘、展架、停车小票和宣传栏、城市展厅等广告。</w:t>
      </w:r>
    </w:p>
    <w:p>
      <w:pPr>
        <w:pStyle w:val="2"/>
        <w:ind w:firstLine="422" w:firstLineChars="200"/>
        <w:jc w:val="both"/>
        <w:rPr>
          <w:rFonts w:hint="eastAsia"/>
          <w:b/>
          <w:bCs/>
          <w:color w:val="auto"/>
          <w:lang w:eastAsia="zh-CN"/>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32万</w:t>
      </w:r>
      <w:r>
        <w:rPr>
          <w:rFonts w:hint="eastAsia" w:ascii="宋体" w:hAnsi="宋体"/>
          <w:snapToGrid w:val="0"/>
          <w:color w:val="auto"/>
          <w:kern w:val="0"/>
          <w:szCs w:val="21"/>
          <w:highlight w:val="none"/>
          <w:u w:val="single"/>
        </w:rPr>
        <w:t>元</w:t>
      </w:r>
    </w:p>
    <w:p>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color w:val="auto"/>
          <w:kern w:val="0"/>
          <w:szCs w:val="21"/>
          <w:highlight w:val="none"/>
          <w:u w:val="none"/>
          <w:lang w:val="en-US" w:eastAsia="zh-CN"/>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服务期</w:t>
      </w:r>
      <w:r>
        <w:rPr>
          <w:rFonts w:hint="eastAsia" w:ascii="宋体" w:hAnsi="宋体"/>
          <w:snapToGrid w:val="0"/>
          <w:color w:val="auto"/>
          <w:kern w:val="0"/>
          <w:szCs w:val="21"/>
          <w:highlight w:val="none"/>
        </w:rPr>
        <w:t>要求：</w:t>
      </w:r>
      <w:r>
        <w:rPr>
          <w:rFonts w:hint="eastAsia" w:ascii="宋体" w:hAnsi="宋体"/>
          <w:snapToGrid w:val="0"/>
          <w:color w:val="auto"/>
          <w:kern w:val="0"/>
          <w:szCs w:val="21"/>
          <w:highlight w:val="none"/>
          <w:lang w:val="en-US" w:eastAsia="zh-CN"/>
        </w:rPr>
        <w:t>媒</w:t>
      </w:r>
      <w:r>
        <w:rPr>
          <w:rFonts w:hint="eastAsia" w:ascii="宋体" w:hAnsi="宋体"/>
          <w:snapToGrid w:val="0"/>
          <w:color w:val="auto"/>
          <w:kern w:val="0"/>
          <w:szCs w:val="21"/>
          <w:highlight w:val="none"/>
          <w:u w:val="none"/>
          <w:lang w:val="en-US" w:eastAsia="zh-CN"/>
        </w:rPr>
        <w:t>体广告1个月内（以实际投放天数为准）</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户外广告4个月，物业广告12个月。以广告实际发布日期为准。最迟应在合同约定广告发布期限之后的6个月内确定并完成发布。</w:t>
      </w:r>
    </w:p>
    <w:p>
      <w:pPr>
        <w:pStyle w:val="4"/>
        <w:spacing w:before="100" w:after="100" w:line="460" w:lineRule="exact"/>
        <w:rPr>
          <w:rFonts w:ascii="宋体" w:hAnsi="宋体"/>
          <w:snapToGrid w:val="0"/>
          <w:sz w:val="28"/>
          <w:szCs w:val="28"/>
          <w:highlight w:val="none"/>
        </w:rPr>
      </w:pPr>
      <w:bookmarkStart w:id="38" w:name="_Toc277082538"/>
      <w:bookmarkStart w:id="39" w:name="_Toc5240"/>
      <w:bookmarkStart w:id="40" w:name="_Toc509218694"/>
      <w:bookmarkStart w:id="41" w:name="_Toc19513"/>
      <w:bookmarkStart w:id="42" w:name="_Toc200359240"/>
      <w:bookmarkStart w:id="43" w:name="_Toc224103301"/>
      <w:bookmarkStart w:id="44" w:name="_Toc200359429"/>
      <w:bookmarkStart w:id="45" w:name="_Toc287620669"/>
      <w:bookmarkStart w:id="46" w:name="_Toc430530418"/>
      <w:bookmarkStart w:id="47" w:name="_Toc287607730"/>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竞选人</w:t>
      </w:r>
      <w:r>
        <w:rPr>
          <w:rFonts w:ascii="宋体" w:hAnsi="宋体"/>
          <w:snapToGrid w:val="0"/>
          <w:sz w:val="28"/>
          <w:szCs w:val="28"/>
          <w:highlight w:val="none"/>
        </w:rPr>
        <w:t>资格要求</w:t>
      </w:r>
      <w:bookmarkEnd w:id="38"/>
      <w:bookmarkEnd w:id="39"/>
      <w:bookmarkEnd w:id="40"/>
      <w:bookmarkEnd w:id="41"/>
      <w:bookmarkEnd w:id="42"/>
      <w:bookmarkEnd w:id="43"/>
      <w:bookmarkEnd w:id="44"/>
      <w:bookmarkEnd w:id="45"/>
      <w:bookmarkEnd w:id="46"/>
      <w:bookmarkEnd w:id="47"/>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w:t>
      </w:r>
      <w:r>
        <w:rPr>
          <w:rFonts w:hint="eastAsia" w:ascii="宋体" w:hAnsi="宋体"/>
          <w:snapToGrid w:val="0"/>
          <w:kern w:val="0"/>
          <w:szCs w:val="21"/>
          <w:highlight w:val="none"/>
          <w:lang w:eastAsia="zh-CN"/>
        </w:rPr>
        <w:t>竞选人</w:t>
      </w:r>
      <w:r>
        <w:rPr>
          <w:rFonts w:ascii="宋体" w:hAnsi="宋体"/>
          <w:snapToGrid w:val="0"/>
          <w:kern w:val="0"/>
          <w:szCs w:val="21"/>
          <w:highlight w:val="none"/>
        </w:rPr>
        <w:t>须具备</w:t>
      </w:r>
      <w:r>
        <w:rPr>
          <w:rFonts w:hint="eastAsia" w:ascii="宋体" w:hAnsi="宋体"/>
          <w:snapToGrid w:val="0"/>
          <w:kern w:val="0"/>
          <w:szCs w:val="21"/>
          <w:highlight w:val="none"/>
        </w:rPr>
        <w:t>以下条件：</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kern w:val="0"/>
          <w:szCs w:val="21"/>
          <w:highlight w:val="none"/>
        </w:rPr>
        <w:t>3.1.1 本次招标要求</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具备的资质条件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lang w:val="en-US" w:eastAsia="zh-CN"/>
        </w:rPr>
        <w:t xml:space="preserve"> 具备有效营业执照，具备有效的投标广告的经营权</w:t>
      </w:r>
      <w:r>
        <w:rPr>
          <w:rFonts w:hint="eastAsia" w:ascii="宋体" w:hAnsi="宋体"/>
          <w:snapToGrid w:val="0"/>
          <w:color w:val="auto"/>
          <w:kern w:val="0"/>
          <w:szCs w:val="21"/>
          <w:highlight w:val="none"/>
          <w:u w:val="single"/>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w:t>
      </w: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 xml:space="preserve"> </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还应在人员、设备、资金等方面具有相应的能力，详见招标文件第二章</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 xml:space="preserve">□接受 </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不接受</w:t>
      </w:r>
      <w:r>
        <w:rPr>
          <w:rFonts w:ascii="宋体" w:hAnsi="宋体"/>
          <w:snapToGrid w:val="0"/>
          <w:kern w:val="0"/>
          <w:szCs w:val="21"/>
          <w:highlight w:val="none"/>
        </w:rPr>
        <w:t>联合体投标。联合体投标的，应满足下列要求：</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p>
    <w:p>
      <w:pPr>
        <w:pStyle w:val="4"/>
        <w:spacing w:before="100" w:after="100" w:line="460" w:lineRule="exact"/>
        <w:rPr>
          <w:rFonts w:ascii="宋体" w:hAnsi="宋体"/>
          <w:snapToGrid w:val="0"/>
          <w:sz w:val="28"/>
          <w:szCs w:val="28"/>
          <w:highlight w:val="none"/>
        </w:rPr>
      </w:pPr>
      <w:bookmarkStart w:id="48" w:name="_Toc200359430"/>
      <w:bookmarkStart w:id="49" w:name="_Toc200359241"/>
      <w:bookmarkStart w:id="50" w:name="_Toc509218695"/>
      <w:bookmarkStart w:id="51" w:name="_Toc430530419"/>
      <w:bookmarkStart w:id="52" w:name="_Toc287607731"/>
      <w:bookmarkStart w:id="53" w:name="_Toc13751"/>
      <w:bookmarkStart w:id="54" w:name="_Toc287620670"/>
      <w:bookmarkStart w:id="55" w:name="_Toc10508"/>
      <w:bookmarkStart w:id="56" w:name="_Toc277082539"/>
      <w:bookmarkStart w:id="57" w:name="_Toc224103302"/>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val="en-US" w:eastAsia="zh-CN"/>
        </w:rPr>
        <w:t>比选</w:t>
      </w:r>
      <w:r>
        <w:rPr>
          <w:rFonts w:ascii="宋体" w:hAnsi="宋体"/>
          <w:snapToGrid w:val="0"/>
          <w:sz w:val="28"/>
          <w:szCs w:val="28"/>
          <w:highlight w:val="none"/>
        </w:rPr>
        <w:t>文件的获取</w:t>
      </w:r>
      <w:bookmarkEnd w:id="48"/>
      <w:bookmarkEnd w:id="49"/>
      <w:bookmarkEnd w:id="50"/>
      <w:bookmarkEnd w:id="51"/>
      <w:bookmarkEnd w:id="52"/>
      <w:bookmarkEnd w:id="53"/>
      <w:bookmarkEnd w:id="54"/>
      <w:bookmarkEnd w:id="55"/>
      <w:bookmarkEnd w:id="56"/>
      <w:bookmarkEnd w:id="57"/>
    </w:p>
    <w:p>
      <w:pPr>
        <w:widowControl/>
        <w:spacing w:line="360" w:lineRule="auto"/>
        <w:ind w:firstLine="420" w:firstLineChars="200"/>
        <w:rPr>
          <w:rFonts w:cs="宋体" w:asciiTheme="minorEastAsia" w:hAnsiTheme="minorEastAsia" w:eastAsiaTheme="minorEastAsia"/>
          <w:kern w:val="0"/>
          <w:sz w:val="21"/>
          <w:szCs w:val="21"/>
        </w:rPr>
      </w:pPr>
      <w:bookmarkStart w:id="58" w:name="_Toc3893"/>
      <w:bookmarkStart w:id="59" w:name="_Toc200359242"/>
      <w:bookmarkStart w:id="60" w:name="_Toc430530420"/>
      <w:bookmarkStart w:id="61" w:name="_Toc28449"/>
      <w:bookmarkStart w:id="62" w:name="_Toc509218696"/>
      <w:bookmarkStart w:id="63" w:name="_Toc287620671"/>
      <w:bookmarkStart w:id="64" w:name="_Toc224103303"/>
      <w:bookmarkStart w:id="65" w:name="_Toc277082540"/>
      <w:bookmarkStart w:id="66" w:name="_Toc200359431"/>
      <w:bookmarkStart w:id="67" w:name="_Toc287607732"/>
      <w:r>
        <w:rPr>
          <w:rFonts w:hint="eastAsia" w:cs="宋体" w:asciiTheme="minorEastAsia" w:hAnsiTheme="minorEastAsia" w:eastAsiaTheme="minorEastAsia"/>
          <w:kern w:val="0"/>
          <w:sz w:val="21"/>
          <w:szCs w:val="21"/>
        </w:rPr>
        <w:t>4.1 凡有意参加投标者，请于公告发布之日起至至投标截止时间前，</w:t>
      </w:r>
      <w:r>
        <w:rPr>
          <w:rFonts w:hint="eastAsia" w:cs="宋体" w:asciiTheme="minorEastAsia" w:hAnsiTheme="minorEastAsia" w:eastAsiaTheme="minorEastAsia"/>
          <w:color w:val="auto"/>
          <w:kern w:val="0"/>
          <w:sz w:val="21"/>
          <w:szCs w:val="21"/>
        </w:rPr>
        <w:t xml:space="preserve">均可在行采家 (https://www.gec123.com/) </w:t>
      </w:r>
      <w:r>
        <w:rPr>
          <w:rFonts w:hint="eastAsia" w:cs="宋体" w:asciiTheme="minorEastAsia" w:hAnsiTheme="minorEastAsia" w:eastAsiaTheme="minorEastAsia"/>
          <w:color w:val="auto"/>
          <w:kern w:val="0"/>
          <w:sz w:val="21"/>
          <w:szCs w:val="21"/>
          <w:lang w:val="en-US" w:eastAsia="zh-CN"/>
        </w:rPr>
        <w:t>和</w:t>
      </w:r>
      <w:r>
        <w:rPr>
          <w:rFonts w:hint="eastAsia" w:cs="宋体" w:asciiTheme="minorEastAsia" w:hAnsiTheme="minorEastAsia" w:eastAsiaTheme="minorEastAsia"/>
          <w:color w:val="auto"/>
          <w:kern w:val="0"/>
          <w:sz w:val="21"/>
          <w:szCs w:val="21"/>
        </w:rPr>
        <w:t>重庆经开区投资集团官网（http://www.cetzig.com/）上下载本项目竞争性比选文件、答疑、补遗等开标</w:t>
      </w:r>
      <w:r>
        <w:rPr>
          <w:rFonts w:hint="eastAsia" w:cs="宋体" w:asciiTheme="minorEastAsia" w:hAnsiTheme="minorEastAsia" w:eastAsiaTheme="minorEastAsia"/>
          <w:kern w:val="0"/>
          <w:sz w:val="21"/>
          <w:szCs w:val="21"/>
        </w:rPr>
        <w:t>前公布的所有相关资料。在公告期间，各竞标人应随时关注网上发布的竞争性比选文件答疑、补遗、澄清等文件内容，不管竞标人下载与否都视为潜在投标人全部知晓有关招投标过程和全部内容。</w:t>
      </w:r>
    </w:p>
    <w:p>
      <w:pPr>
        <w:pStyle w:val="4"/>
        <w:spacing w:before="100" w:after="100" w:line="460" w:lineRule="exact"/>
        <w:rPr>
          <w:rFonts w:ascii="宋体" w:hAnsi="宋体"/>
          <w:snapToGrid w:val="0"/>
          <w:sz w:val="28"/>
          <w:szCs w:val="28"/>
          <w:highlight w:val="none"/>
        </w:rPr>
      </w:pPr>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hint="eastAsia" w:ascii="宋体" w:hAnsi="宋体"/>
          <w:snapToGrid w:val="0"/>
          <w:sz w:val="28"/>
          <w:szCs w:val="28"/>
          <w:highlight w:val="none"/>
          <w:lang w:eastAsia="zh-CN"/>
        </w:rPr>
        <w:t>竞选文件</w:t>
      </w:r>
      <w:r>
        <w:rPr>
          <w:rFonts w:ascii="宋体" w:hAnsi="宋体"/>
          <w:snapToGrid w:val="0"/>
          <w:sz w:val="28"/>
          <w:szCs w:val="28"/>
          <w:highlight w:val="none"/>
        </w:rPr>
        <w:t>的递交</w:t>
      </w:r>
      <w:bookmarkEnd w:id="58"/>
      <w:bookmarkEnd w:id="59"/>
      <w:bookmarkEnd w:id="60"/>
      <w:bookmarkEnd w:id="61"/>
      <w:bookmarkEnd w:id="62"/>
      <w:bookmarkEnd w:id="63"/>
      <w:bookmarkEnd w:id="64"/>
      <w:bookmarkEnd w:id="65"/>
      <w:bookmarkEnd w:id="66"/>
      <w:bookmarkEnd w:id="67"/>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 xml:space="preserve">5.1  </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递交的截止时间（投标截止时间，下同）为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2024</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5</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11</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00</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分，地点为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eastAsia="zh-CN"/>
        </w:rPr>
        <w:t>重庆经开区投资集团有限公司</w:t>
      </w:r>
      <w:r>
        <w:rPr>
          <w:rFonts w:hint="eastAsia" w:ascii="宋体" w:hAnsi="宋体"/>
          <w:snapToGrid w:val="0"/>
          <w:color w:val="auto"/>
          <w:kern w:val="0"/>
          <w:szCs w:val="21"/>
          <w:highlight w:val="none"/>
          <w:u w:val="single"/>
          <w:lang w:val="en-US" w:eastAsia="zh-CN"/>
        </w:rPr>
        <w:t>15楼接待室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r>
        <w:rPr>
          <w:rFonts w:hint="eastAsia" w:ascii="宋体" w:hAnsi="宋体"/>
          <w:snapToGrid w:val="0"/>
          <w:kern w:val="0"/>
          <w:szCs w:val="21"/>
          <w:highlight w:val="none"/>
          <w:lang w:eastAsia="zh-CN"/>
        </w:rPr>
        <w:t>比选人</w:t>
      </w:r>
      <w:r>
        <w:rPr>
          <w:rFonts w:ascii="宋体" w:hAnsi="宋体"/>
          <w:snapToGrid w:val="0"/>
          <w:kern w:val="0"/>
          <w:szCs w:val="21"/>
          <w:highlight w:val="none"/>
        </w:rPr>
        <w:t>不予受理。</w:t>
      </w:r>
      <w:r>
        <w:rPr>
          <w:rFonts w:hint="eastAsia" w:ascii="宋体" w:hAnsi="宋体"/>
          <w:snapToGrid w:val="0"/>
          <w:kern w:val="0"/>
          <w:szCs w:val="21"/>
          <w:highlight w:val="none"/>
          <w:lang w:val="en-US" w:eastAsia="zh-CN"/>
        </w:rPr>
        <w:t xml:space="preserve"> </w:t>
      </w:r>
    </w:p>
    <w:p>
      <w:pPr>
        <w:pStyle w:val="4"/>
        <w:spacing w:before="100" w:after="100" w:line="460" w:lineRule="exact"/>
        <w:rPr>
          <w:rFonts w:ascii="宋体" w:hAnsi="宋体"/>
          <w:snapToGrid w:val="0"/>
          <w:sz w:val="28"/>
          <w:szCs w:val="28"/>
          <w:highlight w:val="none"/>
        </w:rPr>
      </w:pPr>
      <w:bookmarkStart w:id="68" w:name="_Toc8166"/>
      <w:bookmarkStart w:id="69" w:name="_Toc200359432"/>
      <w:bookmarkStart w:id="70" w:name="_Toc430530421"/>
      <w:bookmarkStart w:id="71" w:name="_Toc200359243"/>
      <w:bookmarkStart w:id="72" w:name="_Toc287620672"/>
      <w:bookmarkStart w:id="73" w:name="_Toc19071"/>
      <w:bookmarkStart w:id="74" w:name="_Toc509218697"/>
      <w:bookmarkStart w:id="75" w:name="_Toc277082541"/>
      <w:bookmarkStart w:id="76" w:name="_Toc224103304"/>
      <w:bookmarkStart w:id="77" w:name="_Toc287607733"/>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8"/>
      <w:bookmarkEnd w:id="69"/>
      <w:bookmarkEnd w:id="70"/>
      <w:bookmarkEnd w:id="71"/>
      <w:bookmarkEnd w:id="72"/>
      <w:bookmarkEnd w:id="73"/>
      <w:bookmarkEnd w:id="74"/>
      <w:bookmarkEnd w:id="75"/>
      <w:bookmarkEnd w:id="76"/>
      <w:bookmarkEnd w:id="77"/>
    </w:p>
    <w:p>
      <w:pPr>
        <w:widowControl/>
        <w:spacing w:line="360" w:lineRule="auto"/>
        <w:ind w:firstLine="420" w:firstLineChars="200"/>
        <w:jc w:val="left"/>
        <w:rPr>
          <w:rFonts w:ascii="宋体" w:hAnsi="宋体"/>
          <w:snapToGrid w:val="0"/>
          <w:kern w:val="0"/>
          <w:szCs w:val="21"/>
          <w:highlight w:val="none"/>
        </w:rPr>
      </w:pPr>
      <w:r>
        <w:rPr>
          <w:rFonts w:hint="eastAsia" w:cs="宋体" w:asciiTheme="minorEastAsia" w:hAnsiTheme="minorEastAsia" w:eastAsiaTheme="minorEastAsia"/>
          <w:kern w:val="0"/>
          <w:sz w:val="21"/>
          <w:szCs w:val="21"/>
        </w:rPr>
        <w:t>本次比选公告在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重庆经开区投资集团官网（http://www.cetzig.com/）上发布。</w:t>
      </w:r>
    </w:p>
    <w:p>
      <w:pPr>
        <w:pStyle w:val="4"/>
        <w:spacing w:before="100" w:after="100" w:line="460" w:lineRule="exact"/>
        <w:rPr>
          <w:rFonts w:ascii="宋体" w:hAnsi="宋体"/>
          <w:snapToGrid w:val="0"/>
          <w:sz w:val="28"/>
          <w:szCs w:val="28"/>
          <w:highlight w:val="none"/>
        </w:rPr>
      </w:pPr>
      <w:bookmarkStart w:id="78" w:name="_Toc14240"/>
      <w:bookmarkStart w:id="79" w:name="_Toc31352"/>
      <w:bookmarkStart w:id="80" w:name="_Toc430530422"/>
      <w:bookmarkStart w:id="81" w:name="_Toc287620673"/>
      <w:bookmarkStart w:id="82" w:name="_Toc509218698"/>
      <w:bookmarkStart w:id="83" w:name="_Toc769"/>
      <w:bookmarkStart w:id="84" w:name="_Toc224103305"/>
      <w:bookmarkStart w:id="85" w:name="_Toc277082542"/>
      <w:bookmarkStart w:id="86" w:name="_Toc287607734"/>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8"/>
      <w:bookmarkEnd w:id="79"/>
      <w:bookmarkStart w:id="87" w:name="_Toc589"/>
      <w:r>
        <w:rPr>
          <w:rFonts w:ascii="宋体" w:hAnsi="宋体"/>
          <w:snapToGrid w:val="0"/>
          <w:sz w:val="28"/>
          <w:szCs w:val="28"/>
          <w:highlight w:val="none"/>
        </w:rPr>
        <w:t>联系方式</w:t>
      </w:r>
      <w:bookmarkEnd w:id="80"/>
      <w:bookmarkEnd w:id="81"/>
      <w:bookmarkEnd w:id="82"/>
      <w:bookmarkEnd w:id="83"/>
      <w:bookmarkEnd w:id="84"/>
      <w:bookmarkEnd w:id="85"/>
      <w:bookmarkEnd w:id="86"/>
      <w:bookmarkEnd w:id="87"/>
    </w:p>
    <w:p>
      <w:pPr>
        <w:spacing w:line="360" w:lineRule="auto"/>
        <w:ind w:firstLine="420" w:firstLineChars="200"/>
        <w:rPr>
          <w:rFonts w:cs="宋体" w:asciiTheme="minorEastAsia" w:hAnsiTheme="minorEastAsia" w:eastAsiaTheme="minorEastAsia"/>
          <w:kern w:val="0"/>
          <w:sz w:val="21"/>
          <w:szCs w:val="21"/>
        </w:rPr>
      </w:pPr>
      <w:bookmarkStart w:id="88" w:name="_Toc224103315"/>
      <w:bookmarkStart w:id="89" w:name="_Toc287620683"/>
      <w:bookmarkStart w:id="90" w:name="_Toc32148"/>
      <w:bookmarkStart w:id="91" w:name="_Toc287607744"/>
      <w:bookmarkStart w:id="92" w:name="_Toc430530432"/>
      <w:r>
        <w:rPr>
          <w:rFonts w:hint="eastAsia" w:cs="宋体" w:asciiTheme="minorEastAsia" w:hAnsiTheme="minorEastAsia" w:eastAsiaTheme="minorEastAsia"/>
          <w:kern w:val="0"/>
          <w:sz w:val="21"/>
          <w:szCs w:val="21"/>
        </w:rPr>
        <w:t>比选人：重庆经开区投资集团有限公司</w:t>
      </w:r>
    </w:p>
    <w:p>
      <w:pPr>
        <w:spacing w:line="360" w:lineRule="auto"/>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联系人： </w:t>
      </w:r>
      <w:r>
        <w:rPr>
          <w:rFonts w:hint="eastAsia" w:ascii="宋体" w:hAnsi="宋体" w:cs="宋体"/>
          <w:kern w:val="0"/>
          <w:sz w:val="21"/>
          <w:szCs w:val="21"/>
        </w:rPr>
        <w:t>张老师</w:t>
      </w:r>
    </w:p>
    <w:p>
      <w:pPr>
        <w:spacing w:line="360" w:lineRule="auto"/>
        <w:ind w:firstLine="420" w:firstLineChars="200"/>
        <w:rPr>
          <w:rFonts w:cs="宋体" w:asciiTheme="minorEastAsia" w:hAnsiTheme="minorEastAsia" w:eastAsiaTheme="minorEastAsia"/>
          <w:kern w:val="0"/>
          <w:sz w:val="21"/>
          <w:szCs w:val="21"/>
          <w:lang w:val="zh-CN"/>
        </w:rPr>
      </w:pPr>
      <w:r>
        <w:rPr>
          <w:rFonts w:hint="eastAsia" w:cs="宋体" w:asciiTheme="minorEastAsia" w:hAnsiTheme="minorEastAsia" w:eastAsiaTheme="minorEastAsia"/>
          <w:kern w:val="0"/>
          <w:sz w:val="21"/>
          <w:szCs w:val="21"/>
        </w:rPr>
        <w:t>电  话：</w:t>
      </w:r>
      <w:r>
        <w:rPr>
          <w:rFonts w:hint="eastAsia" w:ascii="宋体" w:hAnsi="宋体" w:cs="宋体"/>
          <w:kern w:val="0"/>
          <w:sz w:val="21"/>
          <w:szCs w:val="21"/>
        </w:rPr>
        <w:t>13883283726</w:t>
      </w:r>
    </w:p>
    <w:p>
      <w:pPr>
        <w:spacing w:line="360" w:lineRule="auto"/>
        <w:ind w:firstLine="420" w:firstLineChars="200"/>
        <w:rPr>
          <w:rFonts w:hint="eastAsia" w:ascii="宋体" w:hAnsi="宋体" w:cs="宋体"/>
          <w:sz w:val="21"/>
          <w:szCs w:val="21"/>
          <w:lang w:bidi="en-US"/>
        </w:rPr>
      </w:pPr>
      <w:r>
        <w:rPr>
          <w:rFonts w:hint="eastAsia" w:cs="宋体" w:asciiTheme="minorEastAsia" w:hAnsiTheme="minorEastAsia" w:eastAsiaTheme="minorEastAsia"/>
          <w:kern w:val="0"/>
          <w:sz w:val="21"/>
          <w:szCs w:val="21"/>
        </w:rPr>
        <w:t>地  址：</w:t>
      </w:r>
      <w:r>
        <w:rPr>
          <w:rFonts w:hint="eastAsia" w:ascii="宋体" w:hAnsi="宋体" w:cs="宋体"/>
          <w:sz w:val="21"/>
          <w:szCs w:val="21"/>
          <w:lang w:bidi="en-US"/>
        </w:rPr>
        <w:t>重庆市南岸区茶园江桥路一号附1号</w:t>
      </w:r>
    </w:p>
    <w:p>
      <w:pPr>
        <w:pStyle w:val="18"/>
        <w:rPr>
          <w:rFonts w:hint="default" w:eastAsia="宋体"/>
          <w:lang w:val="en-US" w:eastAsia="zh-CN"/>
        </w:rPr>
      </w:pPr>
      <w:r>
        <w:rPr>
          <w:rFonts w:hint="eastAsia"/>
          <w:lang w:val="en-US" w:eastAsia="zh-CN"/>
        </w:rPr>
        <w:t xml:space="preserve">    邮  箱：50417679@qq.com</w:t>
      </w: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2024</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4</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29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outlineLvl w:val="9"/>
        <w:rPr>
          <w:rFonts w:ascii="宋体" w:hAnsi="宋体"/>
          <w:snapToGrid w:val="0"/>
          <w:color w:val="auto"/>
          <w:kern w:val="0"/>
          <w:szCs w:val="21"/>
          <w:highlight w:val="none"/>
        </w:rPr>
      </w:pPr>
      <w:r>
        <w:rPr>
          <w:rFonts w:ascii="宋体" w:hAnsi="宋体"/>
          <w:snapToGrid w:val="0"/>
          <w:color w:val="auto"/>
          <w:kern w:val="0"/>
          <w:szCs w:val="21"/>
          <w:highlight w:val="none"/>
        </w:rPr>
        <w:br w:type="page"/>
      </w:r>
    </w:p>
    <w:p>
      <w:pPr>
        <w:pStyle w:val="3"/>
        <w:spacing w:line="360" w:lineRule="auto"/>
        <w:jc w:val="center"/>
        <w:rPr>
          <w:rFonts w:ascii="宋体" w:hAnsi="宋体"/>
          <w:bCs w:val="0"/>
          <w:snapToGrid w:val="0"/>
          <w:kern w:val="0"/>
          <w:highlight w:val="none"/>
        </w:rPr>
      </w:pPr>
      <w:bookmarkStart w:id="93" w:name="_Toc22622"/>
      <w:bookmarkStart w:id="94" w:name="_Toc5447"/>
      <w:r>
        <w:rPr>
          <w:rFonts w:ascii="宋体" w:hAnsi="宋体"/>
          <w:snapToGrid w:val="0"/>
          <w:kern w:val="0"/>
          <w:highlight w:val="none"/>
        </w:rPr>
        <w:t xml:space="preserve">第二章  </w:t>
      </w:r>
      <w:r>
        <w:rPr>
          <w:rFonts w:hint="eastAsia" w:ascii="宋体" w:hAnsi="宋体"/>
          <w:snapToGrid w:val="0"/>
          <w:kern w:val="0"/>
          <w:highlight w:val="none"/>
          <w:lang w:eastAsia="zh-CN"/>
        </w:rPr>
        <w:t>竞选人</w:t>
      </w:r>
      <w:r>
        <w:rPr>
          <w:rFonts w:ascii="宋体" w:hAnsi="宋体"/>
          <w:snapToGrid w:val="0"/>
          <w:kern w:val="0"/>
          <w:highlight w:val="none"/>
        </w:rPr>
        <w:t>须知</w:t>
      </w:r>
      <w:bookmarkEnd w:id="88"/>
      <w:bookmarkEnd w:id="89"/>
      <w:bookmarkEnd w:id="90"/>
      <w:bookmarkEnd w:id="91"/>
      <w:bookmarkEnd w:id="92"/>
      <w:bookmarkEnd w:id="93"/>
      <w:bookmarkEnd w:id="94"/>
      <w:bookmarkStart w:id="95" w:name="_Toc277082551"/>
      <w:bookmarkStart w:id="96" w:name="_Toc287620684"/>
      <w:bookmarkStart w:id="97" w:name="_Toc287607745"/>
      <w:bookmarkStart w:id="98" w:name="_Toc430530433"/>
      <w:bookmarkStart w:id="99" w:name="_Toc224103316"/>
    </w:p>
    <w:p>
      <w:pPr>
        <w:pStyle w:val="4"/>
        <w:spacing w:before="100" w:after="100" w:line="360" w:lineRule="auto"/>
        <w:rPr>
          <w:rFonts w:ascii="宋体" w:hAnsi="宋体"/>
          <w:highlight w:val="none"/>
        </w:rPr>
      </w:pPr>
      <w:bookmarkStart w:id="100" w:name="_Toc31303"/>
      <w:bookmarkStart w:id="101" w:name="_Toc509218708"/>
      <w:bookmarkStart w:id="102" w:name="_Toc8005"/>
      <w:r>
        <w:rPr>
          <w:rFonts w:hint="eastAsia" w:ascii="宋体" w:hAnsi="宋体"/>
          <w:highlight w:val="none"/>
          <w:lang w:eastAsia="zh-CN"/>
        </w:rPr>
        <w:t>竞选人</w:t>
      </w:r>
      <w:r>
        <w:rPr>
          <w:rFonts w:hint="eastAsia" w:ascii="宋体" w:hAnsi="宋体"/>
          <w:highlight w:val="none"/>
        </w:rPr>
        <w:t>须知前附表</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szCs w:val="21"/>
          <w:highlight w:val="none"/>
        </w:rPr>
      </w:pPr>
      <w:r>
        <w:rPr>
          <w:rFonts w:ascii="宋体" w:hAnsi="宋体"/>
          <w:szCs w:val="21"/>
          <w:highlight w:val="none"/>
        </w:rPr>
        <w:t>正文内容不允许修改。若</w:t>
      </w:r>
      <w:r>
        <w:rPr>
          <w:rFonts w:hint="eastAsia" w:ascii="宋体" w:hAnsi="宋体"/>
          <w:szCs w:val="21"/>
          <w:highlight w:val="none"/>
          <w:lang w:eastAsia="zh-CN"/>
        </w:rPr>
        <w:t>竞选人</w:t>
      </w:r>
      <w:r>
        <w:rPr>
          <w:rFonts w:ascii="宋体" w:hAnsi="宋体"/>
          <w:szCs w:val="21"/>
          <w:highlight w:val="none"/>
        </w:rPr>
        <w:t>须知前附表与正文不一致的地方，以</w:t>
      </w:r>
      <w:r>
        <w:rPr>
          <w:rFonts w:hint="eastAsia" w:ascii="宋体" w:hAnsi="宋体"/>
          <w:szCs w:val="21"/>
          <w:highlight w:val="none"/>
          <w:lang w:eastAsia="zh-CN"/>
        </w:rPr>
        <w:t>竞选人</w:t>
      </w:r>
      <w:r>
        <w:rPr>
          <w:rFonts w:ascii="宋体" w:hAnsi="宋体"/>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eastAsia="zh-CN"/>
              </w:rPr>
              <w:t>比选人</w:t>
            </w:r>
          </w:p>
        </w:tc>
        <w:tc>
          <w:tcPr>
            <w:tcW w:w="6490" w:type="dxa"/>
            <w:vAlign w:val="center"/>
          </w:tcPr>
          <w:p>
            <w:pPr>
              <w:spacing w:line="400" w:lineRule="exact"/>
              <w:ind w:firstLine="210" w:firstLineChars="1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称</w:t>
            </w:r>
            <w:r>
              <w:rPr>
                <w:rFonts w:hint="eastAsia" w:ascii="宋体" w:hAnsi="宋体" w:eastAsia="宋体" w:cs="宋体"/>
                <w:color w:val="auto"/>
                <w:szCs w:val="21"/>
                <w:highlight w:val="none"/>
              </w:rPr>
              <w:t>：重庆新汇商实业有限公司</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址：重庆市南岸区江桥路一号附1号</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hint="eastAsia" w:ascii="宋体" w:hAnsi="宋体" w:cs="宋体"/>
                <w:color w:val="auto"/>
                <w:szCs w:val="21"/>
                <w:highlight w:val="none"/>
                <w:lang w:val="en-US" w:eastAsia="zh-CN"/>
              </w:rPr>
              <w:t>张</w:t>
            </w:r>
            <w:r>
              <w:rPr>
                <w:rFonts w:hint="eastAsia" w:ascii="宋体" w:hAnsi="宋体" w:eastAsia="宋体" w:cs="宋体"/>
                <w:color w:val="auto"/>
                <w:szCs w:val="21"/>
                <w:highlight w:val="none"/>
              </w:rPr>
              <w:t xml:space="preserve">老师 </w:t>
            </w:r>
          </w:p>
          <w:p>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话 ：</w:t>
            </w:r>
            <w:r>
              <w:rPr>
                <w:rFonts w:hint="eastAsia" w:ascii="宋体" w:hAnsi="宋体" w:cs="宋体"/>
                <w:color w:val="auto"/>
                <w:szCs w:val="21"/>
                <w:highlight w:val="none"/>
                <w:lang w:val="en-US" w:eastAsia="zh-CN"/>
              </w:rPr>
              <w:t>13883283726</w:t>
            </w:r>
            <w:r>
              <w:rPr>
                <w:rFonts w:hint="eastAsia" w:ascii="宋体" w:hAnsi="宋体" w:eastAsia="宋体" w:cs="宋体"/>
                <w:color w:val="auto"/>
                <w:szCs w:val="21"/>
                <w:highlight w:val="none"/>
              </w:rPr>
              <w:t xml:space="preserve"> </w:t>
            </w:r>
          </w:p>
          <w:p>
            <w:pPr>
              <w:pStyle w:val="18"/>
            </w:pPr>
            <w:r>
              <w:rPr>
                <w:rFonts w:hint="eastAsia"/>
                <w:lang w:val="en-US" w:eastAsia="zh-CN"/>
              </w:rPr>
              <w:t xml:space="preserve">  邮  箱：50417679@qq.com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pPr>
              <w:snapToGrid w:val="0"/>
              <w:spacing w:line="400" w:lineRule="exact"/>
              <w:ind w:firstLine="210" w:firstLineChars="100"/>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经开.博睿庭（人才公寓）项目广告投放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项目</w:t>
            </w:r>
            <w:r>
              <w:rPr>
                <w:rFonts w:ascii="宋体" w:hAnsi="宋体"/>
                <w:kern w:val="0"/>
                <w:szCs w:val="21"/>
                <w:highlight w:val="none"/>
              </w:rPr>
              <w:t>地点</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snapToGrid w:val="0"/>
                <w:color w:val="auto"/>
                <w:kern w:val="0"/>
                <w:szCs w:val="21"/>
                <w:u w:val="none"/>
              </w:rPr>
              <w:t>重庆</w:t>
            </w:r>
            <w:r>
              <w:rPr>
                <w:rFonts w:hint="eastAsia" w:ascii="宋体" w:hAnsi="宋体"/>
                <w:snapToGrid w:val="0"/>
                <w:color w:val="auto"/>
                <w:kern w:val="0"/>
                <w:szCs w:val="21"/>
                <w:u w:val="none"/>
                <w:lang w:eastAsia="zh-CN"/>
              </w:rPr>
              <w:t>经开区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项目概况与工作内容</w:t>
            </w:r>
          </w:p>
        </w:tc>
        <w:tc>
          <w:tcPr>
            <w:tcW w:w="6490" w:type="dxa"/>
            <w:vAlign w:val="center"/>
          </w:tcPr>
          <w:p>
            <w:pPr>
              <w:numPr>
                <w:ilvl w:val="0"/>
                <w:numId w:val="0"/>
              </w:num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single"/>
                <w:lang w:val="en-US" w:eastAsia="zh-CN"/>
              </w:rPr>
              <w:t>1.</w:t>
            </w:r>
            <w:r>
              <w:rPr>
                <w:rFonts w:hint="eastAsia" w:ascii="宋体" w:hAnsi="宋体"/>
                <w:snapToGrid w:val="0"/>
                <w:color w:val="auto"/>
                <w:kern w:val="0"/>
                <w:szCs w:val="21"/>
                <w:highlight w:val="none"/>
                <w:u w:val="single"/>
              </w:rPr>
              <w:t>网络媒体广告：APP房产首页焦点图(第1-4帧之内），投放时间为2天；APP房产首页（信息流30常规-重庆），投放时间为2天；APP房产重庆首页热盘推荐，投放时间为2天；APP开机屏3天；APP重磅推荐3天；APP原创稿件1篇；品质好房榜单1次。</w:t>
            </w:r>
            <w:r>
              <w:rPr>
                <w:rFonts w:hint="eastAsia" w:ascii="宋体" w:hAnsi="宋体"/>
                <w:snapToGrid w:val="0"/>
                <w:color w:val="auto"/>
                <w:kern w:val="0"/>
                <w:szCs w:val="21"/>
                <w:highlight w:val="none"/>
                <w:u w:val="single"/>
              </w:rPr>
              <w:br w:type="textWrapping"/>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u w:val="single"/>
              </w:rPr>
              <w:t>2.朋友圈广告：图文或视频曝光量不低于62.5万次（以实际投放天数为准）</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single"/>
              </w:rPr>
              <w:br w:type="textWrapping"/>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u w:val="single"/>
              </w:rPr>
              <w:t>3.户外广告：投放时间为4个月，含项目辖区核心地段户外T牌广告2块（面积 18米x6米x2面）</w:t>
            </w:r>
            <w:r>
              <w:rPr>
                <w:rFonts w:hint="eastAsia" w:ascii="宋体" w:hAnsi="宋体"/>
                <w:snapToGrid w:val="0"/>
                <w:color w:val="auto"/>
                <w:kern w:val="0"/>
                <w:szCs w:val="21"/>
                <w:highlight w:val="none"/>
                <w:u w:val="single"/>
                <w:lang w:eastAsia="zh-CN"/>
              </w:rPr>
              <w:t>。</w:t>
            </w:r>
            <w:r>
              <w:rPr>
                <w:rFonts w:hint="eastAsia" w:ascii="宋体" w:hAnsi="宋体"/>
                <w:snapToGrid w:val="0"/>
                <w:color w:val="auto"/>
                <w:kern w:val="0"/>
                <w:szCs w:val="21"/>
                <w:highlight w:val="none"/>
                <w:u w:val="none"/>
                <w:lang w:val="en-US" w:eastAsia="zh-CN"/>
              </w:rPr>
              <w:t xml:space="preserve">    </w:t>
            </w:r>
            <w:r>
              <w:rPr>
                <w:rFonts w:hint="eastAsia" w:ascii="宋体" w:hAnsi="宋体"/>
                <w:snapToGrid w:val="0"/>
                <w:color w:val="auto"/>
                <w:kern w:val="0"/>
                <w:szCs w:val="21"/>
                <w:highlight w:val="none"/>
                <w:u w:val="single"/>
              </w:rPr>
              <w:t>4.物业广告：投放时间为12个月，含项目辖区1家物业公司所属物业电梯、道闸、海报、桁架、墙体喷绘、展架、停车小票和宣传栏、城市展厅等广告。</w:t>
            </w:r>
          </w:p>
          <w:p>
            <w:pPr>
              <w:pStyle w:val="2"/>
              <w:numPr>
                <w:ilvl w:val="0"/>
                <w:numId w:val="0"/>
              </w:numPr>
              <w:ind w:firstLine="422" w:firstLineChars="200"/>
              <w:jc w:val="both"/>
              <w:rPr>
                <w:rFonts w:hint="eastAsia"/>
                <w:lang w:val="en-US" w:eastAsia="zh-CN"/>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pPr>
              <w:snapToGrid w:val="0"/>
              <w:spacing w:line="400" w:lineRule="exact"/>
              <w:ind w:firstLine="210" w:firstLineChars="100"/>
              <w:rPr>
                <w:rFonts w:ascii="宋体" w:hAnsi="宋体"/>
                <w:color w:val="auto"/>
                <w:szCs w:val="21"/>
                <w:highlight w:val="none"/>
              </w:rPr>
            </w:pP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pPr>
              <w:snapToGrid w:val="0"/>
              <w:spacing w:line="400" w:lineRule="exact"/>
              <w:ind w:firstLine="210" w:firstLineChars="1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val="en-US" w:eastAsia="zh-CN"/>
              </w:rPr>
              <w:t>比选</w:t>
            </w:r>
            <w:r>
              <w:rPr>
                <w:rFonts w:ascii="宋体" w:hAnsi="宋体"/>
                <w:kern w:val="0"/>
                <w:szCs w:val="21"/>
                <w:highlight w:val="none"/>
              </w:rPr>
              <w:t>范围</w:t>
            </w:r>
          </w:p>
        </w:tc>
        <w:tc>
          <w:tcPr>
            <w:tcW w:w="6490" w:type="dxa"/>
            <w:vAlign w:val="center"/>
          </w:tcPr>
          <w:p>
            <w:pPr>
              <w:snapToGrid w:val="0"/>
              <w:spacing w:line="400" w:lineRule="exact"/>
              <w:ind w:firstLine="210" w:firstLineChars="100"/>
              <w:rPr>
                <w:rFonts w:ascii="宋体" w:hAnsi="宋体"/>
                <w:i/>
                <w:color w:val="auto"/>
                <w:szCs w:val="21"/>
                <w:highlight w:val="none"/>
              </w:rPr>
            </w:pPr>
            <w:r>
              <w:rPr>
                <w:rFonts w:hint="eastAsia" w:ascii="宋体" w:hAnsi="宋体"/>
                <w:snapToGrid w:val="0"/>
                <w:color w:val="auto"/>
                <w:kern w:val="0"/>
                <w:szCs w:val="21"/>
                <w:highlight w:val="none"/>
                <w:u w:val="single"/>
              </w:rPr>
              <w:t>详见清单</w:t>
            </w:r>
            <w:r>
              <w:rPr>
                <w:rFonts w:ascii="宋体" w:hAnsi="宋体" w:eastAsia="宋体" w:cs="宋体"/>
                <w:spacing w:val="-4"/>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服务期</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kern w:val="0"/>
                <w:szCs w:val="21"/>
                <w:highlight w:val="none"/>
              </w:rPr>
            </w:pPr>
            <w:r>
              <w:rPr>
                <w:rFonts w:hint="eastAsia" w:ascii="宋体" w:hAnsi="宋体"/>
                <w:snapToGrid w:val="0"/>
                <w:color w:val="auto"/>
                <w:kern w:val="0"/>
                <w:szCs w:val="21"/>
                <w:highlight w:val="none"/>
                <w:lang w:val="en-US" w:eastAsia="zh-CN"/>
              </w:rPr>
              <w:t>媒</w:t>
            </w:r>
            <w:r>
              <w:rPr>
                <w:rFonts w:hint="eastAsia" w:ascii="宋体" w:hAnsi="宋体"/>
                <w:snapToGrid w:val="0"/>
                <w:color w:val="auto"/>
                <w:kern w:val="0"/>
                <w:szCs w:val="21"/>
                <w:highlight w:val="none"/>
                <w:u w:val="none"/>
                <w:lang w:val="en-US" w:eastAsia="zh-CN"/>
              </w:rPr>
              <w:t>体广告1个月内（以实际投放天数为准）</w:t>
            </w:r>
            <w:r>
              <w:rPr>
                <w:rFonts w:hint="eastAsia" w:ascii="宋体" w:hAnsi="宋体"/>
                <w:snapToGrid w:val="0"/>
                <w:color w:val="auto"/>
                <w:kern w:val="0"/>
                <w:szCs w:val="21"/>
                <w:highlight w:val="none"/>
                <w:u w:val="none"/>
                <w:lang w:eastAsia="zh-CN"/>
              </w:rPr>
              <w:t>，</w:t>
            </w:r>
            <w:r>
              <w:rPr>
                <w:rFonts w:hint="eastAsia" w:ascii="宋体" w:hAnsi="宋体"/>
                <w:snapToGrid w:val="0"/>
                <w:color w:val="auto"/>
                <w:kern w:val="0"/>
                <w:szCs w:val="21"/>
                <w:highlight w:val="none"/>
                <w:u w:val="none"/>
                <w:lang w:val="en-US" w:eastAsia="zh-CN"/>
              </w:rPr>
              <w:t>户外广告4个月，物业广告12个月。以广告实际发布日期为准。最迟应在合同约定广告发布期限之后的6个月内确定并完成发布。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pPr>
              <w:snapToGrid w:val="0"/>
              <w:spacing w:line="400" w:lineRule="exact"/>
              <w:ind w:firstLine="210" w:firstLineChars="100"/>
              <w:rPr>
                <w:rFonts w:hint="default" w:ascii="宋体" w:hAnsi="宋体" w:eastAsia="宋体"/>
                <w:szCs w:val="21"/>
                <w:highlight w:val="none"/>
                <w:lang w:val="en-US" w:eastAsia="zh-CN"/>
              </w:rPr>
            </w:pPr>
            <w:r>
              <w:rPr>
                <w:rFonts w:hint="eastAsia" w:ascii="宋体" w:hAnsi="宋体"/>
                <w:szCs w:val="21"/>
                <w:highlight w:val="none"/>
                <w:lang w:val="en-US" w:eastAsia="zh-CN"/>
              </w:rPr>
              <w:t>满足比选人要求，详见清单。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5" w:hRule="atLeast"/>
          <w:jc w:val="center"/>
        </w:trPr>
        <w:tc>
          <w:tcPr>
            <w:tcW w:w="1335"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ascii="宋体" w:hAnsi="宋体"/>
                <w:kern w:val="0"/>
                <w:szCs w:val="21"/>
                <w:highlight w:val="none"/>
              </w:rPr>
              <w:t>1.4.1</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p>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资质条件、能力和信誉</w:t>
            </w:r>
          </w:p>
          <w:p>
            <w:pPr>
              <w:snapToGrid w:val="0"/>
              <w:spacing w:line="400" w:lineRule="exact"/>
              <w:jc w:val="center"/>
              <w:rPr>
                <w:rFonts w:ascii="宋体" w:hAnsi="宋体"/>
                <w:kern w:val="0"/>
                <w:szCs w:val="21"/>
                <w:highlight w:val="none"/>
              </w:rPr>
            </w:pPr>
          </w:p>
          <w:p>
            <w:pPr>
              <w:snapToGrid w:val="0"/>
              <w:spacing w:line="400" w:lineRule="exact"/>
              <w:jc w:val="both"/>
              <w:rPr>
                <w:rFonts w:ascii="宋体" w:hAnsi="宋体"/>
                <w:kern w:val="0"/>
                <w:szCs w:val="21"/>
                <w:highlight w:val="none"/>
              </w:rPr>
            </w:pPr>
          </w:p>
        </w:tc>
        <w:tc>
          <w:tcPr>
            <w:tcW w:w="6490" w:type="dxa"/>
            <w:vAlign w:val="center"/>
          </w:tcPr>
          <w:p>
            <w:pPr>
              <w:autoSpaceDE w:val="0"/>
              <w:autoSpaceDN w:val="0"/>
              <w:adjustRightInd w:val="0"/>
              <w:snapToGrid w:val="0"/>
              <w:spacing w:line="400" w:lineRule="exact"/>
              <w:rPr>
                <w:rFonts w:ascii="宋体" w:hAnsi="宋体"/>
                <w:szCs w:val="21"/>
                <w:highlight w:val="none"/>
              </w:rPr>
            </w:pPr>
            <w:bookmarkStart w:id="103" w:name="OLE_LINK1"/>
            <w:r>
              <w:rPr>
                <w:rFonts w:ascii="宋体" w:hAnsi="宋体"/>
                <w:szCs w:val="21"/>
                <w:highlight w:val="none"/>
              </w:rPr>
              <w:t>本工程施工招标实行资格后审，</w:t>
            </w:r>
            <w:r>
              <w:rPr>
                <w:rFonts w:hint="eastAsia" w:ascii="宋体" w:hAnsi="宋体"/>
                <w:szCs w:val="21"/>
                <w:highlight w:val="none"/>
                <w:lang w:eastAsia="zh-CN"/>
              </w:rPr>
              <w:t>竞选人</w:t>
            </w:r>
            <w:r>
              <w:rPr>
                <w:rFonts w:ascii="宋体" w:hAnsi="宋体"/>
                <w:szCs w:val="21"/>
                <w:highlight w:val="none"/>
              </w:rPr>
              <w:t>应</w:t>
            </w:r>
            <w:bookmarkStart w:id="104" w:name="一是"/>
            <w:bookmarkEnd w:id="104"/>
            <w:r>
              <w:rPr>
                <w:rFonts w:ascii="宋体" w:hAnsi="宋体"/>
                <w:szCs w:val="21"/>
                <w:highlight w:val="none"/>
              </w:rPr>
              <w:t>具备以下资格条件：</w:t>
            </w:r>
          </w:p>
          <w:bookmarkEnd w:id="103"/>
          <w:p>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1.营业执照</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）具备有效的营业执照。</w:t>
            </w:r>
          </w:p>
          <w:p>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(投标人须在投标文件资格审查部分提供有效的带二维码标识的营业执照复印件)。</w:t>
            </w:r>
          </w:p>
          <w:p>
            <w:pPr>
              <w:spacing w:line="360" w:lineRule="auto"/>
              <w:ind w:firstLine="316" w:firstLineChars="150"/>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宋体" w:hAnsi="宋体"/>
                <w:b/>
                <w:bCs/>
                <w:snapToGrid w:val="0"/>
                <w:color w:val="auto"/>
                <w:kern w:val="0"/>
                <w:szCs w:val="21"/>
                <w:highlight w:val="none"/>
                <w:u w:val="single"/>
                <w:lang w:val="en-US" w:eastAsia="zh-CN"/>
              </w:rPr>
              <w:t>经营权</w:t>
            </w:r>
          </w:p>
          <w:p>
            <w:pPr>
              <w:spacing w:line="360" w:lineRule="auto"/>
              <w:ind w:firstLine="315" w:firstLineChars="15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具备有效的投标广告的经营权。</w:t>
            </w:r>
          </w:p>
          <w:p>
            <w:pPr>
              <w:spacing w:line="360" w:lineRule="auto"/>
              <w:ind w:firstLine="316"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(投标人须在投标文件资格审查部分提供</w:t>
            </w:r>
            <w:r>
              <w:rPr>
                <w:rFonts w:hint="eastAsia" w:asciiTheme="minorEastAsia" w:hAnsiTheme="minorEastAsia" w:eastAsiaTheme="minorEastAsia" w:cstheme="minorEastAsia"/>
                <w:b/>
                <w:bCs/>
                <w:sz w:val="21"/>
                <w:szCs w:val="21"/>
                <w:lang w:val="en-US" w:eastAsia="zh-CN"/>
              </w:rPr>
              <w:t>广告经营权授权书等相关证明材料</w:t>
            </w:r>
            <w:r>
              <w:rPr>
                <w:rFonts w:hint="eastAsia" w:asciiTheme="minorEastAsia" w:hAnsiTheme="minorEastAsia" w:eastAsiaTheme="minorEastAsia" w:cstheme="minorEastAsia"/>
                <w:b/>
                <w:bCs/>
                <w:sz w:val="21"/>
                <w:szCs w:val="21"/>
              </w:rPr>
              <w:t>)。</w:t>
            </w:r>
          </w:p>
          <w:p>
            <w:pPr>
              <w:pStyle w:val="18"/>
              <w:rPr>
                <w:rFonts w:hint="eastAsia"/>
              </w:rPr>
            </w:pP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.投标截止日投标资格情况</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投标人自行承诺（格式自拟）不得存在下列情形之一：</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（1）被最高人民法院在“信用中国”网站（www.creditchina.gov.cn）列入失信被执行人名单；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（2）被列入《重庆市工程建设领域招标投标信用管理暂行办法》规定的重点关注名单且记分达到12分；</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（3）被列入《重庆市工程建设领域招标投标信用管理暂行办法》规定的黑名单；</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（4）被国家、重庆市（含市或任意区县）有关行政部门处以暂停投标资格行政处罚，且在处罚期限内；</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（5）被重庆市住房和城乡建设主管部门暂停在渝承揽新业务。</w:t>
            </w:r>
          </w:p>
          <w:p>
            <w:pPr>
              <w:spacing w:line="360" w:lineRule="auto"/>
              <w:ind w:firstLine="316" w:firstLineChars="15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.其他人员要求</w:t>
            </w:r>
          </w:p>
          <w:p>
            <w:pPr>
              <w:autoSpaceDE w:val="0"/>
              <w:autoSpaceDN w:val="0"/>
              <w:adjustRightInd w:val="0"/>
              <w:snapToGrid w:val="0"/>
              <w:spacing w:line="360" w:lineRule="auto"/>
              <w:ind w:firstLine="315" w:firstLineChars="15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委托代理人：</w:t>
            </w:r>
          </w:p>
          <w:p>
            <w:pPr>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本项目委托代理人必须为投标人本单位职工。</w:t>
            </w:r>
            <w:r>
              <w:rPr>
                <w:rFonts w:hint="eastAsia" w:asciiTheme="minorEastAsia" w:hAnsiTheme="minorEastAsia" w:eastAsiaTheme="minorEastAsia" w:cstheme="minorEastAsia"/>
                <w:b/>
                <w:bCs/>
                <w:sz w:val="21"/>
                <w:szCs w:val="21"/>
              </w:rPr>
              <w:t>投标人须在投标文件资格审查部分提供投标人本单位为该委托代理人缴纳的养老保险证明复印件。否则，将由评标委员会作否决投标处理。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特别说明：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（1）以上1～4条，有一条不满足，则投标文件由评标委员会作否决投标处理。</w:t>
            </w:r>
            <w:r>
              <w:rPr>
                <w:rFonts w:hint="eastAsia" w:asciiTheme="minorEastAsia" w:hAnsiTheme="minorEastAsia" w:eastAsiaTheme="minorEastAsia" w:cstheme="minorEastAsia"/>
                <w:b/>
                <w:bCs/>
                <w:sz w:val="21"/>
                <w:szCs w:val="21"/>
              </w:rPr>
              <w:t>以上所有复印件加盖投标人鲜章，否则，将由评标委员会作否决投标处理。</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（2）比选人在比选有效期内均有权对投标人提供的以上资料进行核实，若发现资料存在虚假不实，按照相关法律法规处理，投标人承担因此造成的相关责任并赔偿相应损失。</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（3）本比选文件中所要求的人员养老保险证明要求如下：</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①社会单位提供养老保险证明，事业单位提供养老保险证明或行政主管部门在编证明。</w:t>
            </w:r>
          </w:p>
          <w:p>
            <w:pPr>
              <w:adjustRightInd w:val="0"/>
              <w:snapToGrid w:val="0"/>
              <w:spacing w:line="360" w:lineRule="auto"/>
              <w:ind w:firstLine="315" w:firstLineChars="15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②投标文件中对养老保险的要求为：项目经理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委托代理人的养老保险证明期限为 202</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月至 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月的连续养老保险。</w:t>
            </w:r>
          </w:p>
          <w:p>
            <w:pPr>
              <w:spacing w:line="400" w:lineRule="exact"/>
              <w:ind w:firstLine="420" w:firstLineChars="200"/>
              <w:rPr>
                <w:lang w:val="en-US" w:eastAsia="zh-CN"/>
              </w:rPr>
            </w:pPr>
            <w:r>
              <w:rPr>
                <w:rFonts w:hint="eastAsia" w:asciiTheme="minorEastAsia" w:hAnsiTheme="minorEastAsia" w:eastAsiaTheme="minorEastAsia" w:cstheme="minorEastAsia"/>
                <w:sz w:val="21"/>
                <w:szCs w:val="21"/>
              </w:rPr>
              <w:t>养老保险证明必须加盖社保部门公章，提供养老保险参保证明（个人），含身份证号或社保号和参保基本情况、参保缴费明细（养老保险），否则由评标委员会作否决投标处理。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不接受</w:t>
            </w:r>
          </w:p>
          <w:p>
            <w:pPr>
              <w:snapToGrid w:val="0"/>
              <w:spacing w:after="15" w:afterLines="5"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接受，应满足下列要求：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不组织</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组织，</w:t>
            </w:r>
            <w:r>
              <w:rPr>
                <w:rFonts w:hint="eastAsia" w:ascii="宋体" w:hAnsi="宋体"/>
                <w:kern w:val="0"/>
                <w:szCs w:val="21"/>
                <w:highlight w:val="none"/>
              </w:rPr>
              <w:t>集中</w:t>
            </w:r>
            <w:r>
              <w:rPr>
                <w:rFonts w:ascii="宋体" w:hAnsi="宋体"/>
                <w:kern w:val="0"/>
                <w:szCs w:val="21"/>
                <w:highlight w:val="none"/>
              </w:rPr>
              <w:t>踏勘时间：</w:t>
            </w:r>
          </w:p>
          <w:p>
            <w:pPr>
              <w:snapToGrid w:val="0"/>
              <w:spacing w:line="400" w:lineRule="exact"/>
              <w:ind w:firstLine="1260" w:firstLineChars="600"/>
              <w:rPr>
                <w:rFonts w:ascii="宋体" w:hAnsi="宋体"/>
                <w:kern w:val="0"/>
                <w:szCs w:val="21"/>
                <w:highlight w:val="none"/>
              </w:rPr>
            </w:pPr>
            <w:r>
              <w:rPr>
                <w:rFonts w:ascii="宋体" w:hAnsi="宋体"/>
                <w:kern w:val="0"/>
                <w:szCs w:val="21"/>
                <w:highlight w:val="none"/>
              </w:rPr>
              <w:t>集中踏勘地点：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不召开</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召开，召开时间：</w:t>
            </w:r>
          </w:p>
          <w:p>
            <w:pPr>
              <w:snapToGrid w:val="0"/>
              <w:spacing w:after="15" w:afterLines="5" w:line="400" w:lineRule="exact"/>
              <w:ind w:firstLine="1260" w:firstLineChars="600"/>
              <w:rPr>
                <w:rFonts w:ascii="宋体" w:hAnsi="宋体"/>
                <w:kern w:val="0"/>
                <w:szCs w:val="21"/>
                <w:highlight w:val="none"/>
              </w:rPr>
            </w:pPr>
            <w:r>
              <w:rPr>
                <w:rFonts w:ascii="宋体" w:hAnsi="宋体"/>
                <w:kern w:val="0"/>
                <w:szCs w:val="21"/>
                <w:highlight w:val="none"/>
              </w:rPr>
              <w:t>召开地点：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不允许</w:t>
            </w:r>
          </w:p>
          <w:p>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w:t>
            </w:r>
            <w:r>
              <w:rPr>
                <w:rFonts w:ascii="宋体" w:hAnsi="宋体"/>
                <w:kern w:val="0"/>
                <w:szCs w:val="21"/>
                <w:highlight w:val="none"/>
              </w:rPr>
              <w:t>允许，分包内容要求：</w:t>
            </w:r>
            <w:r>
              <w:rPr>
                <w:rFonts w:hint="eastAsia" w:ascii="宋体" w:hAnsi="宋体"/>
                <w:kern w:val="0"/>
                <w:szCs w:val="21"/>
                <w:highlight w:val="none"/>
                <w:lang w:val="en-US" w:eastAsia="zh-CN"/>
              </w:rPr>
              <w:t>/</w:t>
            </w:r>
          </w:p>
          <w:p>
            <w:pPr>
              <w:snapToGrid w:val="0"/>
              <w:spacing w:line="400" w:lineRule="exact"/>
              <w:ind w:firstLine="1260" w:firstLineChars="600"/>
              <w:rPr>
                <w:rFonts w:hint="eastAsia" w:ascii="宋体" w:hAnsi="宋体" w:eastAsia="宋体"/>
                <w:kern w:val="0"/>
                <w:szCs w:val="21"/>
                <w:highlight w:val="none"/>
                <w:lang w:val="en-US" w:eastAsia="zh-CN"/>
              </w:rPr>
            </w:pPr>
            <w:r>
              <w:rPr>
                <w:rFonts w:ascii="宋体" w:hAnsi="宋体"/>
                <w:kern w:val="0"/>
                <w:szCs w:val="21"/>
                <w:highlight w:val="none"/>
              </w:rPr>
              <w:t>分包金额要求：</w:t>
            </w:r>
            <w:r>
              <w:rPr>
                <w:rFonts w:hint="eastAsia" w:ascii="宋体" w:hAnsi="宋体"/>
                <w:kern w:val="0"/>
                <w:szCs w:val="21"/>
                <w:highlight w:val="none"/>
                <w:lang w:val="en-US" w:eastAsia="zh-CN"/>
              </w:rPr>
              <w:t>/</w:t>
            </w:r>
          </w:p>
          <w:p>
            <w:pPr>
              <w:snapToGrid w:val="0"/>
              <w:spacing w:after="15" w:afterLines="5" w:line="400" w:lineRule="exact"/>
              <w:rPr>
                <w:rFonts w:hint="eastAsia" w:ascii="宋体" w:hAnsi="宋体" w:eastAsia="宋体"/>
                <w:kern w:val="0"/>
                <w:szCs w:val="21"/>
                <w:highlight w:val="none"/>
                <w:lang w:val="en-US" w:eastAsia="zh-CN"/>
              </w:rPr>
            </w:pPr>
            <w:r>
              <w:rPr>
                <w:rFonts w:ascii="宋体" w:hAnsi="宋体"/>
                <w:kern w:val="0"/>
                <w:szCs w:val="21"/>
                <w:highlight w:val="none"/>
              </w:rPr>
              <w:t>接受分包的第三人资质要求：</w:t>
            </w:r>
            <w:r>
              <w:rPr>
                <w:rFonts w:hint="eastAsia" w:ascii="宋体" w:hAnsi="宋体"/>
                <w:kern w:val="0"/>
                <w:szCs w:val="21"/>
                <w:highlight w:val="none"/>
                <w:lang w:val="en-US" w:eastAsia="zh-CN"/>
              </w:rPr>
              <w:t>/</w:t>
            </w:r>
          </w:p>
          <w:p>
            <w:pPr>
              <w:snapToGrid w:val="0"/>
              <w:spacing w:after="15" w:afterLines="5" w:line="400" w:lineRule="exact"/>
              <w:rPr>
                <w:rFonts w:ascii="宋体" w:hAnsi="宋体"/>
                <w:kern w:val="0"/>
                <w:szCs w:val="21"/>
                <w:highlight w:val="none"/>
              </w:rPr>
            </w:pPr>
            <w:r>
              <w:rPr>
                <w:rFonts w:hint="eastAsia" w:ascii="宋体" w:hAnsi="宋体"/>
                <w:kern w:val="0"/>
                <w:szCs w:val="21"/>
                <w:highlight w:val="none"/>
              </w:rPr>
              <w:t>注：分包应按照相关法律法规及规范性文件执行，不得违法分包。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比选人</w:t>
            </w:r>
            <w:r>
              <w:rPr>
                <w:rFonts w:ascii="宋体" w:hAnsi="宋体"/>
                <w:szCs w:val="21"/>
                <w:highlight w:val="none"/>
              </w:rPr>
              <w:t>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kern w:val="0"/>
                <w:szCs w:val="21"/>
                <w:highlight w:val="none"/>
              </w:rPr>
            </w:pPr>
            <w:r>
              <w:rPr>
                <w:rFonts w:hint="eastAsia" w:asciiTheme="minorEastAsia" w:hAnsiTheme="minorEastAsia" w:eastAsiaTheme="minorEastAsia" w:cstheme="minorEastAsia"/>
                <w:snapToGrid w:val="0"/>
                <w:kern w:val="0"/>
                <w:sz w:val="21"/>
                <w:szCs w:val="21"/>
              </w:rPr>
              <w:t>投标人应仔细阅读招标文件及附件的所有内容，如有文字表述不清，图纸尺寸标注不明以及存在错、漏、缺、概念模糊和有可能出现歧义或理解上的偏差的内容等应在202</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5</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9</w:t>
            </w:r>
            <w:r>
              <w:rPr>
                <w:rFonts w:hint="eastAsia" w:asciiTheme="minorEastAsia" w:hAnsiTheme="minorEastAsia" w:eastAsiaTheme="minorEastAsia" w:cstheme="minorEastAsia"/>
                <w:snapToGrid w:val="0"/>
                <w:kern w:val="0"/>
                <w:sz w:val="21"/>
                <w:szCs w:val="21"/>
              </w:rPr>
              <w:t>日</w:t>
            </w:r>
            <w:r>
              <w:rPr>
                <w:rFonts w:hint="eastAsia" w:asciiTheme="minorEastAsia" w:hAnsiTheme="minorEastAsia" w:eastAsiaTheme="minorEastAsia" w:cstheme="minorEastAsia"/>
                <w:snapToGrid w:val="0"/>
                <w:kern w:val="0"/>
                <w:sz w:val="21"/>
                <w:szCs w:val="21"/>
                <w:lang w:val="en-US" w:eastAsia="zh-CN"/>
              </w:rPr>
              <w:t xml:space="preserve"> 12:00</w:t>
            </w:r>
            <w:r>
              <w:rPr>
                <w:rFonts w:hint="eastAsia" w:asciiTheme="minorEastAsia" w:hAnsiTheme="minorEastAsia" w:eastAsiaTheme="minorEastAsia" w:cstheme="minorEastAsia"/>
                <w:snapToGrid w:val="0"/>
                <w:kern w:val="0"/>
                <w:sz w:val="21"/>
                <w:szCs w:val="21"/>
              </w:rPr>
              <w:t>前发送至</w:t>
            </w:r>
            <w:r>
              <w:rPr>
                <w:rFonts w:hint="eastAsia" w:asciiTheme="minorEastAsia" w:hAnsiTheme="minorEastAsia" w:eastAsiaTheme="minorEastAsia" w:cstheme="minorEastAsia"/>
                <w:snapToGrid w:val="0"/>
                <w:kern w:val="0"/>
                <w:sz w:val="21"/>
                <w:szCs w:val="21"/>
                <w:lang w:val="en-US" w:eastAsia="zh-CN"/>
              </w:rPr>
              <w:t>比选人</w:t>
            </w:r>
            <w:r>
              <w:rPr>
                <w:rFonts w:hint="eastAsia" w:asciiTheme="minorEastAsia" w:hAnsiTheme="minorEastAsia" w:eastAsiaTheme="minorEastAsia" w:cstheme="minorEastAsia"/>
                <w:snapToGrid w:val="0"/>
                <w:kern w:val="0"/>
                <w:sz w:val="21"/>
                <w:szCs w:val="21"/>
              </w:rPr>
              <w:t>提供的邮箱。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pPr>
              <w:spacing w:line="360" w:lineRule="auto"/>
              <w:ind w:firstLine="420" w:firstLineChars="200"/>
              <w:rPr>
                <w:rFonts w:ascii="宋体" w:hAnsi="宋体"/>
                <w:snapToGrid w:val="0"/>
                <w:kern w:val="0"/>
                <w:szCs w:val="21"/>
                <w:highlight w:val="none"/>
              </w:rPr>
            </w:pPr>
            <w:r>
              <w:rPr>
                <w:rFonts w:hint="eastAsia" w:cs="宋体" w:asciiTheme="minorEastAsia" w:hAnsiTheme="minorEastAsia" w:eastAsiaTheme="minorEastAsia"/>
                <w:kern w:val="0"/>
                <w:sz w:val="21"/>
                <w:szCs w:val="21"/>
              </w:rPr>
              <w:t xml:space="preserve">在行采家(https://www.gec123.com/) </w:t>
            </w:r>
            <w:r>
              <w:rPr>
                <w:rFonts w:hint="eastAsia" w:cs="宋体" w:asciiTheme="minorEastAsia" w:hAnsiTheme="minorEastAsia" w:eastAsiaTheme="minorEastAsia"/>
                <w:kern w:val="0"/>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Theme="minorEastAsia" w:hAnsiTheme="minorEastAsia" w:eastAsiaTheme="minorEastAsia" w:cstheme="minorEastAsia"/>
                <w:snapToGrid w:val="0"/>
                <w:kern w:val="0"/>
                <w:sz w:val="21"/>
                <w:szCs w:val="21"/>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highlight w:val="none"/>
              </w:rPr>
            </w:pP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w:t>
            </w:r>
            <w:r>
              <w:rPr>
                <w:rFonts w:hint="eastAsia" w:ascii="宋体" w:hAnsi="宋体"/>
                <w:szCs w:val="21"/>
                <w:highlight w:val="none"/>
                <w:lang w:eastAsia="zh-CN"/>
              </w:rPr>
              <w:t>比选公告</w:t>
            </w:r>
            <w:r>
              <w:rPr>
                <w:rFonts w:hint="eastAsia" w:ascii="宋体" w:hAnsi="宋体"/>
                <w:szCs w:val="21"/>
                <w:highlight w:val="none"/>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pPr>
              <w:snapToGrid w:val="0"/>
              <w:spacing w:after="15" w:afterLines="5" w:line="400" w:lineRule="exact"/>
              <w:jc w:val="center"/>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编制的，须在投标截止时间</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日前发布，发布时间至投标截止时间不足</w:t>
            </w:r>
            <w:r>
              <w:rPr>
                <w:rFonts w:hint="eastAsia" w:ascii="宋体" w:hAnsi="宋体"/>
                <w:snapToGrid w:val="0"/>
                <w:kern w:val="0"/>
                <w:szCs w:val="21"/>
                <w:highlight w:val="none"/>
                <w:lang w:val="en-US" w:eastAsia="zh-CN"/>
              </w:rPr>
              <w:t>1</w:t>
            </w:r>
            <w:r>
              <w:rPr>
                <w:rFonts w:ascii="宋体" w:hAnsi="宋体"/>
                <w:snapToGrid w:val="0"/>
                <w:kern w:val="0"/>
                <w:szCs w:val="21"/>
                <w:highlight w:val="none"/>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w:t>
            </w:r>
            <w:r>
              <w:rPr>
                <w:rFonts w:hint="eastAsia" w:ascii="宋体" w:hAnsi="宋体"/>
                <w:kern w:val="0"/>
                <w:szCs w:val="21"/>
                <w:highlight w:val="none"/>
                <w:lang w:eastAsia="zh-CN"/>
              </w:rPr>
              <w:t>竞选文件</w:t>
            </w:r>
            <w:r>
              <w:rPr>
                <w:rFonts w:ascii="宋体" w:hAnsi="宋体"/>
                <w:kern w:val="0"/>
                <w:szCs w:val="21"/>
                <w:highlight w:val="none"/>
              </w:rPr>
              <w:t>的其他材料</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竞选人</w:t>
            </w:r>
            <w:r>
              <w:rPr>
                <w:rFonts w:ascii="宋体" w:hAnsi="宋体"/>
                <w:szCs w:val="21"/>
                <w:highlight w:val="none"/>
              </w:rPr>
              <w:t>的书面澄清、说明和补正（但不得改变</w:t>
            </w:r>
            <w:r>
              <w:rPr>
                <w:rFonts w:hint="eastAsia" w:ascii="宋体" w:hAnsi="宋体"/>
                <w:szCs w:val="21"/>
                <w:highlight w:val="none"/>
                <w:lang w:eastAsia="zh-CN"/>
              </w:rPr>
              <w:t>竞选文件</w:t>
            </w:r>
            <w:r>
              <w:rPr>
                <w:rFonts w:ascii="宋体" w:hAnsi="宋体"/>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pPr>
              <w:pStyle w:val="18"/>
              <w:numPr>
                <w:ilvl w:val="0"/>
                <w:numId w:val="0"/>
              </w:numPr>
              <w:tabs>
                <w:tab w:val="left" w:pos="546"/>
                <w:tab w:val="left" w:pos="711"/>
              </w:tabs>
              <w:snapToGrid w:val="0"/>
              <w:spacing w:after="0" w:line="400" w:lineRule="exact"/>
              <w:ind w:firstLine="420" w:firstLineChars="200"/>
              <w:rPr>
                <w:rFonts w:hint="default"/>
                <w:lang w:val="en-US" w:eastAsia="zh-CN"/>
              </w:rPr>
            </w:pPr>
            <w:r>
              <w:rPr>
                <w:rFonts w:hint="default" w:ascii="Times New Roman" w:hAnsi="Times New Roman" w:eastAsia="宋体" w:cs="Times New Roman"/>
                <w:kern w:val="2"/>
                <w:sz w:val="21"/>
                <w:szCs w:val="24"/>
                <w:lang w:val="en-US" w:eastAsia="zh-CN" w:bidi="ar-SA"/>
              </w:rPr>
              <w:t>1.</w:t>
            </w:r>
            <w:r>
              <w:rPr>
                <w:rFonts w:hint="eastAsia" w:ascii="宋体" w:hAnsi="宋体"/>
                <w:szCs w:val="21"/>
                <w:highlight w:val="none"/>
                <w:lang w:val="en-US" w:eastAsia="zh-CN"/>
              </w:rPr>
              <w:t>媒体广告（限价为10万元）：含1家主流网络媒体APP房产首页焦点图(第1-4帧之内），投放时间为2天；APP房产首页（信息流30常规-重庆），投放时间为2天；APP房产重庆首页热盘推荐，投放时间为2天；APP开机屏3天；APP重磅推荐3天；APP原创稿件1篇；品质好房榜单1次（如：凤凰网、房天下、安居客等）；1家新媒体图文或视频推广，曝光率不低于62.5万次（如：百度硬广、朋友圈图文、弹屏短信）；</w:t>
            </w:r>
          </w:p>
          <w:p>
            <w:pPr>
              <w:pStyle w:val="18"/>
              <w:numPr>
                <w:ilvl w:val="0"/>
                <w:numId w:val="0"/>
              </w:numPr>
              <w:tabs>
                <w:tab w:val="left" w:pos="546"/>
                <w:tab w:val="left" w:pos="711"/>
              </w:tabs>
              <w:snapToGrid w:val="0"/>
              <w:spacing w:after="0" w:line="400" w:lineRule="exact"/>
              <w:ind w:firstLine="420" w:firstLineChars="200"/>
              <w:rPr>
                <w:rFonts w:hint="default"/>
                <w:lang w:val="en-US" w:eastAsia="zh-CN"/>
              </w:rPr>
            </w:pPr>
            <w:r>
              <w:rPr>
                <w:rFonts w:hint="default" w:ascii="Times New Roman" w:hAnsi="Times New Roman" w:eastAsia="宋体" w:cs="Times New Roman"/>
                <w:kern w:val="2"/>
                <w:sz w:val="21"/>
                <w:szCs w:val="24"/>
                <w:lang w:val="en-US" w:eastAsia="zh-CN" w:bidi="ar-SA"/>
              </w:rPr>
              <w:t>2.</w:t>
            </w:r>
            <w:r>
              <w:rPr>
                <w:rFonts w:hint="eastAsia"/>
                <w:lang w:val="en-US" w:eastAsia="zh-CN"/>
              </w:rPr>
              <w:t>户外广告（限价为14万元）：含项目辖区核心地段户外T牌广告</w:t>
            </w:r>
            <w:r>
              <w:rPr>
                <w:rFonts w:hint="eastAsia"/>
                <w:color w:val="auto"/>
                <w:lang w:val="en-US" w:eastAsia="zh-CN"/>
              </w:rPr>
              <w:t>2块（面积 18米x6米x2面）</w:t>
            </w:r>
            <w:r>
              <w:rPr>
                <w:rFonts w:hint="eastAsia"/>
                <w:lang w:val="en-US" w:eastAsia="zh-CN"/>
              </w:rPr>
              <w:t>（如：绕城高速迎龙立交T牌、玉马路T牌）；</w:t>
            </w:r>
          </w:p>
          <w:p>
            <w:pPr>
              <w:pStyle w:val="18"/>
              <w:numPr>
                <w:ilvl w:val="0"/>
                <w:numId w:val="0"/>
              </w:numPr>
              <w:tabs>
                <w:tab w:val="left" w:pos="546"/>
                <w:tab w:val="left" w:pos="711"/>
              </w:tabs>
              <w:snapToGrid w:val="0"/>
              <w:spacing w:after="0" w:line="400" w:lineRule="exact"/>
              <w:ind w:firstLine="420" w:firstLineChars="200"/>
              <w:rPr>
                <w:rFonts w:hint="eastAsia"/>
                <w:lang w:val="en-US" w:eastAsia="zh-CN"/>
              </w:rPr>
            </w:pPr>
            <w:r>
              <w:rPr>
                <w:rFonts w:hint="default" w:ascii="Times New Roman" w:hAnsi="Times New Roman" w:eastAsia="宋体" w:cs="Times New Roman"/>
                <w:kern w:val="2"/>
                <w:sz w:val="21"/>
                <w:szCs w:val="24"/>
                <w:lang w:val="en-US" w:eastAsia="zh-CN" w:bidi="ar-SA"/>
              </w:rPr>
              <w:t>3.</w:t>
            </w:r>
            <w:r>
              <w:rPr>
                <w:rFonts w:hint="eastAsia"/>
                <w:lang w:val="en-US" w:eastAsia="zh-CN"/>
              </w:rPr>
              <w:t>物业广告（限价为8万元）：含项目辖区1家物业公司所属物业电梯、道闸、海报、桁架、墙体喷绘、展架、停车小票和宣传栏、城市展厅等广告。</w:t>
            </w:r>
          </w:p>
          <w:p>
            <w:pPr>
              <w:pStyle w:val="18"/>
              <w:numPr>
                <w:ilvl w:val="0"/>
                <w:numId w:val="0"/>
              </w:numPr>
              <w:tabs>
                <w:tab w:val="left" w:pos="546"/>
                <w:tab w:val="left" w:pos="711"/>
              </w:tabs>
              <w:snapToGrid w:val="0"/>
              <w:spacing w:after="0" w:line="400" w:lineRule="exact"/>
              <w:ind w:firstLine="422" w:firstLineChars="200"/>
              <w:rPr>
                <w:rFonts w:hint="default"/>
                <w:color w:val="auto"/>
                <w:lang w:val="en-US" w:eastAsia="zh-CN"/>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p>
            <w:pPr>
              <w:pStyle w:val="18"/>
              <w:numPr>
                <w:ilvl w:val="0"/>
                <w:numId w:val="0"/>
              </w:numPr>
              <w:tabs>
                <w:tab w:val="left" w:pos="546"/>
                <w:tab w:val="left" w:pos="711"/>
              </w:tabs>
              <w:snapToGrid w:val="0"/>
              <w:spacing w:after="0" w:line="400" w:lineRule="exact"/>
              <w:ind w:firstLine="420" w:firstLineChars="200"/>
              <w:rPr>
                <w:rFonts w:hint="default"/>
                <w:lang w:val="en-US" w:eastAsia="zh-CN"/>
              </w:rPr>
            </w:pPr>
            <w:r>
              <w:rPr>
                <w:rFonts w:hint="eastAsia" w:ascii="Times New Roman" w:hAnsi="Times New Roman" w:eastAsia="宋体" w:cs="Times New Roman"/>
                <w:lang w:val="en-US" w:eastAsia="zh-CN"/>
              </w:rPr>
              <w:t>注：广告费用单价为包干费用，包括但不限于人工费、审批费、交通费、 材料费、包装费、制版费、审稿费、修订费、印刷费、竞选人合理利润等所需一切费用。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w:t>
            </w:r>
            <w:r>
              <w:rPr>
                <w:rFonts w:hint="eastAsia" w:ascii="宋体" w:hAnsi="宋体"/>
                <w:szCs w:val="21"/>
                <w:highlight w:val="none"/>
                <w:lang w:eastAsia="zh-CN"/>
              </w:rPr>
              <w:t>竞选文件</w:t>
            </w:r>
            <w:r>
              <w:rPr>
                <w:rFonts w:ascii="宋体" w:hAnsi="宋体"/>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lang w:eastAsia="zh-CN"/>
              </w:rPr>
              <w:t>竞选文件</w:t>
            </w:r>
            <w:r>
              <w:rPr>
                <w:rFonts w:hint="eastAsia" w:ascii="宋体" w:hAnsi="宋体"/>
                <w:kern w:val="0"/>
                <w:szCs w:val="21"/>
                <w:highlight w:val="none"/>
              </w:rPr>
              <w:t>格式要求</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w:t>
            </w:r>
            <w:r>
              <w:rPr>
                <w:rFonts w:hint="eastAsia" w:ascii="宋体" w:hAnsi="宋体"/>
                <w:kern w:val="0"/>
                <w:szCs w:val="21"/>
                <w:highlight w:val="none"/>
                <w:lang w:eastAsia="zh-CN"/>
              </w:rPr>
              <w:t>竞选文件</w:t>
            </w:r>
            <w:r>
              <w:rPr>
                <w:rFonts w:hint="eastAsia" w:ascii="宋体" w:hAnsi="宋体"/>
                <w:kern w:val="0"/>
                <w:szCs w:val="21"/>
                <w:highlight w:val="none"/>
              </w:rPr>
              <w:t>时不得对第八章“</w:t>
            </w:r>
            <w:r>
              <w:rPr>
                <w:rFonts w:hint="eastAsia" w:ascii="宋体" w:hAnsi="宋体"/>
                <w:kern w:val="0"/>
                <w:szCs w:val="21"/>
                <w:highlight w:val="none"/>
                <w:lang w:eastAsia="zh-CN"/>
              </w:rPr>
              <w:t>竞选文件</w:t>
            </w:r>
            <w:r>
              <w:rPr>
                <w:rFonts w:hint="eastAsia" w:ascii="宋体" w:hAnsi="宋体"/>
                <w:kern w:val="0"/>
                <w:szCs w:val="21"/>
                <w:highlight w:val="none"/>
              </w:rPr>
              <w:t>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pPr>
              <w:snapToGrid w:val="0"/>
              <w:spacing w:line="400" w:lineRule="exact"/>
              <w:ind w:firstLine="420" w:firstLineChars="200"/>
              <w:rPr>
                <w:rFonts w:ascii="宋体" w:hAnsi="宋体"/>
                <w:szCs w:val="21"/>
                <w:highlight w:val="none"/>
              </w:rPr>
            </w:pPr>
            <w:r>
              <w:rPr>
                <w:rFonts w:hint="eastAsia" w:ascii="宋体" w:hAnsi="宋体"/>
                <w:szCs w:val="21"/>
                <w:highlight w:val="none"/>
                <w:lang w:eastAsia="zh-CN"/>
              </w:rPr>
              <w:t>竞选文件</w:t>
            </w:r>
            <w:r>
              <w:rPr>
                <w:rFonts w:hint="eastAsia" w:ascii="宋体" w:hAnsi="宋体"/>
                <w:szCs w:val="21"/>
                <w:highlight w:val="none"/>
              </w:rPr>
              <w:t>应用不褪色的材料书写或打印，并由</w:t>
            </w:r>
            <w:r>
              <w:rPr>
                <w:rFonts w:hint="eastAsia" w:ascii="宋体" w:hAnsi="宋体"/>
                <w:szCs w:val="21"/>
                <w:highlight w:val="none"/>
                <w:lang w:eastAsia="zh-CN"/>
              </w:rPr>
              <w:t>竞选人</w:t>
            </w:r>
            <w:r>
              <w:rPr>
                <w:rFonts w:hint="eastAsia" w:ascii="宋体" w:hAnsi="宋体"/>
                <w:szCs w:val="21"/>
                <w:highlight w:val="none"/>
              </w:rPr>
              <w:t>的法定代表人或其委托代理人在招标文件规定的位置按招标文件要求签名或盖章、盖单位法人章。委托代理人签名的，</w:t>
            </w:r>
            <w:r>
              <w:rPr>
                <w:rFonts w:hint="eastAsia" w:ascii="宋体" w:hAnsi="宋体"/>
                <w:szCs w:val="21"/>
                <w:highlight w:val="none"/>
                <w:lang w:eastAsia="zh-CN"/>
              </w:rPr>
              <w:t>竞选文件</w:t>
            </w:r>
            <w:r>
              <w:rPr>
                <w:rFonts w:hint="eastAsia" w:ascii="宋体" w:hAnsi="宋体"/>
                <w:szCs w:val="21"/>
                <w:highlight w:val="none"/>
              </w:rPr>
              <w:t>应附法定代表人签署的授权委托书。</w:t>
            </w:r>
            <w:r>
              <w:rPr>
                <w:rFonts w:hint="eastAsia" w:ascii="宋体" w:hAnsi="宋体"/>
                <w:szCs w:val="21"/>
                <w:highlight w:val="none"/>
                <w:lang w:eastAsia="zh-CN"/>
              </w:rPr>
              <w:t>竞选文件</w:t>
            </w:r>
            <w:r>
              <w:rPr>
                <w:rFonts w:hint="eastAsia" w:ascii="宋体" w:hAnsi="宋体"/>
                <w:szCs w:val="21"/>
                <w:highlight w:val="none"/>
              </w:rPr>
              <w:t>应尽量避免涂改、行间插字或删除。如果出现上述情况，改动之处应加盖单位法人章或由</w:t>
            </w:r>
            <w:r>
              <w:rPr>
                <w:rFonts w:hint="eastAsia" w:ascii="宋体" w:hAnsi="宋体"/>
                <w:szCs w:val="21"/>
                <w:highlight w:val="none"/>
                <w:lang w:eastAsia="zh-CN"/>
              </w:rPr>
              <w:t>竞选人</w:t>
            </w:r>
            <w:r>
              <w:rPr>
                <w:rFonts w:hint="eastAsia" w:ascii="宋体" w:hAnsi="宋体"/>
                <w:szCs w:val="21"/>
                <w:highlight w:val="none"/>
              </w:rPr>
              <w:t>的法定代表人或其授权的代理人签名确认。</w:t>
            </w:r>
          </w:p>
          <w:p>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pPr>
              <w:snapToGrid w:val="0"/>
              <w:spacing w:line="400" w:lineRule="exact"/>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竞选文件</w:t>
            </w:r>
            <w:r>
              <w:rPr>
                <w:rFonts w:ascii="宋体" w:hAnsi="宋体"/>
                <w:kern w:val="0"/>
                <w:szCs w:val="21"/>
                <w:highlight w:val="none"/>
              </w:rPr>
              <w:t>正本</w:t>
            </w:r>
            <w:r>
              <w:rPr>
                <w:rFonts w:hint="eastAsia" w:ascii="宋体" w:hAnsi="宋体"/>
                <w:kern w:val="0"/>
                <w:szCs w:val="21"/>
                <w:highlight w:val="none"/>
              </w:rPr>
              <w:t>1份、副本</w:t>
            </w:r>
            <w:r>
              <w:rPr>
                <w:rFonts w:hint="eastAsia" w:ascii="宋体" w:hAnsi="宋体"/>
                <w:kern w:val="0"/>
                <w:szCs w:val="21"/>
                <w:highlight w:val="none"/>
                <w:lang w:val="en-US" w:eastAsia="zh-CN"/>
              </w:rPr>
              <w:t>1</w:t>
            </w:r>
            <w:r>
              <w:rPr>
                <w:rFonts w:hint="eastAsia" w:ascii="宋体" w:hAnsi="宋体"/>
                <w:kern w:val="0"/>
                <w:szCs w:val="21"/>
                <w:highlight w:val="none"/>
              </w:rPr>
              <w:t>份，电子版形式（光盘</w:t>
            </w:r>
            <w:r>
              <w:rPr>
                <w:rFonts w:hint="eastAsia" w:ascii="宋体" w:hAnsi="宋体"/>
                <w:kern w:val="0"/>
                <w:szCs w:val="21"/>
                <w:highlight w:val="none"/>
                <w:lang w:val="en-US" w:eastAsia="zh-CN"/>
              </w:rPr>
              <w:t>或U盘</w:t>
            </w:r>
            <w:r>
              <w:rPr>
                <w:rFonts w:hint="eastAsia" w:ascii="宋体" w:hAnsi="宋体"/>
                <w:kern w:val="0"/>
                <w:szCs w:val="21"/>
                <w:highlight w:val="none"/>
              </w:rPr>
              <w:t>）1份，</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1</w:t>
            </w:r>
            <w:r>
              <w:rPr>
                <w:rFonts w:ascii="宋体" w:hAnsi="宋体"/>
                <w:szCs w:val="21"/>
                <w:highlight w:val="none"/>
              </w:rPr>
              <w:t>）</w:t>
            </w:r>
            <w:r>
              <w:rPr>
                <w:rFonts w:hint="eastAsia" w:ascii="宋体" w:hAnsi="宋体"/>
                <w:szCs w:val="21"/>
                <w:highlight w:val="none"/>
                <w:lang w:eastAsia="zh-CN"/>
              </w:rPr>
              <w:t>竞选函</w:t>
            </w:r>
            <w:r>
              <w:rPr>
                <w:rFonts w:ascii="宋体" w:hAnsi="宋体"/>
                <w:szCs w:val="21"/>
                <w:highlight w:val="none"/>
              </w:rPr>
              <w:t>部分的装订要求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eastAsia="宋体" w:cs="宋体"/>
                <w:color w:val="auto"/>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r>
              <w:rPr>
                <w:rFonts w:hint="eastAsia"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pPr>
              <w:snapToGrid w:val="0"/>
              <w:spacing w:line="400" w:lineRule="exact"/>
              <w:jc w:val="center"/>
              <w:rPr>
                <w:rFonts w:ascii="宋体" w:hAnsi="宋体"/>
                <w:spacing w:val="-6"/>
                <w:kern w:val="0"/>
                <w:szCs w:val="21"/>
                <w:highlight w:val="none"/>
              </w:rPr>
            </w:pPr>
            <w:r>
              <w:rPr>
                <w:rFonts w:hint="eastAsia" w:ascii="宋体" w:hAnsi="宋体"/>
                <w:spacing w:val="-6"/>
                <w:kern w:val="0"/>
                <w:szCs w:val="21"/>
                <w:highlight w:val="none"/>
                <w:lang w:eastAsia="zh-CN"/>
              </w:rPr>
              <w:t>竞选文件</w:t>
            </w:r>
            <w:r>
              <w:rPr>
                <w:rFonts w:ascii="宋体" w:hAnsi="宋体"/>
                <w:spacing w:val="-6"/>
                <w:kern w:val="0"/>
                <w:szCs w:val="21"/>
                <w:highlight w:val="none"/>
              </w:rPr>
              <w:t>的密封</w:t>
            </w:r>
          </w:p>
        </w:tc>
        <w:tc>
          <w:tcPr>
            <w:tcW w:w="6490" w:type="dxa"/>
            <w:vAlign w:val="center"/>
          </w:tcPr>
          <w:p>
            <w:pPr>
              <w:adjustRightInd w:val="0"/>
              <w:snapToGrid w:val="0"/>
              <w:spacing w:line="400" w:lineRule="exact"/>
              <w:ind w:firstLine="420" w:firstLineChars="200"/>
              <w:rPr>
                <w:rFonts w:ascii="宋体" w:hAnsi="宋体"/>
                <w:szCs w:val="21"/>
                <w:highlight w:val="none"/>
              </w:rPr>
            </w:pPr>
            <w:r>
              <w:rPr>
                <w:rFonts w:hint="eastAsia" w:ascii="宋体" w:hAnsi="宋体"/>
                <w:szCs w:val="21"/>
              </w:rPr>
              <w:t>应用“投标文件”袋单独封装，并在封口处加盖投标人单位法人章，同时“投标文件”袋应按本表第4.1.2项的规定写明相应内容。“投标文件”袋未按要求密封的，</w:t>
            </w:r>
            <w:r>
              <w:rPr>
                <w:rFonts w:hint="eastAsia" w:ascii="宋体" w:hAnsi="宋体"/>
                <w:szCs w:val="21"/>
                <w:lang w:val="en-US" w:eastAsia="zh-CN"/>
              </w:rPr>
              <w:t>比选</w:t>
            </w:r>
            <w:r>
              <w:rPr>
                <w:rFonts w:hint="eastAsia" w:ascii="宋体" w:hAnsi="宋体"/>
                <w:szCs w:val="21"/>
              </w:rPr>
              <w:t>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w:t>
            </w:r>
            <w:r>
              <w:rPr>
                <w:rFonts w:hint="eastAsia" w:ascii="宋体" w:hAnsi="宋体"/>
                <w:kern w:val="0"/>
                <w:szCs w:val="21"/>
                <w:highlight w:val="none"/>
                <w:lang w:eastAsia="zh-CN"/>
              </w:rPr>
              <w:t>竞选文件</w:t>
            </w:r>
            <w:r>
              <w:rPr>
                <w:rFonts w:ascii="宋体" w:hAnsi="宋体"/>
                <w:kern w:val="0"/>
                <w:szCs w:val="21"/>
                <w:highlight w:val="none"/>
              </w:rPr>
              <w:t>”大袋封套上写明如下内容：</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比选人</w:t>
            </w:r>
            <w:r>
              <w:rPr>
                <w:rFonts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竞选人</w:t>
            </w:r>
            <w:r>
              <w:rPr>
                <w:rFonts w:hint="eastAsia" w:ascii="宋体" w:hAnsi="宋体"/>
                <w:kern w:val="0"/>
                <w:szCs w:val="21"/>
                <w:highlight w:val="none"/>
              </w:rPr>
              <w:t>名称：</w:t>
            </w:r>
            <w:r>
              <w:rPr>
                <w:rFonts w:hint="eastAsia" w:ascii="宋体" w:hAnsi="宋体"/>
                <w:kern w:val="0"/>
                <w:szCs w:val="21"/>
                <w:highlight w:val="none"/>
                <w:u w:val="single"/>
              </w:rPr>
              <w:t xml:space="preserve">            </w:t>
            </w:r>
          </w:p>
          <w:p>
            <w:pPr>
              <w:snapToGrid w:val="0"/>
              <w:spacing w:line="400" w:lineRule="exact"/>
              <w:ind w:firstLine="420" w:firstLineChars="200"/>
              <w:rPr>
                <w:rFonts w:hint="eastAsia" w:ascii="宋体" w:hAnsi="宋体" w:eastAsia="宋体"/>
                <w:kern w:val="0"/>
                <w:szCs w:val="21"/>
                <w:highlight w:val="none"/>
                <w:lang w:eastAsia="zh-CN"/>
              </w:rPr>
            </w:pPr>
            <w:r>
              <w:rPr>
                <w:rFonts w:ascii="宋体" w:hAnsi="宋体"/>
                <w:kern w:val="0"/>
                <w:szCs w:val="21"/>
                <w:highlight w:val="none"/>
                <w:u w:val="single"/>
              </w:rPr>
              <w:t xml:space="preserve">                （项目名称）</w:t>
            </w:r>
            <w:r>
              <w:rPr>
                <w:rFonts w:hint="eastAsia" w:ascii="宋体" w:hAnsi="宋体"/>
                <w:kern w:val="0"/>
                <w:szCs w:val="21"/>
                <w:highlight w:val="none"/>
                <w:lang w:eastAsia="zh-CN"/>
              </w:rPr>
              <w:t>竞选文件</w:t>
            </w:r>
          </w:p>
          <w:p>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递交</w:t>
            </w:r>
            <w:r>
              <w:rPr>
                <w:rFonts w:hint="eastAsia" w:ascii="宋体" w:hAnsi="宋体"/>
                <w:kern w:val="0"/>
                <w:szCs w:val="21"/>
                <w:highlight w:val="none"/>
                <w:lang w:eastAsia="zh-CN"/>
              </w:rPr>
              <w:t>竞选文件</w:t>
            </w: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ascii="宋体" w:hAnsi="宋体"/>
                <w:bCs/>
                <w:i/>
                <w:szCs w:val="21"/>
                <w:highlight w:val="none"/>
              </w:rPr>
            </w:pPr>
            <w:r>
              <w:rPr>
                <w:rFonts w:hint="eastAsia" w:ascii="宋体" w:hAnsi="宋体"/>
                <w:szCs w:val="21"/>
              </w:rPr>
              <w:t>重庆市南岸区茶园江桥路一号附1号</w:t>
            </w:r>
            <w:r>
              <w:rPr>
                <w:rFonts w:hint="eastAsia" w:ascii="宋体" w:hAnsi="宋体"/>
                <w:szCs w:val="21"/>
                <w:lang w:val="en-US" w:eastAsia="zh-CN"/>
              </w:rPr>
              <w:t>重庆经开投投资集团有限公司</w:t>
            </w:r>
            <w:r>
              <w:rPr>
                <w:rFonts w:hint="eastAsia" w:ascii="宋体" w:hAnsi="宋体"/>
                <w:szCs w:val="21"/>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是否退还</w:t>
            </w:r>
            <w:r>
              <w:rPr>
                <w:rFonts w:hint="eastAsia" w:ascii="宋体" w:hAnsi="宋体"/>
                <w:kern w:val="0"/>
                <w:szCs w:val="21"/>
                <w:highlight w:val="none"/>
                <w:lang w:eastAsia="zh-CN"/>
              </w:rPr>
              <w:t>竞选文件</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pPr>
              <w:snapToGrid w:val="0"/>
              <w:spacing w:line="400" w:lineRule="exact"/>
              <w:ind w:firstLine="420" w:firstLineChars="200"/>
              <w:rPr>
                <w:rFonts w:hint="default" w:ascii="宋体" w:hAnsi="宋体" w:eastAsia="宋体"/>
                <w:kern w:val="0"/>
                <w:szCs w:val="21"/>
                <w:highlight w:val="none"/>
                <w:lang w:val="en-US" w:eastAsia="zh-CN"/>
              </w:rPr>
            </w:pPr>
            <w:r>
              <w:rPr>
                <w:rFonts w:ascii="宋体" w:hAnsi="宋体"/>
                <w:kern w:val="0"/>
                <w:szCs w:val="21"/>
                <w:highlight w:val="none"/>
              </w:rPr>
              <w:t>开标时间：</w:t>
            </w:r>
            <w:r>
              <w:rPr>
                <w:rFonts w:hint="eastAsia" w:ascii="宋体" w:hAnsi="宋体"/>
                <w:kern w:val="0"/>
                <w:szCs w:val="21"/>
                <w:highlight w:val="none"/>
                <w:lang w:val="en-US" w:eastAsia="zh-CN"/>
              </w:rPr>
              <w:t>2024年5月11日10时00分</w:t>
            </w:r>
          </w:p>
          <w:p>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lang w:val="en-US" w:eastAsia="zh-CN"/>
              </w:rPr>
              <w:t>：</w:t>
            </w:r>
            <w:r>
              <w:rPr>
                <w:rFonts w:hint="eastAsia" w:ascii="宋体" w:hAnsi="宋体"/>
                <w:szCs w:val="21"/>
              </w:rPr>
              <w:t>重庆市南岸区茶园江桥路一号附1号</w:t>
            </w:r>
            <w:r>
              <w:rPr>
                <w:rFonts w:hint="eastAsia" w:ascii="宋体" w:hAnsi="宋体"/>
                <w:szCs w:val="21"/>
                <w:lang w:val="en-US" w:eastAsia="zh-CN"/>
              </w:rPr>
              <w:t>重庆经开投投资集团有限公司1503</w:t>
            </w:r>
            <w:r>
              <w:rPr>
                <w:rFonts w:hint="eastAsia" w:ascii="宋体" w:hAnsi="宋体"/>
                <w:szCs w:val="21"/>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w:t>
            </w:r>
            <w:r>
              <w:rPr>
                <w:rFonts w:hint="eastAsia" w:ascii="宋体" w:hAnsi="宋体"/>
                <w:szCs w:val="21"/>
                <w:highlight w:val="none"/>
                <w:lang w:eastAsia="zh-CN"/>
              </w:rPr>
              <w:t>竞选人</w:t>
            </w:r>
            <w:r>
              <w:rPr>
                <w:rFonts w:ascii="宋体" w:hAnsi="宋体"/>
                <w:szCs w:val="21"/>
                <w:highlight w:val="none"/>
              </w:rPr>
              <w:t>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2</w:t>
            </w:r>
            <w:r>
              <w:rPr>
                <w:rFonts w:ascii="宋体" w:hAnsi="宋体"/>
                <w:szCs w:val="21"/>
                <w:highlight w:val="none"/>
              </w:rPr>
              <w:t>. 公布在投标截止时间前递交</w:t>
            </w:r>
            <w:r>
              <w:rPr>
                <w:rFonts w:hint="eastAsia" w:ascii="宋体" w:hAnsi="宋体"/>
                <w:szCs w:val="21"/>
                <w:highlight w:val="none"/>
                <w:lang w:eastAsia="zh-CN"/>
              </w:rPr>
              <w:t>竞选文件</w:t>
            </w:r>
            <w:r>
              <w:rPr>
                <w:rFonts w:ascii="宋体" w:hAnsi="宋体"/>
                <w:szCs w:val="21"/>
                <w:highlight w:val="none"/>
              </w:rPr>
              <w:t>的</w:t>
            </w:r>
            <w:r>
              <w:rPr>
                <w:rFonts w:hint="eastAsia" w:ascii="宋体" w:hAnsi="宋体"/>
                <w:szCs w:val="21"/>
                <w:highlight w:val="none"/>
                <w:lang w:eastAsia="zh-CN"/>
              </w:rPr>
              <w:t>竞选人</w:t>
            </w:r>
            <w:r>
              <w:rPr>
                <w:rFonts w:ascii="宋体" w:hAnsi="宋体"/>
                <w:szCs w:val="21"/>
                <w:highlight w:val="none"/>
              </w:rPr>
              <w:t>名称</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3</w:t>
            </w:r>
            <w:r>
              <w:rPr>
                <w:rFonts w:ascii="宋体" w:hAnsi="宋体"/>
                <w:szCs w:val="21"/>
                <w:highlight w:val="none"/>
              </w:rPr>
              <w:t xml:space="preserve">. </w:t>
            </w:r>
            <w:r>
              <w:rPr>
                <w:rFonts w:hint="eastAsia" w:ascii="宋体" w:hAnsi="宋体"/>
                <w:szCs w:val="21"/>
                <w:highlight w:val="none"/>
                <w:lang w:eastAsia="zh-CN"/>
              </w:rPr>
              <w:t>竞选文件</w:t>
            </w:r>
            <w:r>
              <w:rPr>
                <w:rFonts w:hint="eastAsia" w:ascii="宋体" w:hAnsi="宋体"/>
                <w:szCs w:val="21"/>
                <w:highlight w:val="none"/>
              </w:rPr>
              <w:t>的密封检查：</w:t>
            </w:r>
            <w:r>
              <w:rPr>
                <w:rFonts w:hint="eastAsia" w:ascii="宋体" w:hAnsi="宋体"/>
                <w:szCs w:val="21"/>
                <w:highlight w:val="none"/>
                <w:lang w:eastAsia="zh-CN"/>
              </w:rPr>
              <w:t>竞选人</w:t>
            </w:r>
            <w:r>
              <w:rPr>
                <w:rFonts w:hint="eastAsia" w:ascii="宋体" w:hAnsi="宋体"/>
                <w:szCs w:val="21"/>
                <w:highlight w:val="none"/>
              </w:rPr>
              <w:t>可对自己的</w:t>
            </w:r>
            <w:r>
              <w:rPr>
                <w:rFonts w:hint="eastAsia" w:ascii="宋体" w:hAnsi="宋体"/>
                <w:szCs w:val="21"/>
                <w:highlight w:val="none"/>
                <w:lang w:eastAsia="zh-CN"/>
              </w:rPr>
              <w:t>竞选文件</w:t>
            </w:r>
            <w:r>
              <w:rPr>
                <w:rFonts w:hint="eastAsia" w:ascii="宋体" w:hAnsi="宋体"/>
                <w:szCs w:val="21"/>
                <w:highlight w:val="none"/>
              </w:rPr>
              <w:t>封装情况进行检查，以确认其</w:t>
            </w:r>
            <w:r>
              <w:rPr>
                <w:rFonts w:hint="eastAsia" w:ascii="宋体" w:hAnsi="宋体"/>
                <w:szCs w:val="21"/>
                <w:highlight w:val="none"/>
                <w:lang w:eastAsia="zh-CN"/>
              </w:rPr>
              <w:t>竞选文件</w:t>
            </w:r>
            <w:r>
              <w:rPr>
                <w:rFonts w:hint="eastAsia" w:ascii="宋体" w:hAnsi="宋体"/>
                <w:szCs w:val="21"/>
                <w:highlight w:val="none"/>
              </w:rPr>
              <w:t>密封完好。</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4</w:t>
            </w:r>
            <w:r>
              <w:rPr>
                <w:rFonts w:ascii="宋体" w:hAnsi="宋体"/>
                <w:szCs w:val="21"/>
                <w:highlight w:val="none"/>
              </w:rPr>
              <w:t>. 公布最高限价</w:t>
            </w:r>
            <w:r>
              <w:rPr>
                <w:rFonts w:hint="eastAsia" w:ascii="宋体" w:hAnsi="宋体"/>
                <w:szCs w:val="21"/>
                <w:highlight w:val="none"/>
              </w:rPr>
              <w:t>。</w:t>
            </w:r>
          </w:p>
          <w:p>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5</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w:t>
            </w:r>
            <w:r>
              <w:rPr>
                <w:rFonts w:hint="eastAsia" w:ascii="宋体" w:hAnsi="宋体"/>
                <w:szCs w:val="21"/>
                <w:highlight w:val="none"/>
                <w:lang w:eastAsia="zh-CN"/>
              </w:rPr>
              <w:t>竞选文件</w:t>
            </w:r>
            <w:r>
              <w:rPr>
                <w:rFonts w:ascii="宋体" w:hAnsi="宋体"/>
                <w:szCs w:val="21"/>
                <w:highlight w:val="none"/>
              </w:rPr>
              <w:t>。公布</w:t>
            </w:r>
            <w:r>
              <w:rPr>
                <w:rFonts w:hint="eastAsia" w:ascii="宋体" w:hAnsi="宋体"/>
                <w:szCs w:val="21"/>
                <w:highlight w:val="none"/>
                <w:lang w:eastAsia="zh-CN"/>
              </w:rPr>
              <w:t>竞选人</w:t>
            </w:r>
            <w:r>
              <w:rPr>
                <w:rFonts w:ascii="宋体" w:hAnsi="宋体"/>
                <w:szCs w:val="21"/>
                <w:highlight w:val="none"/>
              </w:rPr>
              <w:t>名称、投标报价、质量要求、工期及其他内容并记录在案</w:t>
            </w:r>
            <w:r>
              <w:rPr>
                <w:rFonts w:hint="eastAsia" w:ascii="宋体" w:hAnsi="宋体"/>
                <w:szCs w:val="21"/>
                <w:highlight w:val="none"/>
              </w:rPr>
              <w:t>。</w:t>
            </w:r>
          </w:p>
          <w:p>
            <w:pPr>
              <w:numPr>
                <w:ilvl w:val="255"/>
                <w:numId w:val="0"/>
              </w:num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eastAsia="zh-CN"/>
              </w:rPr>
              <w:t>竞选人</w:t>
            </w:r>
            <w:r>
              <w:rPr>
                <w:rFonts w:hint="eastAsia" w:ascii="宋体" w:hAnsi="宋体"/>
                <w:szCs w:val="21"/>
                <w:highlight w:val="none"/>
              </w:rPr>
              <w:t>对开标有异议的，应当场提出，由</w:t>
            </w:r>
            <w:r>
              <w:rPr>
                <w:rFonts w:hint="eastAsia" w:ascii="宋体" w:hAnsi="宋体"/>
                <w:szCs w:val="21"/>
                <w:highlight w:val="none"/>
                <w:lang w:eastAsia="zh-CN"/>
              </w:rPr>
              <w:t>比选人</w:t>
            </w:r>
            <w:r>
              <w:rPr>
                <w:rFonts w:hint="eastAsia" w:ascii="宋体" w:hAnsi="宋体"/>
                <w:szCs w:val="21"/>
                <w:highlight w:val="none"/>
              </w:rPr>
              <w:t>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7</w:t>
            </w:r>
            <w:r>
              <w:rPr>
                <w:rFonts w:ascii="宋体" w:hAnsi="宋体"/>
                <w:szCs w:val="21"/>
                <w:highlight w:val="none"/>
              </w:rPr>
              <w:t xml:space="preserve">. </w:t>
            </w:r>
            <w:r>
              <w:rPr>
                <w:rFonts w:hint="eastAsia" w:ascii="宋体" w:hAnsi="宋体"/>
                <w:szCs w:val="21"/>
                <w:highlight w:val="none"/>
                <w:lang w:eastAsia="zh-CN"/>
              </w:rPr>
              <w:t>竞选人</w:t>
            </w:r>
            <w:r>
              <w:rPr>
                <w:rFonts w:ascii="宋体" w:hAnsi="宋体"/>
                <w:szCs w:val="21"/>
                <w:highlight w:val="none"/>
              </w:rPr>
              <w:t>代表、</w:t>
            </w:r>
            <w:r>
              <w:rPr>
                <w:rFonts w:hint="eastAsia" w:ascii="宋体" w:hAnsi="宋体"/>
                <w:szCs w:val="21"/>
                <w:highlight w:val="none"/>
                <w:lang w:eastAsia="zh-CN"/>
              </w:rPr>
              <w:t>比选人</w:t>
            </w:r>
            <w:r>
              <w:rPr>
                <w:rFonts w:ascii="宋体" w:hAnsi="宋体"/>
                <w:szCs w:val="21"/>
                <w:highlight w:val="none"/>
              </w:rPr>
              <w:t>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8</w:t>
            </w:r>
            <w:r>
              <w:rPr>
                <w:rFonts w:ascii="宋体" w:hAnsi="宋体"/>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w:t>
            </w:r>
            <w:r>
              <w:rPr>
                <w:rFonts w:hint="eastAsia" w:ascii="宋体" w:hAnsi="宋体"/>
                <w:spacing w:val="4"/>
                <w:kern w:val="0"/>
                <w:szCs w:val="21"/>
                <w:highlight w:val="none"/>
                <w:lang w:eastAsia="zh-CN"/>
              </w:rPr>
              <w:t>比选人</w:t>
            </w:r>
            <w:r>
              <w:rPr>
                <w:rFonts w:hint="eastAsia" w:ascii="宋体" w:hAnsi="宋体"/>
                <w:spacing w:val="4"/>
                <w:kern w:val="0"/>
                <w:szCs w:val="21"/>
              </w:rPr>
              <w:t>依法自行</w:t>
            </w:r>
            <w:r>
              <w:rPr>
                <w:rFonts w:hint="eastAsia" w:ascii="宋体" w:hAnsi="宋体"/>
                <w:spacing w:val="4"/>
                <w:kern w:val="0"/>
                <w:szCs w:val="21"/>
                <w:highlight w:val="none"/>
              </w:rPr>
              <w:t>组建评标委员会</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是</w:t>
            </w:r>
          </w:p>
          <w:p>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lang w:eastAsia="zh-CN"/>
              </w:rPr>
              <w:t>☑</w:t>
            </w:r>
            <w:r>
              <w:rPr>
                <w:rFonts w:ascii="宋体" w:hAnsi="宋体"/>
                <w:kern w:val="0"/>
                <w:szCs w:val="21"/>
                <w:highlight w:val="none"/>
              </w:rPr>
              <w:t>否，推荐经评审综合得分由高到低排名前三名为中标候选人。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pPr>
              <w:snapToGrid w:val="0"/>
              <w:spacing w:line="400" w:lineRule="exact"/>
              <w:ind w:firstLine="420" w:firstLineChars="200"/>
              <w:rPr>
                <w:rFonts w:ascii="宋体" w:hAnsi="宋体" w:cs="宋体"/>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eastAsia" w:cs="宋体" w:asciiTheme="minorEastAsia" w:hAnsiTheme="minorEastAsia" w:eastAsiaTheme="minorEastAsia"/>
                <w:color w:val="auto"/>
                <w:kern w:val="0"/>
                <w:sz w:val="21"/>
                <w:szCs w:val="21"/>
              </w:rPr>
              <w:t>重庆经开区投资集团官网（http://www.cetzig.com/）</w:t>
            </w:r>
            <w:r>
              <w:rPr>
                <w:rFonts w:hint="eastAsia" w:ascii="宋体" w:hAnsi="宋体" w:cs="宋体"/>
                <w:color w:val="auto"/>
                <w:szCs w:val="21"/>
                <w:highlight w:val="none"/>
              </w:rPr>
              <w:t>上进行公示</w:t>
            </w:r>
            <w:r>
              <w:rPr>
                <w:rFonts w:hint="eastAsia" w:ascii="宋体" w:hAnsi="宋体" w:cs="宋体"/>
                <w:szCs w:val="21"/>
                <w:highlight w:val="none"/>
              </w:rPr>
              <w:t>，公示期为</w:t>
            </w:r>
            <w:r>
              <w:rPr>
                <w:rFonts w:hint="eastAsia" w:ascii="宋体" w:hAnsi="宋体" w:cs="宋体"/>
                <w:szCs w:val="21"/>
                <w:highlight w:val="none"/>
                <w:lang w:val="en-US" w:eastAsia="zh-CN"/>
              </w:rPr>
              <w:t>1个工作</w:t>
            </w:r>
            <w:r>
              <w:rPr>
                <w:rFonts w:hint="eastAsia" w:ascii="宋体" w:hAnsi="宋体" w:cs="宋体"/>
                <w:szCs w:val="21"/>
                <w:highlight w:val="none"/>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pPr>
              <w:numPr>
                <w:ilvl w:val="0"/>
                <w:numId w:val="1"/>
              </w:num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中标人是否提供履约担保：</w:t>
            </w:r>
            <w:r>
              <w:rPr>
                <w:rFonts w:hint="eastAsia" w:ascii="宋体" w:hAnsi="宋体"/>
                <w:kern w:val="0"/>
                <w:szCs w:val="21"/>
                <w:highlight w:val="none"/>
                <w:u w:val="single"/>
                <w:lang w:val="en-US" w:eastAsia="zh-CN"/>
              </w:rPr>
              <w:t>不</w:t>
            </w:r>
            <w:r>
              <w:rPr>
                <w:rFonts w:hint="eastAsia" w:ascii="宋体" w:hAnsi="宋体"/>
                <w:kern w:val="0"/>
                <w:szCs w:val="21"/>
                <w:highlight w:val="none"/>
                <w:u w:val="single"/>
              </w:rPr>
              <w:t>提供</w:t>
            </w:r>
            <w:r>
              <w:rPr>
                <w:rFonts w:hint="eastAsia" w:ascii="宋体" w:hAnsi="宋体"/>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w:t>
            </w:r>
            <w:r>
              <w:rPr>
                <w:rFonts w:hint="eastAsia" w:ascii="宋体" w:hAnsi="宋体"/>
                <w:kern w:val="0"/>
                <w:szCs w:val="21"/>
                <w:highlight w:val="none"/>
                <w:lang w:eastAsia="zh-CN"/>
              </w:rPr>
              <w:t>竞选人</w:t>
            </w:r>
            <w:r>
              <w:rPr>
                <w:rFonts w:ascii="宋体" w:hAnsi="宋体"/>
                <w:kern w:val="0"/>
                <w:szCs w:val="21"/>
                <w:highlight w:val="none"/>
              </w:rPr>
              <w:t>须知第8.1（1）执行；</w:t>
            </w:r>
          </w:p>
          <w:p>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w:t>
            </w:r>
            <w:r>
              <w:rPr>
                <w:rFonts w:hint="eastAsia" w:ascii="宋体" w:hAnsi="宋体"/>
                <w:kern w:val="0"/>
                <w:szCs w:val="21"/>
                <w:highlight w:val="none"/>
                <w:lang w:eastAsia="zh-CN"/>
              </w:rPr>
              <w:t>竞选人</w:t>
            </w:r>
            <w:r>
              <w:rPr>
                <w:rFonts w:ascii="宋体" w:hAnsi="宋体"/>
                <w:kern w:val="0"/>
                <w:szCs w:val="21"/>
                <w:highlight w:val="none"/>
              </w:rPr>
              <w:t>须知第8.1（2）执行；</w:t>
            </w:r>
          </w:p>
          <w:p>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须知第8.1（3）执行；</w:t>
            </w:r>
          </w:p>
          <w:p>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w:t>
            </w:r>
            <w:r>
              <w:rPr>
                <w:rFonts w:hint="eastAsia" w:ascii="宋体" w:hAnsi="宋体"/>
                <w:kern w:val="0"/>
                <w:szCs w:val="21"/>
                <w:highlight w:val="none"/>
                <w:lang w:eastAsia="zh-CN"/>
              </w:rPr>
              <w:t>竞选人</w:t>
            </w:r>
            <w:r>
              <w:rPr>
                <w:rFonts w:ascii="宋体" w:hAnsi="宋体"/>
                <w:kern w:val="0"/>
                <w:szCs w:val="21"/>
                <w:highlight w:val="none"/>
              </w:rPr>
              <w:t>须知第8.1（4）执行</w:t>
            </w:r>
            <w:r>
              <w:rPr>
                <w:rFonts w:hint="eastAsia" w:ascii="宋体" w:hAnsi="宋体"/>
                <w:kern w:val="0"/>
                <w:szCs w:val="21"/>
                <w:highlight w:val="none"/>
              </w:rPr>
              <w:t>。</w:t>
            </w:r>
          </w:p>
          <w:p>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pPr>
              <w:snapToGrid w:val="0"/>
              <w:spacing w:line="400" w:lineRule="exact"/>
              <w:jc w:val="center"/>
              <w:rPr>
                <w:highlight w:val="none"/>
              </w:rPr>
            </w:pPr>
            <w:bookmarkStart w:id="105" w:name="_Toc13210670"/>
            <w:bookmarkStart w:id="106" w:name="_Toc509218709"/>
            <w:bookmarkStart w:id="107" w:name="_Toc16930431"/>
            <w:bookmarkStart w:id="108" w:name="_Toc536628250"/>
            <w:bookmarkStart w:id="109" w:name="_Toc430530434"/>
            <w:r>
              <w:rPr>
                <w:rFonts w:hint="eastAsia" w:ascii="宋体" w:hAnsi="宋体"/>
                <w:kern w:val="0"/>
                <w:szCs w:val="21"/>
                <w:highlight w:val="none"/>
              </w:rPr>
              <w:t>重新</w:t>
            </w:r>
            <w:r>
              <w:rPr>
                <w:rFonts w:ascii="宋体" w:hAnsi="宋体"/>
                <w:kern w:val="0"/>
                <w:szCs w:val="21"/>
                <w:highlight w:val="none"/>
              </w:rPr>
              <w:t>招标和不再招标</w:t>
            </w:r>
            <w:bookmarkEnd w:id="105"/>
            <w:bookmarkEnd w:id="106"/>
            <w:bookmarkEnd w:id="107"/>
            <w:bookmarkEnd w:id="108"/>
            <w:bookmarkEnd w:id="109"/>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仍然少于三个的，按照招标投标法律法规规定的程序开标和评标。重新招标经评审有有效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的，应当依法确定中标候选人；无有效</w:t>
            </w:r>
            <w:r>
              <w:rPr>
                <w:rFonts w:hint="eastAsia" w:ascii="宋体" w:hAnsi="宋体"/>
                <w:snapToGrid w:val="0"/>
                <w:kern w:val="0"/>
                <w:szCs w:val="21"/>
                <w:highlight w:val="none"/>
                <w:lang w:eastAsia="zh-CN"/>
              </w:rPr>
              <w:t>竞选人</w:t>
            </w:r>
            <w:r>
              <w:rPr>
                <w:rFonts w:hint="eastAsia" w:ascii="宋体" w:hAnsi="宋体"/>
                <w:snapToGrid w:val="0"/>
                <w:kern w:val="0"/>
                <w:szCs w:val="21"/>
                <w:highlight w:val="none"/>
              </w:rPr>
              <w:t>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sz w:val="21"/>
                <w:szCs w:val="21"/>
              </w:rPr>
              <w:t>10.1</w:t>
            </w:r>
          </w:p>
        </w:tc>
        <w:tc>
          <w:tcPr>
            <w:tcW w:w="1644" w:type="dxa"/>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结算及</w:t>
            </w:r>
            <w:r>
              <w:rPr>
                <w:rFonts w:hint="eastAsia" w:asciiTheme="minorEastAsia" w:hAnsiTheme="minorEastAsia" w:eastAsiaTheme="minorEastAsia" w:cstheme="minorEastAsia"/>
                <w:sz w:val="21"/>
                <w:szCs w:val="21"/>
              </w:rPr>
              <w:t>支付</w:t>
            </w:r>
          </w:p>
        </w:tc>
        <w:tc>
          <w:tcPr>
            <w:tcW w:w="6490" w:type="dxa"/>
            <w:vAlign w:val="top"/>
          </w:tcPr>
          <w:p>
            <w:pPr>
              <w:spacing w:line="360" w:lineRule="auto"/>
              <w:ind w:firstLine="422" w:firstLineChars="200"/>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结算原则：</w:t>
            </w:r>
          </w:p>
          <w:p>
            <w:pPr>
              <w:pStyle w:val="18"/>
              <w:ind w:firstLine="420" w:firstLineChars="200"/>
              <w:rPr>
                <w:rFonts w:hint="default" w:eastAsiaTheme="minorEastAsia"/>
                <w:b w:val="0"/>
                <w:bCs/>
                <w:lang w:val="en-US" w:eastAsia="zh-CN"/>
              </w:rPr>
            </w:pPr>
            <w:r>
              <w:rPr>
                <w:rFonts w:hint="eastAsia" w:asciiTheme="minorEastAsia" w:hAnsiTheme="minorEastAsia" w:eastAsiaTheme="minorEastAsia" w:cstheme="minorEastAsia"/>
                <w:b w:val="0"/>
                <w:bCs/>
                <w:kern w:val="0"/>
                <w:szCs w:val="21"/>
                <w:highlight w:val="none"/>
                <w:lang w:val="en-US" w:eastAsia="zh-CN"/>
              </w:rPr>
              <w:t>结算金额=∑媒体广告单价×数量+∑户外广告牌单价×数量+∑物业广告单价×数量</w:t>
            </w:r>
          </w:p>
          <w:p>
            <w:pPr>
              <w:spacing w:line="360" w:lineRule="auto"/>
              <w:ind w:firstLine="422" w:firstLineChars="200"/>
              <w:rPr>
                <w:rFonts w:hint="default" w:ascii="宋体" w:hAnsi="宋体" w:eastAsia="宋体" w:cs="宋体"/>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支付方式：</w:t>
            </w:r>
            <w:r>
              <w:rPr>
                <w:rFonts w:hint="eastAsia" w:asciiTheme="minorEastAsia" w:hAnsiTheme="minorEastAsia" w:eastAsiaTheme="minorEastAsia" w:cstheme="minorEastAsia"/>
                <w:b w:val="0"/>
                <w:bCs/>
                <w:kern w:val="0"/>
                <w:sz w:val="21"/>
                <w:szCs w:val="21"/>
                <w:highlight w:val="none"/>
                <w:lang w:val="en-US" w:eastAsia="zh-CN" w:bidi="ar-SA"/>
              </w:rPr>
              <w:t>广告发布完毕并通过比选人验收合格后30个工作日内，比选人一次性向竞选人支付全部广告费用。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ascii="宋体" w:hAnsi="宋体"/>
                <w:kern w:val="0"/>
                <w:szCs w:val="21"/>
                <w:highlight w:val="none"/>
              </w:rPr>
              <w:t>10.</w:t>
            </w:r>
            <w:r>
              <w:rPr>
                <w:rFonts w:hint="eastAsia" w:ascii="宋体" w:hAnsi="宋体"/>
                <w:kern w:val="0"/>
                <w:szCs w:val="21"/>
                <w:highlight w:val="none"/>
                <w:lang w:val="en-US" w:eastAsia="zh-CN"/>
              </w:rPr>
              <w:t>4</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hint="eastAsia" w:ascii="宋体" w:hAnsi="宋体"/>
                <w:kern w:val="0"/>
                <w:szCs w:val="21"/>
                <w:highlight w:val="none"/>
                <w:lang w:eastAsia="zh-CN"/>
              </w:rPr>
              <w:t>竞选人</w:t>
            </w:r>
            <w:r>
              <w:rPr>
                <w:rFonts w:ascii="宋体" w:hAnsi="宋体"/>
                <w:kern w:val="0"/>
                <w:szCs w:val="21"/>
                <w:highlight w:val="none"/>
              </w:rPr>
              <w:t>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w:t>
            </w:r>
            <w:r>
              <w:rPr>
                <w:rFonts w:hint="eastAsia" w:ascii="宋体" w:hAnsi="宋体"/>
                <w:kern w:val="0"/>
                <w:szCs w:val="21"/>
                <w:highlight w:val="none"/>
                <w:lang w:eastAsia="zh-CN"/>
              </w:rPr>
              <w:t>比选人</w:t>
            </w:r>
            <w:r>
              <w:rPr>
                <w:rFonts w:ascii="宋体" w:hAnsi="宋体"/>
                <w:kern w:val="0"/>
                <w:szCs w:val="21"/>
                <w:highlight w:val="none"/>
              </w:rPr>
              <w:t>提出异议；</w:t>
            </w:r>
            <w:r>
              <w:rPr>
                <w:rFonts w:hint="eastAsia" w:ascii="宋体" w:hAnsi="宋体"/>
                <w:kern w:val="0"/>
                <w:szCs w:val="21"/>
                <w:highlight w:val="none"/>
                <w:lang w:eastAsia="zh-CN"/>
              </w:rPr>
              <w:t>比选人</w:t>
            </w:r>
            <w:r>
              <w:rPr>
                <w:rFonts w:ascii="宋体" w:hAnsi="宋体"/>
                <w:kern w:val="0"/>
                <w:szCs w:val="21"/>
                <w:highlight w:val="none"/>
              </w:rPr>
              <w:t>应当在规定时间内答复；对</w:t>
            </w:r>
            <w:r>
              <w:rPr>
                <w:rFonts w:hint="eastAsia" w:ascii="宋体" w:hAnsi="宋体"/>
                <w:kern w:val="0"/>
                <w:szCs w:val="21"/>
                <w:highlight w:val="none"/>
                <w:lang w:eastAsia="zh-CN"/>
              </w:rPr>
              <w:t>比选人</w:t>
            </w:r>
            <w:r>
              <w:rPr>
                <w:rFonts w:ascii="宋体" w:hAnsi="宋体"/>
                <w:kern w:val="0"/>
                <w:szCs w:val="21"/>
                <w:highlight w:val="none"/>
              </w:rPr>
              <w:t>的答复不满意，可向行政监督部门投诉。</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关于印发&lt;重庆市招标投标活动投诉处理实施细则（修订）&gt;的通知</w:t>
            </w:r>
            <w:r>
              <w:rPr>
                <w:rFonts w:hint="eastAsia" w:ascii="宋体" w:hAnsi="宋体" w:eastAsia="宋体" w:cs="宋体"/>
                <w:color w:val="auto"/>
                <w:kern w:val="0"/>
                <w:szCs w:val="21"/>
                <w:highlight w:val="none"/>
              </w:rPr>
              <w:t>》（</w:t>
            </w:r>
            <w:r>
              <w:rPr>
                <w:rFonts w:hint="eastAsia" w:ascii="宋体" w:hAnsi="宋体" w:eastAsia="宋体" w:cs="宋体"/>
                <w:kern w:val="0"/>
                <w:szCs w:val="21"/>
                <w:highlight w:val="none"/>
              </w:rPr>
              <w:t>渝公管发〔2021〕54号</w:t>
            </w:r>
            <w:r>
              <w:rPr>
                <w:rFonts w:hint="eastAsia" w:ascii="宋体" w:hAnsi="宋体" w:eastAsia="宋体" w:cs="宋体"/>
                <w:color w:val="auto"/>
                <w:kern w:val="0"/>
                <w:szCs w:val="21"/>
                <w:highlight w:val="none"/>
              </w:rPr>
              <w:t>）</w:t>
            </w:r>
            <w:r>
              <w:rPr>
                <w:rFonts w:ascii="宋体" w:hAnsi="宋体"/>
                <w:kern w:val="0"/>
                <w:szCs w:val="21"/>
                <w:highlight w:val="none"/>
              </w:rPr>
              <w:t>等法律法规文件处理投诉。</w:t>
            </w:r>
          </w:p>
          <w:p>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w:t>
            </w:r>
            <w:r>
              <w:rPr>
                <w:rFonts w:hint="eastAsia" w:ascii="宋体" w:hAnsi="宋体"/>
                <w:kern w:val="0"/>
                <w:szCs w:val="21"/>
                <w:highlight w:val="none"/>
                <w:lang w:eastAsia="zh-CN"/>
              </w:rPr>
              <w:t>竞选人</w:t>
            </w:r>
            <w:r>
              <w:rPr>
                <w:rFonts w:hint="eastAsia" w:ascii="宋体" w:hAnsi="宋体"/>
                <w:kern w:val="0"/>
                <w:szCs w:val="21"/>
                <w:highlight w:val="none"/>
              </w:rPr>
              <w:t>捏造事实、伪造材料，或者以非法手段获取证明材料进行质疑或者投诉的，将被列入黑名单管理；</w:t>
            </w:r>
            <w:r>
              <w:rPr>
                <w:rFonts w:ascii="宋体" w:hAnsi="宋体"/>
                <w:kern w:val="0"/>
                <w:szCs w:val="21"/>
                <w:highlight w:val="none"/>
              </w:rPr>
              <w:t>给他人造成损失的，依法承担赔偿责任。</w:t>
            </w:r>
          </w:p>
          <w:p>
            <w:pPr>
              <w:widowControl/>
              <w:spacing w:line="400" w:lineRule="exact"/>
              <w:ind w:firstLine="420" w:firstLineChars="200"/>
              <w:rPr>
                <w:rFonts w:hint="default" w:ascii="宋体" w:hAnsi="宋体"/>
                <w:color w:val="auto"/>
                <w:kern w:val="0"/>
                <w:szCs w:val="21"/>
                <w:highlight w:val="none"/>
                <w:lang w:val="en-US"/>
              </w:rPr>
            </w:pPr>
            <w:r>
              <w:rPr>
                <w:rFonts w:hint="eastAsia" w:ascii="宋体" w:hAnsi="宋体"/>
                <w:color w:val="auto"/>
                <w:kern w:val="0"/>
                <w:szCs w:val="21"/>
                <w:highlight w:val="none"/>
              </w:rPr>
              <w:t>4.异议受理单位：</w:t>
            </w:r>
            <w:r>
              <w:rPr>
                <w:rFonts w:hint="eastAsia" w:ascii="宋体" w:hAnsi="宋体"/>
                <w:color w:val="auto"/>
                <w:kern w:val="0"/>
                <w:szCs w:val="21"/>
                <w:highlight w:val="none"/>
                <w:lang w:eastAsia="zh-CN"/>
              </w:rPr>
              <w:t>重庆经开区投资集团有限公司</w:t>
            </w:r>
          </w:p>
          <w:p>
            <w:pPr>
              <w:widowControl/>
              <w:spacing w:line="400" w:lineRule="exact"/>
              <w:ind w:firstLine="630" w:firstLineChars="300"/>
              <w:rPr>
                <w:rFonts w:hint="default" w:ascii="宋体" w:hAnsi="宋体" w:eastAsia="宋体"/>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62637528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highlight w:val="none"/>
                <w:lang w:eastAsia="zh-CN"/>
              </w:rPr>
            </w:pPr>
            <w:r>
              <w:rPr>
                <w:rFonts w:hint="eastAsia" w:ascii="宋体" w:hAnsi="宋体"/>
                <w:kern w:val="0"/>
                <w:szCs w:val="21"/>
                <w:highlight w:val="none"/>
              </w:rPr>
              <w:t>10.</w:t>
            </w:r>
            <w:r>
              <w:rPr>
                <w:rFonts w:hint="eastAsia" w:ascii="宋体" w:hAnsi="宋体"/>
                <w:kern w:val="0"/>
                <w:szCs w:val="21"/>
                <w:highlight w:val="none"/>
                <w:lang w:val="en-US" w:eastAsia="zh-CN"/>
              </w:rPr>
              <w:t>5</w:t>
            </w:r>
          </w:p>
        </w:tc>
        <w:tc>
          <w:tcPr>
            <w:tcW w:w="1644" w:type="dxa"/>
            <w:vAlign w:val="center"/>
          </w:tcPr>
          <w:p>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w:t>
            </w:r>
            <w:r>
              <w:rPr>
                <w:rFonts w:hint="eastAsia" w:ascii="宋体" w:hAnsi="宋体"/>
                <w:kern w:val="0"/>
                <w:szCs w:val="21"/>
                <w:highlight w:val="none"/>
                <w:lang w:val="en-US" w:eastAsia="zh-CN"/>
              </w:rPr>
              <w:t>比选</w:t>
            </w:r>
            <w:r>
              <w:rPr>
                <w:rFonts w:hint="eastAsia" w:ascii="宋体" w:hAnsi="宋体"/>
                <w:kern w:val="0"/>
                <w:szCs w:val="21"/>
                <w:highlight w:val="none"/>
              </w:rPr>
              <w:t>文件及投标争议的解释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w:t>
            </w:r>
            <w:r>
              <w:rPr>
                <w:rFonts w:hint="eastAsia" w:ascii="宋体" w:hAnsi="宋体"/>
                <w:kern w:val="0"/>
                <w:szCs w:val="21"/>
                <w:highlight w:val="none"/>
                <w:lang w:val="en-US" w:eastAsia="zh-CN"/>
              </w:rPr>
              <w:t>比选</w:t>
            </w:r>
            <w:r>
              <w:rPr>
                <w:rFonts w:hint="eastAsia" w:ascii="宋体" w:hAnsi="宋体"/>
                <w:kern w:val="0"/>
                <w:szCs w:val="21"/>
                <w:highlight w:val="none"/>
              </w:rPr>
              <w:t>文件的评标标准和方法，以及资格审查和否决投标条款理解有争议的，应当作出不利于</w:t>
            </w:r>
            <w:r>
              <w:rPr>
                <w:rFonts w:hint="eastAsia" w:ascii="宋体" w:hAnsi="宋体"/>
                <w:kern w:val="0"/>
                <w:szCs w:val="21"/>
                <w:highlight w:val="none"/>
                <w:lang w:eastAsia="zh-CN"/>
              </w:rPr>
              <w:t>比选人</w:t>
            </w:r>
            <w:r>
              <w:rPr>
                <w:rFonts w:hint="eastAsia" w:ascii="宋体" w:hAnsi="宋体"/>
                <w:kern w:val="0"/>
                <w:szCs w:val="21"/>
                <w:highlight w:val="none"/>
              </w:rPr>
              <w:t>的解释，但违背国家利益、社会公共利益的除外。</w:t>
            </w:r>
          </w:p>
          <w:p>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w:t>
            </w:r>
            <w:r>
              <w:rPr>
                <w:rFonts w:hint="eastAsia" w:ascii="宋体" w:hAnsi="宋体"/>
                <w:kern w:val="0"/>
                <w:szCs w:val="21"/>
                <w:highlight w:val="none"/>
                <w:lang w:eastAsia="zh-CN"/>
              </w:rPr>
              <w:t>竞选文件</w:t>
            </w:r>
            <w:r>
              <w:rPr>
                <w:rFonts w:hint="eastAsia" w:ascii="宋体" w:hAnsi="宋体"/>
                <w:kern w:val="0"/>
                <w:szCs w:val="21"/>
                <w:highlight w:val="none"/>
              </w:rPr>
              <w:t>理解有争议的，应当作出不利于提交该</w:t>
            </w:r>
            <w:r>
              <w:rPr>
                <w:rFonts w:hint="eastAsia" w:ascii="宋体" w:hAnsi="宋体"/>
                <w:kern w:val="0"/>
                <w:szCs w:val="21"/>
                <w:highlight w:val="none"/>
                <w:lang w:eastAsia="zh-CN"/>
              </w:rPr>
              <w:t>竞选文件</w:t>
            </w:r>
            <w:r>
              <w:rPr>
                <w:rFonts w:hint="eastAsia" w:ascii="宋体" w:hAnsi="宋体"/>
                <w:kern w:val="0"/>
                <w:szCs w:val="21"/>
                <w:highlight w:val="none"/>
              </w:rPr>
              <w:t>的</w:t>
            </w:r>
            <w:r>
              <w:rPr>
                <w:rFonts w:hint="eastAsia" w:ascii="宋体" w:hAnsi="宋体"/>
                <w:kern w:val="0"/>
                <w:szCs w:val="21"/>
                <w:highlight w:val="none"/>
                <w:lang w:eastAsia="zh-CN"/>
              </w:rPr>
              <w:t>竞选人</w:t>
            </w:r>
            <w:r>
              <w:rPr>
                <w:rFonts w:hint="eastAsia" w:ascii="宋体" w:hAnsi="宋体"/>
                <w:kern w:val="0"/>
                <w:szCs w:val="21"/>
                <w:highlight w:val="none"/>
              </w:rPr>
              <w:t>的解释。</w:t>
            </w:r>
          </w:p>
        </w:tc>
      </w:tr>
    </w:tbl>
    <w:p>
      <w:pPr>
        <w:pStyle w:val="4"/>
        <w:spacing w:before="0" w:after="0" w:line="200" w:lineRule="exact"/>
        <w:outlineLvl w:val="9"/>
        <w:rPr>
          <w:rFonts w:ascii="宋体" w:hAnsi="宋体"/>
          <w:b w:val="0"/>
          <w:snapToGrid w:val="0"/>
          <w:highlight w:val="none"/>
        </w:rPr>
      </w:pPr>
      <w:bookmarkStart w:id="110" w:name="_Toc287620685"/>
      <w:bookmarkStart w:id="111" w:name="_Toc287607746"/>
      <w:bookmarkStart w:id="112" w:name="_Toc430530435"/>
      <w:bookmarkStart w:id="113" w:name="_Toc277082552"/>
      <w:bookmarkStart w:id="114" w:name="_Toc224103317"/>
      <w:bookmarkStart w:id="115" w:name="_Toc200513126"/>
    </w:p>
    <w:bookmarkEnd w:id="110"/>
    <w:bookmarkEnd w:id="111"/>
    <w:bookmarkEnd w:id="112"/>
    <w:bookmarkEnd w:id="113"/>
    <w:bookmarkEnd w:id="114"/>
    <w:bookmarkEnd w:id="115"/>
    <w:p>
      <w:pPr>
        <w:pStyle w:val="5"/>
        <w:pageBreakBefore w:val="0"/>
        <w:kinsoku/>
        <w:wordWrap/>
        <w:overflowPunct/>
        <w:topLinePunct w:val="0"/>
        <w:bidi w:val="0"/>
        <w:spacing w:before="0" w:after="0" w:line="360" w:lineRule="auto"/>
        <w:textAlignment w:val="auto"/>
        <w:outlineLvl w:val="9"/>
        <w:rPr>
          <w:rFonts w:hint="eastAsia" w:ascii="宋体" w:hAnsi="宋体" w:eastAsia="宋体" w:cs="宋体"/>
          <w:color w:val="auto"/>
          <w:sz w:val="21"/>
          <w:szCs w:val="21"/>
          <w:highlight w:val="none"/>
        </w:rPr>
        <w:sectPr>
          <w:pgSz w:w="11906" w:h="16838"/>
          <w:pgMar w:top="1134" w:right="1418" w:bottom="1134" w:left="1418" w:header="851" w:footer="992" w:gutter="0"/>
          <w:cols w:space="720" w:num="1"/>
          <w:docGrid w:type="lines" w:linePitch="312" w:charSpace="0"/>
        </w:sectPr>
      </w:pPr>
      <w:bookmarkStart w:id="116" w:name="_Toc19008"/>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1.总则</w:t>
      </w:r>
      <w:bookmarkEnd w:id="116"/>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17" w:name="_Toc293756837"/>
      <w:bookmarkStart w:id="118" w:name="_Toc9752"/>
      <w:bookmarkStart w:id="119" w:name="_Toc293756840"/>
      <w:r>
        <w:rPr>
          <w:rFonts w:hint="eastAsia" w:ascii="宋体" w:hAnsi="宋体" w:eastAsia="宋体" w:cs="宋体"/>
          <w:color w:val="auto"/>
          <w:sz w:val="21"/>
          <w:szCs w:val="21"/>
          <w:highlight w:val="none"/>
        </w:rPr>
        <w:t>1.1 项目概况</w:t>
      </w:r>
      <w:bookmarkEnd w:id="117"/>
      <w:bookmarkEnd w:id="11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1.1.1根据《中华人民共和国招标投标法》等有关法律、法规和规章的规定，本招标项目已具备</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条件，现对本标段施工进行</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本比选项目比选人、比选代理机构、项目名称、</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本招标项目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本招标项目名称：见投标人须知前附表。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本招标项目地点：见投标人须知前附表。</w:t>
      </w:r>
    </w:p>
    <w:p>
      <w:pPr>
        <w:pageBreakBefore w:val="0"/>
        <w:kinsoku/>
        <w:wordWrap/>
        <w:overflowPunct/>
        <w:topLinePunct w:val="0"/>
        <w:bidi w:val="0"/>
        <w:spacing w:line="360" w:lineRule="auto"/>
        <w:ind w:firstLine="420" w:firstLineChars="200"/>
        <w:textAlignment w:val="auto"/>
        <w:rPr>
          <w:rFonts w:hint="eastAsia"/>
          <w:color w:val="auto"/>
          <w:highlight w:val="none"/>
        </w:rPr>
      </w:pPr>
      <w:r>
        <w:rPr>
          <w:rFonts w:hint="eastAsia" w:ascii="宋体" w:hAnsi="宋体" w:eastAsia="宋体" w:cs="宋体"/>
          <w:color w:val="auto"/>
          <w:sz w:val="21"/>
          <w:szCs w:val="21"/>
          <w:highlight w:val="none"/>
        </w:rPr>
        <w:t>1.1.6  本招标项目</w:t>
      </w:r>
      <w:r>
        <w:rPr>
          <w:rFonts w:hint="eastAsia" w:ascii="宋体" w:hAnsi="宋体" w:cs="宋体"/>
          <w:color w:val="auto"/>
          <w:sz w:val="21"/>
          <w:szCs w:val="21"/>
          <w:highlight w:val="none"/>
          <w:lang w:val="en-US" w:eastAsia="zh-CN"/>
        </w:rPr>
        <w:t>概况</w:t>
      </w:r>
      <w:r>
        <w:rPr>
          <w:rFonts w:hint="eastAsia" w:ascii="宋体" w:hAnsi="宋体" w:eastAsia="宋体" w:cs="宋体"/>
          <w:color w:val="auto"/>
          <w:sz w:val="21"/>
          <w:szCs w:val="21"/>
          <w:highlight w:val="none"/>
        </w:rPr>
        <w:t>：见投标人须知前附表。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0" w:name="_Toc5437"/>
      <w:bookmarkStart w:id="121" w:name="_Toc293756838"/>
      <w:r>
        <w:rPr>
          <w:rFonts w:hint="eastAsia" w:ascii="宋体" w:hAnsi="宋体" w:eastAsia="宋体" w:cs="宋体"/>
          <w:color w:val="auto"/>
          <w:sz w:val="21"/>
          <w:szCs w:val="21"/>
          <w:highlight w:val="none"/>
        </w:rPr>
        <w:t>1.2 资金来源和落实情况</w:t>
      </w:r>
      <w:bookmarkEnd w:id="120"/>
      <w:bookmarkEnd w:id="12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22" w:name="_Toc293756839"/>
      <w:r>
        <w:rPr>
          <w:rFonts w:hint="eastAsia" w:ascii="宋体" w:hAnsi="宋体" w:eastAsia="宋体" w:cs="宋体"/>
          <w:color w:val="auto"/>
          <w:sz w:val="21"/>
          <w:szCs w:val="21"/>
          <w:highlight w:val="none"/>
        </w:rPr>
        <w:t>1.2.1  本招标项目的资金来源：见投标人须知前附表。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本招标项目的出资比例：见投标人须知前附表。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本招标项目的资金落实情况：见投标人须知前附表。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3" w:name="_Toc19957"/>
      <w:r>
        <w:rPr>
          <w:rFonts w:hint="eastAsia" w:ascii="宋体" w:hAnsi="宋体" w:eastAsia="宋体" w:cs="宋体"/>
          <w:color w:val="auto"/>
          <w:sz w:val="21"/>
          <w:szCs w:val="21"/>
          <w:highlight w:val="none"/>
        </w:rPr>
        <w:t>1.3 比选范围、计划工期和质量要求</w:t>
      </w:r>
      <w:bookmarkEnd w:id="122"/>
      <w:bookmarkEnd w:id="12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1.3.2  </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质量要求：见投标人须知前附表。</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4" w:name="_Toc9928"/>
      <w:r>
        <w:rPr>
          <w:rFonts w:hint="eastAsia" w:ascii="宋体" w:hAnsi="宋体" w:eastAsia="宋体" w:cs="宋体"/>
          <w:color w:val="auto"/>
          <w:sz w:val="21"/>
          <w:szCs w:val="21"/>
          <w:highlight w:val="none"/>
        </w:rPr>
        <w:t xml:space="preserve">1.4 </w:t>
      </w:r>
      <w:bookmarkEnd w:id="119"/>
      <w:r>
        <w:rPr>
          <w:rFonts w:hint="eastAsia" w:ascii="宋体" w:hAnsi="宋体" w:eastAsia="宋体" w:cs="宋体"/>
          <w:color w:val="auto"/>
          <w:sz w:val="21"/>
          <w:szCs w:val="21"/>
          <w:highlight w:val="none"/>
          <w:lang w:eastAsia="zh-CN"/>
        </w:rPr>
        <w:t>投标人资格要求</w:t>
      </w:r>
      <w:bookmarkEnd w:id="12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人应具备承担本标段施工的资质条件、能力: 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资质条件：见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）其他主要管理人员要求：见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）委托代理人：见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）其他要求：见投标人须知前附表。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本次比选不接受联合体。</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人不得存在下列情形之一：</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人存在利害关系可能影响招标公正性的法人、其他组织或者个人；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（2）为本标段前期准备提供设计或咨询服务的，但设计施工总承包的除外；</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（3）为本标段的监理人；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代理服务的；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代理机构同为一个法定代表人的；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代理机构相互控股或参股的；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代理机构相互任职或工作的；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（9）被责令停业的；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（10）被国家、重庆市（含市或任意区县）有关行政部门处以暂停投标资格行政处罚，且在处罚期限内的；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（11）财产被接管或冻结的；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（12）单位负责人为同一人或者存在控股、管理关系的不同单位，不得在同一标段中同时投标。</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5" w:name="_Toc4874"/>
      <w:bookmarkStart w:id="126" w:name="_Toc293756841"/>
      <w:r>
        <w:rPr>
          <w:rFonts w:hint="eastAsia" w:ascii="宋体" w:hAnsi="宋体" w:eastAsia="宋体" w:cs="宋体"/>
          <w:color w:val="auto"/>
          <w:sz w:val="21"/>
          <w:szCs w:val="21"/>
          <w:highlight w:val="none"/>
        </w:rPr>
        <w:t>1.5 费用承担</w:t>
      </w:r>
      <w:bookmarkEnd w:id="125"/>
      <w:bookmarkEnd w:id="126"/>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人准备和参加比选活动发生的费用自理。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7" w:name="_Toc11009"/>
      <w:bookmarkStart w:id="128" w:name="_Toc293756842"/>
      <w:r>
        <w:rPr>
          <w:rFonts w:hint="eastAsia" w:ascii="宋体" w:hAnsi="宋体" w:eastAsia="宋体" w:cs="宋体"/>
          <w:color w:val="auto"/>
          <w:sz w:val="21"/>
          <w:szCs w:val="21"/>
          <w:highlight w:val="none"/>
        </w:rPr>
        <w:t>1.6 保密</w:t>
      </w:r>
      <w:bookmarkEnd w:id="127"/>
      <w:bookmarkEnd w:id="12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参与比选活动的各方应对比选文件和比选文件中的商业和技术等秘密保密，违者应对由此造成的后果承担法律责任。</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29" w:name="_Toc293756843"/>
      <w:bookmarkStart w:id="130" w:name="_Toc18963"/>
      <w:r>
        <w:rPr>
          <w:rFonts w:hint="eastAsia" w:ascii="宋体" w:hAnsi="宋体" w:eastAsia="宋体" w:cs="宋体"/>
          <w:color w:val="auto"/>
          <w:sz w:val="21"/>
          <w:szCs w:val="21"/>
          <w:highlight w:val="none"/>
        </w:rPr>
        <w:t>1.7 语言文字</w:t>
      </w:r>
      <w:bookmarkEnd w:id="129"/>
      <w:bookmarkEnd w:id="130"/>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除专用术语外，与比选有关的语言均使用中文。必要时专用术语应附有中文注释。</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1" w:name="_Toc293756844"/>
      <w:bookmarkStart w:id="132" w:name="_Toc104"/>
      <w:r>
        <w:rPr>
          <w:rFonts w:hint="eastAsia" w:ascii="宋体" w:hAnsi="宋体" w:eastAsia="宋体" w:cs="宋体"/>
          <w:color w:val="auto"/>
          <w:sz w:val="21"/>
          <w:szCs w:val="21"/>
          <w:highlight w:val="none"/>
        </w:rPr>
        <w:t>1.8 计量单位</w:t>
      </w:r>
      <w:bookmarkEnd w:id="131"/>
      <w:bookmarkEnd w:id="13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所有计量均采用中华人民共和国法定计量单位。</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3" w:name="_Toc293756845"/>
      <w:bookmarkStart w:id="134" w:name="_Toc2427"/>
      <w:r>
        <w:rPr>
          <w:rFonts w:hint="eastAsia" w:ascii="宋体" w:hAnsi="宋体" w:eastAsia="宋体" w:cs="宋体"/>
          <w:color w:val="auto"/>
          <w:sz w:val="21"/>
          <w:szCs w:val="21"/>
          <w:highlight w:val="none"/>
        </w:rPr>
        <w:t>1.9 踏勘现场</w:t>
      </w:r>
      <w:bookmarkEnd w:id="133"/>
      <w:bookmarkEnd w:id="134"/>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投标人须知前附表规定组织踏勘现场的，</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按投标人须知前附表规定的时间、 地点组织投标人踏勘项目现场。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投标人踏勘现场发生的费用自理。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除</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人的原因外，投标人自行负责在踏勘现场中所发生的人员伤亡和财产损失。</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人在踏勘现场中介绍的工程场地和相关的周边环境情况，供投标人在编制投标文件时参考，</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人不对投标人据此做出的判断和决策负责。</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5" w:name="_Toc30203"/>
      <w:bookmarkStart w:id="136" w:name="_Toc293756846"/>
      <w:r>
        <w:rPr>
          <w:rFonts w:hint="eastAsia" w:ascii="宋体" w:hAnsi="宋体" w:eastAsia="宋体" w:cs="宋体"/>
          <w:color w:val="auto"/>
          <w:sz w:val="21"/>
          <w:szCs w:val="21"/>
          <w:highlight w:val="none"/>
        </w:rPr>
        <w:t>1.10 比选预备会</w:t>
      </w:r>
      <w:bookmarkEnd w:id="135"/>
      <w:bookmarkEnd w:id="136"/>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1.10.1  投标人须知前附表规定召开投标预备会的，</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1.10.2  投标人应在投标人须知前附表</w:t>
      </w:r>
      <w:r>
        <w:rPr>
          <w:rFonts w:hint="eastAsia" w:ascii="宋体" w:hAnsi="宋体" w:eastAsia="宋体" w:cs="宋体"/>
          <w:color w:val="auto"/>
          <w:kern w:val="0"/>
          <w:sz w:val="21"/>
          <w:szCs w:val="21"/>
          <w:highlight w:val="none"/>
        </w:rPr>
        <w:t>2.2.4</w:t>
      </w:r>
      <w:r>
        <w:rPr>
          <w:rFonts w:hint="eastAsia" w:ascii="宋体" w:hAnsi="宋体" w:eastAsia="宋体" w:cs="宋体"/>
          <w:snapToGrid w:val="0"/>
          <w:color w:val="auto"/>
          <w:kern w:val="0"/>
          <w:sz w:val="21"/>
          <w:szCs w:val="21"/>
          <w:highlight w:val="none"/>
        </w:rPr>
        <w:t>规定的时间前，以书面形式将提出的问题送达</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，以便</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澄清。</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 xml:space="preserve">1.10.3  </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在投标人须知前附表规定的时间内，将对投标人所提</w:t>
      </w:r>
      <w:r>
        <w:rPr>
          <w:rFonts w:hint="eastAsia" w:ascii="宋体" w:hAnsi="宋体" w:eastAsia="宋体" w:cs="宋体"/>
          <w:snapToGrid w:val="0"/>
          <w:color w:val="auto"/>
          <w:kern w:val="0"/>
          <w:position w:val="-2"/>
          <w:sz w:val="21"/>
          <w:szCs w:val="21"/>
          <w:highlight w:val="none"/>
        </w:rPr>
        <w:t>的</w:t>
      </w:r>
      <w:r>
        <w:rPr>
          <w:rFonts w:hint="eastAsia" w:ascii="宋体" w:hAnsi="宋体" w:eastAsia="宋体" w:cs="宋体"/>
          <w:snapToGrid w:val="0"/>
          <w:color w:val="auto"/>
          <w:kern w:val="0"/>
          <w:sz w:val="21"/>
          <w:szCs w:val="21"/>
          <w:highlight w:val="none"/>
        </w:rPr>
        <w:t>问题</w:t>
      </w:r>
      <w:r>
        <w:rPr>
          <w:rFonts w:hint="eastAsia" w:ascii="宋体" w:hAnsi="宋体" w:eastAsia="宋体" w:cs="宋体"/>
          <w:snapToGrid w:val="0"/>
          <w:color w:val="auto"/>
          <w:kern w:val="0"/>
          <w:position w:val="-2"/>
          <w:sz w:val="21"/>
          <w:szCs w:val="21"/>
          <w:highlight w:val="none"/>
        </w:rPr>
        <w:t>进行澄清。该澄清内容为</w:t>
      </w:r>
      <w:r>
        <w:rPr>
          <w:rFonts w:hint="eastAsia" w:ascii="宋体" w:hAnsi="宋体" w:eastAsia="宋体" w:cs="宋体"/>
          <w:snapToGrid w:val="0"/>
          <w:color w:val="auto"/>
          <w:kern w:val="0"/>
          <w:position w:val="-2"/>
          <w:sz w:val="21"/>
          <w:szCs w:val="21"/>
          <w:highlight w:val="none"/>
          <w:lang w:val="en-US" w:eastAsia="zh-CN"/>
        </w:rPr>
        <w:t>比选</w:t>
      </w:r>
      <w:r>
        <w:rPr>
          <w:rFonts w:hint="eastAsia" w:ascii="宋体" w:hAnsi="宋体" w:eastAsia="宋体" w:cs="宋体"/>
          <w:snapToGrid w:val="0"/>
          <w:color w:val="auto"/>
          <w:kern w:val="0"/>
          <w:position w:val="-2"/>
          <w:sz w:val="21"/>
          <w:szCs w:val="21"/>
          <w:highlight w:val="none"/>
        </w:rPr>
        <w:t>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7" w:name="_Toc13696"/>
      <w:bookmarkStart w:id="138" w:name="_Toc293756847"/>
      <w:r>
        <w:rPr>
          <w:rFonts w:hint="eastAsia" w:ascii="宋体" w:hAnsi="宋体" w:eastAsia="宋体" w:cs="宋体"/>
          <w:color w:val="auto"/>
          <w:sz w:val="21"/>
          <w:szCs w:val="21"/>
          <w:highlight w:val="none"/>
        </w:rPr>
        <w:t>1.11 分包</w:t>
      </w:r>
      <w:bookmarkEnd w:id="137"/>
      <w:bookmarkEnd w:id="138"/>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投标人拟在中标后将中标项目的部分非主体、非关键性工作进行分包的，应符合投标人须知前附表规定的分包内容、分包金额和接受分包的第三人资质要求等限制性条件。</w:t>
      </w:r>
    </w:p>
    <w:p>
      <w:pPr>
        <w:pageBreakBefore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1.12 偏离</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投标人须知前附表允许投标文件偏离</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文件某些要求的，偏离应当符合</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文件规定的偏离范围和幅度。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39" w:name="_Toc21334"/>
      <w:r>
        <w:rPr>
          <w:rFonts w:hint="eastAsia" w:ascii="宋体" w:hAnsi="宋体" w:eastAsia="宋体" w:cs="宋体"/>
          <w:color w:val="auto"/>
          <w:sz w:val="21"/>
          <w:szCs w:val="21"/>
          <w:highlight w:val="none"/>
        </w:rPr>
        <w:t>2.比选文件</w:t>
      </w:r>
      <w:bookmarkEnd w:id="139"/>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0" w:name="_Toc25177"/>
      <w:bookmarkStart w:id="141" w:name="_Toc293756848"/>
      <w:r>
        <w:rPr>
          <w:rFonts w:hint="eastAsia" w:ascii="宋体" w:hAnsi="宋体" w:eastAsia="宋体" w:cs="宋体"/>
          <w:color w:val="auto"/>
          <w:sz w:val="21"/>
          <w:szCs w:val="21"/>
          <w:highlight w:val="none"/>
        </w:rPr>
        <w:t>2.1比选文件的组成</w:t>
      </w:r>
      <w:bookmarkEnd w:id="140"/>
      <w:bookmarkEnd w:id="14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本比选文件包括：</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（2）投标人须知；</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（3）评标办法；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（4）合同条款及格式；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）技术标准和要求；</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）投标文件格式；</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根据本章第1.10 款、第2.2 款和第2.3 款对比选文件所作的澄清、修改，构成比选文件的组成部分。</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2" w:name="_Toc17073"/>
      <w:bookmarkStart w:id="143" w:name="_Toc293756849"/>
      <w:r>
        <w:rPr>
          <w:rFonts w:hint="eastAsia" w:ascii="宋体" w:hAnsi="宋体" w:eastAsia="宋体" w:cs="宋体"/>
          <w:color w:val="auto"/>
          <w:sz w:val="21"/>
          <w:szCs w:val="21"/>
          <w:highlight w:val="none"/>
        </w:rPr>
        <w:t>2.2比选文件的澄清</w:t>
      </w:r>
      <w:bookmarkEnd w:id="142"/>
      <w:bookmarkEnd w:id="14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2.2.1 投标人应仔细阅读和检查</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文件的全部内容。如发现缺页或附件不全，应及时向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人提出，以便补齐。如有疑问，应在投标人须知前附表规定的时间前</w:t>
      </w:r>
      <w:r>
        <w:rPr>
          <w:rFonts w:hint="eastAsia" w:ascii="宋体" w:hAnsi="宋体" w:cs="宋体"/>
          <w:color w:val="auto"/>
          <w:sz w:val="21"/>
          <w:szCs w:val="21"/>
          <w:highlight w:val="none"/>
          <w:lang w:val="en-US" w:eastAsia="zh-CN"/>
        </w:rPr>
        <w:t>以书面形式提交至比选人邮箱</w:t>
      </w:r>
      <w:r>
        <w:rPr>
          <w:rFonts w:hint="eastAsia" w:ascii="宋体" w:hAnsi="宋体" w:eastAsia="宋体" w:cs="宋体"/>
          <w:color w:val="auto"/>
          <w:sz w:val="21"/>
          <w:szCs w:val="21"/>
          <w:highlight w:val="none"/>
        </w:rPr>
        <w:t>提问，要求</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文件予以澄清</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2.2.2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文件的澄清将在投标人须知前附表规定的投标截止时间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天前在</w:t>
      </w:r>
      <w:r>
        <w:rPr>
          <w:rFonts w:ascii="宋体" w:hAnsi="宋体" w:eastAsia="宋体" w:cs="宋体"/>
          <w:spacing w:val="7"/>
          <w:sz w:val="21"/>
          <w:szCs w:val="21"/>
        </w:rPr>
        <w:t>行采家(</w:t>
      </w:r>
      <w:r>
        <w:fldChar w:fldCharType="begin"/>
      </w:r>
      <w:r>
        <w:instrText xml:space="preserve"> HYPERLINK "https://www.gec123.com/" </w:instrText>
      </w:r>
      <w:r>
        <w:fldChar w:fldCharType="separate"/>
      </w:r>
      <w:r>
        <w:rPr>
          <w:rFonts w:ascii="宋体" w:hAnsi="宋体" w:eastAsia="宋体" w:cs="宋体"/>
          <w:sz w:val="21"/>
          <w:szCs w:val="21"/>
        </w:rPr>
        <w:t>https</w:t>
      </w:r>
      <w:r>
        <w:rPr>
          <w:rFonts w:ascii="宋体" w:hAnsi="宋体" w:eastAsia="宋体" w:cs="宋体"/>
          <w:spacing w:val="7"/>
          <w:sz w:val="21"/>
          <w:szCs w:val="21"/>
        </w:rPr>
        <w:t>://</w:t>
      </w:r>
      <w:r>
        <w:rPr>
          <w:rFonts w:ascii="宋体" w:hAnsi="宋体" w:eastAsia="宋体" w:cs="宋体"/>
          <w:sz w:val="21"/>
          <w:szCs w:val="21"/>
        </w:rPr>
        <w:t>www</w:t>
      </w:r>
      <w:r>
        <w:rPr>
          <w:rFonts w:ascii="宋体" w:hAnsi="宋体" w:eastAsia="宋体" w:cs="宋体"/>
          <w:spacing w:val="7"/>
          <w:sz w:val="21"/>
          <w:szCs w:val="21"/>
        </w:rPr>
        <w:t>.</w:t>
      </w:r>
      <w:r>
        <w:rPr>
          <w:rFonts w:ascii="宋体" w:hAnsi="宋体" w:eastAsia="宋体" w:cs="宋体"/>
          <w:sz w:val="21"/>
          <w:szCs w:val="21"/>
        </w:rPr>
        <w:t>gec</w:t>
      </w:r>
      <w:r>
        <w:rPr>
          <w:rFonts w:ascii="宋体" w:hAnsi="宋体" w:eastAsia="宋体" w:cs="宋体"/>
          <w:spacing w:val="7"/>
          <w:sz w:val="21"/>
          <w:szCs w:val="21"/>
        </w:rPr>
        <w:t>123.</w:t>
      </w:r>
      <w:r>
        <w:rPr>
          <w:rFonts w:ascii="宋体" w:hAnsi="宋体" w:eastAsia="宋体" w:cs="宋体"/>
          <w:sz w:val="21"/>
          <w:szCs w:val="21"/>
        </w:rPr>
        <w:t>com</w:t>
      </w:r>
      <w:r>
        <w:rPr>
          <w:rFonts w:ascii="宋体" w:hAnsi="宋体" w:eastAsia="宋体" w:cs="宋体"/>
          <w:spacing w:val="7"/>
          <w:sz w:val="21"/>
          <w:szCs w:val="21"/>
        </w:rPr>
        <w:t>/</w:t>
      </w:r>
      <w:r>
        <w:rPr>
          <w:rFonts w:ascii="宋体" w:hAnsi="宋体" w:eastAsia="宋体" w:cs="宋体"/>
          <w:spacing w:val="7"/>
          <w:sz w:val="21"/>
          <w:szCs w:val="21"/>
        </w:rPr>
        <w:fldChar w:fldCharType="end"/>
      </w:r>
      <w:r>
        <w:rPr>
          <w:rFonts w:ascii="宋体" w:hAnsi="宋体" w:eastAsia="宋体" w:cs="宋体"/>
          <w:spacing w:val="7"/>
          <w:sz w:val="21"/>
          <w:szCs w:val="21"/>
        </w:rPr>
        <w:t>)</w:t>
      </w:r>
      <w:r>
        <w:rPr>
          <w:rFonts w:hint="eastAsia" w:ascii="宋体" w:hAnsi="宋体" w:eastAsia="宋体" w:cs="宋体"/>
          <w:spacing w:val="7"/>
          <w:sz w:val="21"/>
          <w:szCs w:val="21"/>
          <w:lang w:val="en-US" w:eastAsia="zh-CN"/>
        </w:rPr>
        <w:t>和</w:t>
      </w:r>
      <w:r>
        <w:rPr>
          <w:rFonts w:hint="eastAsia" w:cs="宋体" w:asciiTheme="minorEastAsia" w:hAnsiTheme="minorEastAsia" w:eastAsiaTheme="minorEastAsia"/>
          <w:kern w:val="0"/>
          <w:sz w:val="21"/>
          <w:szCs w:val="21"/>
        </w:rPr>
        <w:t>重庆经开区投资集团官网（http://www.cetzig.com/）</w:t>
      </w:r>
      <w:r>
        <w:rPr>
          <w:rFonts w:hint="eastAsia" w:ascii="宋体" w:hAnsi="宋体" w:eastAsia="宋体" w:cs="宋体"/>
          <w:color w:val="auto"/>
          <w:sz w:val="21"/>
          <w:szCs w:val="21"/>
          <w:highlight w:val="none"/>
        </w:rPr>
        <w:t>发布，但不指明澄清问题的来源。如果澄清发出的时间距投标截止时间不足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天，相应延长投标截止时间。</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2.2.3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文件的修改内容可能影响投标文件编制的，须在投标截止时间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日前发布，发布时间至投标截止时间不足</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日的，须相应延后投标截止时间。</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4" w:name="_Toc293756850"/>
      <w:bookmarkStart w:id="145" w:name="_Toc25781"/>
      <w:r>
        <w:rPr>
          <w:rFonts w:hint="eastAsia" w:ascii="宋体" w:hAnsi="宋体" w:eastAsia="宋体" w:cs="宋体"/>
          <w:color w:val="auto"/>
          <w:sz w:val="21"/>
          <w:szCs w:val="21"/>
          <w:highlight w:val="none"/>
        </w:rPr>
        <w:t>2.3比选文件的修改</w:t>
      </w:r>
      <w:bookmarkEnd w:id="144"/>
      <w:bookmarkEnd w:id="14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按照本章2.2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文件的澄清相关内容及方式执行。</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6" w:name="_Toc293756851"/>
      <w:bookmarkStart w:id="147" w:name="_Toc13298"/>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bookmarkEnd w:id="146"/>
      <w:bookmarkEnd w:id="147"/>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48" w:name="_Toc293756852"/>
      <w:bookmarkStart w:id="149" w:name="_Toc27406"/>
      <w:r>
        <w:rPr>
          <w:rFonts w:hint="eastAsia" w:ascii="宋体" w:hAnsi="宋体" w:eastAsia="宋体" w:cs="宋体"/>
          <w:color w:val="auto"/>
          <w:sz w:val="21"/>
          <w:szCs w:val="21"/>
          <w:highlight w:val="none"/>
        </w:rPr>
        <w:t xml:space="preserve">3.1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文件的组成</w:t>
      </w:r>
      <w:bookmarkEnd w:id="148"/>
      <w:bookmarkEnd w:id="14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3.1.1 </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文件应包括下列内容：</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）资格审查资料；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）投标人须知前附表规定的其他材料。</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投标人须知前附表规定不接受联合体投标的，或投标人没有组成联合体的，投标文件不包括本章第3.1.1（3）目所指的联合体协议书。</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0" w:name="_Toc18735"/>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比选</w:t>
      </w:r>
      <w:r>
        <w:rPr>
          <w:rFonts w:hint="eastAsia" w:ascii="宋体" w:hAnsi="宋体" w:eastAsia="宋体" w:cs="宋体"/>
          <w:color w:val="auto"/>
          <w:sz w:val="21"/>
          <w:szCs w:val="21"/>
          <w:highlight w:val="none"/>
        </w:rPr>
        <w:t>报价</w:t>
      </w:r>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  投标人应投标函及投标函附录的要求填写相应表格。</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val="en-US" w:eastAsia="zh-CN"/>
        </w:rPr>
      </w:pPr>
      <w:bookmarkStart w:id="151" w:name="_Toc3741"/>
      <w:r>
        <w:rPr>
          <w:rFonts w:hint="eastAsia" w:ascii="宋体" w:hAnsi="宋体" w:eastAsia="宋体" w:cs="宋体"/>
          <w:color w:val="auto"/>
          <w:sz w:val="21"/>
          <w:szCs w:val="21"/>
          <w:highlight w:val="none"/>
          <w:lang w:val="en-US" w:eastAsia="zh-CN"/>
        </w:rPr>
        <w:t>3.3  投标有效期</w:t>
      </w:r>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在投标人须知前附表规定的投标有效期内，投标人不得要求撤销或修改其投标文件。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  出现特殊情况需要延长投标有效期的，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lang w:eastAsia="zh-CN"/>
        </w:rPr>
      </w:pPr>
      <w:bookmarkStart w:id="152" w:name="_Toc293756853"/>
      <w:bookmarkStart w:id="153" w:name="_Toc8270"/>
      <w:r>
        <w:rPr>
          <w:rFonts w:hint="eastAsia" w:ascii="宋体" w:hAnsi="宋体" w:eastAsia="宋体" w:cs="宋体"/>
          <w:color w:val="auto"/>
          <w:sz w:val="21"/>
          <w:szCs w:val="21"/>
          <w:highlight w:val="none"/>
        </w:rPr>
        <w:t>3.4 比选保证金</w:t>
      </w:r>
      <w:bookmarkEnd w:id="152"/>
      <w:bookmarkEnd w:id="153"/>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如有</w:t>
      </w:r>
      <w:r>
        <w:rPr>
          <w:rFonts w:hint="eastAsia" w:ascii="宋体" w:hAnsi="宋体" w:cs="宋体"/>
          <w:color w:val="auto"/>
          <w:sz w:val="21"/>
          <w:szCs w:val="21"/>
          <w:highlight w:val="none"/>
          <w:lang w:eastAsia="zh-CN"/>
        </w:rPr>
        <w:t>）</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人在递交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文件的同时，应按</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人须知前附表规定的比选保证金金额、比选保证金缴纳形式及要求，缴纳比选保证金，并作为其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人不按本章第3.4.1 项要求提交比选保证金的，其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文件作</w:t>
      </w:r>
      <w:r>
        <w:rPr>
          <w:rFonts w:hint="eastAsia" w:ascii="宋体" w:hAnsi="宋体" w:cs="宋体"/>
          <w:color w:val="auto"/>
          <w:sz w:val="21"/>
          <w:szCs w:val="21"/>
          <w:highlight w:val="none"/>
          <w:lang w:val="en-US" w:eastAsia="zh-CN"/>
        </w:rPr>
        <w:t>否决投标</w:t>
      </w:r>
      <w:r>
        <w:rPr>
          <w:rFonts w:hint="eastAsia" w:ascii="宋体" w:hAnsi="宋体" w:eastAsia="宋体" w:cs="宋体"/>
          <w:color w:val="auto"/>
          <w:sz w:val="21"/>
          <w:szCs w:val="21"/>
          <w:highlight w:val="none"/>
        </w:rPr>
        <w:t>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投标保证金退还：见投标人须知前附表。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（1）投标人在规定的投标有效期内撤销或修改其投标文件；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（2）中标人在收到中标通知书后，无正当理由拒签合同协议书或未按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（3）违反本章9.2条对投标人的纪律要求的；</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（4）法律法规和本</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文件规定的其他情形。</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3.4.5（1）投标保证金为无条件担保；</w:t>
      </w:r>
    </w:p>
    <w:p>
      <w:pPr>
        <w:pageBreakBefore w:val="0"/>
        <w:kinsoku/>
        <w:wordWrap/>
        <w:overflowPunct/>
        <w:topLinePunct w:val="0"/>
        <w:bidi w:val="0"/>
        <w:spacing w:line="360" w:lineRule="auto"/>
        <w:ind w:firstLine="1050" w:firstLineChars="5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（2）投标保证金的受益人为</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4" w:name="_Toc293756854"/>
      <w:bookmarkStart w:id="155" w:name="_Toc250"/>
      <w:r>
        <w:rPr>
          <w:rFonts w:hint="eastAsia" w:ascii="宋体" w:hAnsi="宋体" w:eastAsia="宋体" w:cs="宋体"/>
          <w:color w:val="auto"/>
          <w:sz w:val="21"/>
          <w:szCs w:val="21"/>
          <w:highlight w:val="none"/>
        </w:rPr>
        <w:t>3.5 资格审查资料</w:t>
      </w:r>
      <w:bookmarkEnd w:id="154"/>
      <w:bookmarkEnd w:id="155"/>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投标人须在</w:t>
      </w:r>
      <w:r>
        <w:rPr>
          <w:rFonts w:hint="eastAsia" w:ascii="宋体" w:hAnsi="宋体" w:cs="宋体"/>
          <w:color w:val="auto"/>
          <w:sz w:val="21"/>
          <w:szCs w:val="21"/>
          <w:highlight w:val="none"/>
          <w:lang w:val="en-US" w:eastAsia="zh-CN"/>
        </w:rPr>
        <w:t>递交投标文件的同时</w:t>
      </w:r>
      <w:r>
        <w:rPr>
          <w:rFonts w:hint="eastAsia" w:ascii="宋体" w:hAnsi="宋体" w:eastAsia="宋体" w:cs="宋体"/>
          <w:color w:val="auto"/>
          <w:sz w:val="21"/>
          <w:szCs w:val="21"/>
          <w:highlight w:val="none"/>
        </w:rPr>
        <w:t>将投标人须知前附表1.4.1中要求的原件一次性提交，评标委员会审查时必须对有关证明和证件的原件核查，若经审查复印件与原件不一致，或未提交原件的，则投标文件作否决投标处理。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联合体投标的，详见投标人须知前附表联合体投标相关内容。</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3.6 备选</w:t>
      </w:r>
      <w:r>
        <w:rPr>
          <w:rFonts w:hint="eastAsia" w:ascii="宋体" w:hAnsi="宋体" w:eastAsia="宋体" w:cs="宋体"/>
          <w:b/>
          <w:color w:val="auto"/>
          <w:sz w:val="21"/>
          <w:szCs w:val="21"/>
          <w:highlight w:val="none"/>
          <w:lang w:val="en-US" w:eastAsia="zh-CN"/>
        </w:rPr>
        <w:t>比选</w:t>
      </w:r>
      <w:r>
        <w:rPr>
          <w:rFonts w:hint="eastAsia" w:ascii="宋体" w:hAnsi="宋体" w:eastAsia="宋体" w:cs="宋体"/>
          <w:b/>
          <w:color w:val="auto"/>
          <w:sz w:val="21"/>
          <w:szCs w:val="21"/>
          <w:highlight w:val="none"/>
        </w:rPr>
        <w:t>方案</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除投标人须知前附表另有规定外，投标人不得递交备选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方案。允许投标人递交备选投标方案的，只有中标人所递交的备选投标方案方可予以考虑。评标委员会认为中标人的备选投标方案优于其按照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文件要求编制的投标方案的，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人可以接受该备选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p>
    <w:p>
      <w:pPr>
        <w:pageBreakBefore w:val="0"/>
        <w:kinsoku/>
        <w:wordWrap/>
        <w:overflowPunct/>
        <w:topLinePunct w:val="0"/>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3.7 </w:t>
      </w:r>
      <w:r>
        <w:rPr>
          <w:rFonts w:hint="eastAsia" w:ascii="宋体" w:hAnsi="宋体" w:eastAsia="宋体" w:cs="宋体"/>
          <w:b/>
          <w:color w:val="auto"/>
          <w:sz w:val="21"/>
          <w:szCs w:val="21"/>
          <w:highlight w:val="none"/>
          <w:lang w:eastAsia="zh-CN"/>
        </w:rPr>
        <w:t>投标</w:t>
      </w:r>
      <w:r>
        <w:rPr>
          <w:rFonts w:hint="eastAsia" w:ascii="宋体" w:hAnsi="宋体" w:eastAsia="宋体" w:cs="宋体"/>
          <w:b/>
          <w:color w:val="auto"/>
          <w:sz w:val="21"/>
          <w:szCs w:val="21"/>
          <w:highlight w:val="none"/>
        </w:rPr>
        <w:t>文件的编制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156" w:name="_Toc293756855"/>
      <w:r>
        <w:rPr>
          <w:rFonts w:hint="eastAsia" w:ascii="宋体" w:hAnsi="宋体" w:eastAsia="宋体" w:cs="宋体"/>
          <w:color w:val="auto"/>
          <w:sz w:val="21"/>
          <w:szCs w:val="21"/>
          <w:highlight w:val="none"/>
        </w:rPr>
        <w:t>3.7.1  投标文件应按第八章“投标文件格式”进行编写，如有必要，可以增加附页，作为投标文件的组成部分。其中，投标函附录在满足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文件实质性要求的基础上，可以提出比</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文件要求更有利于</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的承诺。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  投标文件应当对</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文件有关工期、投标有效期、质量要求、技术标准和要求、</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范围等实质性内容做出响应。</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  投标文件的签字盖章要求：按本章投标人须知前附表第3.7.3项执行。</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  投标文件的份数见投标人须知前附表。《技术部分》不分正副本，正本和副本的封面上应清楚地标记“正本”或“副本”的字样，正本和副本封面均须加盖单位法人章，否则作否决投标处理。当副本和正本不一致时，以正本为准。</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  投标文件的正本与副本应分别装订成册，并编制目录，具体装订要求见投标人须知前附表规定。</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57" w:name="_Toc10924"/>
      <w:r>
        <w:rPr>
          <w:rFonts w:hint="eastAsia" w:ascii="宋体" w:hAnsi="宋体" w:eastAsia="宋体" w:cs="宋体"/>
          <w:color w:val="auto"/>
          <w:sz w:val="21"/>
          <w:szCs w:val="21"/>
          <w:highlight w:val="none"/>
        </w:rPr>
        <w:t xml:space="preserve">4. </w:t>
      </w:r>
      <w:bookmarkEnd w:id="156"/>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文件的递交等</w:t>
      </w:r>
      <w:bookmarkEnd w:id="157"/>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58" w:name="_Toc293756856"/>
      <w:bookmarkStart w:id="159" w:name="_Toc25512"/>
      <w:r>
        <w:rPr>
          <w:rFonts w:hint="eastAsia" w:ascii="宋体" w:hAnsi="宋体" w:eastAsia="宋体" w:cs="宋体"/>
          <w:color w:val="auto"/>
          <w:sz w:val="21"/>
          <w:szCs w:val="21"/>
          <w:highlight w:val="none"/>
        </w:rPr>
        <w:t xml:space="preserve">4.1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文件的密封和标记</w:t>
      </w:r>
      <w:bookmarkEnd w:id="158"/>
      <w:bookmarkEnd w:id="15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文件的正本与副本密封见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文件的封套上应写明的内容见投标人须知前附表。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未按本章第 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项要求密封的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0" w:name="_Toc2798"/>
      <w:bookmarkStart w:id="161" w:name="_Toc293756857"/>
      <w:r>
        <w:rPr>
          <w:rFonts w:hint="eastAsia" w:ascii="宋体" w:hAnsi="宋体" w:eastAsia="宋体" w:cs="宋体"/>
          <w:color w:val="auto"/>
          <w:sz w:val="21"/>
          <w:szCs w:val="21"/>
          <w:highlight w:val="none"/>
        </w:rPr>
        <w:t xml:space="preserve">4.2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文件的递交</w:t>
      </w:r>
      <w:bookmarkEnd w:id="160"/>
      <w:bookmarkEnd w:id="161"/>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4.2.1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人应按本章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项规定的时间递交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文件的地点：见</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人须知前附表另有规定外，</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人所递交的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文件不予退还。</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 逾期送达的或者未送达指定地点的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文件，比选人不予受理。</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2" w:name="_Toc293756858"/>
      <w:bookmarkStart w:id="163" w:name="_Toc288"/>
      <w:r>
        <w:rPr>
          <w:rFonts w:hint="eastAsia" w:ascii="宋体" w:hAnsi="宋体" w:eastAsia="宋体" w:cs="宋体"/>
          <w:color w:val="auto"/>
          <w:sz w:val="21"/>
          <w:szCs w:val="21"/>
          <w:highlight w:val="none"/>
        </w:rPr>
        <w:t xml:space="preserve">4.3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文件的修改与撤回</w:t>
      </w:r>
      <w:bookmarkEnd w:id="162"/>
      <w:bookmarkEnd w:id="163"/>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 在本章</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人须知前附表第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项规定的比选截止时间前，</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人可以修改或撤回已递交的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文件，但应以书面形式通知比选人。</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4.3.2 </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人修改或撤回已递交</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文件的书面通知应按照本章第3.7.3 项的要求签字或盖章。比选人收到书面通知后，向</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人出具签收凭证。</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 修改的内容为</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文件的组成部分。修改的</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文件应按照本章第3 条、第4 条规定进行编制、密封、标记和递交，并标明“修改”字样。</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64" w:name="_Toc293756859"/>
      <w:bookmarkStart w:id="165" w:name="_Toc29290"/>
      <w:r>
        <w:rPr>
          <w:rFonts w:hint="eastAsia" w:ascii="宋体" w:hAnsi="宋体" w:eastAsia="宋体" w:cs="宋体"/>
          <w:color w:val="auto"/>
          <w:sz w:val="21"/>
          <w:szCs w:val="21"/>
          <w:highlight w:val="none"/>
        </w:rPr>
        <w:t xml:space="preserve">5. </w:t>
      </w:r>
      <w:bookmarkEnd w:id="164"/>
      <w:r>
        <w:rPr>
          <w:rFonts w:hint="eastAsia" w:ascii="宋体" w:hAnsi="宋体" w:eastAsia="宋体" w:cs="宋体"/>
          <w:color w:val="auto"/>
          <w:sz w:val="21"/>
          <w:szCs w:val="21"/>
          <w:highlight w:val="none"/>
        </w:rPr>
        <w:t>比选</w:t>
      </w:r>
      <w:bookmarkEnd w:id="165"/>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6" w:name="_Toc293756860"/>
      <w:bookmarkStart w:id="167" w:name="_Toc6939"/>
      <w:r>
        <w:rPr>
          <w:rFonts w:hint="eastAsia" w:ascii="宋体" w:hAnsi="宋体" w:eastAsia="宋体" w:cs="宋体"/>
          <w:color w:val="auto"/>
          <w:sz w:val="21"/>
          <w:szCs w:val="21"/>
          <w:highlight w:val="none"/>
        </w:rPr>
        <w:t>5.1 比选时间和地点</w:t>
      </w:r>
      <w:bookmarkEnd w:id="166"/>
      <w:bookmarkEnd w:id="16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在投标人须知前附表第 2.2.2 项规定的投标截止时间（开标时间）和投标人须知前附表规定的地点公开开标，并邀请所有投标人的法定代表人或其委托代理人准时参加。</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168" w:name="_Toc293756861"/>
      <w:bookmarkStart w:id="169" w:name="_Toc716"/>
      <w:r>
        <w:rPr>
          <w:rFonts w:hint="eastAsia" w:ascii="宋体" w:hAnsi="宋体" w:eastAsia="宋体" w:cs="宋体"/>
          <w:color w:val="auto"/>
          <w:sz w:val="21"/>
          <w:szCs w:val="21"/>
          <w:highlight w:val="none"/>
        </w:rPr>
        <w:t>5.2 比选程序</w:t>
      </w:r>
      <w:bookmarkEnd w:id="168"/>
      <w:bookmarkEnd w:id="169"/>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bookmarkStart w:id="170" w:name="_Toc293756862"/>
      <w:r>
        <w:rPr>
          <w:rFonts w:hint="eastAsia" w:ascii="宋体" w:hAnsi="宋体" w:eastAsia="宋体" w:cs="宋体"/>
          <w:color w:val="auto"/>
          <w:sz w:val="21"/>
          <w:szCs w:val="21"/>
          <w:highlight w:val="none"/>
        </w:rPr>
        <w:t>详见投标人须知前附表5.2开标程序</w:t>
      </w:r>
      <w:r>
        <w:rPr>
          <w:rFonts w:hint="eastAsia" w:ascii="宋体" w:hAnsi="宋体" w:eastAsia="宋体" w:cs="宋体"/>
          <w:color w:val="auto"/>
          <w:sz w:val="21"/>
          <w:szCs w:val="21"/>
          <w:highlight w:val="none"/>
          <w:lang w:eastAsia="zh-CN"/>
        </w:rPr>
        <w:t>。</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171" w:name="_Toc24607"/>
      <w:r>
        <w:rPr>
          <w:rFonts w:hint="eastAsia" w:ascii="宋体" w:hAnsi="宋体" w:eastAsia="宋体" w:cs="宋体"/>
          <w:color w:val="auto"/>
          <w:sz w:val="21"/>
          <w:szCs w:val="21"/>
          <w:highlight w:val="none"/>
        </w:rPr>
        <w:t>6. 评</w:t>
      </w:r>
      <w:bookmarkEnd w:id="170"/>
      <w:r>
        <w:rPr>
          <w:rFonts w:hint="eastAsia" w:ascii="宋体" w:hAnsi="宋体" w:eastAsia="宋体" w:cs="宋体"/>
          <w:color w:val="auto"/>
          <w:sz w:val="21"/>
          <w:szCs w:val="21"/>
          <w:highlight w:val="none"/>
        </w:rPr>
        <w:t>审</w:t>
      </w:r>
      <w:bookmarkEnd w:id="171"/>
    </w:p>
    <w:p>
      <w:pPr>
        <w:keepNext w:val="0"/>
        <w:keepLines w:val="0"/>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172" w:name="_Toc277082587"/>
      <w:bookmarkStart w:id="173" w:name="_Toc7646"/>
      <w:bookmarkStart w:id="174" w:name="_Toc287607781"/>
      <w:bookmarkStart w:id="175" w:name="_Toc430530470"/>
      <w:bookmarkStart w:id="176" w:name="_Toc200513161"/>
      <w:bookmarkStart w:id="177" w:name="_Toc287620720"/>
      <w:bookmarkStart w:id="178" w:name="_Toc509218745"/>
      <w:bookmarkStart w:id="179" w:name="_Toc224103352"/>
      <w:bookmarkStart w:id="180" w:name="_Toc293756866"/>
      <w:r>
        <w:rPr>
          <w:rFonts w:hint="eastAsia" w:ascii="宋体" w:hAnsi="宋体" w:eastAsia="宋体" w:cs="宋体"/>
          <w:b w:val="0"/>
          <w:bCs/>
          <w:snapToGrid w:val="0"/>
          <w:color w:val="auto"/>
          <w:kern w:val="2"/>
          <w:sz w:val="21"/>
          <w:szCs w:val="21"/>
          <w:highlight w:val="none"/>
          <w:lang w:val="en-US" w:eastAsia="zh-CN" w:bidi="ar-SA"/>
        </w:rPr>
        <w:t>6.1  评标委员会</w:t>
      </w:r>
      <w:bookmarkEnd w:id="172"/>
      <w:bookmarkEnd w:id="173"/>
      <w:bookmarkEnd w:id="174"/>
      <w:bookmarkEnd w:id="175"/>
      <w:bookmarkEnd w:id="176"/>
      <w:bookmarkEnd w:id="177"/>
      <w:bookmarkEnd w:id="178"/>
      <w:bookmarkEnd w:id="17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6.1.1  评标由</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人依据法律法规和相关规范性文件组建的评标委员会负责。</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6.1.2  评标委员会成员有下列情形之一的，应当回避：</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1" w:name="_Toc27306"/>
      <w:bookmarkStart w:id="182" w:name="_Toc224103353"/>
      <w:bookmarkStart w:id="183" w:name="_Toc287607782"/>
      <w:bookmarkStart w:id="184" w:name="_Toc430530471"/>
      <w:bookmarkStart w:id="185" w:name="_Toc287620721"/>
      <w:bookmarkStart w:id="186" w:name="_Toc200513162"/>
      <w:bookmarkStart w:id="187" w:name="_Toc509218746"/>
      <w:bookmarkStart w:id="188" w:name="_Toc277082588"/>
      <w:r>
        <w:rPr>
          <w:rFonts w:hint="eastAsia" w:ascii="宋体" w:hAnsi="宋体" w:eastAsia="宋体" w:cs="宋体"/>
          <w:snapToGrid w:val="0"/>
          <w:color w:val="auto"/>
          <w:kern w:val="0"/>
          <w:sz w:val="21"/>
          <w:szCs w:val="21"/>
          <w:highlight w:val="none"/>
        </w:rPr>
        <w:t>（1）投标人或投标人的主要负责人的近亲属；</w:t>
      </w:r>
      <w:bookmarkEnd w:id="18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89" w:name="_Toc7327"/>
      <w:r>
        <w:rPr>
          <w:rFonts w:hint="eastAsia" w:ascii="宋体" w:hAnsi="宋体" w:eastAsia="宋体" w:cs="宋体"/>
          <w:snapToGrid w:val="0"/>
          <w:color w:val="auto"/>
          <w:kern w:val="0"/>
          <w:sz w:val="21"/>
          <w:szCs w:val="21"/>
          <w:highlight w:val="none"/>
        </w:rPr>
        <w:t>（2）项目主管部门或者项目行政监督部门的人员；</w:t>
      </w:r>
      <w:bookmarkEnd w:id="189"/>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0" w:name="_Toc32357"/>
      <w:r>
        <w:rPr>
          <w:rFonts w:hint="eastAsia" w:ascii="宋体" w:hAnsi="宋体" w:eastAsia="宋体" w:cs="宋体"/>
          <w:snapToGrid w:val="0"/>
          <w:color w:val="auto"/>
          <w:kern w:val="0"/>
          <w:sz w:val="21"/>
          <w:szCs w:val="21"/>
          <w:highlight w:val="none"/>
        </w:rPr>
        <w:t>（3）与投标人有利害关系，可能影响对投标公正评审的；</w:t>
      </w:r>
      <w:bookmarkEnd w:id="190"/>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1" w:name="_Toc28689"/>
      <w:r>
        <w:rPr>
          <w:rFonts w:hint="eastAsia" w:ascii="宋体" w:hAnsi="宋体" w:eastAsia="宋体" w:cs="宋体"/>
          <w:snapToGrid w:val="0"/>
          <w:color w:val="auto"/>
          <w:kern w:val="0"/>
          <w:sz w:val="21"/>
          <w:szCs w:val="21"/>
          <w:highlight w:val="none"/>
        </w:rPr>
        <w:t>（4）曾因在招标、评标以及其他与招标投标有关活动中从事违法行为而受过行政处罚或刑事处罚的；</w:t>
      </w:r>
      <w:bookmarkEnd w:id="19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snapToGrid w:val="0"/>
          <w:color w:val="auto"/>
          <w:kern w:val="0"/>
          <w:sz w:val="21"/>
          <w:szCs w:val="21"/>
          <w:highlight w:val="none"/>
        </w:rPr>
      </w:pPr>
      <w:bookmarkStart w:id="192" w:name="_Toc7240"/>
      <w:r>
        <w:rPr>
          <w:rFonts w:hint="eastAsia" w:ascii="宋体" w:hAnsi="宋体" w:eastAsia="宋体" w:cs="宋体"/>
          <w:snapToGrid w:val="0"/>
          <w:color w:val="auto"/>
          <w:kern w:val="0"/>
          <w:sz w:val="21"/>
          <w:szCs w:val="21"/>
          <w:highlight w:val="none"/>
        </w:rPr>
        <w:t>（5）法律法规规定的其他情形。</w:t>
      </w:r>
      <w:bookmarkEnd w:id="192"/>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3" w:name="_Toc349"/>
      <w:r>
        <w:rPr>
          <w:rFonts w:hint="eastAsia" w:ascii="宋体" w:hAnsi="宋体" w:eastAsia="宋体" w:cs="宋体"/>
          <w:color w:val="auto"/>
          <w:sz w:val="21"/>
          <w:szCs w:val="21"/>
          <w:highlight w:val="none"/>
          <w:lang w:val="en-US" w:eastAsia="zh-CN"/>
        </w:rPr>
        <w:t>6.2  评标原则</w:t>
      </w:r>
      <w:bookmarkEnd w:id="182"/>
      <w:bookmarkEnd w:id="183"/>
      <w:bookmarkEnd w:id="184"/>
      <w:bookmarkEnd w:id="185"/>
      <w:bookmarkEnd w:id="186"/>
      <w:bookmarkEnd w:id="187"/>
      <w:bookmarkEnd w:id="188"/>
      <w:bookmarkEnd w:id="19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评标活动遵循公平、公正、科学和择优的原则。</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lang w:val="en-US" w:eastAsia="zh-CN"/>
        </w:rPr>
      </w:pPr>
      <w:bookmarkStart w:id="194" w:name="_Toc277082589"/>
      <w:bookmarkStart w:id="195" w:name="_Toc287607783"/>
      <w:bookmarkStart w:id="196" w:name="_Toc509218747"/>
      <w:bookmarkStart w:id="197" w:name="_Toc3231"/>
      <w:bookmarkStart w:id="198" w:name="_Toc224103354"/>
      <w:bookmarkStart w:id="199" w:name="_Toc200513163"/>
      <w:bookmarkStart w:id="200" w:name="_Toc287620722"/>
      <w:bookmarkStart w:id="201" w:name="_Toc430530472"/>
      <w:r>
        <w:rPr>
          <w:rFonts w:hint="eastAsia" w:ascii="宋体" w:hAnsi="宋体" w:eastAsia="宋体" w:cs="宋体"/>
          <w:color w:val="auto"/>
          <w:sz w:val="21"/>
          <w:szCs w:val="21"/>
          <w:highlight w:val="none"/>
          <w:lang w:val="en-US" w:eastAsia="zh-CN"/>
        </w:rPr>
        <w:t>6.3  评标</w:t>
      </w:r>
      <w:bookmarkEnd w:id="194"/>
      <w:bookmarkEnd w:id="195"/>
      <w:bookmarkEnd w:id="196"/>
      <w:bookmarkEnd w:id="197"/>
      <w:bookmarkEnd w:id="198"/>
      <w:bookmarkEnd w:id="199"/>
      <w:bookmarkEnd w:id="200"/>
      <w:bookmarkEnd w:id="20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评标委员会按照第三章“评标办法”规定的方法、评审因素、标准和程序对投标文件进行评审。第三章“评标办法”没有规定的方法、评审因素和标准，不得作为评标依据。</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02" w:name="_Toc5190"/>
      <w:r>
        <w:rPr>
          <w:rFonts w:hint="eastAsia" w:ascii="宋体" w:hAnsi="宋体" w:eastAsia="宋体" w:cs="宋体"/>
          <w:color w:val="auto"/>
          <w:sz w:val="21"/>
          <w:szCs w:val="21"/>
          <w:highlight w:val="none"/>
        </w:rPr>
        <w:t>7. 合同授予</w:t>
      </w:r>
      <w:bookmarkEnd w:id="180"/>
      <w:bookmarkEnd w:id="202"/>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3" w:name="_Toc293756867"/>
      <w:bookmarkStart w:id="204" w:name="_Toc13886"/>
      <w:r>
        <w:rPr>
          <w:rFonts w:hint="eastAsia" w:ascii="宋体" w:hAnsi="宋体" w:eastAsia="宋体" w:cs="宋体"/>
          <w:color w:val="auto"/>
          <w:sz w:val="21"/>
          <w:szCs w:val="21"/>
          <w:highlight w:val="none"/>
        </w:rPr>
        <w:t>7.1 定选方式</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人应当确定排名第一的中标候选人为中标人。排名第一的中标候选人放弃中标、因不可抗力不能履行合同、不按照</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文件要求提交履约保证金，或者被查实存在影响中标结果的违法行为等情形，不符合中标条件的，</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评标委员会推荐中标候选人的人数见投标人须知前附表。</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5" w:name="_Toc17919"/>
      <w:bookmarkStart w:id="206" w:name="_Toc293756868"/>
      <w:r>
        <w:rPr>
          <w:rFonts w:hint="eastAsia" w:ascii="宋体" w:hAnsi="宋体" w:eastAsia="宋体" w:cs="宋体"/>
          <w:color w:val="auto"/>
          <w:sz w:val="21"/>
          <w:szCs w:val="21"/>
          <w:highlight w:val="none"/>
        </w:rPr>
        <w:t>7.2 中</w:t>
      </w:r>
      <w:r>
        <w:rPr>
          <w:rFonts w:hint="eastAsia" w:ascii="宋体" w:hAnsi="宋体" w:eastAsia="宋体" w:cs="宋体"/>
          <w:color w:val="auto"/>
          <w:sz w:val="21"/>
          <w:szCs w:val="21"/>
          <w:highlight w:val="none"/>
          <w:lang w:val="en-US" w:eastAsia="zh-CN"/>
        </w:rPr>
        <w:t>标</w:t>
      </w:r>
      <w:r>
        <w:rPr>
          <w:rFonts w:hint="eastAsia" w:ascii="宋体" w:hAnsi="宋体" w:eastAsia="宋体" w:cs="宋体"/>
          <w:color w:val="auto"/>
          <w:sz w:val="21"/>
          <w:szCs w:val="21"/>
          <w:highlight w:val="none"/>
        </w:rPr>
        <w:t>通知</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207" w:name="_Toc293756869"/>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在收到评标报告之日起3日内公示中标候选人，公示期不得少于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个工作日。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在本章第 3.3 款规定的投标有效期内，且未有投标人的异议与投诉，</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人以书面形式向中标人发出中标通知书。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7.3 履约担保</w:t>
      </w:r>
      <w:bookmarkEnd w:id="207"/>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在签订合同前，中标人应按投标人须知前附表规定的金额、担保形式和</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文件第四章“合同条款及格式”规定的履约担保格式向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人提交履约担保。</w:t>
      </w:r>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中选人不能按本章第7.3.1 项要求提交履约担保的，视为放弃中选，其比选保证金不予退还，给比选人造成的损失超过比选保证金数额的，中选人还应当对超过部分予以赔偿。</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08" w:name="_Toc293756870"/>
      <w:bookmarkStart w:id="209" w:name="_Toc5235"/>
      <w:r>
        <w:rPr>
          <w:rFonts w:hint="eastAsia" w:ascii="宋体" w:hAnsi="宋体" w:eastAsia="宋体" w:cs="宋体"/>
          <w:color w:val="auto"/>
          <w:sz w:val="21"/>
          <w:szCs w:val="21"/>
          <w:highlight w:val="none"/>
        </w:rPr>
        <w:t>7.4 签订合同</w:t>
      </w:r>
      <w:bookmarkEnd w:id="208"/>
      <w:bookmarkEnd w:id="2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7.4.1 </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人和中标人应当自中标通知书发出之日起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天内，根据</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文件和中标人的投标文件订立书面合同。中标人放弃中标项目，无正当理由不与</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人签订合同，在签订合同时向</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人提出附加条件或者更改合同实质性内容的，</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人取消其中标资格，其投标保证金不予退还；给</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rPr>
        <w:t>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7.4.2 发出中选通知书后，比选人无正当理由拒签合同的，比选人应向中选人退还比选保证金；给中选人造成损失的，还应当赔偿损失。</w:t>
      </w:r>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10" w:name="_Toc293756871"/>
      <w:bookmarkStart w:id="211" w:name="_Toc21469"/>
      <w:r>
        <w:rPr>
          <w:rFonts w:hint="eastAsia" w:ascii="宋体" w:hAnsi="宋体" w:eastAsia="宋体" w:cs="宋体"/>
          <w:color w:val="auto"/>
          <w:sz w:val="21"/>
          <w:szCs w:val="21"/>
          <w:highlight w:val="none"/>
        </w:rPr>
        <w:t>8. 重新比选和不再比选</w:t>
      </w:r>
      <w:bookmarkEnd w:id="210"/>
      <w:bookmarkEnd w:id="211"/>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12" w:name="_Toc287607790"/>
      <w:bookmarkStart w:id="213" w:name="_Toc430530479"/>
      <w:bookmarkStart w:id="214" w:name="_Toc277082596"/>
      <w:bookmarkStart w:id="215" w:name="_Toc200513170"/>
      <w:bookmarkStart w:id="216" w:name="_Toc509218754"/>
      <w:bookmarkStart w:id="217" w:name="_Toc224103361"/>
      <w:bookmarkStart w:id="218" w:name="_Toc287620729"/>
      <w:bookmarkStart w:id="219" w:name="_Toc27002"/>
      <w:bookmarkStart w:id="220" w:name="_Toc293756873"/>
      <w:bookmarkStart w:id="221" w:name="_Toc284231394"/>
      <w:r>
        <w:rPr>
          <w:rFonts w:hint="eastAsia" w:ascii="宋体" w:hAnsi="宋体" w:eastAsia="宋体" w:cs="宋体"/>
          <w:b w:val="0"/>
          <w:bCs/>
          <w:snapToGrid w:val="0"/>
          <w:color w:val="auto"/>
          <w:kern w:val="2"/>
          <w:sz w:val="21"/>
          <w:szCs w:val="21"/>
          <w:highlight w:val="none"/>
          <w:lang w:val="en-US" w:eastAsia="zh-CN" w:bidi="ar-SA"/>
        </w:rPr>
        <w:t>8.1  重新</w:t>
      </w:r>
      <w:bookmarkEnd w:id="212"/>
      <w:bookmarkEnd w:id="213"/>
      <w:bookmarkEnd w:id="214"/>
      <w:bookmarkEnd w:id="215"/>
      <w:bookmarkEnd w:id="216"/>
      <w:bookmarkEnd w:id="217"/>
      <w:bookmarkEnd w:id="218"/>
      <w:r>
        <w:rPr>
          <w:rFonts w:hint="eastAsia" w:ascii="宋体" w:hAnsi="宋体" w:eastAsia="宋体" w:cs="宋体"/>
          <w:b w:val="0"/>
          <w:bCs/>
          <w:snapToGrid w:val="0"/>
          <w:color w:val="auto"/>
          <w:kern w:val="2"/>
          <w:sz w:val="21"/>
          <w:szCs w:val="21"/>
          <w:highlight w:val="none"/>
          <w:lang w:val="en-US" w:eastAsia="zh-CN" w:bidi="ar-SA"/>
        </w:rPr>
        <w:t>比选</w:t>
      </w:r>
      <w:bookmarkEnd w:id="219"/>
    </w:p>
    <w:p>
      <w:pPr>
        <w:pageBreakBefore w:val="0"/>
        <w:kinsoku/>
        <w:wordWrap/>
        <w:overflowPunct/>
        <w:topLinePunct w:val="0"/>
        <w:autoSpaceDE w:val="0"/>
        <w:autoSpaceDN w:val="0"/>
        <w:bidi w:val="0"/>
        <w:adjustRightInd w:val="0"/>
        <w:snapToGrid w:val="0"/>
        <w:spacing w:line="360" w:lineRule="auto"/>
        <w:ind w:left="359" w:leftChars="171"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有下列情形之一的，</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人将重新</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（2）经评标委员会评审后否决所有投标的；</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（3）经评标委员会评审后部分投标被否决，导致有效投标人不足三个的，评标委员会应当否决所有投标。但是有效投标人的经济、技术等指标仍然具有市场竞争力，能够满足</w:t>
      </w: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文件要求的，评标委员会可以继续评标并确定中标候选人。</w:t>
      </w:r>
    </w:p>
    <w:p>
      <w:pPr>
        <w:pageBreakBefore w:val="0"/>
        <w:widowControl/>
        <w:kinsoku/>
        <w:wordWrap/>
        <w:overflowPunct/>
        <w:topLinePunct w:val="0"/>
        <w:bidi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（4）法律法规规定的其他情形。</w:t>
      </w:r>
    </w:p>
    <w:p>
      <w:pPr>
        <w:pStyle w:val="5"/>
        <w:pageBreakBefore w:val="0"/>
        <w:kinsoku/>
        <w:wordWrap/>
        <w:overflowPunct/>
        <w:topLinePunct w:val="0"/>
        <w:bidi w:val="0"/>
        <w:spacing w:before="0" w:after="0" w:line="360" w:lineRule="auto"/>
        <w:ind w:firstLine="422" w:firstLineChars="200"/>
        <w:textAlignment w:val="auto"/>
        <w:rPr>
          <w:rFonts w:hint="eastAsia" w:ascii="宋体" w:hAnsi="宋体" w:eastAsia="宋体" w:cs="宋体"/>
          <w:color w:val="auto"/>
          <w:sz w:val="21"/>
          <w:szCs w:val="21"/>
          <w:highlight w:val="none"/>
        </w:rPr>
      </w:pPr>
      <w:bookmarkStart w:id="222" w:name="_Toc28804"/>
      <w:r>
        <w:rPr>
          <w:rFonts w:hint="eastAsia" w:ascii="宋体" w:hAnsi="宋体" w:eastAsia="宋体" w:cs="宋体"/>
          <w:color w:val="auto"/>
          <w:sz w:val="21"/>
          <w:szCs w:val="21"/>
          <w:highlight w:val="none"/>
        </w:rPr>
        <w:t>8.2 不再</w:t>
      </w:r>
      <w:bookmarkEnd w:id="220"/>
      <w:bookmarkEnd w:id="221"/>
      <w:r>
        <w:rPr>
          <w:rFonts w:hint="eastAsia" w:ascii="宋体" w:hAnsi="宋体" w:eastAsia="宋体" w:cs="宋体"/>
          <w:color w:val="auto"/>
          <w:sz w:val="21"/>
          <w:szCs w:val="21"/>
          <w:highlight w:val="none"/>
        </w:rPr>
        <w:t>比选</w:t>
      </w:r>
      <w:bookmarkEnd w:id="222"/>
    </w:p>
    <w:p>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bookmarkStart w:id="223" w:name="_Toc284158539"/>
      <w:bookmarkStart w:id="224" w:name="_Toc284159224"/>
      <w:bookmarkStart w:id="225" w:name="_Toc288045280"/>
      <w:bookmarkStart w:id="226" w:name="_Toc284158456"/>
      <w:bookmarkStart w:id="227" w:name="_Toc293756874"/>
      <w:bookmarkStart w:id="228" w:name="_Toc288052291"/>
      <w:bookmarkStart w:id="229" w:name="_Toc284231395"/>
      <w:bookmarkStart w:id="230" w:name="_Toc288046541"/>
      <w:bookmarkStart w:id="231" w:name="_Toc288046894"/>
      <w:bookmarkStart w:id="232" w:name="_Toc284159360"/>
      <w:r>
        <w:rPr>
          <w:rFonts w:hint="eastAsia" w:ascii="宋体" w:hAnsi="宋体" w:eastAsia="宋体" w:cs="宋体"/>
          <w:color w:val="auto"/>
          <w:sz w:val="21"/>
          <w:szCs w:val="21"/>
          <w:highlight w:val="none"/>
        </w:rPr>
        <w:t>重新比选后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人仍少于三个的，按法定程序开展比选和评审，确定中选人。经评审无合格</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人，属于审批或核准项目的，报经原审批部门批准可以不再比选。</w:t>
      </w:r>
      <w:bookmarkEnd w:id="223"/>
      <w:bookmarkEnd w:id="224"/>
      <w:bookmarkEnd w:id="225"/>
      <w:bookmarkEnd w:id="226"/>
      <w:bookmarkEnd w:id="227"/>
      <w:bookmarkEnd w:id="228"/>
      <w:bookmarkEnd w:id="229"/>
      <w:bookmarkEnd w:id="230"/>
      <w:bookmarkEnd w:id="231"/>
      <w:bookmarkEnd w:id="232"/>
    </w:p>
    <w:p>
      <w:pPr>
        <w:pStyle w:val="5"/>
        <w:pageBreakBefore w:val="0"/>
        <w:kinsoku/>
        <w:wordWrap/>
        <w:overflowPunct/>
        <w:topLinePunct w:val="0"/>
        <w:bidi w:val="0"/>
        <w:spacing w:before="0" w:after="0" w:line="360" w:lineRule="auto"/>
        <w:textAlignment w:val="auto"/>
        <w:rPr>
          <w:rFonts w:hint="eastAsia" w:ascii="宋体" w:hAnsi="宋体" w:eastAsia="宋体" w:cs="宋体"/>
          <w:color w:val="auto"/>
          <w:sz w:val="21"/>
          <w:szCs w:val="21"/>
          <w:highlight w:val="none"/>
        </w:rPr>
      </w:pPr>
      <w:bookmarkStart w:id="233" w:name="_Toc224103363"/>
      <w:bookmarkStart w:id="234" w:name="_Toc430530481"/>
      <w:bookmarkStart w:id="235" w:name="_Toc200513172"/>
      <w:bookmarkStart w:id="236" w:name="_Toc277082598"/>
      <w:bookmarkStart w:id="237" w:name="_Toc287607792"/>
      <w:bookmarkStart w:id="238" w:name="_Toc36043737"/>
      <w:bookmarkStart w:id="239" w:name="_Toc31090"/>
      <w:bookmarkStart w:id="240" w:name="_Toc287620731"/>
      <w:bookmarkStart w:id="241" w:name="_Toc509218756"/>
      <w:r>
        <w:rPr>
          <w:rFonts w:hint="eastAsia" w:ascii="宋体" w:hAnsi="宋体" w:eastAsia="宋体" w:cs="宋体"/>
          <w:color w:val="auto"/>
          <w:sz w:val="21"/>
          <w:szCs w:val="21"/>
          <w:highlight w:val="none"/>
        </w:rPr>
        <w:t>9.  纪律和监督</w:t>
      </w:r>
      <w:bookmarkEnd w:id="233"/>
      <w:bookmarkEnd w:id="234"/>
      <w:bookmarkEnd w:id="235"/>
      <w:bookmarkEnd w:id="236"/>
      <w:bookmarkEnd w:id="237"/>
      <w:bookmarkEnd w:id="238"/>
      <w:bookmarkEnd w:id="239"/>
      <w:bookmarkEnd w:id="240"/>
      <w:bookmarkEnd w:id="241"/>
    </w:p>
    <w:p>
      <w:pPr>
        <w:keepNext/>
        <w:keepLines/>
        <w:pageBreakBefore w:val="0"/>
        <w:widowControl w:val="0"/>
        <w:kinsoku/>
        <w:wordWrap/>
        <w:overflowPunct/>
        <w:topLinePunct w:val="0"/>
        <w:bidi w:val="0"/>
        <w:snapToGrid w:val="0"/>
        <w:spacing w:before="0" w:after="0" w:line="360" w:lineRule="auto"/>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42" w:name="_Toc287620732"/>
      <w:bookmarkStart w:id="243" w:name="_Toc277082599"/>
      <w:bookmarkStart w:id="244" w:name="_Toc287607793"/>
      <w:bookmarkStart w:id="245" w:name="_Toc200513173"/>
      <w:bookmarkStart w:id="246" w:name="_Toc430530482"/>
      <w:bookmarkStart w:id="247" w:name="_Toc224103364"/>
      <w:bookmarkStart w:id="248" w:name="_Toc509218757"/>
      <w:bookmarkStart w:id="249" w:name="_Toc25463"/>
      <w:r>
        <w:rPr>
          <w:rFonts w:hint="eastAsia" w:ascii="宋体" w:hAnsi="宋体" w:eastAsia="宋体" w:cs="宋体"/>
          <w:b w:val="0"/>
          <w:bCs/>
          <w:snapToGrid w:val="0"/>
          <w:color w:val="auto"/>
          <w:kern w:val="2"/>
          <w:sz w:val="21"/>
          <w:szCs w:val="21"/>
          <w:highlight w:val="none"/>
          <w:lang w:val="en-US" w:eastAsia="zh-CN" w:bidi="ar-SA"/>
        </w:rPr>
        <w:t>9.1  对比选人的纪律要求</w:t>
      </w:r>
      <w:bookmarkEnd w:id="242"/>
      <w:bookmarkEnd w:id="243"/>
      <w:bookmarkEnd w:id="244"/>
      <w:bookmarkEnd w:id="245"/>
      <w:bookmarkEnd w:id="246"/>
      <w:bookmarkEnd w:id="247"/>
      <w:bookmarkEnd w:id="248"/>
      <w:bookmarkEnd w:id="24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比选</w:t>
      </w:r>
      <w:r>
        <w:rPr>
          <w:rFonts w:hint="eastAsia" w:ascii="宋体" w:hAnsi="宋体" w:eastAsia="宋体" w:cs="宋体"/>
          <w:snapToGrid w:val="0"/>
          <w:color w:val="auto"/>
          <w:kern w:val="0"/>
          <w:sz w:val="21"/>
          <w:szCs w:val="21"/>
          <w:highlight w:val="none"/>
        </w:rPr>
        <w:t>人不得泄漏招标投标活动中应当保密的情况和资料，不得与投标人串通损害国家利 益、社会公共利益或者他人合法权益，</w:t>
      </w:r>
      <w:r>
        <w:rPr>
          <w:rFonts w:hint="eastAsia" w:ascii="宋体" w:hAnsi="宋体" w:eastAsia="宋体" w:cs="宋体"/>
          <w:color w:val="auto"/>
          <w:sz w:val="21"/>
          <w:szCs w:val="21"/>
          <w:highlight w:val="none"/>
        </w:rPr>
        <w:t>禁止</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人在开标前开启投标文件并将有关信息泄露给其他投标人；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人直接或者间接向投标人泄露标底、评标委员会成员等信息；</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人明示或者暗示投标人压低或者抬高投标报价；</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人授意投标人撤换、修改投标文件；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人明示或者暗示投标人为特定投标人中标提供方便；</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人与投标人为谋求特定投标人中标而采取的其他串通行为。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0" w:name="_Toc509218758"/>
      <w:bookmarkStart w:id="251" w:name="_Toc14890"/>
      <w:bookmarkStart w:id="252" w:name="_Toc277082600"/>
      <w:bookmarkStart w:id="253" w:name="_Toc200513174"/>
      <w:bookmarkStart w:id="254" w:name="_Toc430530483"/>
      <w:bookmarkStart w:id="255" w:name="_Toc224103365"/>
      <w:bookmarkStart w:id="256" w:name="_Toc287607794"/>
      <w:bookmarkStart w:id="257" w:name="_Toc287620733"/>
      <w:r>
        <w:rPr>
          <w:rFonts w:hint="eastAsia" w:ascii="宋体" w:hAnsi="宋体" w:eastAsia="宋体" w:cs="宋体"/>
          <w:b w:val="0"/>
          <w:bCs/>
          <w:snapToGrid w:val="0"/>
          <w:color w:val="auto"/>
          <w:kern w:val="2"/>
          <w:sz w:val="21"/>
          <w:szCs w:val="21"/>
          <w:highlight w:val="none"/>
          <w:lang w:val="en-US" w:eastAsia="zh-CN" w:bidi="ar-SA"/>
        </w:rPr>
        <w:t>9.2  对投标人的纪律要求</w:t>
      </w:r>
      <w:bookmarkEnd w:id="250"/>
      <w:bookmarkEnd w:id="251"/>
      <w:bookmarkEnd w:id="252"/>
      <w:bookmarkEnd w:id="253"/>
      <w:bookmarkEnd w:id="254"/>
      <w:bookmarkEnd w:id="255"/>
      <w:bookmarkEnd w:id="256"/>
      <w:bookmarkEnd w:id="257"/>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投标人不得相互串通投标或者与</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串通投标，不得向</w:t>
      </w:r>
      <w:r>
        <w:rPr>
          <w:rFonts w:hint="eastAsia" w:ascii="宋体" w:hAnsi="宋体" w:eastAsia="宋体" w:cs="宋体"/>
          <w:snapToGrid w:val="0"/>
          <w:color w:val="auto"/>
          <w:kern w:val="0"/>
          <w:sz w:val="21"/>
          <w:szCs w:val="21"/>
          <w:highlight w:val="none"/>
          <w:lang w:eastAsia="zh-CN"/>
        </w:rPr>
        <w:t>比选人</w:t>
      </w:r>
      <w:r>
        <w:rPr>
          <w:rFonts w:hint="eastAsia" w:ascii="宋体" w:hAnsi="宋体" w:eastAsia="宋体" w:cs="宋体"/>
          <w:snapToGrid w:val="0"/>
          <w:color w:val="auto"/>
          <w:kern w:val="0"/>
          <w:sz w:val="21"/>
          <w:szCs w:val="21"/>
          <w:highlight w:val="none"/>
        </w:rPr>
        <w:t>或者评标委员会成员行贿谋取中标，不得以他人名义投标或者以其他方式弄虚作假骗取中标；投标人不得以任何方式干扰、影响评标工作。</w:t>
      </w:r>
      <w:r>
        <w:rPr>
          <w:rFonts w:hint="eastAsia" w:ascii="宋体" w:hAnsi="宋体" w:eastAsia="宋体" w:cs="宋体"/>
          <w:color w:val="auto"/>
          <w:sz w:val="21"/>
          <w:szCs w:val="21"/>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（2）投标人之间约定中标人；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（5）不同投标人的投标文件相互混装；</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（一）使用伪造、变造的许可证件；</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（二）提供虚假的财务状况或者业绩；</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（四）提供虚假的信用状况；</w:t>
      </w:r>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（五）其他弄虚作假的行为。</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58" w:name="_Toc287607795"/>
      <w:bookmarkStart w:id="259" w:name="_Toc200513175"/>
      <w:bookmarkStart w:id="260" w:name="_Toc509218759"/>
      <w:bookmarkStart w:id="261" w:name="_Toc287620734"/>
      <w:bookmarkStart w:id="262" w:name="_Toc20024"/>
      <w:bookmarkStart w:id="263" w:name="_Toc277082601"/>
      <w:bookmarkStart w:id="264" w:name="_Toc224103366"/>
      <w:bookmarkStart w:id="265" w:name="_Toc430530484"/>
      <w:r>
        <w:rPr>
          <w:rFonts w:hint="eastAsia" w:ascii="宋体" w:hAnsi="宋体" w:eastAsia="宋体" w:cs="宋体"/>
          <w:b w:val="0"/>
          <w:bCs/>
          <w:snapToGrid w:val="0"/>
          <w:color w:val="auto"/>
          <w:kern w:val="2"/>
          <w:sz w:val="21"/>
          <w:szCs w:val="21"/>
          <w:highlight w:val="none"/>
          <w:lang w:val="en-US" w:eastAsia="zh-CN" w:bidi="ar-SA"/>
        </w:rPr>
        <w:t>9.3  对评标委员会成员的纪律要求</w:t>
      </w:r>
      <w:bookmarkEnd w:id="258"/>
      <w:bookmarkEnd w:id="259"/>
      <w:bookmarkEnd w:id="260"/>
      <w:bookmarkEnd w:id="261"/>
      <w:bookmarkEnd w:id="262"/>
      <w:bookmarkEnd w:id="263"/>
      <w:bookmarkEnd w:id="264"/>
      <w:bookmarkEnd w:id="265"/>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66" w:name="_Toc287620735"/>
      <w:bookmarkStart w:id="267" w:name="_Toc224103367"/>
      <w:bookmarkStart w:id="268" w:name="_Toc430530485"/>
      <w:bookmarkStart w:id="269" w:name="_Toc200513176"/>
      <w:bookmarkStart w:id="270" w:name="_Toc277082602"/>
      <w:bookmarkStart w:id="271" w:name="_Toc287607796"/>
      <w:bookmarkStart w:id="272" w:name="_Toc509218760"/>
      <w:bookmarkStart w:id="273" w:name="_Toc1608"/>
      <w:r>
        <w:rPr>
          <w:rFonts w:hint="eastAsia" w:ascii="宋体" w:hAnsi="宋体" w:eastAsia="宋体" w:cs="宋体"/>
          <w:b w:val="0"/>
          <w:bCs/>
          <w:snapToGrid w:val="0"/>
          <w:color w:val="auto"/>
          <w:kern w:val="2"/>
          <w:sz w:val="21"/>
          <w:szCs w:val="21"/>
          <w:highlight w:val="none"/>
          <w:lang w:val="en-US" w:eastAsia="zh-CN" w:bidi="ar-SA"/>
        </w:rPr>
        <w:t>9.4  对与评标活动有关的工作人员的纪律要求</w:t>
      </w:r>
      <w:bookmarkEnd w:id="266"/>
      <w:bookmarkEnd w:id="267"/>
      <w:bookmarkEnd w:id="268"/>
      <w:bookmarkEnd w:id="269"/>
      <w:bookmarkEnd w:id="270"/>
      <w:bookmarkEnd w:id="271"/>
      <w:bookmarkEnd w:id="272"/>
      <w:bookmarkEnd w:id="273"/>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keepNext/>
        <w:keepLines/>
        <w:pageBreakBefore w:val="0"/>
        <w:widowControl w:val="0"/>
        <w:kinsoku/>
        <w:wordWrap/>
        <w:overflowPunct/>
        <w:topLinePunct w:val="0"/>
        <w:bidi w:val="0"/>
        <w:snapToGrid w:val="0"/>
        <w:spacing w:before="0" w:after="0" w:line="360" w:lineRule="auto"/>
        <w:ind w:firstLine="420" w:firstLineChars="200"/>
        <w:jc w:val="both"/>
        <w:textAlignment w:val="auto"/>
        <w:outlineLvl w:val="2"/>
        <w:rPr>
          <w:rFonts w:hint="eastAsia" w:ascii="宋体" w:hAnsi="宋体" w:eastAsia="宋体" w:cs="宋体"/>
          <w:b w:val="0"/>
          <w:bCs/>
          <w:snapToGrid w:val="0"/>
          <w:color w:val="auto"/>
          <w:kern w:val="2"/>
          <w:sz w:val="21"/>
          <w:szCs w:val="21"/>
          <w:highlight w:val="none"/>
          <w:lang w:val="en-US" w:eastAsia="zh-CN" w:bidi="ar-SA"/>
        </w:rPr>
      </w:pPr>
      <w:bookmarkStart w:id="274" w:name="_Toc509218761"/>
      <w:bookmarkStart w:id="275" w:name="_Toc277082603"/>
      <w:bookmarkStart w:id="276" w:name="_Toc224103368"/>
      <w:bookmarkStart w:id="277" w:name="_Toc430530486"/>
      <w:bookmarkStart w:id="278" w:name="_Toc287607797"/>
      <w:bookmarkStart w:id="279" w:name="_Toc200513177"/>
      <w:bookmarkStart w:id="280" w:name="_Toc287620736"/>
      <w:bookmarkStart w:id="281" w:name="_Toc2907"/>
      <w:r>
        <w:rPr>
          <w:rFonts w:hint="eastAsia" w:ascii="宋体" w:hAnsi="宋体" w:eastAsia="宋体" w:cs="宋体"/>
          <w:b w:val="0"/>
          <w:bCs/>
          <w:snapToGrid w:val="0"/>
          <w:color w:val="auto"/>
          <w:kern w:val="2"/>
          <w:sz w:val="21"/>
          <w:szCs w:val="21"/>
          <w:highlight w:val="none"/>
          <w:lang w:val="en-US" w:eastAsia="zh-CN" w:bidi="ar-SA"/>
        </w:rPr>
        <w:t>9.5  投诉</w:t>
      </w:r>
      <w:bookmarkEnd w:id="274"/>
      <w:bookmarkEnd w:id="275"/>
      <w:bookmarkEnd w:id="276"/>
      <w:bookmarkEnd w:id="277"/>
      <w:bookmarkEnd w:id="278"/>
      <w:bookmarkEnd w:id="279"/>
      <w:bookmarkEnd w:id="280"/>
      <w:bookmarkEnd w:id="281"/>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投标人和其他利害关系人认为本次招标活动违反法律、法规和规章规定的，有权向有关行政监督部门投诉。</w:t>
      </w:r>
    </w:p>
    <w:p>
      <w:pPr>
        <w:keepNext/>
        <w:keepLines/>
        <w:pageBreakBefore w:val="0"/>
        <w:widowControl w:val="0"/>
        <w:kinsoku/>
        <w:wordWrap/>
        <w:overflowPunct/>
        <w:topLinePunct w:val="0"/>
        <w:bidi w:val="0"/>
        <w:spacing w:before="0" w:after="0" w:line="360" w:lineRule="auto"/>
        <w:ind w:firstLine="420" w:firstLineChars="200"/>
        <w:jc w:val="both"/>
        <w:textAlignment w:val="auto"/>
        <w:outlineLvl w:val="9"/>
        <w:rPr>
          <w:rFonts w:hint="eastAsia" w:ascii="宋体" w:hAnsi="宋体" w:eastAsia="宋体" w:cs="宋体"/>
          <w:b w:val="0"/>
          <w:bCs/>
          <w:snapToGrid w:val="0"/>
          <w:color w:val="auto"/>
          <w:kern w:val="2"/>
          <w:sz w:val="21"/>
          <w:szCs w:val="21"/>
          <w:highlight w:val="none"/>
          <w:lang w:val="en-US" w:eastAsia="zh-CN" w:bidi="ar-SA"/>
        </w:rPr>
      </w:pPr>
      <w:bookmarkStart w:id="282" w:name="_Toc430530487"/>
      <w:bookmarkStart w:id="283" w:name="_Toc509218762"/>
      <w:bookmarkStart w:id="284" w:name="_Toc224103369"/>
      <w:bookmarkStart w:id="285" w:name="_Toc287607798"/>
      <w:bookmarkStart w:id="286" w:name="_Toc36043738"/>
      <w:bookmarkStart w:id="287" w:name="_Toc287620737"/>
      <w:bookmarkStart w:id="288" w:name="_Toc200513178"/>
      <w:bookmarkStart w:id="289" w:name="_Toc277082604"/>
      <w:r>
        <w:rPr>
          <w:rFonts w:hint="eastAsia" w:ascii="宋体" w:hAnsi="宋体" w:eastAsia="宋体" w:cs="宋体"/>
          <w:b w:val="0"/>
          <w:bCs/>
          <w:snapToGrid w:val="0"/>
          <w:color w:val="auto"/>
          <w:kern w:val="2"/>
          <w:sz w:val="21"/>
          <w:szCs w:val="21"/>
          <w:highlight w:val="none"/>
          <w:lang w:val="en-US" w:eastAsia="zh-CN" w:bidi="ar-SA"/>
        </w:rPr>
        <w:t>10. 需要补充的其他内容</w:t>
      </w:r>
      <w:bookmarkEnd w:id="282"/>
      <w:bookmarkEnd w:id="283"/>
      <w:bookmarkEnd w:id="284"/>
      <w:bookmarkEnd w:id="285"/>
      <w:bookmarkEnd w:id="286"/>
      <w:bookmarkEnd w:id="287"/>
      <w:bookmarkEnd w:id="288"/>
      <w:bookmarkEnd w:id="289"/>
    </w:p>
    <w:p>
      <w:pPr>
        <w:pageBreakBefore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需要补充的其他内容：见投标人须知前附表。</w:t>
      </w:r>
    </w:p>
    <w:p>
      <w:pPr>
        <w:spacing w:line="360" w:lineRule="auto"/>
        <w:ind w:firstLine="240" w:firstLineChars="100"/>
        <w:rPr>
          <w:rFonts w:ascii="宋体" w:hAnsi="宋体" w:eastAsia="宋体" w:cs="宋体"/>
          <w:color w:val="auto"/>
          <w:sz w:val="24"/>
          <w:highlight w:val="none"/>
        </w:rPr>
        <w:sectPr>
          <w:pgSz w:w="11906" w:h="16838"/>
          <w:pgMar w:top="1134" w:right="1418" w:bottom="1134" w:left="1418" w:header="851" w:footer="992" w:gutter="0"/>
          <w:cols w:space="720" w:num="1"/>
          <w:docGrid w:type="lines" w:linePitch="312" w:charSpace="0"/>
        </w:sectPr>
      </w:pPr>
    </w:p>
    <w:p>
      <w:pPr>
        <w:pStyle w:val="3"/>
        <w:spacing w:line="360" w:lineRule="auto"/>
        <w:ind w:firstLine="883" w:firstLineChars="200"/>
        <w:jc w:val="center"/>
        <w:rPr>
          <w:rFonts w:ascii="宋体" w:hAnsi="宋体"/>
          <w:highlight w:val="none"/>
        </w:rPr>
      </w:pPr>
      <w:bookmarkStart w:id="290" w:name="_Toc509218774"/>
      <w:bookmarkStart w:id="291" w:name="_Toc4335"/>
      <w:bookmarkStart w:id="292" w:name="_Toc5770"/>
      <w:bookmarkStart w:id="293" w:name="_Toc6128"/>
      <w:bookmarkStart w:id="294" w:name="_Toc224103384"/>
      <w:bookmarkStart w:id="295" w:name="_Toc287607812"/>
      <w:bookmarkStart w:id="296" w:name="_Toc277082618"/>
      <w:bookmarkStart w:id="297" w:name="_Toc287620751"/>
      <w:bookmarkStart w:id="298" w:name="_Toc200513198"/>
      <w:bookmarkStart w:id="299" w:name="_Toc430530500"/>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w:t>
      </w:r>
      <w:r>
        <w:rPr>
          <w:rFonts w:hint="eastAsia" w:ascii="宋体" w:hAnsi="宋体"/>
          <w:highlight w:val="none"/>
          <w:lang w:val="en-US" w:eastAsia="zh-CN"/>
        </w:rPr>
        <w:t>经评审的最低价法</w:t>
      </w:r>
      <w:r>
        <w:rPr>
          <w:rFonts w:ascii="宋体" w:hAnsi="宋体"/>
          <w:highlight w:val="none"/>
        </w:rPr>
        <w:t>）</w:t>
      </w:r>
      <w:bookmarkEnd w:id="290"/>
      <w:bookmarkEnd w:id="291"/>
      <w:bookmarkEnd w:id="292"/>
      <w:bookmarkEnd w:id="293"/>
      <w:bookmarkStart w:id="300" w:name="_Toc277082617"/>
      <w:bookmarkStart w:id="301" w:name="_Toc287620750"/>
      <w:bookmarkStart w:id="302" w:name="_Toc287607811"/>
      <w:bookmarkStart w:id="303" w:name="_Toc430530499"/>
      <w:bookmarkStart w:id="304" w:name="_Toc224103383"/>
    </w:p>
    <w:p>
      <w:pPr>
        <w:pStyle w:val="4"/>
        <w:spacing w:before="100" w:after="100" w:line="360" w:lineRule="auto"/>
        <w:rPr>
          <w:rFonts w:ascii="宋体" w:hAnsi="宋体"/>
          <w:highlight w:val="none"/>
        </w:rPr>
      </w:pPr>
      <w:bookmarkStart w:id="305" w:name="_Toc509218775"/>
      <w:bookmarkStart w:id="306" w:name="_Toc14663"/>
      <w:bookmarkStart w:id="307" w:name="_Toc32566"/>
      <w:r>
        <w:rPr>
          <w:rFonts w:hint="eastAsia" w:ascii="宋体" w:hAnsi="宋体"/>
          <w:highlight w:val="none"/>
        </w:rPr>
        <w:t>评标办法前附表</w:t>
      </w:r>
      <w:bookmarkEnd w:id="305"/>
      <w:bookmarkEnd w:id="306"/>
      <w:bookmarkEnd w:id="307"/>
    </w:p>
    <w:p>
      <w:pPr>
        <w:spacing w:line="360" w:lineRule="auto"/>
        <w:ind w:firstLine="420" w:firstLineChars="200"/>
        <w:rPr>
          <w:szCs w:val="21"/>
          <w:highlight w:val="none"/>
        </w:rPr>
      </w:pPr>
      <w:r>
        <w:rPr>
          <w:szCs w:val="21"/>
          <w:highlight w:val="none"/>
        </w:rPr>
        <w:t>评标办法中的评审内容必须和</w:t>
      </w:r>
      <w:r>
        <w:rPr>
          <w:rFonts w:hint="eastAsia"/>
          <w:szCs w:val="21"/>
          <w:highlight w:val="none"/>
          <w:lang w:eastAsia="zh-CN"/>
        </w:rPr>
        <w:t>竞选人</w:t>
      </w:r>
      <w:r>
        <w:rPr>
          <w:szCs w:val="21"/>
          <w:highlight w:val="none"/>
        </w:rPr>
        <w:t>须知中的对应内容一致，若</w:t>
      </w:r>
      <w:r>
        <w:rPr>
          <w:rFonts w:hint="eastAsia"/>
          <w:szCs w:val="21"/>
          <w:highlight w:val="none"/>
          <w:lang w:eastAsia="zh-CN"/>
        </w:rPr>
        <w:t>竞选人</w:t>
      </w:r>
      <w:r>
        <w:rPr>
          <w:szCs w:val="21"/>
          <w:highlight w:val="none"/>
        </w:rPr>
        <w:t>须知中未作要求的内容，不得列入评标办法作为评定依据。</w:t>
      </w:r>
    </w:p>
    <w:bookmarkEnd w:id="300"/>
    <w:bookmarkEnd w:id="301"/>
    <w:bookmarkEnd w:id="302"/>
    <w:bookmarkEnd w:id="303"/>
    <w:bookmarkEnd w:id="304"/>
    <w:tbl>
      <w:tblPr>
        <w:tblStyle w:val="46"/>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bookmarkStart w:id="308" w:name="_Toc509218776"/>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pStyle w:val="87"/>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87"/>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中按报价由低到高推荐中标候选人，或根据</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rPr>
              <w:t>授权直接确定中标人。若出现</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投标报价相同的，以“</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在红名单中优先”的原则排序（联合体投标的，须联合体牵头人在红名单中），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均在红名单中或均不在红名单中的，由评标委员会按照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w:t>
            </w:r>
            <w:r>
              <w:rPr>
                <w:rFonts w:hint="eastAsia" w:ascii="宋体" w:hAnsi="宋体"/>
                <w:color w:val="auto"/>
                <w:kern w:val="0"/>
                <w:highlight w:val="none"/>
                <w:lang w:eastAsia="zh-CN"/>
              </w:rPr>
              <w:t>竞选人</w:t>
            </w:r>
            <w:r>
              <w:rPr>
                <w:rFonts w:hint="eastAsia" w:ascii="宋体" w:hAnsi="宋体"/>
                <w:color w:val="auto"/>
                <w:kern w:val="0"/>
                <w:highlight w:val="none"/>
              </w:rPr>
              <w:t>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5名（若实际</w:t>
            </w:r>
            <w:r>
              <w:rPr>
                <w:rFonts w:hint="eastAsia" w:ascii="宋体" w:hAnsi="宋体"/>
                <w:color w:val="auto"/>
                <w:kern w:val="0"/>
                <w:highlight w:val="none"/>
                <w:lang w:eastAsia="zh-CN"/>
              </w:rPr>
              <w:t>竞选人</w:t>
            </w:r>
            <w:r>
              <w:rPr>
                <w:rFonts w:hint="eastAsia" w:ascii="宋体" w:hAnsi="宋体"/>
                <w:color w:val="auto"/>
                <w:kern w:val="0"/>
                <w:highlight w:val="none"/>
              </w:rPr>
              <w:t>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w:t>
            </w:r>
            <w:r>
              <w:rPr>
                <w:rFonts w:hint="eastAsia" w:ascii="宋体" w:hAnsi="宋体"/>
                <w:color w:val="auto"/>
                <w:kern w:val="0"/>
                <w:highlight w:val="none"/>
                <w:lang w:eastAsia="zh-CN"/>
              </w:rPr>
              <w:t>竞选人</w:t>
            </w:r>
            <w:r>
              <w:rPr>
                <w:rFonts w:hint="eastAsia" w:ascii="宋体" w:hAnsi="宋体"/>
                <w:color w:val="auto"/>
                <w:kern w:val="0"/>
                <w:highlight w:val="none"/>
              </w:rPr>
              <w:t>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26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法定代表人的委托代理人有法定代表人签署的授权委托书和</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2.2.4</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1.投标总报价必须与清单总报价一致。</w:t>
            </w:r>
          </w:p>
          <w:p>
            <w:pPr>
              <w:snapToGrid w:val="0"/>
              <w:spacing w:line="4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投标总报价不得高于</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公布的投标总报价最高限价。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服务期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val="en-US" w:eastAsia="zh-CN"/>
              </w:rPr>
              <w:t>服务</w:t>
            </w:r>
            <w:r>
              <w:rPr>
                <w:rFonts w:hint="eastAsia" w:ascii="宋体" w:hAnsi="宋体" w:cs="宋体"/>
                <w:color w:val="auto"/>
                <w:kern w:val="0"/>
                <w:highlight w:val="none"/>
              </w:rPr>
              <w:t>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符合第七章“技术标准和要求”规定。（由</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lang w:val="en-US" w:eastAsia="zh-CN"/>
              </w:rPr>
              <w:t>工作内容</w:t>
            </w:r>
            <w:r>
              <w:rPr>
                <w:rFonts w:hint="eastAsia" w:ascii="宋体" w:hAnsi="宋体" w:cs="宋体"/>
                <w:color w:val="auto"/>
                <w:kern w:val="0"/>
                <w:highlight w:val="none"/>
              </w:rPr>
              <w:t>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w:t>
            </w:r>
            <w:r>
              <w:rPr>
                <w:rFonts w:hint="eastAsia" w:ascii="宋体" w:hAnsi="宋体" w:cs="宋体"/>
                <w:color w:val="auto"/>
                <w:kern w:val="0"/>
                <w:highlight w:val="none"/>
                <w:lang w:val="en-US" w:eastAsia="zh-CN"/>
              </w:rPr>
              <w:t>工作内容</w:t>
            </w:r>
            <w:r>
              <w:rPr>
                <w:rFonts w:hint="eastAsia" w:ascii="宋体" w:hAnsi="宋体" w:cs="宋体"/>
                <w:color w:val="auto"/>
                <w:kern w:val="0"/>
                <w:highlight w:val="none"/>
              </w:rPr>
              <w:t>清单”给出的范围及数量。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.每项清单单价报价不得高于对应清单单价最高限价。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26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竞选人须知</w:t>
            </w:r>
            <w:r>
              <w:rPr>
                <w:rFonts w:hint="eastAsia" w:ascii="宋体" w:hAnsi="宋体" w:cs="宋体"/>
                <w:color w:val="auto"/>
                <w:kern w:val="0"/>
                <w:highlight w:val="none"/>
              </w:rPr>
              <w:t>”第1.4.3项规定。</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的投标文件，按照报价由低到高的顺序排序。</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中，报价最低的成为第一中标候选人，报价次低的成为第二中标候选人，依次类推。</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不足三个的，评标委员会应当否决所有投标。但是有效</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投标报价相同的，以“</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在红名单中优先”的原则排序</w:t>
            </w:r>
            <w:r>
              <w:rPr>
                <w:rFonts w:hint="eastAsia" w:ascii="宋体" w:hAnsi="宋体"/>
                <w:color w:val="auto"/>
                <w:spacing w:val="4"/>
                <w:kern w:val="0"/>
                <w:szCs w:val="21"/>
                <w:highlight w:val="none"/>
              </w:rPr>
              <w:t>（联合体投标的，须联合体牵头人在红名单中），</w:t>
            </w:r>
            <w:r>
              <w:rPr>
                <w:rFonts w:hint="eastAsia" w:ascii="宋体" w:hAnsi="宋体"/>
                <w:color w:val="auto"/>
                <w:spacing w:val="4"/>
                <w:kern w:val="0"/>
                <w:szCs w:val="21"/>
                <w:highlight w:val="none"/>
                <w:lang w:eastAsia="zh-CN"/>
              </w:rPr>
              <w:t>竞选人</w:t>
            </w:r>
            <w:r>
              <w:rPr>
                <w:rFonts w:hint="eastAsia" w:ascii="宋体" w:hAnsi="宋体"/>
                <w:color w:val="auto"/>
                <w:spacing w:val="4"/>
                <w:kern w:val="0"/>
                <w:szCs w:val="21"/>
                <w:highlight w:val="none"/>
              </w:rPr>
              <w:t>是否属于红名单，以开标环节信用状况查询结果为准</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u w:val="single"/>
                <w:lang w:val="en-US" w:eastAsia="zh-CN"/>
              </w:rPr>
              <w:t>投标表决</w:t>
            </w:r>
            <w:r>
              <w:rPr>
                <w:rFonts w:hint="eastAsia" w:ascii="宋体" w:hAnsi="宋体"/>
                <w:color w:val="auto"/>
                <w:spacing w:val="4"/>
                <w:kern w:val="0"/>
                <w:szCs w:val="21"/>
                <w:highlight w:val="none"/>
                <w:u w:val="single"/>
              </w:rPr>
              <w:t xml:space="preserve">   </w:t>
            </w:r>
            <w:r>
              <w:rPr>
                <w:rFonts w:hint="eastAsia" w:ascii="宋体" w:hAnsi="宋体"/>
                <w:color w:val="auto"/>
                <w:spacing w:val="4"/>
                <w:kern w:val="0"/>
                <w:szCs w:val="21"/>
                <w:highlight w:val="none"/>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lang w:eastAsia="zh-CN"/>
              </w:rPr>
              <w:t>竞选人须知</w:t>
            </w:r>
            <w:r>
              <w:rPr>
                <w:rFonts w:ascii="宋体" w:hAnsi="宋体"/>
                <w:color w:val="auto"/>
                <w:kern w:val="0"/>
                <w:szCs w:val="21"/>
                <w:highlight w:val="none"/>
              </w:rPr>
              <w:t>”前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outlineLvl w:val="9"/>
        <w:rPr>
          <w:rFonts w:ascii="宋体" w:hAnsi="宋体"/>
          <w:b w:val="0"/>
          <w:snapToGrid w:val="0"/>
          <w:highlight w:val="none"/>
        </w:rPr>
      </w:pPr>
    </w:p>
    <w:p>
      <w:pPr>
        <w:pStyle w:val="4"/>
        <w:spacing w:before="0" w:after="0" w:line="360" w:lineRule="auto"/>
        <w:rPr>
          <w:rFonts w:ascii="宋体" w:hAnsi="宋体"/>
          <w:bCs w:val="0"/>
          <w:snapToGrid w:val="0"/>
          <w:color w:val="auto"/>
          <w:highlight w:val="none"/>
        </w:rPr>
      </w:pPr>
      <w:r>
        <w:rPr>
          <w:rFonts w:ascii="宋体" w:hAnsi="宋体"/>
          <w:b w:val="0"/>
          <w:snapToGrid w:val="0"/>
          <w:highlight w:val="none"/>
        </w:rPr>
        <w:br w:type="page"/>
      </w:r>
      <w:bookmarkEnd w:id="294"/>
      <w:bookmarkEnd w:id="295"/>
      <w:bookmarkEnd w:id="296"/>
      <w:bookmarkEnd w:id="297"/>
      <w:bookmarkEnd w:id="298"/>
      <w:bookmarkEnd w:id="299"/>
      <w:bookmarkEnd w:id="308"/>
      <w:bookmarkStart w:id="309" w:name="_Toc57905886"/>
      <w:bookmarkStart w:id="310" w:name="_Toc27750"/>
      <w:bookmarkStart w:id="311" w:name="_Toc12666"/>
      <w:r>
        <w:rPr>
          <w:rFonts w:ascii="宋体" w:hAnsi="宋体"/>
          <w:b w:val="0"/>
          <w:snapToGrid w:val="0"/>
          <w:color w:val="auto"/>
          <w:highlight w:val="none"/>
        </w:rPr>
        <w:t>1.  评标方法</w:t>
      </w:r>
      <w:bookmarkEnd w:id="309"/>
      <w:bookmarkEnd w:id="310"/>
      <w:bookmarkEnd w:id="311"/>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w:t>
      </w:r>
      <w:r>
        <w:rPr>
          <w:rFonts w:hint="eastAsia" w:ascii="宋体" w:hAnsi="宋体"/>
          <w:color w:val="auto"/>
          <w:highlight w:val="none"/>
          <w:lang w:eastAsia="zh-CN"/>
        </w:rPr>
        <w:t>竞选人</w:t>
      </w:r>
      <w:r>
        <w:rPr>
          <w:rFonts w:hint="eastAsia" w:ascii="宋体" w:hAnsi="宋体"/>
          <w:color w:val="auto"/>
          <w:highlight w:val="none"/>
        </w:rPr>
        <w:t>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w:t>
      </w:r>
      <w:r>
        <w:rPr>
          <w:rFonts w:hint="eastAsia" w:ascii="宋体" w:hAnsi="宋体"/>
          <w:color w:val="auto"/>
          <w:highlight w:val="none"/>
          <w:lang w:eastAsia="zh-CN"/>
        </w:rPr>
        <w:t>竞选人</w:t>
      </w:r>
      <w:r>
        <w:rPr>
          <w:rFonts w:hint="eastAsia" w:ascii="宋体" w:hAnsi="宋体"/>
          <w:color w:val="auto"/>
          <w:highlight w:val="none"/>
        </w:rPr>
        <w:t>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312" w:name="_Toc57905887"/>
      <w:bookmarkStart w:id="313" w:name="_Toc20502"/>
      <w:bookmarkStart w:id="314" w:name="_Toc24923"/>
      <w:r>
        <w:rPr>
          <w:rFonts w:ascii="宋体" w:hAnsi="宋体"/>
          <w:b w:val="0"/>
          <w:snapToGrid w:val="0"/>
          <w:color w:val="auto"/>
          <w:highlight w:val="none"/>
        </w:rPr>
        <w:t>2.  评审标准</w:t>
      </w:r>
      <w:bookmarkEnd w:id="312"/>
      <w:bookmarkEnd w:id="313"/>
      <w:bookmarkEnd w:id="314"/>
    </w:p>
    <w:p>
      <w:pPr>
        <w:pStyle w:val="5"/>
        <w:spacing w:before="0" w:after="0" w:line="360" w:lineRule="auto"/>
        <w:rPr>
          <w:rFonts w:ascii="宋体" w:hAnsi="宋体" w:cs="宋体"/>
          <w:color w:val="auto"/>
          <w:sz w:val="21"/>
          <w:szCs w:val="21"/>
          <w:highlight w:val="none"/>
        </w:rPr>
      </w:pPr>
      <w:bookmarkStart w:id="315" w:name="_Toc3739"/>
      <w:bookmarkStart w:id="316" w:name="_Toc57905888"/>
      <w:bookmarkStart w:id="317" w:name="_Toc24029"/>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315"/>
      <w:r>
        <w:rPr>
          <w:rFonts w:hint="eastAsia" w:ascii="宋体" w:hAnsi="宋体" w:cs="宋体"/>
          <w:color w:val="auto"/>
          <w:sz w:val="21"/>
          <w:szCs w:val="21"/>
          <w:highlight w:val="none"/>
        </w:rPr>
        <w:t>标准</w:t>
      </w:r>
      <w:bookmarkEnd w:id="316"/>
      <w:bookmarkEnd w:id="317"/>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318" w:name="_Toc16832"/>
      <w:bookmarkStart w:id="319" w:name="_Toc57905889"/>
      <w:bookmarkStart w:id="320" w:name="_Toc744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318"/>
      <w:r>
        <w:rPr>
          <w:rFonts w:hint="eastAsia" w:ascii="宋体" w:hAnsi="宋体" w:cs="宋体"/>
          <w:color w:val="auto"/>
          <w:sz w:val="21"/>
          <w:szCs w:val="21"/>
          <w:highlight w:val="none"/>
        </w:rPr>
        <w:t>标准</w:t>
      </w:r>
      <w:bookmarkEnd w:id="319"/>
      <w:bookmarkEnd w:id="320"/>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2A  资格评审标准：见资格预审文件第三章“资格审查办法”详细审查标准（适用于已进行资格预审的）。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2B  资格评审标准：见评标办法前附表（适用于未进行资格预审的）。</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321" w:name="_Toc6630"/>
      <w:bookmarkStart w:id="322" w:name="_Toc57905890"/>
      <w:bookmarkStart w:id="323" w:name="_Toc30094"/>
      <w:r>
        <w:rPr>
          <w:rFonts w:ascii="宋体" w:hAnsi="宋体"/>
          <w:b w:val="0"/>
          <w:snapToGrid w:val="0"/>
          <w:color w:val="auto"/>
          <w:highlight w:val="none"/>
        </w:rPr>
        <w:t>3.  评标程序</w:t>
      </w:r>
      <w:bookmarkEnd w:id="321"/>
      <w:bookmarkEnd w:id="322"/>
      <w:bookmarkEnd w:id="323"/>
    </w:p>
    <w:p>
      <w:pPr>
        <w:pStyle w:val="5"/>
        <w:spacing w:before="0" w:after="0" w:line="360" w:lineRule="auto"/>
        <w:rPr>
          <w:rFonts w:ascii="宋体" w:hAnsi="宋体" w:cs="宋体"/>
          <w:color w:val="auto"/>
          <w:sz w:val="21"/>
          <w:szCs w:val="21"/>
          <w:highlight w:val="none"/>
        </w:rPr>
      </w:pPr>
      <w:bookmarkStart w:id="324" w:name="_Toc17317"/>
      <w:bookmarkStart w:id="325" w:name="_Toc19555"/>
      <w:bookmarkStart w:id="326" w:name="_Toc57905891"/>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324"/>
      <w:bookmarkEnd w:id="325"/>
      <w:bookmarkEnd w:id="326"/>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的投标文件，按照报价由低到高的顺序排序。</w:t>
      </w:r>
    </w:p>
    <w:p>
      <w:pPr>
        <w:pStyle w:val="5"/>
        <w:spacing w:before="0" w:after="0" w:line="360" w:lineRule="auto"/>
        <w:rPr>
          <w:rFonts w:ascii="宋体" w:hAnsi="宋体" w:cs="宋体"/>
          <w:color w:val="auto"/>
          <w:sz w:val="21"/>
          <w:szCs w:val="21"/>
          <w:highlight w:val="none"/>
        </w:rPr>
      </w:pPr>
      <w:bookmarkStart w:id="327" w:name="_Toc23300"/>
      <w:bookmarkStart w:id="328" w:name="_Toc57905892"/>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327"/>
      <w:bookmarkEnd w:id="328"/>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lang w:eastAsia="zh-CN"/>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lang w:eastAsia="zh-CN"/>
        </w:rPr>
        <w:t>竞选人须知</w:t>
      </w:r>
      <w:r>
        <w:rPr>
          <w:rFonts w:ascii="宋体" w:hAnsi="宋体" w:cs="宋体"/>
          <w:color w:val="auto"/>
          <w:szCs w:val="21"/>
          <w:highlight w:val="none"/>
        </w:rPr>
        <w:t xml:space="preserve">”第1.4.3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（2）投标函中的总报价与</w:t>
      </w:r>
      <w:r>
        <w:rPr>
          <w:rFonts w:hint="eastAsia" w:ascii="宋体" w:hAnsi="宋体" w:cs="宋体"/>
          <w:color w:val="auto"/>
          <w:szCs w:val="21"/>
          <w:highlight w:val="none"/>
          <w:lang w:val="en-US" w:eastAsia="zh-CN"/>
        </w:rPr>
        <w:t>单价</w:t>
      </w:r>
      <w:r>
        <w:rPr>
          <w:rFonts w:hint="eastAsia" w:ascii="宋体" w:hAnsi="宋体" w:cs="宋体"/>
          <w:color w:val="auto"/>
          <w:szCs w:val="21"/>
          <w:highlight w:val="none"/>
        </w:rPr>
        <w:t>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329" w:name="_Toc5505"/>
      <w:bookmarkStart w:id="330" w:name="_Toc30970"/>
      <w:bookmarkStart w:id="331" w:name="_Toc57905893"/>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329"/>
      <w:bookmarkEnd w:id="330"/>
      <w:bookmarkEnd w:id="33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竞选人</w:t>
      </w:r>
      <w:r>
        <w:rPr>
          <w:rFonts w:hint="eastAsia" w:ascii="宋体" w:hAnsi="宋体" w:cs="宋体"/>
          <w:color w:val="auto"/>
          <w:szCs w:val="21"/>
          <w:highlight w:val="none"/>
        </w:rPr>
        <w:t>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332" w:name="_Toc26860"/>
      <w:bookmarkStart w:id="333" w:name="_Toc484465184"/>
      <w:bookmarkStart w:id="334" w:name="_Toc57905894"/>
      <w:bookmarkStart w:id="335" w:name="_Toc27746"/>
      <w:bookmarkStart w:id="336" w:name="_Toc479262406"/>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332"/>
      <w:bookmarkEnd w:id="333"/>
      <w:bookmarkEnd w:id="334"/>
      <w:bookmarkEnd w:id="335"/>
      <w:bookmarkEnd w:id="336"/>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w:t>
      </w:r>
      <w:r>
        <w:rPr>
          <w:rFonts w:hint="eastAsia" w:ascii="宋体" w:hAnsi="宋体" w:cs="宋体"/>
          <w:color w:val="auto"/>
          <w:szCs w:val="21"/>
          <w:highlight w:val="none"/>
          <w:lang w:eastAsia="zh-CN"/>
        </w:rPr>
        <w:t>竞选人须知</w:t>
      </w:r>
      <w:r>
        <w:rPr>
          <w:rFonts w:hint="eastAsia" w:ascii="宋体" w:hAnsi="宋体" w:cs="宋体"/>
          <w:color w:val="auto"/>
          <w:szCs w:val="21"/>
          <w:highlight w:val="none"/>
        </w:rPr>
        <w:t>”前附表授权直接确定中标人外，评标委员会按经评审的最低投标价法推荐中标候选人。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spacing w:line="360" w:lineRule="auto"/>
        <w:rPr>
          <w:rFonts w:ascii="宋体" w:hAnsi="宋体"/>
          <w:b/>
          <w:szCs w:val="20"/>
          <w:highlight w:val="none"/>
        </w:rPr>
      </w:pPr>
      <w:r>
        <w:rPr>
          <w:rFonts w:ascii="宋体" w:hAnsi="宋体"/>
          <w:kern w:val="0"/>
          <w:sz w:val="20"/>
          <w:szCs w:val="20"/>
          <w:highlight w:val="none"/>
        </w:rPr>
        <w:br w:type="page"/>
      </w:r>
    </w:p>
    <w:p>
      <w:pPr>
        <w:pStyle w:val="34"/>
        <w:spacing w:line="360" w:lineRule="auto"/>
        <w:rPr>
          <w:rFonts w:ascii="宋体" w:hAnsi="宋体"/>
          <w:b/>
          <w:color w:val="auto"/>
          <w:sz w:val="28"/>
          <w:szCs w:val="28"/>
          <w:highlight w:val="none"/>
          <w:u w:val="none"/>
          <w:lang w:eastAsia="zh-CN"/>
        </w:rPr>
      </w:pPr>
      <w:bookmarkStart w:id="337" w:name="招标文件04章合同条款及格式"/>
      <w:bookmarkEnd w:id="337"/>
      <w:bookmarkStart w:id="338" w:name="招标文件03章02评标办法综合评估法02附件02"/>
      <w:bookmarkEnd w:id="338"/>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投标文件存在本一览表下列情形之一的，投标文件视为重大偏差并作否决投标处理，否则，评标委员会不得视为重大偏差而否决竞选人的投标文件</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899"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eastAsia="zh-CN"/>
              </w:rPr>
              <w:t>竞选人</w:t>
            </w:r>
            <w:r>
              <w:rPr>
                <w:rFonts w:hint="eastAsia" w:ascii="宋体" w:hAnsi="宋体"/>
                <w:color w:val="auto"/>
                <w:szCs w:val="21"/>
                <w:highlight w:val="none"/>
              </w:rPr>
              <w:t>的技术方案综合性评审不合格，由评标委员会作否决投标处理。技术方案采用暗标评审时，其形式应符合第二章</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第3.7.5项（</w:t>
            </w:r>
            <w:r>
              <w:rPr>
                <w:rFonts w:hint="eastAsia" w:ascii="宋体" w:hAnsi="宋体"/>
                <w:color w:val="auto"/>
                <w:szCs w:val="21"/>
                <w:highlight w:val="none"/>
                <w:lang w:val="en-US" w:eastAsia="zh-CN"/>
              </w:rPr>
              <w:t>4</w:t>
            </w:r>
            <w:r>
              <w:rPr>
                <w:rFonts w:hint="eastAsia" w:ascii="宋体" w:hAnsi="宋体"/>
                <w:color w:val="auto"/>
                <w:szCs w:val="21"/>
                <w:highlight w:val="none"/>
              </w:rPr>
              <w:t>）技术部分的</w:t>
            </w:r>
            <w:r>
              <w:rPr>
                <w:rFonts w:hint="eastAsia" w:ascii="宋体" w:hAnsi="宋体"/>
                <w:color w:val="auto"/>
                <w:szCs w:val="21"/>
                <w:highlight w:val="none"/>
                <w:lang w:val="en-US" w:eastAsia="zh-CN"/>
              </w:rPr>
              <w:t>装订</w:t>
            </w:r>
            <w:r>
              <w:rPr>
                <w:rFonts w:hint="eastAsia" w:ascii="宋体" w:hAnsi="宋体"/>
                <w:color w:val="auto"/>
                <w:szCs w:val="21"/>
                <w:highlight w:val="none"/>
              </w:rPr>
              <w:t>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eastAsia="zh-CN"/>
              </w:rPr>
              <w:t>竞选人</w:t>
            </w:r>
            <w:r>
              <w:rPr>
                <w:rFonts w:hint="eastAsia" w:ascii="宋体" w:hAnsi="宋体"/>
                <w:color w:val="auto"/>
                <w:szCs w:val="21"/>
                <w:highlight w:val="none"/>
              </w:rPr>
              <w:t>的资质条件、营业执照及安全生产条件须满足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w:t>
            </w:r>
            <w:r>
              <w:rPr>
                <w:rFonts w:hint="eastAsia" w:ascii="宋体" w:hAnsi="宋体"/>
                <w:color w:val="auto"/>
                <w:szCs w:val="21"/>
                <w:highlight w:val="none"/>
                <w:lang w:eastAsia="zh-CN"/>
              </w:rPr>
              <w:t>竞选人</w:t>
            </w:r>
            <w:r>
              <w:rPr>
                <w:rFonts w:hint="eastAsia" w:ascii="宋体" w:hAnsi="宋体"/>
                <w:color w:val="auto"/>
                <w:szCs w:val="21"/>
                <w:highlight w:val="none"/>
              </w:rPr>
              <w:t>的财务须满足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w:t>
            </w:r>
            <w:r>
              <w:rPr>
                <w:rFonts w:hint="eastAsia" w:ascii="宋体" w:hAnsi="宋体"/>
                <w:color w:val="auto"/>
                <w:szCs w:val="21"/>
                <w:highlight w:val="none"/>
                <w:lang w:eastAsia="zh-CN"/>
              </w:rPr>
              <w:t>竞选人</w:t>
            </w:r>
            <w:r>
              <w:rPr>
                <w:rFonts w:hint="eastAsia" w:ascii="宋体" w:hAnsi="宋体"/>
                <w:color w:val="auto"/>
                <w:szCs w:val="21"/>
                <w:highlight w:val="none"/>
              </w:rPr>
              <w:t>的业绩须满足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w:t>
            </w:r>
            <w:r>
              <w:rPr>
                <w:rFonts w:hint="eastAsia" w:ascii="宋体" w:hAnsi="宋体"/>
                <w:color w:val="auto"/>
                <w:szCs w:val="21"/>
                <w:highlight w:val="none"/>
                <w:lang w:eastAsia="zh-CN"/>
              </w:rPr>
              <w:t>竞选人</w:t>
            </w:r>
            <w:r>
              <w:rPr>
                <w:rFonts w:hint="eastAsia" w:ascii="宋体" w:hAnsi="宋体"/>
                <w:color w:val="auto"/>
                <w:szCs w:val="21"/>
                <w:highlight w:val="none"/>
              </w:rPr>
              <w:t>的投标截止日投标资格情况须满足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w:t>
            </w:r>
            <w:r>
              <w:rPr>
                <w:rFonts w:hint="eastAsia" w:ascii="宋体" w:hAnsi="宋体"/>
                <w:color w:val="auto"/>
                <w:szCs w:val="21"/>
                <w:highlight w:val="none"/>
                <w:lang w:eastAsia="zh-CN"/>
              </w:rPr>
              <w:t>竞选人</w:t>
            </w:r>
            <w:r>
              <w:rPr>
                <w:rFonts w:hint="eastAsia" w:ascii="宋体" w:hAnsi="宋体"/>
                <w:color w:val="auto"/>
                <w:szCs w:val="21"/>
                <w:highlight w:val="none"/>
              </w:rPr>
              <w:t>的项目经理资格须满足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w:t>
            </w:r>
            <w:r>
              <w:rPr>
                <w:rFonts w:hint="eastAsia" w:ascii="宋体" w:hAnsi="宋体"/>
                <w:color w:val="auto"/>
                <w:szCs w:val="21"/>
                <w:highlight w:val="none"/>
                <w:lang w:eastAsia="zh-CN"/>
              </w:rPr>
              <w:t>竞选人</w:t>
            </w:r>
            <w:r>
              <w:rPr>
                <w:rFonts w:hint="eastAsia" w:ascii="宋体" w:hAnsi="宋体"/>
                <w:color w:val="auto"/>
                <w:szCs w:val="21"/>
                <w:highlight w:val="none"/>
              </w:rPr>
              <w:t>的其他要求须满足</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w:t>
            </w:r>
            <w:r>
              <w:rPr>
                <w:rFonts w:hint="eastAsia" w:ascii="宋体" w:hAnsi="宋体"/>
                <w:color w:val="auto"/>
                <w:szCs w:val="21"/>
                <w:highlight w:val="none"/>
                <w:lang w:eastAsia="zh-CN"/>
              </w:rPr>
              <w:t>竞选人</w:t>
            </w:r>
            <w:r>
              <w:rPr>
                <w:rFonts w:hint="eastAsia" w:ascii="宋体" w:hAnsi="宋体"/>
                <w:color w:val="auto"/>
                <w:szCs w:val="21"/>
                <w:highlight w:val="none"/>
              </w:rPr>
              <w:t>，则：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w:t>
            </w:r>
            <w:r>
              <w:rPr>
                <w:rFonts w:hint="eastAsia" w:ascii="宋体" w:hAnsi="宋体"/>
                <w:color w:val="auto"/>
                <w:szCs w:val="21"/>
                <w:highlight w:val="none"/>
                <w:lang w:eastAsia="zh-CN"/>
              </w:rPr>
              <w:t>竞选人</w:t>
            </w:r>
            <w:r>
              <w:rPr>
                <w:rFonts w:hint="eastAsia" w:ascii="宋体" w:hAnsi="宋体"/>
                <w:color w:val="auto"/>
                <w:szCs w:val="21"/>
                <w:highlight w:val="none"/>
              </w:rPr>
              <w:t>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A-11投标文件格式符合第二章“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A-12投标文件份数符合第二章“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w:t>
            </w:r>
            <w:r>
              <w:rPr>
                <w:rFonts w:hint="eastAsia" w:ascii="宋体" w:hAnsi="宋体"/>
                <w:color w:val="auto"/>
                <w:szCs w:val="21"/>
                <w:highlight w:val="none"/>
                <w:lang w:eastAsia="zh-CN"/>
              </w:rPr>
              <w:t>竞选人</w:t>
            </w:r>
            <w:r>
              <w:rPr>
                <w:rFonts w:hint="eastAsia" w:ascii="宋体" w:hAnsi="宋体"/>
                <w:color w:val="auto"/>
                <w:szCs w:val="21"/>
                <w:highlight w:val="none"/>
              </w:rPr>
              <w:t>法定代表人的委托代理人有法定代表人签署的授权委托书和</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A-19投标总报价低于最高限价85%的，</w:t>
            </w:r>
            <w:r>
              <w:rPr>
                <w:rFonts w:hint="eastAsia" w:ascii="宋体" w:hAnsi="宋体"/>
                <w:color w:val="auto"/>
                <w:szCs w:val="21"/>
                <w:highlight w:val="none"/>
                <w:lang w:eastAsia="zh-CN"/>
              </w:rPr>
              <w:t>竞选人</w:t>
            </w:r>
            <w:r>
              <w:rPr>
                <w:rFonts w:hint="eastAsia" w:ascii="宋体" w:hAnsi="宋体"/>
                <w:color w:val="auto"/>
                <w:szCs w:val="21"/>
                <w:highlight w:val="none"/>
              </w:rPr>
              <w:t>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A-21投标内容符合第二章“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A-22工期符合第二章“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A-23工程质量符合第二章“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A-24投标有效期符合第二章“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A-25</w:t>
            </w:r>
            <w:r>
              <w:rPr>
                <w:rFonts w:hint="eastAsia" w:ascii="宋体" w:hAnsi="宋体"/>
                <w:color w:val="auto"/>
                <w:szCs w:val="21"/>
                <w:highlight w:val="none"/>
                <w:lang w:eastAsia="zh-CN"/>
              </w:rPr>
              <w:t>竞选人</w:t>
            </w:r>
            <w:r>
              <w:rPr>
                <w:rFonts w:ascii="宋体" w:hAnsi="宋体"/>
                <w:color w:val="auto"/>
                <w:szCs w:val="21"/>
                <w:highlight w:val="none"/>
              </w:rPr>
              <w:t>应按</w:t>
            </w:r>
            <w:r>
              <w:rPr>
                <w:rFonts w:hint="eastAsia" w:ascii="宋体" w:hAnsi="宋体"/>
                <w:color w:val="auto"/>
                <w:szCs w:val="21"/>
                <w:highlight w:val="none"/>
                <w:lang w:eastAsia="zh-CN"/>
              </w:rPr>
              <w:t>竞选人须知前附表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w:t>
            </w:r>
            <w:r>
              <w:rPr>
                <w:rFonts w:hint="eastAsia" w:ascii="宋体" w:hAnsi="宋体"/>
                <w:color w:val="auto"/>
                <w:szCs w:val="21"/>
                <w:highlight w:val="none"/>
                <w:lang w:eastAsia="zh-CN"/>
              </w:rPr>
              <w:t>竞选人</w:t>
            </w:r>
            <w:r>
              <w:rPr>
                <w:rFonts w:hint="eastAsia" w:ascii="宋体" w:hAnsi="宋体"/>
                <w:color w:val="auto"/>
                <w:szCs w:val="21"/>
                <w:highlight w:val="none"/>
              </w:rPr>
              <w:t>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A-28</w:t>
            </w:r>
            <w:r>
              <w:rPr>
                <w:rFonts w:hint="eastAsia" w:ascii="宋体" w:hAnsi="宋体"/>
                <w:color w:val="auto"/>
                <w:szCs w:val="21"/>
                <w:highlight w:val="none"/>
                <w:lang w:eastAsia="zh-CN"/>
              </w:rPr>
              <w:t>竞选人</w:t>
            </w:r>
            <w:r>
              <w:rPr>
                <w:rFonts w:hint="eastAsia" w:ascii="宋体" w:hAnsi="宋体"/>
                <w:color w:val="auto"/>
                <w:szCs w:val="21"/>
                <w:highlight w:val="none"/>
              </w:rPr>
              <w:t>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w:t>
            </w:r>
            <w:r>
              <w:rPr>
                <w:rFonts w:hint="eastAsia" w:ascii="宋体" w:hAnsi="宋体"/>
                <w:color w:val="auto"/>
                <w:szCs w:val="21"/>
                <w:highlight w:val="none"/>
                <w:lang w:eastAsia="zh-CN"/>
              </w:rPr>
              <w:t>竞选人</w:t>
            </w:r>
            <w:r>
              <w:rPr>
                <w:rFonts w:hint="eastAsia" w:ascii="宋体" w:hAnsi="宋体"/>
                <w:color w:val="auto"/>
                <w:szCs w:val="21"/>
                <w:highlight w:val="none"/>
              </w:rPr>
              <w:t>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w:t>
            </w:r>
            <w:r>
              <w:rPr>
                <w:rFonts w:hint="eastAsia" w:ascii="宋体" w:hAnsi="宋体"/>
                <w:color w:val="auto"/>
                <w:szCs w:val="21"/>
                <w:highlight w:val="none"/>
                <w:lang w:eastAsia="zh-CN"/>
              </w:rPr>
              <w:t>竞选人须知</w:t>
            </w:r>
            <w:r>
              <w:rPr>
                <w:rFonts w:hint="eastAsia" w:ascii="宋体" w:hAnsi="宋体"/>
                <w:color w:val="auto"/>
                <w:szCs w:val="21"/>
                <w:highlight w:val="none"/>
              </w:rPr>
              <w:t>”第1.4.3项规定的任何一种情形的；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w:t>
            </w:r>
            <w:r>
              <w:rPr>
                <w:rFonts w:hint="eastAsia" w:ascii="宋体" w:hAnsi="宋体"/>
                <w:i/>
                <w:color w:val="auto"/>
                <w:szCs w:val="21"/>
                <w:highlight w:val="none"/>
                <w:lang w:eastAsia="zh-CN"/>
              </w:rPr>
              <w:t>比选人</w:t>
            </w:r>
            <w:r>
              <w:rPr>
                <w:rFonts w:hint="eastAsia" w:ascii="宋体" w:hAnsi="宋体"/>
                <w:i/>
                <w:color w:val="auto"/>
                <w:szCs w:val="21"/>
                <w:highlight w:val="none"/>
              </w:rPr>
              <w:t>必须将所有否决投标条款集中罗列于此表，若无其他否决投标条款则在该条写无。]</w:t>
            </w:r>
          </w:p>
        </w:tc>
      </w:tr>
    </w:tbl>
    <w:p>
      <w:pPr>
        <w:spacing w:line="480" w:lineRule="auto"/>
        <w:jc w:val="left"/>
        <w:rPr>
          <w:rFonts w:ascii="宋体" w:hAnsi="宋体"/>
          <w:color w:val="auto"/>
          <w:kern w:val="0"/>
          <w:sz w:val="24"/>
          <w:highlight w:val="none"/>
        </w:rPr>
      </w:pPr>
    </w:p>
    <w:p>
      <w:pPr>
        <w:autoSpaceDE w:val="0"/>
        <w:autoSpaceDN w:val="0"/>
        <w:adjustRightInd w:val="0"/>
        <w:snapToGrid w:val="0"/>
        <w:spacing w:before="340" w:after="330" w:line="360" w:lineRule="auto"/>
        <w:jc w:val="left"/>
        <w:rPr>
          <w:rFonts w:ascii="宋体" w:hAnsi="宋体"/>
          <w:kern w:val="0"/>
          <w:sz w:val="52"/>
          <w:szCs w:val="52"/>
          <w:highlight w:val="none"/>
        </w:rPr>
      </w:pPr>
    </w:p>
    <w:p>
      <w:pPr>
        <w:pStyle w:val="3"/>
        <w:spacing w:line="360" w:lineRule="auto"/>
        <w:jc w:val="center"/>
        <w:rPr>
          <w:rFonts w:hint="eastAsia" w:ascii="宋体" w:hAnsi="宋体"/>
          <w:kern w:val="0"/>
          <w:highlight w:val="none"/>
        </w:rPr>
      </w:pPr>
      <w:bookmarkStart w:id="339" w:name="_Toc430530509"/>
      <w:bookmarkStart w:id="340" w:name="_Toc10597"/>
      <w:bookmarkStart w:id="341" w:name="_Toc509218785"/>
      <w:bookmarkStart w:id="342" w:name="_Toc8427"/>
      <w:bookmarkStart w:id="343" w:name="_Toc12421"/>
    </w:p>
    <w:p>
      <w:pPr>
        <w:pStyle w:val="3"/>
        <w:spacing w:line="360" w:lineRule="auto"/>
        <w:jc w:val="center"/>
        <w:rPr>
          <w:rFonts w:ascii="宋体" w:hAnsi="宋体"/>
          <w:kern w:val="0"/>
          <w:highlight w:val="none"/>
        </w:rPr>
      </w:pPr>
      <w:r>
        <w:rPr>
          <w:rFonts w:hint="eastAsia" w:ascii="宋体" w:hAnsi="宋体"/>
          <w:kern w:val="0"/>
          <w:highlight w:val="none"/>
        </w:rPr>
        <w:t>第四章  合同条款及格式</w:t>
      </w:r>
      <w:bookmarkEnd w:id="339"/>
      <w:bookmarkEnd w:id="340"/>
      <w:bookmarkEnd w:id="341"/>
      <w:bookmarkEnd w:id="342"/>
      <w:bookmarkEnd w:id="343"/>
    </w:p>
    <w:p>
      <w:pPr>
        <w:rPr>
          <w:rFonts w:asciiTheme="majorEastAsia" w:hAnsiTheme="majorEastAsia" w:eastAsiaTheme="majorEastAsia" w:cstheme="majorEastAsia"/>
          <w:sz w:val="24"/>
          <w:szCs w:val="24"/>
          <w:lang w:eastAsia="zh-CN"/>
        </w:rPr>
      </w:pPr>
      <w:r>
        <w:rPr>
          <w:rFonts w:ascii="宋体" w:hAnsi="宋体"/>
          <w:highlight w:val="none"/>
        </w:rPr>
        <w:br w:type="page"/>
      </w:r>
      <w:bookmarkStart w:id="344" w:name="_Toc351203480"/>
      <w:bookmarkStart w:id="345" w:name="_Toc296503025"/>
      <w:bookmarkStart w:id="346" w:name="_Toc296890982"/>
      <w:r>
        <w:rPr>
          <w:rFonts w:hint="eastAsia" w:asciiTheme="majorEastAsia" w:hAnsiTheme="majorEastAsia" w:eastAsiaTheme="majorEastAsia" w:cstheme="majorEastAsia"/>
          <w:sz w:val="24"/>
          <w:szCs w:val="24"/>
          <w:lang w:eastAsia="zh-CN"/>
        </w:rPr>
        <w:t>合同编号：</w:t>
      </w:r>
    </w:p>
    <w:p>
      <w:pPr>
        <w:jc w:val="center"/>
        <w:rPr>
          <w:rFonts w:asciiTheme="majorEastAsia" w:hAnsiTheme="majorEastAsia" w:eastAsiaTheme="majorEastAsia" w:cstheme="majorEastAsia"/>
          <w:b/>
          <w:bCs/>
          <w:sz w:val="40"/>
          <w:szCs w:val="40"/>
          <w:lang w:eastAsia="zh-CN"/>
        </w:rPr>
      </w:pPr>
      <w:r>
        <w:rPr>
          <w:rFonts w:hint="eastAsia" w:asciiTheme="majorEastAsia" w:hAnsiTheme="majorEastAsia" w:eastAsiaTheme="majorEastAsia" w:cstheme="majorEastAsia"/>
          <w:b/>
          <w:bCs/>
          <w:sz w:val="40"/>
          <w:szCs w:val="40"/>
          <w:lang w:eastAsia="zh-CN"/>
        </w:rPr>
        <w:t>广告发布合同</w:t>
      </w:r>
    </w:p>
    <w:p>
      <w:pPr>
        <w:rPr>
          <w:rFonts w:asciiTheme="majorEastAsia" w:hAnsiTheme="majorEastAsia" w:eastAsiaTheme="majorEastAsia" w:cstheme="majorEastAsia"/>
          <w:sz w:val="28"/>
          <w:szCs w:val="28"/>
          <w:lang w:eastAsia="zh-CN"/>
        </w:rPr>
      </w:pPr>
    </w:p>
    <w:p>
      <w:pPr>
        <w:rPr>
          <w:rFonts w:asciiTheme="majorEastAsia" w:hAnsiTheme="majorEastAsia" w:eastAsiaTheme="majorEastAsia" w:cstheme="maj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u w:val="single"/>
          <w:lang w:eastAsia="zh-CN"/>
        </w:rPr>
      </w:pPr>
      <w:r>
        <w:rPr>
          <w:rFonts w:hint="eastAsia" w:asciiTheme="majorEastAsia" w:hAnsiTheme="majorEastAsia" w:eastAsiaTheme="majorEastAsia" w:cstheme="majorEastAsia"/>
          <w:sz w:val="24"/>
          <w:szCs w:val="24"/>
          <w:lang w:eastAsia="zh-CN"/>
        </w:rPr>
        <w:t xml:space="preserve">甲方：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地址：</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乙方：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地址：</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ind w:firstLine="480" w:firstLineChars="200"/>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根据现行有效法律法规的规定，甲、乙双方在平等、自愿、等价有偿、公平、诚实信用的基础上，经友好协商，就乙方为甲方发布广告及相关工作事宜达成如下条款：</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sz w:val="24"/>
          <w:szCs w:val="24"/>
          <w:lang w:eastAsia="zh-CN"/>
        </w:rPr>
        <w:t xml:space="preserve">第一条   </w:t>
      </w:r>
      <w:r>
        <w:rPr>
          <w:rFonts w:hint="eastAsia" w:asciiTheme="majorEastAsia" w:hAnsiTheme="majorEastAsia" w:eastAsiaTheme="majorEastAsia" w:cstheme="majorEastAsia"/>
          <w:b/>
          <w:bCs/>
          <w:sz w:val="24"/>
          <w:szCs w:val="24"/>
          <w:lang w:eastAsia="zh-CN"/>
        </w:rPr>
        <w:t>广告发布内容</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关于甲方项目内容发布的广告，具体以甲方提供的或经甲方确认的宣传内容为准。</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第二条  </w:t>
      </w:r>
      <w:r>
        <w:rPr>
          <w:rFonts w:hint="eastAsia" w:asciiTheme="majorEastAsia" w:hAnsiTheme="majorEastAsia" w:eastAsiaTheme="majorEastAsia" w:cstheme="majorEastAsia"/>
          <w:b/>
          <w:bCs/>
          <w:sz w:val="24"/>
          <w:szCs w:val="24"/>
          <w:lang w:eastAsia="zh-CN"/>
        </w:rPr>
        <w:t xml:space="preserve"> 广告发布期限</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广告发布期限为：2024年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日至2024年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lang w:eastAsia="zh-CN"/>
        </w:rPr>
        <w:t>日。</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（实际发布日期与上述约定发布日期不一致的，以实际发布日期为准）。</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第三条   发布广告名称、位置、费用</w:t>
      </w:r>
    </w:p>
    <w:p>
      <w:pPr>
        <w:rPr>
          <w:lang w:eastAsia="zh-CN"/>
        </w:rPr>
      </w:pPr>
      <w:r>
        <w:rPr>
          <w:rFonts w:hint="eastAsia" w:asciiTheme="majorEastAsia" w:hAnsiTheme="majorEastAsia" w:eastAsiaTheme="majorEastAsia" w:cstheme="majorEastAsia"/>
          <w:sz w:val="24"/>
          <w:szCs w:val="24"/>
          <w:lang w:eastAsia="zh-CN"/>
        </w:rPr>
        <w:t>3.1 广告发布网站名称、位置等具体要求：</w:t>
      </w:r>
    </w:p>
    <w:tbl>
      <w:tblPr>
        <w:tblStyle w:val="46"/>
        <w:tblpPr w:leftFromText="180" w:rightFromText="180" w:vertAnchor="text" w:horzAnchor="page" w:tblpX="1817" w:tblpY="303"/>
        <w:tblOverlap w:val="never"/>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484"/>
        <w:gridCol w:w="1268"/>
        <w:gridCol w:w="937"/>
        <w:gridCol w:w="2363"/>
        <w:gridCol w:w="168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496"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484" w:type="dxa"/>
            <w:vAlign w:val="center"/>
          </w:tcPr>
          <w:p>
            <w:pPr>
              <w:jc w:val="both"/>
              <w:rPr>
                <w:rFonts w:hint="eastAsia" w:ascii="宋体" w:hAnsi="宋体" w:eastAsia="宋体"/>
                <w:b/>
                <w:sz w:val="24"/>
                <w:lang w:val="en-US" w:eastAsia="zh-CN"/>
              </w:rPr>
            </w:pPr>
            <w:r>
              <w:rPr>
                <w:rFonts w:hint="eastAsia" w:ascii="宋体" w:hAnsi="宋体" w:eastAsia="宋体"/>
                <w:b/>
                <w:sz w:val="24"/>
                <w:lang w:val="en-US" w:eastAsia="zh-CN"/>
              </w:rPr>
              <w:t>广告媒体</w:t>
            </w:r>
          </w:p>
          <w:p>
            <w:pPr>
              <w:jc w:val="both"/>
              <w:rPr>
                <w:rFonts w:hint="default" w:ascii="宋体" w:hAnsi="宋体" w:eastAsia="宋体"/>
                <w:b/>
                <w:sz w:val="24"/>
                <w:lang w:val="en-US" w:eastAsia="zh-CN"/>
              </w:rPr>
            </w:pPr>
            <w:r>
              <w:rPr>
                <w:rFonts w:hint="eastAsia" w:ascii="宋体" w:hAnsi="宋体" w:eastAsia="宋体"/>
                <w:b/>
                <w:sz w:val="24"/>
                <w:lang w:val="en-US" w:eastAsia="zh-CN"/>
              </w:rPr>
              <w:t>名称</w:t>
            </w:r>
          </w:p>
        </w:tc>
        <w:tc>
          <w:tcPr>
            <w:tcW w:w="1268" w:type="dxa"/>
            <w:vAlign w:val="center"/>
          </w:tcPr>
          <w:p>
            <w:pPr>
              <w:jc w:val="center"/>
              <w:rPr>
                <w:rFonts w:ascii="宋体" w:hAnsi="宋体" w:eastAsia="宋体"/>
                <w:b/>
                <w:sz w:val="24"/>
              </w:rPr>
            </w:pPr>
            <w:r>
              <w:rPr>
                <w:rFonts w:hint="eastAsia" w:ascii="宋体" w:hAnsi="宋体" w:eastAsia="宋体"/>
                <w:b/>
                <w:sz w:val="24"/>
              </w:rPr>
              <w:t>执行</w:t>
            </w:r>
          </w:p>
          <w:p>
            <w:pPr>
              <w:jc w:val="center"/>
              <w:rPr>
                <w:rFonts w:ascii="宋体" w:hAnsi="宋体" w:eastAsia="宋体"/>
                <w:b/>
                <w:sz w:val="24"/>
              </w:rPr>
            </w:pPr>
            <w:r>
              <w:rPr>
                <w:rFonts w:hint="eastAsia" w:ascii="宋体" w:hAnsi="宋体" w:eastAsia="宋体"/>
                <w:b/>
                <w:sz w:val="24"/>
              </w:rPr>
              <w:t>（广告位/形式）</w:t>
            </w:r>
          </w:p>
        </w:tc>
        <w:tc>
          <w:tcPr>
            <w:tcW w:w="937" w:type="dxa"/>
            <w:vAlign w:val="center"/>
          </w:tcPr>
          <w:p>
            <w:pPr>
              <w:jc w:val="center"/>
              <w:rPr>
                <w:rFonts w:ascii="宋体" w:hAnsi="宋体" w:eastAsia="宋体"/>
                <w:b/>
                <w:sz w:val="24"/>
              </w:rPr>
            </w:pPr>
            <w:r>
              <w:rPr>
                <w:rFonts w:hint="eastAsia" w:ascii="宋体" w:hAnsi="宋体" w:eastAsia="宋体"/>
                <w:b/>
                <w:sz w:val="24"/>
              </w:rPr>
              <w:t>数量</w:t>
            </w:r>
          </w:p>
        </w:tc>
        <w:tc>
          <w:tcPr>
            <w:tcW w:w="2363" w:type="dxa"/>
            <w:vAlign w:val="center"/>
          </w:tcPr>
          <w:p>
            <w:pPr>
              <w:jc w:val="center"/>
              <w:rPr>
                <w:rFonts w:ascii="宋体" w:hAnsi="宋体" w:eastAsia="宋体"/>
                <w:b/>
                <w:sz w:val="24"/>
                <w:lang w:eastAsia="zh-CN"/>
              </w:rPr>
            </w:pPr>
            <w:r>
              <w:rPr>
                <w:rFonts w:hint="eastAsia" w:ascii="宋体" w:hAnsi="宋体" w:eastAsia="宋体"/>
                <w:b/>
                <w:sz w:val="24"/>
                <w:lang w:eastAsia="zh-CN"/>
              </w:rPr>
              <w:t>投放时间</w:t>
            </w:r>
          </w:p>
          <w:p>
            <w:pPr>
              <w:jc w:val="center"/>
              <w:rPr>
                <w:rFonts w:ascii="宋体" w:hAnsi="宋体" w:eastAsia="宋体"/>
                <w:b/>
                <w:sz w:val="24"/>
                <w:lang w:eastAsia="zh-CN"/>
              </w:rPr>
            </w:pPr>
            <w:r>
              <w:rPr>
                <w:rFonts w:hint="eastAsia" w:ascii="宋体" w:hAnsi="宋体" w:eastAsia="宋体"/>
                <w:b/>
                <w:sz w:val="24"/>
                <w:lang w:eastAsia="zh-CN"/>
              </w:rPr>
              <w:t>（以刊发时间为准）</w:t>
            </w:r>
          </w:p>
        </w:tc>
        <w:tc>
          <w:tcPr>
            <w:tcW w:w="1687" w:type="dxa"/>
            <w:vAlign w:val="center"/>
          </w:tcPr>
          <w:p>
            <w:pPr>
              <w:jc w:val="center"/>
              <w:rPr>
                <w:rFonts w:ascii="宋体" w:hAnsi="宋体" w:eastAsia="宋体"/>
                <w:b/>
                <w:sz w:val="24"/>
              </w:rPr>
            </w:pPr>
            <w:r>
              <w:rPr>
                <w:rFonts w:hint="eastAsia" w:ascii="宋体" w:hAnsi="宋体" w:eastAsia="宋体"/>
                <w:b/>
                <w:sz w:val="24"/>
              </w:rPr>
              <w:t>价格</w:t>
            </w:r>
          </w:p>
          <w:p>
            <w:pPr>
              <w:jc w:val="center"/>
              <w:rPr>
                <w:rFonts w:ascii="宋体" w:hAnsi="宋体" w:eastAsia="宋体"/>
                <w:b/>
                <w:sz w:val="24"/>
              </w:rPr>
            </w:pPr>
            <w:r>
              <w:rPr>
                <w:rFonts w:hint="eastAsia" w:ascii="宋体" w:hAnsi="宋体" w:eastAsia="宋体"/>
                <w:b/>
                <w:sz w:val="24"/>
              </w:rPr>
              <w:t>（元）</w:t>
            </w:r>
          </w:p>
        </w:tc>
        <w:tc>
          <w:tcPr>
            <w:tcW w:w="1298" w:type="dxa"/>
            <w:vAlign w:val="center"/>
          </w:tcPr>
          <w:p>
            <w:pPr>
              <w:jc w:val="center"/>
              <w:rPr>
                <w:rFonts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6" w:type="dxa"/>
            <w:vAlign w:val="center"/>
          </w:tcPr>
          <w:p>
            <w:pPr>
              <w:jc w:val="center"/>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lang w:eastAsia="zh-CN"/>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eastAsia="宋体"/>
                <w:sz w:val="24"/>
                <w:lang w:eastAsia="zh-CN"/>
              </w:rPr>
            </w:pPr>
          </w:p>
        </w:tc>
        <w:tc>
          <w:tcPr>
            <w:tcW w:w="168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6" w:type="dxa"/>
            <w:vAlign w:val="center"/>
          </w:tcPr>
          <w:p>
            <w:pPr>
              <w:jc w:val="center"/>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lang w:eastAsia="zh-CN"/>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rPr>
            </w:pPr>
          </w:p>
        </w:tc>
        <w:tc>
          <w:tcPr>
            <w:tcW w:w="168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96" w:type="dxa"/>
            <w:vAlign w:val="center"/>
          </w:tcPr>
          <w:p>
            <w:pPr>
              <w:jc w:val="both"/>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eastAsia="宋体"/>
                <w:sz w:val="24"/>
                <w:lang w:eastAsia="zh-CN"/>
              </w:rPr>
            </w:pPr>
          </w:p>
        </w:tc>
        <w:tc>
          <w:tcPr>
            <w:tcW w:w="1687" w:type="dxa"/>
            <w:vAlign w:val="center"/>
          </w:tcPr>
          <w:p>
            <w:pPr>
              <w:jc w:val="center"/>
              <w:rPr>
                <w:rFonts w:ascii="宋体" w:hAnsi="宋体" w:eastAsia="宋体"/>
                <w:sz w:val="24"/>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96" w:type="dxa"/>
            <w:vAlign w:val="center"/>
          </w:tcPr>
          <w:p>
            <w:pPr>
              <w:jc w:val="center"/>
              <w:rPr>
                <w:rFonts w:ascii="宋体" w:hAnsi="宋体" w:eastAsia="宋体"/>
                <w:sz w:val="24"/>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rPr>
            </w:pPr>
          </w:p>
        </w:tc>
        <w:tc>
          <w:tcPr>
            <w:tcW w:w="937" w:type="dxa"/>
            <w:vAlign w:val="center"/>
          </w:tcPr>
          <w:p>
            <w:pPr>
              <w:jc w:val="center"/>
              <w:rPr>
                <w:rFonts w:ascii="宋体" w:hAnsi="宋体" w:eastAsia="宋体"/>
                <w:sz w:val="24"/>
              </w:rPr>
            </w:pPr>
          </w:p>
        </w:tc>
        <w:tc>
          <w:tcPr>
            <w:tcW w:w="2363" w:type="dxa"/>
            <w:vAlign w:val="center"/>
          </w:tcPr>
          <w:p>
            <w:pPr>
              <w:jc w:val="center"/>
              <w:rPr>
                <w:rFonts w:ascii="宋体" w:hAnsi="宋体" w:eastAsia="宋体"/>
                <w:sz w:val="24"/>
              </w:rPr>
            </w:pPr>
          </w:p>
        </w:tc>
        <w:tc>
          <w:tcPr>
            <w:tcW w:w="1687" w:type="dxa"/>
            <w:vAlign w:val="center"/>
          </w:tcPr>
          <w:p>
            <w:pPr>
              <w:jc w:val="center"/>
              <w:rPr>
                <w:rFonts w:ascii="宋体" w:hAnsi="宋体" w:eastAsia="宋体"/>
                <w:sz w:val="24"/>
              </w:rPr>
            </w:pPr>
          </w:p>
        </w:tc>
        <w:tc>
          <w:tcPr>
            <w:tcW w:w="1298" w:type="dxa"/>
            <w:vAlign w:val="center"/>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96" w:type="dxa"/>
            <w:vAlign w:val="center"/>
          </w:tcPr>
          <w:p>
            <w:pPr>
              <w:jc w:val="both"/>
              <w:rPr>
                <w:rFonts w:ascii="宋体" w:hAnsi="宋体" w:eastAsia="宋体"/>
                <w:sz w:val="24"/>
                <w:lang w:eastAsia="zh-CN"/>
              </w:rPr>
            </w:pPr>
          </w:p>
        </w:tc>
        <w:tc>
          <w:tcPr>
            <w:tcW w:w="1484" w:type="dxa"/>
            <w:vAlign w:val="center"/>
          </w:tcPr>
          <w:p>
            <w:pPr>
              <w:jc w:val="center"/>
              <w:rPr>
                <w:rFonts w:ascii="宋体" w:hAnsi="宋体" w:eastAsia="宋体"/>
                <w:sz w:val="24"/>
                <w:lang w:eastAsia="zh-CN"/>
              </w:rPr>
            </w:pPr>
          </w:p>
        </w:tc>
        <w:tc>
          <w:tcPr>
            <w:tcW w:w="1268" w:type="dxa"/>
            <w:vAlign w:val="center"/>
          </w:tcPr>
          <w:p>
            <w:pPr>
              <w:jc w:val="center"/>
              <w:rPr>
                <w:rFonts w:ascii="宋体" w:hAnsi="宋体" w:eastAsia="宋体"/>
                <w:sz w:val="24"/>
                <w:lang w:eastAsia="zh-CN"/>
              </w:rPr>
            </w:pPr>
          </w:p>
        </w:tc>
        <w:tc>
          <w:tcPr>
            <w:tcW w:w="937" w:type="dxa"/>
            <w:vAlign w:val="center"/>
          </w:tcPr>
          <w:p>
            <w:pPr>
              <w:jc w:val="center"/>
              <w:rPr>
                <w:rFonts w:ascii="宋体" w:hAnsi="宋体" w:eastAsia="宋体"/>
                <w:sz w:val="24"/>
                <w:lang w:eastAsia="zh-CN"/>
              </w:rPr>
            </w:pPr>
          </w:p>
        </w:tc>
        <w:tc>
          <w:tcPr>
            <w:tcW w:w="2363" w:type="dxa"/>
            <w:vAlign w:val="center"/>
          </w:tcPr>
          <w:p>
            <w:pPr>
              <w:jc w:val="center"/>
              <w:rPr>
                <w:rFonts w:ascii="宋体" w:hAnsi="宋体" w:eastAsia="宋体"/>
                <w:sz w:val="24"/>
                <w:lang w:eastAsia="zh-CN"/>
              </w:rPr>
            </w:pPr>
          </w:p>
        </w:tc>
        <w:tc>
          <w:tcPr>
            <w:tcW w:w="168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9533" w:type="dxa"/>
            <w:gridSpan w:val="7"/>
            <w:vAlign w:val="center"/>
          </w:tcPr>
          <w:p>
            <w:pPr>
              <w:jc w:val="center"/>
              <w:rPr>
                <w:rFonts w:ascii="宋体" w:hAnsi="宋体" w:eastAsia="宋体"/>
                <w:sz w:val="24"/>
                <w:lang w:eastAsia="zh-CN"/>
              </w:rPr>
            </w:pPr>
            <w:r>
              <w:rPr>
                <w:rFonts w:hint="eastAsia" w:ascii="宋体" w:hAnsi="宋体" w:eastAsia="宋体"/>
                <w:sz w:val="24"/>
                <w:lang w:eastAsia="zh-CN"/>
              </w:rPr>
              <w:t>价税合计</w:t>
            </w:r>
            <w:r>
              <w:rPr>
                <w:rFonts w:hint="eastAsia" w:ascii="宋体" w:hAnsi="宋体" w:eastAsia="宋体"/>
                <w:sz w:val="24"/>
                <w:lang w:val="en-US" w:eastAsia="zh-CN"/>
              </w:rPr>
              <w:t xml:space="preserve">    </w:t>
            </w:r>
            <w:r>
              <w:rPr>
                <w:rFonts w:hint="eastAsia" w:ascii="宋体" w:hAnsi="宋体" w:eastAsia="宋体"/>
                <w:sz w:val="24"/>
                <w:lang w:eastAsia="zh-CN"/>
              </w:rPr>
              <w:t>元（大写：</w:t>
            </w:r>
            <w:r>
              <w:rPr>
                <w:rFonts w:hint="eastAsia" w:ascii="宋体" w:hAnsi="宋体" w:eastAsia="宋体"/>
                <w:sz w:val="24"/>
                <w:lang w:val="en-US" w:eastAsia="zh-CN"/>
              </w:rPr>
              <w:t xml:space="preserve">    </w:t>
            </w:r>
            <w:r>
              <w:rPr>
                <w:rFonts w:hint="eastAsia" w:ascii="宋体" w:hAnsi="宋体" w:eastAsia="宋体"/>
                <w:sz w:val="24"/>
                <w:lang w:eastAsia="zh-CN"/>
              </w:rPr>
              <w:t>）　</w:t>
            </w:r>
          </w:p>
        </w:tc>
      </w:tr>
    </w:tbl>
    <w:p>
      <w:pPr>
        <w:rPr>
          <w:rFonts w:asciiTheme="minorEastAsia" w:hAnsiTheme="minorEastAsia" w:cstheme="min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3.2 上述合计的广告费用为包干总价，包括但不限于人工费、审批费、交通费、 材料费、包装费、制版费、审稿费、修订费、印刷费、乙方合理利润等甲方实现合同目的所需一切费用。除本合同另有约定外，甲方不再向乙方支付任何费用。除本合同中另有约定外，上述广告费用不得调整。</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3.3 本合同项下广告费用含税价格=不含税价格+增值税税额，其中不含税价格为</w:t>
      </w:r>
      <w:r>
        <w:rPr>
          <w:rFonts w:hint="eastAsia" w:asciiTheme="majorEastAsia" w:hAnsiTheme="majorEastAsia" w:eastAsiaTheme="majorEastAsia" w:cstheme="majorEastAsia"/>
          <w:sz w:val="24"/>
          <w:szCs w:val="24"/>
          <w:lang w:val="en-US" w:eastAsia="zh-CN"/>
        </w:rPr>
        <w:t>XXXXX</w:t>
      </w:r>
      <w:r>
        <w:rPr>
          <w:rFonts w:hint="eastAsia" w:asciiTheme="majorEastAsia" w:hAnsiTheme="majorEastAsia" w:eastAsiaTheme="majorEastAsia" w:cstheme="majorEastAsia"/>
          <w:sz w:val="24"/>
          <w:szCs w:val="24"/>
          <w:lang w:eastAsia="zh-CN"/>
        </w:rPr>
        <w:t>元、增值税税额为</w:t>
      </w:r>
      <w:r>
        <w:rPr>
          <w:rFonts w:hint="eastAsia" w:asciiTheme="majorEastAsia" w:hAnsiTheme="majorEastAsia" w:eastAsiaTheme="majorEastAsia" w:cstheme="majorEastAsia"/>
          <w:sz w:val="24"/>
          <w:szCs w:val="24"/>
          <w:lang w:val="en-US" w:eastAsia="zh-CN"/>
        </w:rPr>
        <w:t>XXXXX</w:t>
      </w:r>
      <w:r>
        <w:rPr>
          <w:rFonts w:hint="eastAsia" w:asciiTheme="majorEastAsia" w:hAnsiTheme="majorEastAsia" w:eastAsiaTheme="majorEastAsia" w:cstheme="majorEastAsia"/>
          <w:sz w:val="24"/>
          <w:szCs w:val="24"/>
          <w:lang w:eastAsia="zh-CN"/>
        </w:rPr>
        <w:t>元（按法定增值税税率</w:t>
      </w:r>
      <w:r>
        <w:rPr>
          <w:rFonts w:hint="eastAsia" w:asciiTheme="majorEastAsia" w:hAnsiTheme="majorEastAsia" w:eastAsiaTheme="majorEastAsia" w:cstheme="majorEastAsia"/>
          <w:sz w:val="24"/>
          <w:szCs w:val="24"/>
          <w:lang w:val="en-US" w:eastAsia="zh-CN"/>
        </w:rPr>
        <w:t>X</w:t>
      </w:r>
      <w:r>
        <w:rPr>
          <w:rFonts w:hint="eastAsia" w:asciiTheme="majorEastAsia" w:hAnsiTheme="majorEastAsia" w:eastAsiaTheme="majorEastAsia" w:cstheme="majorEastAsia"/>
          <w:sz w:val="24"/>
          <w:szCs w:val="24"/>
          <w:lang w:eastAsia="zh-CN"/>
        </w:rPr>
        <w:t>%计算）。如合同有效期内，任何因包括但不限于法律、行政法规、政府政策修订或变化导致上述增值税税率调整的，除不含税价格保持不变外，增值税税率、税额及含税价格要做相应调整。因乙方原因导致上述增值税税率提高的，含税价格不作调整。</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3.4 乙方保证本合同项下约定的广告费价格不高于乙方给予同类型企业的优惠 价。如果乙方给予甲方的广告费价格高于乙方给予同类型其他企业优惠价，或者在本合同执行期间乙方给予同类型企业的广告费价格向下浮动调整，调整后的价格低于乙方给予甲方的广告费价格，则甲方有权从下一期应付乙方的广告费用中预先扣除差额部分，或要求乙方退还差额部分。若合作媒体广告刊例价格向下浮动调整，则本合同项下广告费自始按照新的刊例价约定折扣执行。如果合作媒体的广告刊例价格向下浮动或乙方给予同类型其他企业优惠价格向下浮动调整后低于乙方给予甲方的广告费价格，乙方应提前通知甲方，否则应按照约定承担违约责任。乙方为合作媒体代理商的，本合同约定的广告刊例价格需合作媒体主办单位盖章后作为合同附件。</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第四条   广告费用支付</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4.1 本合同项下广告费用按以下付款方式支付：</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广告发布完毕并通过甲方验收</w:t>
      </w:r>
      <w:r>
        <w:rPr>
          <w:rFonts w:hint="eastAsia" w:asciiTheme="majorEastAsia" w:hAnsiTheme="majorEastAsia" w:eastAsiaTheme="majorEastAsia" w:cstheme="majorEastAsia"/>
          <w:sz w:val="24"/>
          <w:szCs w:val="24"/>
          <w:lang w:val="en-US" w:eastAsia="zh-CN"/>
        </w:rPr>
        <w:t>合格</w:t>
      </w:r>
      <w:r>
        <w:rPr>
          <w:rFonts w:hint="eastAsia" w:asciiTheme="majorEastAsia" w:hAnsiTheme="majorEastAsia" w:eastAsiaTheme="majorEastAsia" w:cstheme="majorEastAsia"/>
          <w:sz w:val="24"/>
          <w:szCs w:val="24"/>
          <w:lang w:eastAsia="zh-CN"/>
        </w:rPr>
        <w:t>后30个工作日内，甲方一次性向乙方支付全部广告费用。如乙方未按照本合同6.4条约定的时间节点提供相关材料的，则甲方有权拒绝支付广告费，且不承担任何违约责任。</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4.2 乙方指定的收款账户如下：</w:t>
      </w:r>
    </w:p>
    <w:p>
      <w:pPr>
        <w:pStyle w:val="18"/>
        <w:rPr>
          <w:lang w:eastAsia="zh-CN"/>
        </w:rPr>
      </w:pPr>
      <w:r>
        <w:rPr>
          <w:rFonts w:hint="eastAsia"/>
          <w:lang w:eastAsia="zh-CN"/>
        </w:rPr>
        <w:t>名称：</w:t>
      </w:r>
    </w:p>
    <w:p>
      <w:pPr>
        <w:pStyle w:val="18"/>
        <w:rPr>
          <w:rFonts w:hint="eastAsia" w:asciiTheme="majorEastAsia" w:hAnsiTheme="majorEastAsia" w:eastAsiaTheme="majorEastAsia" w:cstheme="majorEastAsia"/>
          <w:sz w:val="24"/>
          <w:szCs w:val="24"/>
          <w:lang w:eastAsia="zh-CN"/>
        </w:rPr>
      </w:pPr>
      <w:r>
        <w:rPr>
          <w:rFonts w:hint="eastAsia"/>
          <w:lang w:eastAsia="zh-CN"/>
        </w:rPr>
        <w:t>纳税人识别号：</w:t>
      </w:r>
    </w:p>
    <w:p>
      <w:pPr>
        <w:rPr>
          <w:rFonts w:asciiTheme="majorEastAsia" w:hAnsiTheme="majorEastAsia" w:eastAsiaTheme="majorEastAsia" w:cstheme="majorEastAsia"/>
          <w:sz w:val="24"/>
          <w:szCs w:val="24"/>
          <w:u w:val="single"/>
          <w:lang w:eastAsia="zh-CN"/>
        </w:rPr>
      </w:pPr>
      <w:r>
        <w:rPr>
          <w:rFonts w:hint="eastAsia" w:asciiTheme="majorEastAsia" w:hAnsiTheme="majorEastAsia" w:eastAsiaTheme="majorEastAsia" w:cstheme="majorEastAsia"/>
          <w:sz w:val="24"/>
          <w:szCs w:val="24"/>
          <w:lang w:eastAsia="zh-CN"/>
        </w:rPr>
        <w:t>开户行：</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开户名：</w:t>
      </w:r>
    </w:p>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账  号：</w:t>
      </w:r>
    </w:p>
    <w:p>
      <w:pPr>
        <w:pStyle w:val="18"/>
        <w:rPr>
          <w:rFonts w:hint="eastAsia"/>
          <w:lang w:eastAsia="zh-CN"/>
        </w:rPr>
      </w:pPr>
    </w:p>
    <w:p>
      <w:pPr>
        <w:pStyle w:val="18"/>
        <w:rPr>
          <w:lang w:eastAsia="zh-CN"/>
        </w:rPr>
      </w:pPr>
      <w:r>
        <w:rPr>
          <w:rFonts w:hint="eastAsia"/>
          <w:lang w:val="en-US" w:eastAsia="zh-CN"/>
        </w:rPr>
        <w:t>甲方</w:t>
      </w:r>
      <w:r>
        <w:rPr>
          <w:rFonts w:hint="eastAsia"/>
          <w:lang w:eastAsia="zh-CN"/>
        </w:rPr>
        <w:t>开票信息</w:t>
      </w:r>
      <w:r>
        <w:rPr>
          <w:rFonts w:hint="eastAsia" w:asciiTheme="majorEastAsia" w:hAnsiTheme="majorEastAsia" w:eastAsiaTheme="majorEastAsia" w:cstheme="majorEastAsia"/>
          <w:sz w:val="24"/>
          <w:szCs w:val="24"/>
          <w:lang w:eastAsia="zh-CN"/>
        </w:rPr>
        <w:t>如下：</w:t>
      </w:r>
    </w:p>
    <w:p>
      <w:pPr>
        <w:pStyle w:val="18"/>
        <w:rPr>
          <w:lang w:eastAsia="zh-CN"/>
        </w:rPr>
      </w:pPr>
      <w:r>
        <w:rPr>
          <w:rFonts w:hint="eastAsia"/>
          <w:lang w:eastAsia="zh-CN"/>
        </w:rPr>
        <w:t>名称：</w:t>
      </w:r>
    </w:p>
    <w:p>
      <w:pPr>
        <w:pStyle w:val="18"/>
        <w:rPr>
          <w:lang w:eastAsia="zh-CN"/>
        </w:rPr>
      </w:pPr>
      <w:r>
        <w:rPr>
          <w:rFonts w:hint="eastAsia"/>
          <w:lang w:eastAsia="zh-CN"/>
        </w:rPr>
        <w:t>纳税人识别号：</w:t>
      </w:r>
    </w:p>
    <w:p>
      <w:pPr>
        <w:pStyle w:val="18"/>
        <w:rPr>
          <w:lang w:eastAsia="zh-CN"/>
        </w:rPr>
      </w:pPr>
      <w:r>
        <w:rPr>
          <w:rFonts w:hint="eastAsia"/>
          <w:lang w:eastAsia="zh-CN"/>
        </w:rPr>
        <w:t>地址：</w:t>
      </w:r>
    </w:p>
    <w:p>
      <w:pPr>
        <w:pStyle w:val="18"/>
        <w:rPr>
          <w:lang w:eastAsia="zh-CN"/>
        </w:rPr>
      </w:pPr>
      <w:r>
        <w:rPr>
          <w:rFonts w:hint="eastAsia"/>
          <w:lang w:eastAsia="zh-CN"/>
        </w:rPr>
        <w:t>电话：</w:t>
      </w:r>
    </w:p>
    <w:p>
      <w:pPr>
        <w:pStyle w:val="18"/>
        <w:rPr>
          <w:lang w:eastAsia="zh-CN"/>
        </w:rPr>
      </w:pPr>
      <w:r>
        <w:rPr>
          <w:rFonts w:hint="eastAsia"/>
          <w:lang w:eastAsia="zh-CN"/>
        </w:rPr>
        <w:t>开户行：</w:t>
      </w:r>
    </w:p>
    <w:p>
      <w:pPr>
        <w:pStyle w:val="18"/>
        <w:rPr>
          <w:lang w:eastAsia="zh-CN"/>
        </w:rPr>
      </w:pPr>
      <w:r>
        <w:rPr>
          <w:rFonts w:hint="eastAsia"/>
          <w:lang w:eastAsia="zh-CN"/>
        </w:rPr>
        <w:t>账号：</w:t>
      </w:r>
    </w:p>
    <w:p>
      <w:pPr>
        <w:pStyle w:val="18"/>
        <w:rPr>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乙方确保上述账户信息真实准确，若账户信息有误造成乙方未收到甲方付款，损失乙方自行承担，若乙方更换以上账户信息，应在付款日前15个工作日书面通知甲方，若乙方未提前15个工作日书面通知甲方，致使乙方未收到费用的，甲方不承担任何责任。为免疑义，除双方另有约定外，甲方将款项支付至前述账户后即视为甲方完成等额的价款支付义务。</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4.3  甲方每次付款</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lang w:eastAsia="zh-CN"/>
        </w:rPr>
        <w:t>0个工作日前，乙方应向甲方提供合法合规的增值税专用发票</w:t>
      </w:r>
      <w:r>
        <w:rPr>
          <w:rFonts w:hint="eastAsia" w:asciiTheme="majorEastAsia" w:hAnsiTheme="majorEastAsia" w:eastAsiaTheme="majorEastAsia" w:cstheme="majorEastAsia"/>
          <w:sz w:val="24"/>
          <w:szCs w:val="24"/>
          <w:lang w:val="en-US" w:eastAsia="zh-CN"/>
        </w:rPr>
        <w:t>和验收报告</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必要时需按甲方要求提供第三方监测记录，</w:t>
      </w:r>
      <w:r>
        <w:rPr>
          <w:rFonts w:hint="eastAsia" w:asciiTheme="majorEastAsia" w:hAnsiTheme="majorEastAsia" w:eastAsiaTheme="majorEastAsia" w:cstheme="majorEastAsia"/>
          <w:sz w:val="24"/>
          <w:szCs w:val="24"/>
          <w:lang w:eastAsia="zh-CN"/>
        </w:rPr>
        <w:t>否则,甲方有权顺延付款且不承担违约责任。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4.4  乙方开具的增值税发票必须符合国家税收有关法律规定及本合同约定,不</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得使用虚假发票、或伪造、变造的发票，否则一切责任由乙方自行承担，同时乙方需向甲方承担票面金额20%的违约金，由此引起的甲方全部损失由乙方负责双倍赔偿。同时，甲方可将乙方列为不合格供方，并保留对乙方追究法律责任的权利。</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第五条  甲方权利义务</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5.1  甲方有权对乙方提供的相关服务进行全面的监督,对发现的问题要求乙方及时处理、向乙方提出合理建议、并对有损甲方利益的行为进行制止和纠正。</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5.2  按合同约定支付广告费用。</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5.3  若甲方需要在广告发布期间停发，应提前2个日历日通知乙方；如再次启动广告发布，应提前2个日历日与乙方联系。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5.4  甲方有义务对乙方给予的广告费折扣予以保密,对本合同及相关内容、信 息进行保密，不向任何第三方透露。</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5.5  甲方需要更换广告宣传内容或调整播出网站、位置及篇幅等，应提前2个日历天通知乙方，乙方应予以协助调整，并在甲方要求时间内完成广告宣传内容的发布；若乙方发布超出甲方要求时间，则乙方应在发布期限届满后顺延广告发布时间。</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第六条   乙方权利义务</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6.1  乙方承诺并保证具有履行本合同充分、有效的资质、资格或许可,并确保履行本合同的行为不侵犯任何第三方的合法权益。</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6.2  乙方应按照本合同约定的版面、时段及其他具体要求发布广告。</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6.3  甲乙双方在履行本合同过程中,对于实际投播的日期、广告篇幅、位置等相关具体事项，甲方有权提前以微信的形式另行书面通知乙方，乙方在收到甲方提前通知的前提下，应该积极配合甲方在甲方要求的期限内完成更换。</w:t>
      </w:r>
    </w:p>
    <w:p>
      <w:pPr>
        <w:pStyle w:val="18"/>
        <w:rPr>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lang w:eastAsia="zh-CN"/>
        </w:rPr>
        <w:t xml:space="preserve">  乙方有义务对甲方广告内容的合法性及是否符合广告发布要求进行审查， 有义务对甲方广告内容中不符合法律规定、行政法规规定或违反公共道德的内容以及表现形式等提出修改意见，并提前通知甲方，为甲方预留充足的修改时间，由甲方进行修改。乙方对等广告的审查义务是对广告实质、全面的审查，无论何种原因，只要乙方未及时履行广告审查义务，致使甲方没有充足时间完成修改导致广告发布迟延，或甲方在广告发布期间或广告发布后被行政处罚或被追究其他法律责任的，乙方应承担违约责任，并赔偿甲方所受到的损失（包括直接损失、间接损失在内的一切损失）。</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lang w:eastAsia="zh-CN"/>
        </w:rPr>
        <w:t xml:space="preserve">  乙方负责办理广告画面审批手续，审批费用由乙方承诺并包含在合同总价 内。</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lang w:eastAsia="zh-CN"/>
        </w:rPr>
        <w:t xml:space="preserve">  乙方保证与甲方有竞争关系或有损甲方形象的广告和相关信息不能与甲 方广告在同样的版面发布播出。</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lang w:eastAsia="zh-CN"/>
        </w:rPr>
        <w:t xml:space="preserve">  乙方有义务为甲方及甲方的关联公司提供正确报道，在合作媒体或乙方主 办或代理的其他媒体上杜绝甲方的不实、错误报道，乙方接到关于甲方或甲方关联公司的投诉时应立即将投诉情况通知甲方，不得刊发/播出投诉内容。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lang w:eastAsia="zh-CN"/>
        </w:rPr>
        <w:t xml:space="preserve">  未经甲方书面同意，乙方不得转让其在本合同项下的任何权利义务。但甲 方向其关联公司转让本合同项下的全部或部分权利、义务不受本条约定的限制。</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6.</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lang w:eastAsia="zh-CN"/>
        </w:rPr>
        <w:t xml:space="preserve"> 乙方应保证合作媒体运行的稳定性，如出现网络等故障影响媒体正常运行，乙方应于2小时内解决并通知甲方。</w:t>
      </w: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第七条   知识产权及保密条款</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7.1  本合同项下的广告画面和发布内容所产生的知识产权归甲方所有。未经甲方事先书面同意，乙方不得为履行本合同以外的目的使用本合同项下广告画面和发布内容。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7.2  乙方应当保证所提交的全部工作成果及服务不侵犯第三方的知识产权或肖像权、名誉权等权利，如有纠纷由乙方自行解决并承担全部责任，第三方如向甲方主张权利则甲方因此产生的一切费用及损失（包括但不限于违约金、损害赔偿、诉讼费、仲裁费、律师费及甲方因此受到的行政处罚等）均由乙方承担，甲方有权向乙方全额追索。</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7.3  乙方应对甲方提供的或在本合同履行过程中接触到的，有关甲方的任何信息、文件、工作成果等的部分或全部及本合同内容严格保守秘密，未经甲方书面许可，不得向任何第三方透露。乙方保证乙方人员及为其提供服务的机构及其人员知悉保密信息的保密性并担保该等机构及人员履行同等保密义务。乙方应采取必要措施保证其雇员无论是在职中还是离职后均承担同样的保密义务。</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7.4  甲方要求返还记载保密信息的资料、文件的，乙方应当立即返还；由于所载介质的性质所限导致不能返还的，乙方应当予以销毁并签发书面文件确认其所销毁的内容。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7.5  乙方违反本条任一款约定的，应按合同总额的10%向甲方支付违约金，违约金不足以弥补甲方损失的，甲方有权继续追偿。</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7.6  本条款效力独立于本合同，不因本合同的终止而终止。</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第八条  违约责任</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8.1  甲方无正当理由未按照约定付款，并且在收到乙方书面通知30个日历天内仍未付款的，则自逾期付款的第31个日历天起，甲方应按合同订立时中国人民银行授权全国银行间同业拆借中心公布的1年期贷款市场报价利率向乙方支付违约金。</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8.2  乙方如不能按本合同约定时间发布广告， 在事先征得甲方书面同意的前提 下，可以顺延本合同广告发布期限；如未得到甲方书面同意，每逾期一日历天，应向甲方支付合同总额20％的违约金；乙方如逾期7个日历天仍未能按本合同的约定发布广告，甲方有权解除合同，乙方须返还甲方已支付的全部广告费，向甲方支付合同总额50％的违约金，并赔偿由此给甲方造成的全部损失。</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8.3  乙方不得擅自停播、漏播、错播或改变约定发布广告的网站、位置、时长和内容等，否则应向甲方支付合同总额10％的违约金，且甲方有权选择要求乙方按甲方要求予以补播，或选择要求乙方退还相应广告费用。</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8.4  如乙方因该广告的发布手续（包括但不限于乙方不具备或不完全具备本合 同项下的广告发布资格或未能按时办理行政审批手续）等问题发生纠纷，并由此影响甲方广告发布的，乙方应赔偿由此给甲方造成的全部损失。如因此导致甲方遭受行政处罚或造成对第三方侵权的，均由乙方承担责任，并且甲方有权解除合同，乙方须返还甲方已支付的全部广告费，向甲方支付合同总额的10％的违约金，并赔偿甲方因此而遭受的全部经济损失。</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8.5 若乙方在甲方确定的重要广告发布时间（如法定节假日、配合甲方特定活动的宣传，甲方统一宣传推广活动等）发布广告延误的，甲方有权立即解除合同、拒付广告费，并有权要求乙方支付合同总额50%的违约金，甲方仍有其他损失的，由乙方继续赔偿。</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8.6 未经甲方事先书面同意，乙方不得将本合同项下任何权利或义务转让给第三方，否则甲方有权立即解除合同，乙方应向甲方支付相当于本合同总价20%的违约金。 </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8.7在本合同履行期限内，任何一方在未有法定理由或者本合同约定事由的情况下单方解除或终止合同的，违约方除应赔偿给守约方造成的损失外，还应按本合同广告费用总额的20％向对方支付违约金。</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8.8 本合同约定的违约金不足以弥补因违约行为给守约方带来的损失的，守约 方有权继续追索。</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8.9 甲方有权在本合同或甲方（含甲方关联方）与乙方（含乙方关联方）签署的其他合同项下的任意一期应付款中扣除乙方根据本合同应承担的违约金、赔偿金及其他合同约定的费用，乙方对此无异议。</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第九条   不可抗力</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9.1  以下情形为合同订立时不能预见、不能避免并不能克服的不可抗力事件：  包括严重自然灾害，如强台风、7级以上地震、洪水、瘟疫等；政府行为，如征收、征用；社会异常事件，如罢工、骚乱；其他。</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9.2  合同执行期间如发生不可抗力事件致使本合同不能继续履行，甲乙双方应 当在友好协商的前提下变更或者解除本合同，双方互不承担违约责任。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9.3  本合同任何一方因不可抗力不能履行或不能完全履行本合同义务时，应当 在不可抗力发生后的3个工作日内通知另一方。</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9.4  不可抗力事件发生时，双方均应尽一切合理的努力减轻不可抗力造成的后果，不可抗力造成的后果消失，合同可以继续履行的，合同期限自动顺延，双方均无须为此承担违约责任。</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第十条  通知及送达</w:t>
      </w:r>
    </w:p>
    <w:p>
      <w:pPr>
        <w:rPr>
          <w:rFonts w:asciiTheme="majorEastAsia" w:hAnsiTheme="majorEastAsia" w:eastAsiaTheme="majorEastAsia" w:cstheme="majorEastAsia"/>
          <w:sz w:val="24"/>
          <w:szCs w:val="24"/>
        </w:rPr>
      </w:pPr>
    </w:p>
    <w:tbl>
      <w:tblPr>
        <w:tblStyle w:val="317"/>
        <w:tblW w:w="8461"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2"/>
        <w:gridCol w:w="3535"/>
        <w:gridCol w:w="3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2" w:type="dxa"/>
          </w:tcPr>
          <w:p>
            <w:pPr>
              <w:pStyle w:val="316"/>
              <w:spacing w:before="143"/>
              <w:jc w:val="center"/>
            </w:pPr>
            <w:r>
              <w:t>内容</w:t>
            </w:r>
          </w:p>
        </w:tc>
        <w:tc>
          <w:tcPr>
            <w:tcW w:w="3535" w:type="dxa"/>
          </w:tcPr>
          <w:p>
            <w:pPr>
              <w:pStyle w:val="316"/>
              <w:spacing w:before="143"/>
              <w:jc w:val="center"/>
            </w:pPr>
            <w:r>
              <w:t>甲方</w:t>
            </w:r>
          </w:p>
        </w:tc>
        <w:tc>
          <w:tcPr>
            <w:tcW w:w="3514" w:type="dxa"/>
          </w:tcPr>
          <w:p>
            <w:pPr>
              <w:pStyle w:val="316"/>
              <w:spacing w:before="143"/>
              <w:jc w:val="center"/>
            </w:pPr>
            <w:r>
              <w:t>乙方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412" w:type="dxa"/>
          </w:tcPr>
          <w:p>
            <w:pPr>
              <w:pStyle w:val="316"/>
              <w:spacing w:before="137"/>
              <w:ind w:left="418" w:right="169" w:hanging="240"/>
              <w:jc w:val="center"/>
              <w:rPr>
                <w:rFonts w:hint="eastAsia" w:eastAsia="宋体"/>
                <w:lang w:eastAsia="zh-CN"/>
              </w:rPr>
            </w:pPr>
            <w:r>
              <w:rPr>
                <w:rFonts w:hint="eastAsia"/>
                <w:lang w:val="en-US" w:eastAsia="zh-CN"/>
              </w:rPr>
              <w:t>联系人</w:t>
            </w:r>
          </w:p>
        </w:tc>
        <w:tc>
          <w:tcPr>
            <w:tcW w:w="3535" w:type="dxa"/>
          </w:tcPr>
          <w:p>
            <w:pPr>
              <w:pStyle w:val="316"/>
              <w:spacing w:before="136"/>
              <w:jc w:val="center"/>
              <w:rPr>
                <w:lang w:eastAsia="zh-CN"/>
              </w:rPr>
            </w:pPr>
          </w:p>
        </w:tc>
        <w:tc>
          <w:tcPr>
            <w:tcW w:w="3514" w:type="dxa"/>
          </w:tcPr>
          <w:p>
            <w:pPr>
              <w:pStyle w:val="316"/>
              <w:spacing w:before="137"/>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412" w:type="dxa"/>
          </w:tcPr>
          <w:p>
            <w:pPr>
              <w:pStyle w:val="316"/>
              <w:spacing w:before="137"/>
              <w:ind w:left="180"/>
              <w:jc w:val="center"/>
            </w:pPr>
            <w:r>
              <w:t>联系电话</w:t>
            </w:r>
          </w:p>
        </w:tc>
        <w:tc>
          <w:tcPr>
            <w:tcW w:w="3535" w:type="dxa"/>
          </w:tcPr>
          <w:p>
            <w:pPr>
              <w:pStyle w:val="316"/>
              <w:spacing w:before="137"/>
              <w:jc w:val="center"/>
              <w:rPr>
                <w:lang w:eastAsia="zh-CN"/>
              </w:rPr>
            </w:pPr>
          </w:p>
        </w:tc>
        <w:tc>
          <w:tcPr>
            <w:tcW w:w="3514" w:type="dxa"/>
          </w:tcPr>
          <w:p>
            <w:pPr>
              <w:pStyle w:val="316"/>
              <w:spacing w:before="137"/>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412" w:type="dxa"/>
          </w:tcPr>
          <w:p>
            <w:pPr>
              <w:jc w:val="center"/>
            </w:pPr>
          </w:p>
          <w:p>
            <w:pPr>
              <w:pStyle w:val="316"/>
              <w:spacing w:before="78"/>
              <w:ind w:left="180"/>
              <w:jc w:val="center"/>
            </w:pPr>
            <w:r>
              <w:t>联系地址</w:t>
            </w:r>
          </w:p>
        </w:tc>
        <w:tc>
          <w:tcPr>
            <w:tcW w:w="3535" w:type="dxa"/>
          </w:tcPr>
          <w:p>
            <w:pPr>
              <w:pStyle w:val="316"/>
              <w:jc w:val="center"/>
              <w:rPr>
                <w:lang w:eastAsia="zh-CN"/>
              </w:rPr>
            </w:pPr>
          </w:p>
        </w:tc>
        <w:tc>
          <w:tcPr>
            <w:tcW w:w="3514" w:type="dxa"/>
          </w:tcPr>
          <w:p>
            <w:pPr>
              <w:jc w:val="center"/>
              <w:rPr>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1412" w:type="dxa"/>
          </w:tcPr>
          <w:p>
            <w:pPr>
              <w:spacing w:before="86"/>
              <w:jc w:val="center"/>
              <w:rPr>
                <w:rFonts w:ascii="仿宋" w:hAnsi="仿宋" w:eastAsia="仿宋" w:cs="仿宋"/>
                <w:b/>
                <w:bCs/>
                <w:sz w:val="22"/>
                <w:szCs w:val="22"/>
                <w:lang w:eastAsia="zh-CN"/>
              </w:rPr>
            </w:pPr>
          </w:p>
          <w:p>
            <w:pPr>
              <w:spacing w:before="86"/>
              <w:jc w:val="center"/>
              <w:rPr>
                <w:rFonts w:ascii="仿宋" w:hAnsi="仿宋" w:eastAsia="仿宋" w:cs="仿宋"/>
                <w:b/>
                <w:bCs/>
                <w:sz w:val="22"/>
                <w:szCs w:val="22"/>
                <w:lang w:eastAsia="zh-CN"/>
              </w:rPr>
            </w:pPr>
          </w:p>
          <w:p>
            <w:pPr>
              <w:spacing w:before="86"/>
              <w:jc w:val="center"/>
              <w:rPr>
                <w:rFonts w:ascii="仿宋" w:hAnsi="仿宋" w:eastAsia="仿宋" w:cs="仿宋"/>
                <w:b/>
                <w:bCs/>
                <w:sz w:val="22"/>
                <w:szCs w:val="22"/>
                <w:lang w:eastAsia="zh-CN"/>
              </w:rPr>
            </w:pPr>
          </w:p>
          <w:p>
            <w:pPr>
              <w:spacing w:before="86"/>
              <w:jc w:val="center"/>
              <w:rPr>
                <w:rFonts w:ascii="仿宋" w:hAnsi="仿宋" w:eastAsia="仿宋" w:cs="仿宋"/>
                <w:b/>
                <w:bCs/>
                <w:sz w:val="22"/>
                <w:szCs w:val="22"/>
                <w:lang w:eastAsia="zh-CN"/>
              </w:rPr>
            </w:pPr>
            <w:r>
              <w:rPr>
                <w:rFonts w:hint="eastAsia" w:ascii="仿宋" w:hAnsi="仿宋" w:eastAsia="仿宋" w:cs="仿宋"/>
                <w:b/>
                <w:bCs/>
                <w:sz w:val="22"/>
                <w:szCs w:val="22"/>
                <w:lang w:eastAsia="zh-CN"/>
              </w:rPr>
              <w:t>代表权限</w:t>
            </w:r>
          </w:p>
        </w:tc>
        <w:tc>
          <w:tcPr>
            <w:tcW w:w="3535" w:type="dxa"/>
          </w:tcPr>
          <w:p>
            <w:pPr>
              <w:spacing w:before="86"/>
              <w:jc w:val="center"/>
              <w:rPr>
                <w:rFonts w:ascii="仿宋" w:hAnsi="仿宋" w:eastAsia="仿宋" w:cs="仿宋"/>
                <w:b/>
                <w:bCs/>
                <w:sz w:val="22"/>
                <w:szCs w:val="22"/>
                <w:lang w:eastAsia="zh-CN"/>
              </w:rPr>
            </w:pPr>
            <w:r>
              <w:rPr>
                <w:rFonts w:hint="eastAsia" w:ascii="仿宋" w:hAnsi="仿宋" w:eastAsia="仿宋" w:cs="仿宋"/>
                <w:b/>
                <w:bCs/>
                <w:sz w:val="22"/>
                <w:szCs w:val="22"/>
                <w:lang w:eastAsia="zh-CN"/>
              </w:rPr>
              <w:t>代表甲方向乙方提供合同约定的资料、文件，签收乙方发送的通知、函件、提交的工作成果，向乙方发送通知、函件，但关于工作成果和结算款项的确认等事项须经甲方盖章确认后生效</w:t>
            </w:r>
          </w:p>
        </w:tc>
        <w:tc>
          <w:tcPr>
            <w:tcW w:w="3514" w:type="dxa"/>
          </w:tcPr>
          <w:p>
            <w:pPr>
              <w:spacing w:before="86"/>
              <w:jc w:val="center"/>
              <w:rPr>
                <w:rFonts w:ascii="仿宋" w:hAnsi="仿宋" w:eastAsia="仿宋" w:cs="仿宋"/>
                <w:b/>
                <w:bCs/>
                <w:sz w:val="22"/>
                <w:szCs w:val="22"/>
                <w:lang w:eastAsia="zh-CN"/>
              </w:rPr>
            </w:pPr>
            <w:r>
              <w:rPr>
                <w:rFonts w:hint="eastAsia" w:ascii="仿宋" w:hAnsi="仿宋" w:eastAsia="仿宋" w:cs="仿宋"/>
                <w:b/>
                <w:bCs/>
                <w:sz w:val="22"/>
                <w:szCs w:val="22"/>
                <w:lang w:eastAsia="zh-CN"/>
              </w:rPr>
              <w:t>代表乙方签收甲方提供的资料、文件、通知、函件，向甲方提交工作成果，向甲方发送通知、函 件</w:t>
            </w:r>
          </w:p>
        </w:tc>
      </w:tr>
    </w:tbl>
    <w:p>
      <w:pPr>
        <w:rPr>
          <w:rFonts w:hint="eastAsia"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10.1 甲乙双方应指定</w:t>
      </w:r>
      <w:r>
        <w:rPr>
          <w:rFonts w:hint="eastAsia" w:asciiTheme="majorEastAsia" w:hAnsiTheme="majorEastAsia" w:eastAsiaTheme="majorEastAsia" w:cstheme="majorEastAsia"/>
          <w:sz w:val="24"/>
          <w:szCs w:val="24"/>
          <w:lang w:val="en-US" w:eastAsia="zh-CN"/>
        </w:rPr>
        <w:t>专人</w:t>
      </w:r>
      <w:r>
        <w:rPr>
          <w:rFonts w:hint="eastAsia" w:asciiTheme="majorEastAsia" w:hAnsiTheme="majorEastAsia" w:eastAsiaTheme="majorEastAsia" w:cstheme="majorEastAsia"/>
          <w:sz w:val="24"/>
          <w:szCs w:val="24"/>
          <w:lang w:eastAsia="zh-CN"/>
        </w:rPr>
        <w:t>作为本合同履行的联系人。任何一方</w:t>
      </w:r>
      <w:r>
        <w:rPr>
          <w:rFonts w:hint="eastAsia" w:asciiTheme="majorEastAsia" w:hAnsiTheme="majorEastAsia" w:eastAsiaTheme="majorEastAsia" w:cstheme="majorEastAsia"/>
          <w:sz w:val="24"/>
          <w:szCs w:val="24"/>
          <w:lang w:val="en-US" w:eastAsia="zh-CN"/>
        </w:rPr>
        <w:t>联系人</w:t>
      </w:r>
      <w:r>
        <w:rPr>
          <w:rFonts w:hint="eastAsia" w:asciiTheme="majorEastAsia" w:hAnsiTheme="majorEastAsia" w:eastAsiaTheme="majorEastAsia" w:cstheme="majorEastAsia"/>
          <w:sz w:val="24"/>
          <w:szCs w:val="24"/>
          <w:lang w:eastAsia="zh-CN"/>
        </w:rPr>
        <w:t>变更或解除授权的应提前3日书面告知对方。未履行书面告知义务的，视为未变更或解除授权，不利后果由未履行书面告知方承担。</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10.2 甲乙双方之间的任何通知必须以书面进行，书面方式指：挂号信、快递、 电子邮件、专人送达等能够明确表现载体内容的方式。</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10.3 甲乙双方确认双方的联系信息均以本条载明的联系方式为准，如任何一方 联系信息有变更，变更方应在变更前3个工作日内以书面形式通知对方。 因一方提供的联系信息不准确或地址变更未及时履行书面告知义务的，由该方自行承担不利后果。</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10.4 甲乙双方一致确认：以电子邮件方式通知对方的，发出成功时间视为通知 到达时间；以专人派送方式通知对方的，则送达时间应按收件一方签收之日期为准；以快递等信件方式通知对方的，另一方应及时予以签收，若另一方无法签收、拒绝签收或信件被退回的，均视为通知方已履行了通知义务（在寄出3日后（本市）/7日后（外埠）视为送达）。</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10.5 本条约定的通讯送达方式适用于双方为履行本合同而进行的日常沟通， 亦 适用于双方之间因本合同履行发生的争议进入仲裁、民事诉讼程序（含一审、二审、再审以及执行程序）后法律文书的送达。</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10.6 本合同约定由甲方盖章确认的文件，甲方可以加盖符合《电子签名法》的</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可靠电子印章，并通过电子邮件的方式发送给乙方。甲方亦可以向乙方邮寄电子用印文件的彩色打印件， 双方一致确认，该等电子用印文件的彩色打印件视同原件。</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第十一条   法律适用及争议解决</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11.1  本合同的成立、解释、效力、终止或履行等均适用中华人民共和国法律（港、澳、台地区法律除外）。</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11.2  凡因本合同引起的或与本合同有关的争议，双方应当友好协商解决。协商解决不成的，双方均同意将前述争议提交甲方住所地有管辖权的人民法院管辖。在诉讼过程中，除所争议事项之外，本合同的其他部分不应受诉讼的影响，且双方应继续履行其在本合同项下的义务。</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第十二条  补充约定</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甲方在收到乙方验收报告后，3个工作日内未提出书面异议（可微信或电子邮件的形式），则视为验收合格。</w:t>
      </w:r>
    </w:p>
    <w:p>
      <w:pPr>
        <w:rPr>
          <w:rFonts w:asciiTheme="majorEastAsia" w:hAnsiTheme="majorEastAsia" w:eastAsiaTheme="majorEastAsia" w:cstheme="majorEastAsia"/>
          <w:b/>
          <w:bCs/>
          <w:sz w:val="24"/>
          <w:szCs w:val="24"/>
          <w:lang w:eastAsia="zh-CN"/>
        </w:rPr>
      </w:pPr>
    </w:p>
    <w:p>
      <w:pPr>
        <w:rPr>
          <w:rFonts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第十三条  合同效力及其他</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13.1  本合同自双方用印之日起生效。</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13.2  本合同壹式叁份，甲方执贰份，乙方执贰份，具有同等法律效力（本条款 不适用于电子签章合同）。</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13.3  本合同如有未尽事宜，双方可协商另行订立补充协议。任何关于本合同的变更事项，应签署书面的补充协议。双方另行签署的补充协议与本合同具有同等法律效力。</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13.4  本合同附件为本合同的有效组成部分，与本合同正文具有同等法律效力。</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附件与正文约定不一致的，以正文约定为准。</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（以下无正文）</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甲方：</w:t>
      </w:r>
    </w:p>
    <w:p>
      <w:pPr>
        <w:rPr>
          <w:rFonts w:hint="eastAsia" w:asciiTheme="majorEastAsia" w:hAnsiTheme="majorEastAsia" w:eastAsiaTheme="majorEastAsia" w:cstheme="majorEastAsia"/>
          <w:sz w:val="24"/>
          <w:szCs w:val="24"/>
        </w:rPr>
      </w:pPr>
    </w:p>
    <w:p>
      <w:pPr>
        <w:rPr>
          <w:rFonts w:hint="eastAsia"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p>
      <w:pPr>
        <w:rPr>
          <w:rFonts w:hint="eastAsia" w:asciiTheme="majorEastAsia" w:hAnsiTheme="majorEastAsia" w:eastAsiaTheme="majorEastAsia" w:cstheme="majorEastAsia"/>
          <w:sz w:val="24"/>
          <w:szCs w:val="24"/>
          <w:lang w:val="en-US" w:eastAsia="zh-CN"/>
        </w:rPr>
      </w:pPr>
    </w:p>
    <w:p>
      <w:pP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 xml:space="preserve">签署日期：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 xml:space="preserve">年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 xml:space="preserve"> 月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日</w:t>
      </w:r>
    </w:p>
    <w:p>
      <w:pPr>
        <w:rPr>
          <w:rFonts w:asciiTheme="majorEastAsia" w:hAnsiTheme="majorEastAsia" w:eastAsiaTheme="majorEastAsia" w:cstheme="majorEastAsia"/>
          <w:sz w:val="24"/>
          <w:szCs w:val="24"/>
          <w:lang w:eastAsia="zh-CN"/>
        </w:rPr>
      </w:pPr>
    </w:p>
    <w:p>
      <w:pPr>
        <w:rPr>
          <w:rFonts w:asciiTheme="majorEastAsia" w:hAnsiTheme="majorEastAsia" w:eastAsiaTheme="majorEastAsia" w:cstheme="majorEastAsia"/>
          <w:sz w:val="24"/>
          <w:szCs w:val="24"/>
          <w:lang w:eastAsia="zh-CN"/>
        </w:rPr>
      </w:pPr>
    </w:p>
    <w:p>
      <w:pPr>
        <w:pStyle w:val="18"/>
        <w:rPr>
          <w:lang w:eastAsia="zh-CN"/>
        </w:rPr>
      </w:pPr>
    </w:p>
    <w:p>
      <w:pPr>
        <w:rPr>
          <w:rFonts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乙方：</w:t>
      </w:r>
    </w:p>
    <w:p>
      <w:pPr>
        <w:rPr>
          <w:rFonts w:hint="eastAsia" w:asciiTheme="majorEastAsia" w:hAnsiTheme="majorEastAsia" w:eastAsiaTheme="majorEastAsia" w:cstheme="majorEastAsia"/>
          <w:sz w:val="24"/>
          <w:szCs w:val="24"/>
        </w:rPr>
      </w:pPr>
    </w:p>
    <w:p>
      <w:pPr>
        <w:pStyle w:val="18"/>
        <w:rPr>
          <w:rFonts w:hint="eastAsia"/>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w:t>
      </w:r>
    </w:p>
    <w:p>
      <w:pPr>
        <w:rPr>
          <w:rFonts w:asciiTheme="majorEastAsia" w:hAnsiTheme="majorEastAsia" w:eastAsiaTheme="majorEastAsia" w:cstheme="majorEastAsia"/>
          <w:sz w:val="24"/>
          <w:szCs w:val="24"/>
        </w:rPr>
      </w:pPr>
    </w:p>
    <w:p>
      <w:pPr>
        <w:pStyle w:val="18"/>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签署日期：     </w:t>
      </w:r>
      <w:r>
        <w:rPr>
          <w:rFonts w:hint="eastAsia" w:asciiTheme="majorEastAsia" w:hAnsiTheme="majorEastAsia" w:eastAsiaTheme="majorEastAsia" w:cstheme="majorEastAsia"/>
          <w:sz w:val="24"/>
          <w:szCs w:val="24"/>
          <w:lang w:eastAsia="zh-CN"/>
        </w:rPr>
        <w:t xml:space="preserve">年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 xml:space="preserve"> 月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eastAsia="方正仿宋_GBK"/>
          <w:kern w:val="0"/>
          <w:sz w:val="24"/>
          <w:szCs w:val="24"/>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eastAsia="方正仿宋_GBK"/>
          <w:kern w:val="0"/>
          <w:sz w:val="24"/>
          <w:szCs w:val="24"/>
        </w:rPr>
      </w:pPr>
    </w:p>
    <w:p>
      <w:pPr>
        <w:widowControl/>
        <w:spacing w:line="595" w:lineRule="exact"/>
        <w:jc w:val="left"/>
        <w:rPr>
          <w:rFonts w:eastAsia="方正仿宋_GBK"/>
          <w:kern w:val="0"/>
          <w:sz w:val="32"/>
          <w:szCs w:val="20"/>
        </w:rPr>
      </w:pPr>
    </w:p>
    <w:p>
      <w:pPr>
        <w:rPr>
          <w:rFonts w:ascii="宋体" w:hAnsi="宋体"/>
          <w:sz w:val="44"/>
          <w:szCs w:val="44"/>
          <w:highlight w:val="none"/>
        </w:rPr>
      </w:pPr>
    </w:p>
    <w:p>
      <w:pPr>
        <w:pStyle w:val="3"/>
        <w:spacing w:before="0" w:after="0" w:line="360" w:lineRule="auto"/>
        <w:jc w:val="center"/>
        <w:rPr>
          <w:rFonts w:hint="eastAsia" w:ascii="宋体" w:hAnsi="宋体"/>
          <w:highlight w:val="none"/>
        </w:rPr>
      </w:pPr>
      <w:bookmarkStart w:id="347" w:name="_Toc509218843"/>
      <w:bookmarkStart w:id="348" w:name="_Toc16194"/>
      <w:bookmarkStart w:id="349" w:name="_Toc287620797"/>
      <w:bookmarkStart w:id="350" w:name="_Toc430530513"/>
      <w:bookmarkStart w:id="351" w:name="_Toc22982"/>
      <w:bookmarkStart w:id="352" w:name="_Toc534185822"/>
      <w:bookmarkStart w:id="353" w:name="_Toc23430"/>
      <w:bookmarkStart w:id="354" w:name="_Toc287607855"/>
    </w:p>
    <w:p>
      <w:pPr>
        <w:pStyle w:val="3"/>
        <w:spacing w:before="0" w:after="0" w:line="360" w:lineRule="auto"/>
        <w:jc w:val="center"/>
        <w:rPr>
          <w:rFonts w:hint="eastAsia" w:ascii="宋体" w:hAnsi="宋体"/>
          <w:highlight w:val="none"/>
        </w:rPr>
      </w:pPr>
    </w:p>
    <w:p>
      <w:pPr>
        <w:pStyle w:val="3"/>
        <w:spacing w:before="0" w:after="0" w:line="360" w:lineRule="auto"/>
        <w:jc w:val="center"/>
        <w:rPr>
          <w:rFonts w:hint="eastAsia" w:ascii="宋体" w:hAnsi="宋体"/>
          <w:highlight w:val="none"/>
        </w:rPr>
      </w:pPr>
    </w:p>
    <w:p>
      <w:pPr>
        <w:pStyle w:val="3"/>
        <w:spacing w:before="0" w:after="0" w:line="360" w:lineRule="auto"/>
        <w:jc w:val="center"/>
        <w:rPr>
          <w:rFonts w:hint="eastAsia" w:ascii="宋体" w:hAnsi="宋体"/>
          <w:highlight w:val="none"/>
        </w:rPr>
      </w:pPr>
    </w:p>
    <w:bookmarkEnd w:id="347"/>
    <w:bookmarkEnd w:id="348"/>
    <w:bookmarkEnd w:id="349"/>
    <w:bookmarkEnd w:id="350"/>
    <w:bookmarkEnd w:id="351"/>
    <w:bookmarkEnd w:id="352"/>
    <w:bookmarkEnd w:id="353"/>
    <w:bookmarkEnd w:id="354"/>
    <w:p>
      <w:pPr>
        <w:spacing w:line="360" w:lineRule="auto"/>
        <w:jc w:val="center"/>
        <w:rPr>
          <w:rFonts w:ascii="宋体" w:hAnsi="宋体"/>
          <w:szCs w:val="20"/>
          <w:highlight w:val="none"/>
        </w:rPr>
      </w:pPr>
    </w:p>
    <w:p>
      <w:pPr>
        <w:spacing w:line="360" w:lineRule="auto"/>
        <w:rPr>
          <w:rFonts w:ascii="宋体" w:hAnsi="宋体"/>
          <w:szCs w:val="20"/>
          <w:highlight w:val="none"/>
        </w:rPr>
      </w:pPr>
      <w:bookmarkStart w:id="355" w:name="招标文件06章图纸01"/>
      <w:bookmarkEnd w:id="355"/>
      <w:bookmarkStart w:id="356" w:name="_Toc430530520"/>
      <w:bookmarkStart w:id="357" w:name="_Toc287620804"/>
    </w:p>
    <w:bookmarkEnd w:id="356"/>
    <w:bookmarkEnd w:id="357"/>
    <w:p>
      <w:pPr>
        <w:spacing w:line="360" w:lineRule="auto"/>
        <w:rPr>
          <w:rFonts w:ascii="宋体" w:hAnsi="宋体"/>
          <w:highlight w:val="none"/>
        </w:rPr>
      </w:pPr>
      <w:r>
        <w:rPr>
          <w:rFonts w:ascii="宋体" w:hAnsi="宋体"/>
          <w:szCs w:val="20"/>
          <w:highlight w:val="none"/>
        </w:rPr>
        <w:br w:type="page"/>
      </w:r>
    </w:p>
    <w:p>
      <w:pPr>
        <w:pStyle w:val="3"/>
        <w:spacing w:line="360" w:lineRule="auto"/>
        <w:jc w:val="center"/>
        <w:rPr>
          <w:rFonts w:ascii="宋体" w:hAnsi="宋体"/>
          <w:highlight w:val="none"/>
        </w:rPr>
      </w:pPr>
      <w:bookmarkStart w:id="358" w:name="招标文件07章技术标准和要求"/>
      <w:bookmarkEnd w:id="358"/>
      <w:bookmarkStart w:id="359" w:name="_Toc17170"/>
      <w:bookmarkStart w:id="360" w:name="_Toc28155"/>
      <w:bookmarkStart w:id="361" w:name="_Toc9133"/>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359"/>
      <w:bookmarkEnd w:id="360"/>
      <w:bookmarkEnd w:id="361"/>
      <w:bookmarkStart w:id="362" w:name="招标文件07章技术标准和要求01"/>
      <w:bookmarkEnd w:id="362"/>
      <w:bookmarkStart w:id="363" w:name="_Toc430530524"/>
      <w:bookmarkStart w:id="364" w:name="_Toc287620808"/>
    </w:p>
    <w:bookmarkEnd w:id="363"/>
    <w:bookmarkEnd w:id="364"/>
    <w:tbl>
      <w:tblPr>
        <w:tblStyle w:val="46"/>
        <w:tblpPr w:leftFromText="180" w:rightFromText="180" w:vertAnchor="text" w:horzAnchor="page" w:tblpX="1180" w:tblpY="303"/>
        <w:tblOverlap w:val="never"/>
        <w:tblW w:w="9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85"/>
        <w:gridCol w:w="3495"/>
        <w:gridCol w:w="1290"/>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0"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485" w:type="dxa"/>
            <w:vAlign w:val="center"/>
          </w:tcPr>
          <w:p>
            <w:pPr>
              <w:jc w:val="center"/>
              <w:rPr>
                <w:rFonts w:hint="default" w:ascii="宋体" w:hAnsi="宋体" w:eastAsia="宋体"/>
                <w:b/>
                <w:sz w:val="24"/>
                <w:lang w:val="en-US" w:eastAsia="zh-CN"/>
              </w:rPr>
            </w:pPr>
            <w:r>
              <w:rPr>
                <w:rFonts w:hint="eastAsia" w:ascii="宋体" w:hAnsi="宋体" w:eastAsia="宋体"/>
                <w:b/>
                <w:sz w:val="24"/>
                <w:lang w:val="en-US" w:eastAsia="zh-CN"/>
              </w:rPr>
              <w:t>广告名称</w:t>
            </w:r>
          </w:p>
        </w:tc>
        <w:tc>
          <w:tcPr>
            <w:tcW w:w="3495" w:type="dxa"/>
            <w:vAlign w:val="center"/>
          </w:tcPr>
          <w:p>
            <w:pPr>
              <w:jc w:val="center"/>
              <w:rPr>
                <w:rFonts w:ascii="宋体" w:hAnsi="宋体" w:eastAsia="宋体"/>
                <w:b/>
                <w:sz w:val="24"/>
              </w:rPr>
            </w:pPr>
            <w:r>
              <w:rPr>
                <w:rFonts w:hint="eastAsia" w:ascii="宋体" w:hAnsi="宋体" w:eastAsia="宋体"/>
                <w:b/>
                <w:sz w:val="24"/>
              </w:rPr>
              <w:t>执行</w:t>
            </w:r>
          </w:p>
          <w:p>
            <w:pPr>
              <w:jc w:val="center"/>
              <w:rPr>
                <w:rFonts w:ascii="宋体" w:hAnsi="宋体" w:eastAsia="宋体"/>
                <w:b/>
                <w:sz w:val="24"/>
              </w:rPr>
            </w:pPr>
            <w:r>
              <w:rPr>
                <w:rFonts w:hint="eastAsia" w:ascii="宋体" w:hAnsi="宋体" w:eastAsia="宋体"/>
                <w:b/>
                <w:sz w:val="24"/>
              </w:rPr>
              <w:t>（广告位/形式）</w:t>
            </w:r>
          </w:p>
        </w:tc>
        <w:tc>
          <w:tcPr>
            <w:tcW w:w="1290" w:type="dxa"/>
            <w:vAlign w:val="center"/>
          </w:tcPr>
          <w:p>
            <w:pPr>
              <w:jc w:val="center"/>
              <w:rPr>
                <w:rFonts w:ascii="宋体" w:hAnsi="宋体" w:eastAsia="宋体"/>
                <w:b/>
                <w:sz w:val="24"/>
              </w:rPr>
            </w:pPr>
            <w:r>
              <w:rPr>
                <w:rFonts w:hint="eastAsia" w:ascii="宋体" w:hAnsi="宋体" w:eastAsia="宋体"/>
                <w:b/>
                <w:sz w:val="24"/>
              </w:rPr>
              <w:t>数量</w:t>
            </w:r>
          </w:p>
        </w:tc>
        <w:tc>
          <w:tcPr>
            <w:tcW w:w="2546" w:type="dxa"/>
            <w:vAlign w:val="center"/>
          </w:tcPr>
          <w:p>
            <w:pPr>
              <w:jc w:val="center"/>
              <w:rPr>
                <w:rFonts w:ascii="宋体" w:hAnsi="宋体" w:eastAsia="宋体"/>
                <w:b/>
                <w:sz w:val="24"/>
                <w:lang w:eastAsia="zh-CN"/>
              </w:rPr>
            </w:pPr>
            <w:r>
              <w:rPr>
                <w:rFonts w:hint="eastAsia" w:ascii="宋体" w:hAnsi="宋体" w:eastAsia="宋体"/>
                <w:b/>
                <w:sz w:val="24"/>
                <w:lang w:eastAsia="zh-CN"/>
              </w:rPr>
              <w:t>投放时间</w:t>
            </w:r>
          </w:p>
          <w:p>
            <w:pPr>
              <w:jc w:val="center"/>
              <w:rPr>
                <w:rFonts w:ascii="宋体" w:hAnsi="宋体" w:eastAsia="宋体"/>
                <w:b/>
                <w:sz w:val="24"/>
                <w:lang w:eastAsia="zh-CN"/>
              </w:rPr>
            </w:pPr>
            <w:r>
              <w:rPr>
                <w:rFonts w:hint="eastAsia" w:ascii="宋体" w:hAnsi="宋体" w:eastAsia="宋体"/>
                <w:b/>
                <w:sz w:val="24"/>
                <w:lang w:eastAsia="zh-CN"/>
              </w:rPr>
              <w:t>（以刊发时间为准）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485" w:type="dxa"/>
            <w:vAlign w:val="center"/>
          </w:tcPr>
          <w:p>
            <w:pPr>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网络媒体</w:t>
            </w:r>
          </w:p>
        </w:tc>
        <w:tc>
          <w:tcPr>
            <w:tcW w:w="3495" w:type="dxa"/>
            <w:vAlign w:val="center"/>
          </w:tcPr>
          <w:p>
            <w:pPr>
              <w:jc w:val="center"/>
              <w:rPr>
                <w:rFonts w:ascii="宋体" w:hAnsi="宋体" w:eastAsia="宋体"/>
                <w:sz w:val="24"/>
                <w:lang w:eastAsia="zh-CN"/>
              </w:rPr>
            </w:pPr>
            <w:r>
              <w:rPr>
                <w:rFonts w:hint="eastAsia" w:ascii="宋体" w:hAnsi="宋体" w:eastAsia="宋体"/>
                <w:sz w:val="24"/>
                <w:lang w:eastAsia="zh-CN"/>
              </w:rPr>
              <w:t>APP房产首页焦点图(第1-4帧之内），投放时间为2天；APP房产首页（信息流30常规-重庆），投放时间为2天；APP房产重庆首页热盘推荐，投放时间为2天；APP开机屏3天；APP重磅推荐3天；APP原创稿件1篇；品质好房榜单1次。</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2546" w:type="dxa"/>
            <w:vAlign w:val="center"/>
          </w:tcPr>
          <w:p>
            <w:pPr>
              <w:jc w:val="center"/>
              <w:rPr>
                <w:rFonts w:hint="eastAsia"/>
                <w:lang w:val="en-US" w:eastAsia="zh-CN"/>
              </w:rPr>
            </w:pPr>
            <w:r>
              <w:rPr>
                <w:rFonts w:hint="eastAsia"/>
                <w:lang w:val="en-US" w:eastAsia="zh-CN"/>
              </w:rPr>
              <w:t>1个月内</w:t>
            </w:r>
          </w:p>
          <w:p>
            <w:pPr>
              <w:jc w:val="center"/>
              <w:rPr>
                <w:rFonts w:hint="default"/>
                <w:lang w:val="en-US" w:eastAsia="zh-CN"/>
              </w:rPr>
            </w:pPr>
            <w:r>
              <w:rPr>
                <w:rFonts w:hint="default"/>
                <w:lang w:val="en-US" w:eastAsia="zh-CN"/>
              </w:rPr>
              <w:t>（以实际投放天数为准）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1485" w:type="dxa"/>
            <w:vAlign w:val="center"/>
          </w:tcPr>
          <w:p>
            <w:pPr>
              <w:jc w:val="center"/>
              <w:rPr>
                <w:rFonts w:hint="eastAsia" w:ascii="宋体" w:hAnsi="宋体" w:eastAsia="宋体" w:cs="Times New Roman"/>
                <w:sz w:val="24"/>
                <w:lang w:eastAsia="zh-CN"/>
              </w:rPr>
            </w:pPr>
            <w:r>
              <w:rPr>
                <w:rFonts w:ascii="Arial" w:hAnsi="Arial" w:eastAsia="宋体" w:cs="Arial"/>
                <w:i w:val="0"/>
                <w:iCs w:val="0"/>
                <w:caps w:val="0"/>
                <w:color w:val="111111"/>
                <w:spacing w:val="0"/>
                <w:sz w:val="21"/>
                <w:szCs w:val="21"/>
                <w:shd w:val="clear" w:fill="FFFFFF"/>
              </w:rPr>
              <w:t>朋友圈广告</w:t>
            </w:r>
          </w:p>
        </w:tc>
        <w:tc>
          <w:tcPr>
            <w:tcW w:w="3495" w:type="dxa"/>
            <w:vAlign w:val="center"/>
          </w:tcPr>
          <w:p>
            <w:pPr>
              <w:jc w:val="center"/>
              <w:rPr>
                <w:rFonts w:ascii="宋体" w:hAnsi="宋体" w:eastAsia="宋体"/>
                <w:sz w:val="24"/>
                <w:lang w:eastAsia="zh-CN"/>
              </w:rPr>
            </w:pPr>
            <w:r>
              <w:rPr>
                <w:rFonts w:hint="eastAsia" w:ascii="宋体" w:hAnsi="宋体" w:eastAsia="宋体"/>
                <w:sz w:val="24"/>
                <w:lang w:eastAsia="zh-CN"/>
              </w:rPr>
              <w:t>图文或视频，不低</w:t>
            </w:r>
            <w:r>
              <w:rPr>
                <w:rFonts w:hint="eastAsia" w:ascii="宋体" w:hAnsi="宋体" w:eastAsia="宋体"/>
                <w:sz w:val="24"/>
                <w:lang w:val="en-US" w:eastAsia="zh-CN"/>
              </w:rPr>
              <w:t>于</w:t>
            </w:r>
            <w:r>
              <w:rPr>
                <w:rFonts w:hint="eastAsia" w:ascii="宋体" w:hAnsi="宋体" w:eastAsia="宋体"/>
                <w:sz w:val="24"/>
                <w:lang w:eastAsia="zh-CN"/>
              </w:rPr>
              <w:t>62.5万次曝光</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2546" w:type="dxa"/>
            <w:vAlign w:val="center"/>
          </w:tcPr>
          <w:p>
            <w:pPr>
              <w:jc w:val="center"/>
              <w:rPr>
                <w:rFonts w:hint="eastAsia" w:ascii="宋体" w:hAnsi="宋体"/>
                <w:sz w:val="24"/>
                <w:lang w:val="en-US" w:eastAsia="zh-CN"/>
              </w:rPr>
            </w:pPr>
            <w:r>
              <w:rPr>
                <w:rFonts w:hint="eastAsia" w:ascii="宋体" w:hAnsi="宋体" w:eastAsia="宋体"/>
                <w:sz w:val="24"/>
                <w:lang w:val="en-US" w:eastAsia="zh-CN"/>
              </w:rPr>
              <w:t>1个月</w:t>
            </w:r>
            <w:r>
              <w:rPr>
                <w:rFonts w:hint="eastAsia" w:ascii="宋体" w:hAnsi="宋体"/>
                <w:sz w:val="24"/>
                <w:lang w:val="en-US" w:eastAsia="zh-CN"/>
              </w:rPr>
              <w:t>内</w:t>
            </w:r>
          </w:p>
          <w:p>
            <w:pPr>
              <w:jc w:val="center"/>
              <w:rPr>
                <w:rFonts w:ascii="宋体" w:hAnsi="宋体"/>
              </w:rPr>
            </w:pPr>
            <w:r>
              <w:rPr>
                <w:rFonts w:hint="default"/>
                <w:lang w:val="en-US" w:eastAsia="zh-CN"/>
              </w:rPr>
              <w:t>（以实际投放天数为准）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3</w:t>
            </w:r>
          </w:p>
        </w:tc>
        <w:tc>
          <w:tcPr>
            <w:tcW w:w="148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户外广告</w:t>
            </w:r>
          </w:p>
        </w:tc>
        <w:tc>
          <w:tcPr>
            <w:tcW w:w="3495" w:type="dxa"/>
            <w:vAlign w:val="center"/>
          </w:tcPr>
          <w:p>
            <w:pPr>
              <w:jc w:val="center"/>
              <w:rPr>
                <w:rFonts w:hint="eastAsia" w:ascii="宋体" w:hAnsi="宋体" w:eastAsia="宋体"/>
                <w:sz w:val="24"/>
                <w:lang w:eastAsia="zh-CN"/>
              </w:rPr>
            </w:pPr>
            <w:r>
              <w:rPr>
                <w:rFonts w:hint="eastAsia" w:ascii="宋体" w:hAnsi="宋体" w:eastAsia="宋体"/>
                <w:sz w:val="24"/>
              </w:rPr>
              <w:t>户外T牌</w:t>
            </w:r>
            <w:r>
              <w:rPr>
                <w:rFonts w:hint="eastAsia" w:ascii="宋体" w:hAnsi="宋体" w:eastAsia="宋体"/>
                <w:sz w:val="24"/>
                <w:lang w:eastAsia="zh-CN"/>
              </w:rPr>
              <w:t>（18米x6米x2面）</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2546" w:type="dxa"/>
            <w:vAlign w:val="center"/>
          </w:tcPr>
          <w:p>
            <w:pPr>
              <w:jc w:val="center"/>
              <w:rPr>
                <w:rFonts w:ascii="宋体" w:hAnsi="宋体" w:eastAsia="宋体"/>
                <w:sz w:val="24"/>
                <w:lang w:eastAsia="zh-CN"/>
              </w:rPr>
            </w:pPr>
            <w:r>
              <w:rPr>
                <w:rFonts w:hint="eastAsia" w:ascii="宋体" w:hAnsi="宋体" w:eastAsia="宋体"/>
                <w:sz w:val="24"/>
                <w:lang w:val="en-US" w:eastAsia="zh-CN"/>
              </w:rPr>
              <w:t>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4</w:t>
            </w:r>
          </w:p>
        </w:tc>
        <w:tc>
          <w:tcPr>
            <w:tcW w:w="148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物业广告</w:t>
            </w:r>
          </w:p>
        </w:tc>
        <w:tc>
          <w:tcPr>
            <w:tcW w:w="3495" w:type="dxa"/>
            <w:vAlign w:val="center"/>
          </w:tcPr>
          <w:p>
            <w:pPr>
              <w:jc w:val="center"/>
              <w:rPr>
                <w:rFonts w:ascii="宋体" w:hAnsi="宋体" w:eastAsia="宋体"/>
                <w:sz w:val="24"/>
                <w:lang w:eastAsia="zh-CN"/>
              </w:rPr>
            </w:pPr>
            <w:r>
              <w:rPr>
                <w:rFonts w:hint="eastAsia" w:ascii="宋体" w:hAnsi="宋体" w:eastAsia="宋体"/>
                <w:sz w:val="24"/>
                <w:lang w:eastAsia="zh-CN"/>
              </w:rPr>
              <w:t>电梯、道闸、海报、桁架、墙体喷绘、展架、停车小票和宣传栏、城市展厅等</w:t>
            </w:r>
          </w:p>
        </w:tc>
        <w:tc>
          <w:tcPr>
            <w:tcW w:w="12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2546" w:type="dxa"/>
            <w:vAlign w:val="center"/>
          </w:tcPr>
          <w:p>
            <w:pPr>
              <w:jc w:val="center"/>
              <w:rPr>
                <w:rFonts w:ascii="宋体" w:hAnsi="宋体" w:eastAsia="宋体"/>
                <w:sz w:val="24"/>
                <w:lang w:eastAsia="zh-CN"/>
              </w:rPr>
            </w:pPr>
            <w:r>
              <w:rPr>
                <w:rFonts w:hint="eastAsia" w:ascii="宋体" w:hAnsi="宋体" w:eastAsia="宋体"/>
                <w:sz w:val="24"/>
                <w:lang w:val="en-US" w:eastAsia="zh-CN"/>
              </w:rPr>
              <w:t>12个月</w:t>
            </w:r>
          </w:p>
        </w:tc>
      </w:tr>
    </w:tbl>
    <w:p>
      <w:pPr>
        <w:spacing w:line="360" w:lineRule="auto"/>
        <w:rPr>
          <w:rFonts w:ascii="宋体" w:hAnsi="宋体"/>
          <w:highlight w:val="none"/>
        </w:rPr>
      </w:pPr>
      <w:r>
        <w:rPr>
          <w:rFonts w:ascii="宋体" w:hAnsi="宋体"/>
          <w:highlight w:val="none"/>
        </w:rPr>
        <w:br w:type="page"/>
      </w:r>
    </w:p>
    <w:p>
      <w:pPr>
        <w:pStyle w:val="3"/>
        <w:spacing w:line="360" w:lineRule="auto"/>
        <w:jc w:val="center"/>
        <w:rPr>
          <w:rFonts w:ascii="宋体" w:hAnsi="宋体"/>
          <w:highlight w:val="none"/>
        </w:rPr>
      </w:pPr>
      <w:bookmarkStart w:id="365" w:name="_Toc287607865"/>
      <w:bookmarkStart w:id="366" w:name="_Toc24390"/>
      <w:bookmarkStart w:id="367" w:name="_Toc287620812"/>
      <w:bookmarkStart w:id="368" w:name="_Toc23843"/>
      <w:bookmarkStart w:id="369" w:name="_Toc509218852"/>
      <w:bookmarkStart w:id="370" w:name="_Toc534185829"/>
      <w:bookmarkStart w:id="371" w:name="_Toc3098"/>
      <w:bookmarkStart w:id="372" w:name="_Toc430530528"/>
      <w:r>
        <w:rPr>
          <w:rFonts w:hint="eastAsia" w:ascii="宋体" w:hAnsi="宋体"/>
          <w:highlight w:val="none"/>
        </w:rPr>
        <w:t xml:space="preserve">第八章  </w:t>
      </w:r>
      <w:r>
        <w:rPr>
          <w:rFonts w:hint="eastAsia" w:ascii="宋体" w:hAnsi="宋体"/>
          <w:highlight w:val="none"/>
          <w:lang w:eastAsia="zh-CN"/>
        </w:rPr>
        <w:t>竞选文件</w:t>
      </w:r>
      <w:r>
        <w:rPr>
          <w:rFonts w:hint="eastAsia" w:ascii="宋体" w:hAnsi="宋体"/>
          <w:highlight w:val="none"/>
        </w:rPr>
        <w:t>格式</w:t>
      </w:r>
      <w:bookmarkEnd w:id="365"/>
      <w:bookmarkEnd w:id="366"/>
      <w:bookmarkEnd w:id="367"/>
      <w:bookmarkEnd w:id="368"/>
      <w:bookmarkEnd w:id="369"/>
      <w:bookmarkEnd w:id="370"/>
      <w:bookmarkEnd w:id="371"/>
      <w:bookmarkEnd w:id="372"/>
    </w:p>
    <w:p>
      <w:pPr>
        <w:spacing w:line="360" w:lineRule="auto"/>
        <w:rPr>
          <w:rFonts w:ascii="宋体" w:hAnsi="宋体"/>
          <w:sz w:val="32"/>
          <w:szCs w:val="32"/>
          <w:highlight w:val="none"/>
        </w:rPr>
      </w:pPr>
    </w:p>
    <w:p>
      <w:pPr>
        <w:spacing w:line="360" w:lineRule="auto"/>
        <w:jc w:val="center"/>
        <w:rPr>
          <w:rFonts w:ascii="宋体" w:hAnsi="宋体"/>
          <w:sz w:val="36"/>
          <w:szCs w:val="36"/>
          <w:highlight w:val="none"/>
        </w:rPr>
      </w:pPr>
      <w:bookmarkStart w:id="373" w:name="_Toc224103493"/>
      <w:r>
        <w:rPr>
          <w:rFonts w:hint="eastAsia" w:ascii="宋体" w:hAnsi="宋体"/>
          <w:sz w:val="36"/>
          <w:szCs w:val="36"/>
          <w:highlight w:val="none"/>
        </w:rPr>
        <w:t>目  录</w:t>
      </w:r>
      <w:bookmarkEnd w:id="373"/>
    </w:p>
    <w:p>
      <w:pPr>
        <w:spacing w:line="360" w:lineRule="auto"/>
        <w:jc w:val="center"/>
        <w:rPr>
          <w:rFonts w:ascii="宋体" w:hAnsi="宋体"/>
          <w:szCs w:val="20"/>
          <w:highlight w:val="none"/>
        </w:rPr>
      </w:pPr>
    </w:p>
    <w:p>
      <w:pPr>
        <w:spacing w:line="360" w:lineRule="auto"/>
        <w:rPr>
          <w:rFonts w:ascii="宋体" w:hAnsi="宋体"/>
          <w:b/>
          <w:highlight w:val="none"/>
        </w:rPr>
      </w:pPr>
      <w:r>
        <w:rPr>
          <w:rFonts w:hint="eastAsia" w:ascii="宋体" w:hAnsi="宋体"/>
          <w:b/>
          <w:highlight w:val="none"/>
          <w:lang w:val="en-US" w:eastAsia="zh-CN"/>
        </w:rPr>
        <w:t>一</w:t>
      </w:r>
      <w:r>
        <w:rPr>
          <w:rFonts w:ascii="宋体" w:hAnsi="宋体"/>
          <w:b/>
          <w:highlight w:val="none"/>
        </w:rPr>
        <w:t>、</w:t>
      </w:r>
      <w:r>
        <w:rPr>
          <w:rFonts w:hint="eastAsia" w:ascii="宋体" w:hAnsi="宋体"/>
          <w:b/>
          <w:highlight w:val="none"/>
          <w:lang w:eastAsia="zh-CN"/>
        </w:rPr>
        <w:t>竞选函</w:t>
      </w:r>
      <w:r>
        <w:rPr>
          <w:rFonts w:ascii="宋体" w:hAnsi="宋体"/>
          <w:b/>
          <w:highlight w:val="none"/>
        </w:rPr>
        <w:t>部分</w:t>
      </w:r>
    </w:p>
    <w:p>
      <w:pPr>
        <w:spacing w:line="360" w:lineRule="auto"/>
        <w:ind w:firstLine="420" w:firstLineChars="200"/>
        <w:rPr>
          <w:rFonts w:hint="eastAsia" w:ascii="宋体" w:hAnsi="宋体" w:eastAsia="宋体"/>
          <w:highlight w:val="none"/>
          <w:lang w:eastAsia="zh-CN"/>
        </w:rPr>
      </w:pPr>
      <w:r>
        <w:rPr>
          <w:rFonts w:ascii="宋体" w:hAnsi="宋体"/>
          <w:highlight w:val="none"/>
        </w:rPr>
        <w:t>（一）</w:t>
      </w:r>
      <w:r>
        <w:rPr>
          <w:rFonts w:hint="eastAsia" w:ascii="宋体" w:hAnsi="宋体"/>
          <w:highlight w:val="none"/>
          <w:lang w:eastAsia="zh-CN"/>
        </w:rPr>
        <w:t>竞选函</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竞选函</w:t>
      </w:r>
      <w:r>
        <w:rPr>
          <w:rFonts w:ascii="宋体" w:hAnsi="宋体"/>
          <w:highlight w:val="none"/>
        </w:rPr>
        <w:t>附录</w:t>
      </w:r>
    </w:p>
    <w:p>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pPr>
        <w:spacing w:line="360" w:lineRule="auto"/>
        <w:rPr>
          <w:rFonts w:ascii="宋体" w:hAnsi="宋体"/>
          <w:b/>
          <w:highlight w:val="none"/>
        </w:rPr>
      </w:pPr>
      <w:r>
        <w:rPr>
          <w:rFonts w:hint="eastAsia" w:ascii="宋体" w:hAnsi="宋体"/>
          <w:b/>
          <w:highlight w:val="none"/>
          <w:lang w:val="en-US" w:eastAsia="zh-CN"/>
        </w:rPr>
        <w:t>二</w:t>
      </w:r>
      <w:r>
        <w:rPr>
          <w:rFonts w:ascii="宋体" w:hAnsi="宋体"/>
          <w:b/>
          <w:highlight w:val="none"/>
        </w:rPr>
        <w:t>、</w:t>
      </w:r>
      <w:r>
        <w:rPr>
          <w:rFonts w:hint="eastAsia" w:ascii="宋体" w:hAnsi="宋体"/>
          <w:b/>
          <w:highlight w:val="none"/>
        </w:rPr>
        <w:t>资格审查部分</w:t>
      </w: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）其他资料</w:t>
      </w:r>
    </w:p>
    <w:p>
      <w:pPr>
        <w:spacing w:line="360" w:lineRule="auto"/>
        <w:rPr>
          <w:rFonts w:ascii="宋体" w:hAnsi="宋体"/>
          <w:highlight w:val="none"/>
        </w:rPr>
      </w:pPr>
    </w:p>
    <w:p>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374" w:name="_Toc287620813"/>
      <w:bookmarkStart w:id="375" w:name="_Toc430530529"/>
      <w:bookmarkStart w:id="376" w:name="_Toc224103494"/>
      <w:bookmarkStart w:id="377" w:name="_Toc287607866"/>
      <w:bookmarkStart w:id="378" w:name="_Toc277082642"/>
    </w:p>
    <w:p>
      <w:pPr>
        <w:pStyle w:val="4"/>
        <w:spacing w:line="360" w:lineRule="auto"/>
        <w:jc w:val="center"/>
        <w:rPr>
          <w:rFonts w:ascii="宋体" w:hAnsi="宋体"/>
          <w:b w:val="0"/>
          <w:bCs w:val="0"/>
          <w:sz w:val="44"/>
          <w:szCs w:val="44"/>
          <w:highlight w:val="none"/>
        </w:rPr>
      </w:pPr>
      <w:bookmarkStart w:id="379" w:name="_Toc27035"/>
      <w:bookmarkStart w:id="380" w:name="_Toc19476"/>
      <w:r>
        <w:rPr>
          <w:rFonts w:hint="eastAsia" w:ascii="宋体" w:hAnsi="宋体"/>
          <w:b w:val="0"/>
          <w:bCs w:val="0"/>
          <w:sz w:val="44"/>
          <w:szCs w:val="44"/>
          <w:highlight w:val="none"/>
          <w:lang w:val="en-US" w:eastAsia="zh-CN"/>
        </w:rPr>
        <w:t>一</w:t>
      </w:r>
      <w:r>
        <w:rPr>
          <w:rFonts w:hint="eastAsia" w:ascii="宋体" w:hAnsi="宋体"/>
          <w:b w:val="0"/>
          <w:bCs w:val="0"/>
          <w:sz w:val="44"/>
          <w:szCs w:val="44"/>
          <w:highlight w:val="none"/>
        </w:rPr>
        <w:t>、</w:t>
      </w:r>
      <w:r>
        <w:rPr>
          <w:rFonts w:hint="eastAsia" w:ascii="宋体" w:hAnsi="宋体"/>
          <w:b w:val="0"/>
          <w:bCs w:val="0"/>
          <w:sz w:val="44"/>
          <w:szCs w:val="44"/>
          <w:highlight w:val="none"/>
          <w:lang w:eastAsia="zh-CN"/>
        </w:rPr>
        <w:t>竞选函</w:t>
      </w:r>
      <w:r>
        <w:rPr>
          <w:rFonts w:hint="eastAsia" w:ascii="宋体" w:hAnsi="宋体"/>
          <w:b w:val="0"/>
          <w:bCs w:val="0"/>
          <w:sz w:val="44"/>
          <w:szCs w:val="44"/>
          <w:highlight w:val="none"/>
        </w:rPr>
        <w:t>部分</w:t>
      </w:r>
      <w:bookmarkEnd w:id="374"/>
      <w:bookmarkEnd w:id="375"/>
      <w:bookmarkEnd w:id="376"/>
      <w:bookmarkEnd w:id="377"/>
      <w:bookmarkEnd w:id="378"/>
      <w:bookmarkEnd w:id="379"/>
      <w:bookmarkEnd w:id="380"/>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pPr>
        <w:tabs>
          <w:tab w:val="left" w:pos="2580"/>
          <w:tab w:val="left" w:pos="5940"/>
        </w:tabs>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 xml:space="preserve">                      </w:t>
      </w:r>
      <w:r>
        <w:rPr>
          <w:rFonts w:hint="eastAsia" w:ascii="宋体" w:hAnsi="宋体"/>
          <w:kern w:val="0"/>
          <w:sz w:val="32"/>
          <w:szCs w:val="32"/>
          <w:highlight w:val="none"/>
          <w:u w:val="single"/>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lang w:eastAsia="zh-CN"/>
        </w:rPr>
        <w:t>竞选函</w:t>
      </w:r>
      <w:r>
        <w:rPr>
          <w:rFonts w:hint="eastAsia" w:ascii="宋体" w:hAnsi="宋体"/>
          <w:kern w:val="0"/>
          <w:sz w:val="36"/>
          <w:szCs w:val="36"/>
          <w:highlight w:val="none"/>
        </w:rPr>
        <w:t>部分</w:t>
      </w: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autoSpaceDE w:val="0"/>
        <w:autoSpaceDN w:val="0"/>
        <w:adjustRightInd w:val="0"/>
        <w:snapToGrid w:val="0"/>
        <w:spacing w:line="360" w:lineRule="auto"/>
        <w:jc w:val="left"/>
        <w:rPr>
          <w:rFonts w:ascii="宋体" w:hAnsi="宋体"/>
          <w:b/>
          <w:kern w:val="0"/>
          <w:sz w:val="20"/>
          <w:szCs w:val="20"/>
          <w:highlight w:val="none"/>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pPr>
        <w:autoSpaceDE w:val="0"/>
        <w:autoSpaceDN w:val="0"/>
        <w:adjustRightInd w:val="0"/>
        <w:snapToGrid w:val="0"/>
        <w:spacing w:line="360" w:lineRule="auto"/>
        <w:jc w:val="left"/>
        <w:rPr>
          <w:rFonts w:ascii="宋体" w:hAnsi="宋体"/>
          <w:kern w:val="0"/>
          <w:sz w:val="24"/>
          <w:szCs w:val="21"/>
          <w:highlight w:val="none"/>
        </w:rPr>
      </w:pPr>
    </w:p>
    <w:p>
      <w:pPr>
        <w:autoSpaceDE w:val="0"/>
        <w:autoSpaceDN w:val="0"/>
        <w:adjustRightInd w:val="0"/>
        <w:spacing w:line="360" w:lineRule="auto"/>
        <w:ind w:firstLine="480" w:firstLineChars="200"/>
        <w:jc w:val="left"/>
        <w:rPr>
          <w:rFonts w:hint="eastAsia" w:ascii="宋体" w:hAnsi="宋体" w:eastAsia="宋体"/>
          <w:kern w:val="0"/>
          <w:sz w:val="24"/>
          <w:highlight w:val="none"/>
          <w:lang w:eastAsia="zh-CN"/>
        </w:rPr>
      </w:pPr>
      <w:r>
        <w:rPr>
          <w:rFonts w:ascii="宋体" w:hAnsi="宋体"/>
          <w:kern w:val="0"/>
          <w:sz w:val="24"/>
          <w:highlight w:val="none"/>
        </w:rPr>
        <w:t>（一）</w:t>
      </w:r>
      <w:r>
        <w:rPr>
          <w:rFonts w:hint="eastAsia" w:ascii="宋体" w:hAnsi="宋体"/>
          <w:kern w:val="0"/>
          <w:sz w:val="24"/>
          <w:highlight w:val="none"/>
          <w:lang w:eastAsia="zh-CN"/>
        </w:rPr>
        <w:t>竞选函</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w:t>
      </w:r>
      <w:r>
        <w:rPr>
          <w:rFonts w:hint="eastAsia" w:ascii="宋体" w:hAnsi="宋体"/>
          <w:kern w:val="0"/>
          <w:sz w:val="24"/>
          <w:highlight w:val="none"/>
          <w:lang w:eastAsia="zh-CN"/>
        </w:rPr>
        <w:t>竞选函</w:t>
      </w:r>
      <w:r>
        <w:rPr>
          <w:rFonts w:ascii="宋体" w:hAnsi="宋体"/>
          <w:kern w:val="0"/>
          <w:sz w:val="24"/>
          <w:highlight w:val="none"/>
        </w:rPr>
        <w:t>附录</w:t>
      </w:r>
    </w:p>
    <w:p>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highlight w:val="none"/>
        </w:rPr>
      </w:pPr>
    </w:p>
    <w:p>
      <w:pPr>
        <w:pStyle w:val="5"/>
        <w:spacing w:before="0" w:after="0" w:line="400" w:lineRule="exact"/>
        <w:jc w:val="center"/>
        <w:rPr>
          <w:rFonts w:hint="eastAsia" w:ascii="宋体" w:hAnsi="宋体" w:eastAsia="宋体"/>
          <w:b w:val="0"/>
          <w:highlight w:val="none"/>
          <w:lang w:eastAsia="zh-CN"/>
        </w:rPr>
      </w:pPr>
      <w:bookmarkStart w:id="381" w:name="_Toc287620814"/>
      <w:bookmarkStart w:id="382" w:name="_Toc277082643"/>
      <w:bookmarkStart w:id="383" w:name="_Toc224103495"/>
      <w:bookmarkStart w:id="384" w:name="_Toc509218854"/>
      <w:bookmarkStart w:id="385" w:name="_Toc287607867"/>
      <w:bookmarkStart w:id="386" w:name="_Toc534185831"/>
      <w:bookmarkStart w:id="387" w:name="_Toc430530530"/>
      <w:r>
        <w:rPr>
          <w:rFonts w:ascii="宋体" w:hAnsi="宋体"/>
          <w:highlight w:val="none"/>
        </w:rPr>
        <w:br w:type="page"/>
      </w:r>
      <w:bookmarkStart w:id="388" w:name="_Toc26071"/>
      <w:bookmarkStart w:id="389" w:name="_Toc882"/>
      <w:r>
        <w:rPr>
          <w:rFonts w:hint="eastAsia"/>
          <w:highlight w:val="none"/>
        </w:rPr>
        <w:t>（一）</w:t>
      </w:r>
      <w:bookmarkEnd w:id="381"/>
      <w:bookmarkEnd w:id="382"/>
      <w:bookmarkEnd w:id="383"/>
      <w:bookmarkEnd w:id="384"/>
      <w:bookmarkEnd w:id="385"/>
      <w:bookmarkEnd w:id="386"/>
      <w:bookmarkEnd w:id="387"/>
      <w:bookmarkEnd w:id="388"/>
      <w:r>
        <w:rPr>
          <w:rFonts w:hint="eastAsia"/>
          <w:highlight w:val="none"/>
          <w:lang w:eastAsia="zh-CN"/>
        </w:rPr>
        <w:t>竞选函</w:t>
      </w:r>
      <w:bookmarkEnd w:id="389"/>
    </w:p>
    <w:p>
      <w:pPr>
        <w:tabs>
          <w:tab w:val="left" w:pos="2640"/>
        </w:tabs>
        <w:autoSpaceDE w:val="0"/>
        <w:autoSpaceDN w:val="0"/>
        <w:adjustRightInd w:val="0"/>
        <w:spacing w:line="400" w:lineRule="exact"/>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w:t>
      </w:r>
      <w:r>
        <w:rPr>
          <w:rFonts w:hint="eastAsia" w:ascii="宋体" w:hAnsi="宋体"/>
          <w:snapToGrid w:val="0"/>
          <w:kern w:val="0"/>
          <w:szCs w:val="21"/>
          <w:highlight w:val="none"/>
          <w:u w:val="single"/>
          <w:lang w:eastAsia="zh-CN"/>
        </w:rPr>
        <w:t>比选人</w:t>
      </w:r>
      <w:r>
        <w:rPr>
          <w:rFonts w:ascii="宋体" w:hAnsi="宋体"/>
          <w:snapToGrid w:val="0"/>
          <w:kern w:val="0"/>
          <w:szCs w:val="21"/>
          <w:highlight w:val="none"/>
          <w:u w:val="single"/>
        </w:rPr>
        <w:t>名称）</w:t>
      </w:r>
      <w:r>
        <w:rPr>
          <w:rFonts w:ascii="宋体" w:hAnsi="宋体"/>
          <w:snapToGrid w:val="0"/>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服务期</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w:t>
      </w:r>
      <w:r>
        <w:rPr>
          <w:rFonts w:hint="eastAsia" w:ascii="宋体" w:hAnsi="宋体"/>
          <w:snapToGrid w:val="0"/>
          <w:kern w:val="0"/>
          <w:szCs w:val="21"/>
          <w:highlight w:val="none"/>
          <w:lang w:eastAsia="zh-CN"/>
        </w:rPr>
        <w:t>竞选文件</w:t>
      </w:r>
      <w:r>
        <w:rPr>
          <w:rFonts w:ascii="宋体" w:hAnsi="宋体"/>
          <w:snapToGrid w:val="0"/>
          <w:kern w:val="0"/>
          <w:szCs w:val="21"/>
          <w:highlight w:val="none"/>
        </w:rPr>
        <w:t>。</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递交的</w:t>
      </w:r>
      <w:r>
        <w:rPr>
          <w:rFonts w:hint="eastAsia" w:ascii="宋体" w:hAnsi="宋体"/>
          <w:snapToGrid w:val="0"/>
          <w:kern w:val="0"/>
          <w:szCs w:val="21"/>
          <w:highlight w:val="none"/>
          <w:lang w:eastAsia="zh-CN"/>
        </w:rPr>
        <w:t>竞选函</w:t>
      </w:r>
      <w:r>
        <w:rPr>
          <w:rFonts w:ascii="宋体" w:hAnsi="宋体"/>
          <w:snapToGrid w:val="0"/>
          <w:kern w:val="0"/>
          <w:szCs w:val="21"/>
          <w:highlight w:val="none"/>
        </w:rPr>
        <w:t>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4</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w:t>
      </w:r>
      <w:r>
        <w:rPr>
          <w:rFonts w:hint="eastAsia" w:ascii="宋体" w:hAnsi="宋体"/>
          <w:snapToGrid w:val="0"/>
          <w:spacing w:val="-2"/>
          <w:kern w:val="0"/>
          <w:szCs w:val="21"/>
          <w:highlight w:val="none"/>
          <w:lang w:eastAsia="zh-CN"/>
        </w:rPr>
        <w:t>竞选文件</w:t>
      </w:r>
      <w:r>
        <w:rPr>
          <w:rFonts w:ascii="宋体" w:hAnsi="宋体"/>
          <w:snapToGrid w:val="0"/>
          <w:spacing w:val="-2"/>
          <w:kern w:val="0"/>
          <w:szCs w:val="21"/>
          <w:highlight w:val="none"/>
        </w:rPr>
        <w:t>及有关资料内容完整、真实和准确，且不存在第二章“</w:t>
      </w:r>
      <w:r>
        <w:rPr>
          <w:rFonts w:hint="eastAsia" w:ascii="宋体" w:hAnsi="宋体"/>
          <w:snapToGrid w:val="0"/>
          <w:spacing w:val="-2"/>
          <w:kern w:val="0"/>
          <w:szCs w:val="21"/>
          <w:highlight w:val="none"/>
          <w:lang w:eastAsia="zh-CN"/>
        </w:rPr>
        <w:t>竞选人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pPr>
        <w:pStyle w:val="5"/>
        <w:jc w:val="center"/>
        <w:rPr>
          <w:rFonts w:ascii="宋体" w:hAnsi="宋体"/>
          <w:snapToGrid w:val="0"/>
          <w:kern w:val="0"/>
          <w:szCs w:val="21"/>
          <w:highlight w:val="none"/>
        </w:rPr>
      </w:pPr>
      <w:bookmarkStart w:id="390" w:name="_Toc287607868"/>
      <w:bookmarkStart w:id="391" w:name="_Toc287620815"/>
      <w:bookmarkStart w:id="392" w:name="_Toc277082644"/>
      <w:bookmarkStart w:id="393" w:name="_Toc430530531"/>
      <w:bookmarkStart w:id="394" w:name="_Toc224103496"/>
      <w:r>
        <w:rPr>
          <w:rFonts w:ascii="宋体" w:hAnsi="宋体"/>
          <w:sz w:val="28"/>
          <w:highlight w:val="none"/>
        </w:rPr>
        <w:br w:type="page"/>
      </w:r>
      <w:bookmarkStart w:id="395" w:name="_Toc6045"/>
      <w:bookmarkStart w:id="396" w:name="_Toc30967"/>
      <w:bookmarkStart w:id="397" w:name="_Toc509218855"/>
      <w:bookmarkStart w:id="398" w:name="_Toc534185832"/>
      <w:r>
        <w:rPr>
          <w:highlight w:val="none"/>
        </w:rPr>
        <w:t>（二）</w:t>
      </w:r>
      <w:r>
        <w:rPr>
          <w:rFonts w:hint="eastAsia"/>
          <w:highlight w:val="none"/>
          <w:lang w:eastAsia="zh-CN"/>
        </w:rPr>
        <w:t>竞选函</w:t>
      </w:r>
      <w:r>
        <w:rPr>
          <w:highlight w:val="none"/>
        </w:rPr>
        <w:t>附录</w:t>
      </w:r>
      <w:bookmarkEnd w:id="390"/>
      <w:bookmarkEnd w:id="391"/>
      <w:bookmarkEnd w:id="392"/>
      <w:bookmarkEnd w:id="393"/>
      <w:bookmarkEnd w:id="394"/>
      <w:bookmarkEnd w:id="395"/>
      <w:bookmarkEnd w:id="396"/>
      <w:bookmarkEnd w:id="397"/>
      <w:bookmarkEnd w:id="398"/>
    </w:p>
    <w:tbl>
      <w:tblPr>
        <w:tblStyle w:val="46"/>
        <w:tblpPr w:leftFromText="180" w:rightFromText="180" w:vertAnchor="text" w:horzAnchor="page" w:tblpX="1180" w:tblpY="303"/>
        <w:tblOverlap w:val="never"/>
        <w:tblW w:w="10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35"/>
        <w:gridCol w:w="2640"/>
        <w:gridCol w:w="1020"/>
        <w:gridCol w:w="1650"/>
        <w:gridCol w:w="123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序号</w:t>
            </w:r>
          </w:p>
        </w:tc>
        <w:tc>
          <w:tcPr>
            <w:tcW w:w="1635" w:type="dxa"/>
            <w:vAlign w:val="center"/>
          </w:tcPr>
          <w:p>
            <w:pPr>
              <w:jc w:val="both"/>
              <w:rPr>
                <w:rFonts w:hint="default" w:ascii="宋体" w:hAnsi="宋体" w:eastAsia="宋体"/>
                <w:b/>
                <w:sz w:val="24"/>
                <w:lang w:val="en-US" w:eastAsia="zh-CN"/>
              </w:rPr>
            </w:pPr>
            <w:r>
              <w:rPr>
                <w:rFonts w:hint="eastAsia" w:ascii="宋体" w:hAnsi="宋体" w:eastAsia="宋体"/>
                <w:b/>
                <w:sz w:val="24"/>
                <w:lang w:val="en-US" w:eastAsia="zh-CN"/>
              </w:rPr>
              <w:t>广告名称</w:t>
            </w:r>
          </w:p>
        </w:tc>
        <w:tc>
          <w:tcPr>
            <w:tcW w:w="2640" w:type="dxa"/>
            <w:vAlign w:val="center"/>
          </w:tcPr>
          <w:p>
            <w:pPr>
              <w:jc w:val="center"/>
              <w:rPr>
                <w:rFonts w:ascii="宋体" w:hAnsi="宋体" w:eastAsia="宋体"/>
                <w:b/>
                <w:sz w:val="24"/>
              </w:rPr>
            </w:pPr>
            <w:r>
              <w:rPr>
                <w:rFonts w:hint="eastAsia" w:ascii="宋体" w:hAnsi="宋体" w:eastAsia="宋体"/>
                <w:b/>
                <w:sz w:val="24"/>
              </w:rPr>
              <w:t>执行</w:t>
            </w:r>
          </w:p>
          <w:p>
            <w:pPr>
              <w:jc w:val="center"/>
              <w:rPr>
                <w:rFonts w:ascii="宋体" w:hAnsi="宋体" w:eastAsia="宋体"/>
                <w:b/>
                <w:sz w:val="24"/>
              </w:rPr>
            </w:pPr>
            <w:r>
              <w:rPr>
                <w:rFonts w:hint="eastAsia" w:ascii="宋体" w:hAnsi="宋体" w:eastAsia="宋体"/>
                <w:b/>
                <w:sz w:val="24"/>
              </w:rPr>
              <w:t>（广告位/形式）</w:t>
            </w:r>
          </w:p>
        </w:tc>
        <w:tc>
          <w:tcPr>
            <w:tcW w:w="1020" w:type="dxa"/>
            <w:vAlign w:val="center"/>
          </w:tcPr>
          <w:p>
            <w:pPr>
              <w:jc w:val="center"/>
              <w:rPr>
                <w:rFonts w:ascii="宋体" w:hAnsi="宋体" w:eastAsia="宋体"/>
                <w:b/>
                <w:sz w:val="24"/>
              </w:rPr>
            </w:pPr>
            <w:r>
              <w:rPr>
                <w:rFonts w:hint="eastAsia" w:ascii="宋体" w:hAnsi="宋体" w:eastAsia="宋体"/>
                <w:b/>
                <w:sz w:val="24"/>
              </w:rPr>
              <w:t>数量</w:t>
            </w:r>
          </w:p>
        </w:tc>
        <w:tc>
          <w:tcPr>
            <w:tcW w:w="1650" w:type="dxa"/>
            <w:vAlign w:val="center"/>
          </w:tcPr>
          <w:p>
            <w:pPr>
              <w:jc w:val="center"/>
              <w:rPr>
                <w:rFonts w:ascii="宋体" w:hAnsi="宋体" w:eastAsia="宋体"/>
                <w:b/>
                <w:sz w:val="24"/>
                <w:lang w:eastAsia="zh-CN"/>
              </w:rPr>
            </w:pPr>
            <w:r>
              <w:rPr>
                <w:rFonts w:hint="eastAsia" w:ascii="宋体" w:hAnsi="宋体" w:eastAsia="宋体"/>
                <w:b/>
                <w:sz w:val="24"/>
                <w:lang w:eastAsia="zh-CN"/>
              </w:rPr>
              <w:t>投放时间</w:t>
            </w:r>
          </w:p>
          <w:p>
            <w:pPr>
              <w:jc w:val="center"/>
              <w:rPr>
                <w:rFonts w:ascii="宋体" w:hAnsi="宋体" w:eastAsia="宋体"/>
                <w:b/>
                <w:sz w:val="24"/>
                <w:lang w:eastAsia="zh-CN"/>
              </w:rPr>
            </w:pPr>
            <w:r>
              <w:rPr>
                <w:rFonts w:hint="eastAsia" w:ascii="宋体" w:hAnsi="宋体" w:eastAsia="宋体"/>
                <w:b/>
                <w:sz w:val="24"/>
                <w:lang w:eastAsia="zh-CN"/>
              </w:rPr>
              <w:t>（以刊发时间为准）</w:t>
            </w:r>
          </w:p>
        </w:tc>
        <w:tc>
          <w:tcPr>
            <w:tcW w:w="1237" w:type="dxa"/>
            <w:vAlign w:val="center"/>
          </w:tcPr>
          <w:p>
            <w:pPr>
              <w:jc w:val="center"/>
              <w:rPr>
                <w:rFonts w:ascii="宋体" w:hAnsi="宋体" w:eastAsia="宋体"/>
                <w:b/>
                <w:sz w:val="24"/>
              </w:rPr>
            </w:pPr>
            <w:r>
              <w:rPr>
                <w:rFonts w:hint="eastAsia" w:ascii="宋体" w:hAnsi="宋体" w:eastAsia="宋体"/>
                <w:b/>
                <w:sz w:val="24"/>
                <w:lang w:val="en-US" w:eastAsia="zh-CN"/>
              </w:rPr>
              <w:t>单价</w:t>
            </w:r>
            <w:r>
              <w:rPr>
                <w:rFonts w:hint="eastAsia" w:ascii="宋体" w:hAnsi="宋体" w:eastAsia="宋体"/>
                <w:b/>
                <w:sz w:val="24"/>
              </w:rPr>
              <w:t>（元）</w:t>
            </w:r>
          </w:p>
        </w:tc>
        <w:tc>
          <w:tcPr>
            <w:tcW w:w="1298" w:type="dxa"/>
            <w:vAlign w:val="center"/>
          </w:tcPr>
          <w:p>
            <w:pPr>
              <w:jc w:val="center"/>
              <w:rPr>
                <w:rFonts w:ascii="宋体" w:hAnsi="宋体" w:eastAsia="宋体"/>
                <w:b/>
                <w:sz w:val="24"/>
              </w:rPr>
            </w:pPr>
            <w:r>
              <w:rPr>
                <w:rFonts w:hint="eastAsia" w:ascii="宋体" w:hAnsi="宋体" w:eastAsia="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35" w:type="dxa"/>
            <w:vAlign w:val="center"/>
          </w:tcPr>
          <w:p>
            <w:pPr>
              <w:jc w:val="center"/>
              <w:rPr>
                <w:rFonts w:hint="eastAsia" w:ascii="宋体" w:hAnsi="宋体" w:eastAsia="宋体" w:cs="Times New Roman"/>
                <w:sz w:val="24"/>
                <w:lang w:eastAsia="zh-CN"/>
              </w:rPr>
            </w:pPr>
            <w:r>
              <w:rPr>
                <w:rFonts w:hint="eastAsia" w:ascii="宋体" w:hAnsi="宋体" w:eastAsia="宋体" w:cs="Times New Roman"/>
                <w:sz w:val="24"/>
                <w:lang w:val="en-US" w:eastAsia="zh-CN"/>
              </w:rPr>
              <w:t>网络媒体</w:t>
            </w:r>
          </w:p>
        </w:tc>
        <w:tc>
          <w:tcPr>
            <w:tcW w:w="2640" w:type="dxa"/>
            <w:vAlign w:val="center"/>
          </w:tcPr>
          <w:p>
            <w:pPr>
              <w:jc w:val="center"/>
              <w:rPr>
                <w:rFonts w:ascii="宋体" w:hAnsi="宋体" w:eastAsia="宋体"/>
                <w:sz w:val="24"/>
                <w:lang w:eastAsia="zh-CN"/>
              </w:rPr>
            </w:pPr>
            <w:r>
              <w:rPr>
                <w:rFonts w:hint="eastAsia" w:ascii="宋体" w:hAnsi="宋体" w:eastAsia="宋体"/>
                <w:sz w:val="24"/>
                <w:lang w:eastAsia="zh-CN"/>
              </w:rPr>
              <w:t>APP房产首页焦点图(第1-4帧之内），投放时间为2天；APP房产首页（信息流30常规-重庆），投放时间为2天；APP房产重庆首页热盘推荐，投放时间为2天；APP开机屏3天；APP重磅推荐3天；APP原创稿件1篇；品质好房榜单1次。</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50" w:type="dxa"/>
            <w:vAlign w:val="center"/>
          </w:tcPr>
          <w:p>
            <w:pPr>
              <w:jc w:val="center"/>
              <w:rPr>
                <w:rFonts w:hint="eastAsia"/>
                <w:lang w:val="en-US" w:eastAsia="zh-CN"/>
              </w:rPr>
            </w:pPr>
            <w:r>
              <w:rPr>
                <w:rFonts w:hint="eastAsia"/>
                <w:lang w:val="en-US" w:eastAsia="zh-CN"/>
              </w:rPr>
              <w:t>1个月内</w:t>
            </w:r>
          </w:p>
          <w:p>
            <w:pPr>
              <w:jc w:val="center"/>
              <w:rPr>
                <w:rFonts w:hint="default" w:ascii="宋体" w:hAnsi="宋体" w:eastAsia="宋体"/>
                <w:sz w:val="24"/>
                <w:lang w:val="en-US" w:eastAsia="zh-CN"/>
              </w:rPr>
            </w:pPr>
            <w:r>
              <w:rPr>
                <w:rFonts w:hint="default"/>
                <w:lang w:val="en-US" w:eastAsia="zh-CN"/>
              </w:rPr>
              <w:t>（以实际投放天数为准）</w:t>
            </w:r>
          </w:p>
        </w:tc>
        <w:tc>
          <w:tcPr>
            <w:tcW w:w="123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1635" w:type="dxa"/>
            <w:vAlign w:val="center"/>
          </w:tcPr>
          <w:p>
            <w:pPr>
              <w:jc w:val="center"/>
              <w:rPr>
                <w:rFonts w:hint="eastAsia" w:ascii="宋体" w:hAnsi="宋体" w:eastAsia="宋体" w:cs="Times New Roman"/>
                <w:sz w:val="24"/>
                <w:lang w:eastAsia="zh-CN"/>
              </w:rPr>
            </w:pPr>
            <w:r>
              <w:rPr>
                <w:rFonts w:ascii="Arial" w:hAnsi="Arial" w:eastAsia="宋体" w:cs="Arial"/>
                <w:i w:val="0"/>
                <w:iCs w:val="0"/>
                <w:caps w:val="0"/>
                <w:color w:val="111111"/>
                <w:spacing w:val="0"/>
                <w:sz w:val="21"/>
                <w:szCs w:val="21"/>
                <w:shd w:val="clear" w:fill="FFFFFF"/>
              </w:rPr>
              <w:t>朋友圈广告</w:t>
            </w:r>
          </w:p>
        </w:tc>
        <w:tc>
          <w:tcPr>
            <w:tcW w:w="2640" w:type="dxa"/>
            <w:vAlign w:val="center"/>
          </w:tcPr>
          <w:p>
            <w:pPr>
              <w:jc w:val="center"/>
              <w:rPr>
                <w:rFonts w:ascii="宋体" w:hAnsi="宋体" w:eastAsia="宋体"/>
                <w:sz w:val="24"/>
                <w:lang w:eastAsia="zh-CN"/>
              </w:rPr>
            </w:pPr>
            <w:r>
              <w:rPr>
                <w:rFonts w:hint="eastAsia" w:ascii="宋体" w:hAnsi="宋体" w:eastAsia="宋体"/>
                <w:sz w:val="24"/>
                <w:lang w:eastAsia="zh-CN"/>
              </w:rPr>
              <w:t>图文或视频，不低</w:t>
            </w:r>
            <w:r>
              <w:rPr>
                <w:rFonts w:hint="eastAsia" w:ascii="宋体" w:hAnsi="宋体" w:eastAsia="宋体"/>
                <w:sz w:val="24"/>
                <w:lang w:val="en-US" w:eastAsia="zh-CN"/>
              </w:rPr>
              <w:t>于</w:t>
            </w:r>
            <w:r>
              <w:rPr>
                <w:rFonts w:hint="eastAsia" w:ascii="宋体" w:hAnsi="宋体" w:eastAsia="宋体"/>
                <w:sz w:val="24"/>
                <w:lang w:eastAsia="zh-CN"/>
              </w:rPr>
              <w:t>62.5万次曝光</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50" w:type="dxa"/>
            <w:vAlign w:val="center"/>
          </w:tcPr>
          <w:p>
            <w:pPr>
              <w:jc w:val="center"/>
              <w:rPr>
                <w:rFonts w:hint="eastAsia" w:ascii="宋体" w:hAnsi="宋体"/>
                <w:sz w:val="24"/>
                <w:lang w:val="en-US" w:eastAsia="zh-CN"/>
              </w:rPr>
            </w:pPr>
            <w:r>
              <w:rPr>
                <w:rFonts w:hint="eastAsia" w:ascii="宋体" w:hAnsi="宋体" w:eastAsia="宋体"/>
                <w:sz w:val="24"/>
                <w:lang w:val="en-US" w:eastAsia="zh-CN"/>
              </w:rPr>
              <w:t>1个月</w:t>
            </w:r>
            <w:r>
              <w:rPr>
                <w:rFonts w:hint="eastAsia" w:ascii="宋体" w:hAnsi="宋体"/>
                <w:sz w:val="24"/>
                <w:lang w:val="en-US" w:eastAsia="zh-CN"/>
              </w:rPr>
              <w:t>内</w:t>
            </w:r>
          </w:p>
          <w:p>
            <w:pPr>
              <w:jc w:val="center"/>
              <w:rPr>
                <w:rFonts w:ascii="宋体" w:hAnsi="宋体"/>
              </w:rPr>
            </w:pPr>
            <w:r>
              <w:rPr>
                <w:rFonts w:hint="default"/>
                <w:lang w:val="en-US" w:eastAsia="zh-CN"/>
              </w:rPr>
              <w:t>（以实际投放天数为准）</w:t>
            </w:r>
          </w:p>
        </w:tc>
        <w:tc>
          <w:tcPr>
            <w:tcW w:w="123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3</w:t>
            </w:r>
          </w:p>
        </w:tc>
        <w:tc>
          <w:tcPr>
            <w:tcW w:w="163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户外广告</w:t>
            </w:r>
          </w:p>
        </w:tc>
        <w:tc>
          <w:tcPr>
            <w:tcW w:w="2640" w:type="dxa"/>
            <w:vAlign w:val="center"/>
          </w:tcPr>
          <w:p>
            <w:pPr>
              <w:jc w:val="center"/>
              <w:rPr>
                <w:rFonts w:hint="eastAsia" w:ascii="宋体" w:hAnsi="宋体" w:eastAsia="宋体"/>
                <w:sz w:val="24"/>
                <w:lang w:eastAsia="zh-CN"/>
              </w:rPr>
            </w:pPr>
            <w:r>
              <w:rPr>
                <w:rFonts w:hint="eastAsia" w:ascii="宋体" w:hAnsi="宋体" w:eastAsia="宋体"/>
                <w:sz w:val="24"/>
              </w:rPr>
              <w:t>户外T牌</w:t>
            </w:r>
            <w:r>
              <w:rPr>
                <w:rFonts w:hint="eastAsia" w:ascii="宋体" w:hAnsi="宋体" w:eastAsia="宋体"/>
                <w:sz w:val="24"/>
                <w:lang w:eastAsia="zh-CN"/>
              </w:rPr>
              <w:t>（18米x6米x2面）</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1650" w:type="dxa"/>
            <w:vAlign w:val="center"/>
          </w:tcPr>
          <w:p>
            <w:pPr>
              <w:jc w:val="center"/>
              <w:rPr>
                <w:rFonts w:ascii="宋体" w:hAnsi="宋体" w:eastAsia="宋体"/>
                <w:sz w:val="24"/>
                <w:lang w:eastAsia="zh-CN"/>
              </w:rPr>
            </w:pPr>
            <w:r>
              <w:rPr>
                <w:rFonts w:hint="eastAsia" w:ascii="宋体" w:hAnsi="宋体" w:eastAsia="宋体"/>
                <w:sz w:val="24"/>
                <w:lang w:val="en-US" w:eastAsia="zh-CN"/>
              </w:rPr>
              <w:t>4个月</w:t>
            </w:r>
          </w:p>
        </w:tc>
        <w:tc>
          <w:tcPr>
            <w:tcW w:w="1237" w:type="dxa"/>
            <w:vAlign w:val="center"/>
          </w:tcPr>
          <w:p>
            <w:pPr>
              <w:jc w:val="center"/>
              <w:rPr>
                <w:rFonts w:ascii="宋体" w:hAnsi="宋体" w:eastAsia="宋体"/>
                <w:sz w:val="24"/>
              </w:rPr>
            </w:pPr>
          </w:p>
        </w:tc>
        <w:tc>
          <w:tcPr>
            <w:tcW w:w="1298" w:type="dxa"/>
            <w:vAlign w:val="center"/>
          </w:tcPr>
          <w:p>
            <w:pPr>
              <w:rPr>
                <w:rFonts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9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4</w:t>
            </w:r>
          </w:p>
        </w:tc>
        <w:tc>
          <w:tcPr>
            <w:tcW w:w="1635" w:type="dxa"/>
            <w:vAlign w:val="center"/>
          </w:tcPr>
          <w:p>
            <w:pPr>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物业广告</w:t>
            </w:r>
          </w:p>
        </w:tc>
        <w:tc>
          <w:tcPr>
            <w:tcW w:w="2640" w:type="dxa"/>
            <w:vAlign w:val="center"/>
          </w:tcPr>
          <w:p>
            <w:pPr>
              <w:jc w:val="center"/>
              <w:rPr>
                <w:rFonts w:ascii="宋体" w:hAnsi="宋体" w:eastAsia="宋体"/>
                <w:sz w:val="24"/>
                <w:lang w:eastAsia="zh-CN"/>
              </w:rPr>
            </w:pPr>
            <w:r>
              <w:rPr>
                <w:rFonts w:hint="eastAsia" w:ascii="宋体" w:hAnsi="宋体" w:eastAsia="宋体"/>
                <w:sz w:val="24"/>
                <w:lang w:eastAsia="zh-CN"/>
              </w:rPr>
              <w:t>电梯、道闸、海报、桁架、墙体喷绘、展架、停车小票和宣传栏、城市展厅等</w:t>
            </w:r>
          </w:p>
        </w:tc>
        <w:tc>
          <w:tcPr>
            <w:tcW w:w="1020" w:type="dxa"/>
            <w:vAlign w:val="center"/>
          </w:tcPr>
          <w:p>
            <w:pPr>
              <w:jc w:val="center"/>
              <w:rPr>
                <w:rFonts w:hint="default" w:ascii="宋体" w:hAnsi="宋体" w:eastAsia="宋体"/>
                <w:sz w:val="24"/>
                <w:lang w:val="en-US" w:eastAsia="zh-CN"/>
              </w:rPr>
            </w:pPr>
            <w:r>
              <w:rPr>
                <w:rFonts w:hint="eastAsia" w:ascii="宋体" w:hAnsi="宋体" w:eastAsia="宋体"/>
                <w:sz w:val="24"/>
                <w:lang w:val="en-US" w:eastAsia="zh-CN"/>
              </w:rPr>
              <w:t>1</w:t>
            </w:r>
          </w:p>
        </w:tc>
        <w:tc>
          <w:tcPr>
            <w:tcW w:w="1650" w:type="dxa"/>
            <w:vAlign w:val="center"/>
          </w:tcPr>
          <w:p>
            <w:pPr>
              <w:jc w:val="center"/>
              <w:rPr>
                <w:rFonts w:ascii="宋体" w:hAnsi="宋体" w:eastAsia="宋体"/>
                <w:sz w:val="24"/>
                <w:lang w:eastAsia="zh-CN"/>
              </w:rPr>
            </w:pPr>
            <w:r>
              <w:rPr>
                <w:rFonts w:hint="eastAsia" w:ascii="宋体" w:hAnsi="宋体" w:eastAsia="宋体"/>
                <w:sz w:val="24"/>
                <w:lang w:val="en-US" w:eastAsia="zh-CN"/>
              </w:rPr>
              <w:t>12个月</w:t>
            </w:r>
          </w:p>
        </w:tc>
        <w:tc>
          <w:tcPr>
            <w:tcW w:w="1237" w:type="dxa"/>
            <w:vAlign w:val="center"/>
          </w:tcPr>
          <w:p>
            <w:pPr>
              <w:jc w:val="center"/>
              <w:rPr>
                <w:rFonts w:ascii="宋体" w:hAnsi="宋体" w:eastAsia="宋体"/>
                <w:sz w:val="24"/>
                <w:lang w:eastAsia="zh-CN"/>
              </w:rPr>
            </w:pPr>
          </w:p>
        </w:tc>
        <w:tc>
          <w:tcPr>
            <w:tcW w:w="1298" w:type="dxa"/>
            <w:vAlign w:val="center"/>
          </w:tcPr>
          <w:p>
            <w:pPr>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7"/>
            <w:vAlign w:val="center"/>
          </w:tcPr>
          <w:p>
            <w:pPr>
              <w:jc w:val="center"/>
              <w:rPr>
                <w:rFonts w:ascii="宋体" w:hAnsi="宋体" w:eastAsia="宋体"/>
                <w:sz w:val="24"/>
                <w:lang w:eastAsia="zh-CN"/>
              </w:rPr>
            </w:pPr>
            <w:r>
              <w:rPr>
                <w:rFonts w:hint="eastAsia" w:ascii="宋体" w:hAnsi="宋体" w:eastAsia="宋体"/>
                <w:sz w:val="24"/>
                <w:lang w:val="en-US" w:eastAsia="zh-CN"/>
              </w:rPr>
              <w:t xml:space="preserve">                                                     </w:t>
            </w:r>
            <w:r>
              <w:rPr>
                <w:rFonts w:hint="eastAsia" w:ascii="宋体" w:hAnsi="宋体" w:eastAsia="宋体"/>
                <w:sz w:val="24"/>
                <w:lang w:eastAsia="zh-CN"/>
              </w:rPr>
              <w:t>价税合计</w:t>
            </w:r>
            <w:r>
              <w:rPr>
                <w:rFonts w:hint="eastAsia" w:ascii="宋体" w:hAnsi="宋体" w:eastAsia="宋体"/>
                <w:sz w:val="24"/>
                <w:lang w:val="en-US" w:eastAsia="zh-CN"/>
              </w:rPr>
              <w:t xml:space="preserve">    </w:t>
            </w:r>
            <w:r>
              <w:rPr>
                <w:rFonts w:hint="eastAsia" w:ascii="宋体" w:hAnsi="宋体" w:eastAsia="宋体"/>
                <w:sz w:val="24"/>
                <w:lang w:eastAsia="zh-CN"/>
              </w:rPr>
              <w:t>元（大写：</w:t>
            </w:r>
            <w:r>
              <w:rPr>
                <w:rFonts w:hint="eastAsia" w:ascii="宋体" w:hAnsi="宋体" w:eastAsia="宋体"/>
                <w:sz w:val="24"/>
                <w:lang w:val="en-US" w:eastAsia="zh-CN"/>
              </w:rPr>
              <w:t xml:space="preserve">    </w:t>
            </w:r>
            <w:r>
              <w:rPr>
                <w:rFonts w:hint="eastAsia" w:ascii="宋体" w:hAnsi="宋体" w:eastAsia="宋体"/>
                <w:sz w:val="24"/>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170" w:type="dxa"/>
            <w:gridSpan w:val="7"/>
            <w:vAlign w:val="center"/>
          </w:tcPr>
          <w:p>
            <w:pPr>
              <w:jc w:val="left"/>
              <w:rPr>
                <w:rFonts w:hint="eastAsia" w:ascii="宋体" w:hAnsi="宋体" w:eastAsia="宋体"/>
                <w:sz w:val="24"/>
                <w:lang w:val="en-US" w:eastAsia="zh-CN"/>
              </w:rPr>
            </w:pPr>
            <w:r>
              <w:rPr>
                <w:rFonts w:hint="eastAsia" w:asciiTheme="majorEastAsia" w:hAnsiTheme="majorEastAsia" w:eastAsiaTheme="majorEastAsia" w:cstheme="majorEastAsia"/>
                <w:sz w:val="24"/>
                <w:szCs w:val="24"/>
                <w:lang w:eastAsia="zh-CN"/>
              </w:rPr>
              <w:t>广告费用</w:t>
            </w:r>
            <w:r>
              <w:rPr>
                <w:rFonts w:hint="eastAsia" w:asciiTheme="majorEastAsia" w:hAnsiTheme="majorEastAsia" w:eastAsiaTheme="majorEastAsia" w:cstheme="majorEastAsia"/>
                <w:sz w:val="24"/>
                <w:szCs w:val="24"/>
                <w:lang w:val="en-US" w:eastAsia="zh-CN"/>
              </w:rPr>
              <w:t>单价</w:t>
            </w:r>
            <w:r>
              <w:rPr>
                <w:rFonts w:hint="eastAsia" w:asciiTheme="majorEastAsia" w:hAnsiTheme="majorEastAsia" w:eastAsiaTheme="majorEastAsia" w:cstheme="majorEastAsia"/>
                <w:sz w:val="24"/>
                <w:szCs w:val="24"/>
                <w:lang w:eastAsia="zh-CN"/>
              </w:rPr>
              <w:t>为包干</w:t>
            </w:r>
            <w:r>
              <w:rPr>
                <w:rFonts w:hint="eastAsia" w:asciiTheme="majorEastAsia" w:hAnsiTheme="majorEastAsia" w:eastAsiaTheme="majorEastAsia" w:cstheme="majorEastAsia"/>
                <w:sz w:val="24"/>
                <w:szCs w:val="24"/>
                <w:lang w:val="en-US" w:eastAsia="zh-CN"/>
              </w:rPr>
              <w:t>费用</w:t>
            </w:r>
            <w:r>
              <w:rPr>
                <w:rFonts w:hint="eastAsia" w:asciiTheme="majorEastAsia" w:hAnsiTheme="majorEastAsia" w:eastAsiaTheme="majorEastAsia" w:cstheme="majorEastAsia"/>
                <w:sz w:val="24"/>
                <w:szCs w:val="24"/>
                <w:lang w:eastAsia="zh-CN"/>
              </w:rPr>
              <w:t>，包括但不限于人工费、审批费、交通费、 材料费、包装费、制版费、审稿费、修订费、印刷费、</w:t>
            </w:r>
            <w:r>
              <w:rPr>
                <w:rFonts w:hint="eastAsia" w:asciiTheme="majorEastAsia" w:hAnsiTheme="majorEastAsia" w:eastAsiaTheme="majorEastAsia" w:cstheme="majorEastAsia"/>
                <w:sz w:val="24"/>
                <w:szCs w:val="24"/>
                <w:lang w:val="en-US" w:eastAsia="zh-CN"/>
              </w:rPr>
              <w:t>竞选人</w:t>
            </w:r>
            <w:r>
              <w:rPr>
                <w:rFonts w:hint="eastAsia" w:asciiTheme="majorEastAsia" w:hAnsiTheme="majorEastAsia" w:eastAsiaTheme="majorEastAsia" w:cstheme="majorEastAsia"/>
                <w:sz w:val="24"/>
                <w:szCs w:val="24"/>
                <w:lang w:eastAsia="zh-CN"/>
              </w:rPr>
              <w:t>合理利润等所需一切费用。</w:t>
            </w:r>
          </w:p>
        </w:tc>
      </w:tr>
    </w:tbl>
    <w:p>
      <w:pPr>
        <w:spacing w:line="360" w:lineRule="auto"/>
        <w:rPr>
          <w:rFonts w:ascii="宋体" w:hAnsi="宋体"/>
          <w:snapToGrid w:val="0"/>
          <w:color w:val="auto"/>
          <w:w w:val="99"/>
          <w:highlight w:val="none"/>
        </w:rPr>
      </w:pPr>
      <w:r>
        <w:rPr>
          <w:rFonts w:hint="eastAsia" w:ascii="宋体" w:hAnsi="宋体" w:eastAsia="宋体" w:cs="Times New Roman"/>
          <w:b/>
          <w:bCs/>
          <w:snapToGrid w:val="0"/>
          <w:color w:val="auto"/>
          <w:kern w:val="0"/>
          <w:sz w:val="21"/>
          <w:szCs w:val="21"/>
          <w:highlight w:val="none"/>
          <w:u w:val="single"/>
          <w:lang w:val="en-US" w:eastAsia="zh-CN" w:bidi="ar-SA"/>
        </w:rPr>
        <w:t>具体广告投放根据比选人确定的营销推广方案确定。</w:t>
      </w:r>
    </w:p>
    <w:p>
      <w:pPr>
        <w:spacing w:line="360" w:lineRule="auto"/>
        <w:rPr>
          <w:rFonts w:ascii="宋体" w:hAnsi="宋体"/>
          <w:snapToGrid w:val="0"/>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hint="eastAsia" w:ascii="宋体" w:hAnsi="宋体"/>
          <w:snapToGrid w:val="0"/>
          <w:kern w:val="0"/>
          <w:szCs w:val="21"/>
          <w:highlight w:val="none"/>
          <w:lang w:val="en-US" w:eastAsia="zh-CN"/>
        </w:rPr>
        <w:t>竞  选</w:t>
      </w:r>
      <w:r>
        <w:rPr>
          <w:rFonts w:ascii="宋体" w:hAnsi="宋体"/>
          <w:snapToGrid w:val="0"/>
          <w:kern w:val="0"/>
          <w:szCs w:val="21"/>
          <w:highlight w:val="none"/>
        </w:rPr>
        <w:t xml:space="preserve">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pPr>
        <w:pStyle w:val="5"/>
        <w:jc w:val="center"/>
        <w:rPr>
          <w:rFonts w:ascii="宋体" w:hAnsi="宋体"/>
          <w:b w:val="0"/>
          <w:snapToGrid w:val="0"/>
          <w:kern w:val="0"/>
          <w:sz w:val="30"/>
          <w:szCs w:val="30"/>
          <w:highlight w:val="none"/>
        </w:rPr>
      </w:pPr>
      <w:r>
        <w:rPr>
          <w:rFonts w:ascii="宋体" w:hAnsi="宋体"/>
          <w:snapToGrid w:val="0"/>
          <w:highlight w:val="none"/>
        </w:rPr>
        <w:br w:type="page"/>
      </w:r>
      <w:bookmarkStart w:id="399" w:name="_Toc224103497"/>
      <w:bookmarkStart w:id="400" w:name="_Toc8650"/>
      <w:bookmarkStart w:id="401" w:name="_Toc287607869"/>
      <w:bookmarkStart w:id="402" w:name="_Toc277082645"/>
      <w:bookmarkStart w:id="403" w:name="_Toc430530532"/>
      <w:bookmarkStart w:id="404" w:name="_Toc20860"/>
      <w:bookmarkStart w:id="405" w:name="_Toc287620816"/>
      <w:r>
        <w:rPr>
          <w:sz w:val="30"/>
          <w:szCs w:val="30"/>
          <w:highlight w:val="none"/>
        </w:rPr>
        <w:t>（三）</w:t>
      </w:r>
      <w:r>
        <w:rPr>
          <w:rFonts w:hint="eastAsia"/>
          <w:sz w:val="30"/>
          <w:szCs w:val="30"/>
          <w:highlight w:val="none"/>
        </w:rPr>
        <w:t>法定代表人身份证明或附有法定代表人身份证明的授权委托书</w:t>
      </w:r>
      <w:bookmarkEnd w:id="399"/>
      <w:bookmarkEnd w:id="400"/>
      <w:bookmarkEnd w:id="401"/>
      <w:bookmarkEnd w:id="402"/>
      <w:bookmarkEnd w:id="403"/>
      <w:bookmarkEnd w:id="404"/>
      <w:bookmarkEnd w:id="405"/>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autoSpaceDE w:val="0"/>
        <w:autoSpaceDN w:val="0"/>
        <w:adjustRightInd w:val="0"/>
        <w:snapToGrid w:val="0"/>
        <w:spacing w:line="480" w:lineRule="auto"/>
        <w:ind w:firstLine="420" w:firstLineChars="200"/>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  选</w:t>
      </w:r>
      <w:r>
        <w:rPr>
          <w:rFonts w:ascii="宋体" w:hAnsi="宋体"/>
          <w:kern w:val="0"/>
          <w:szCs w:val="21"/>
          <w:highlight w:val="none"/>
        </w:rPr>
        <w:t xml:space="preserve">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spacing w:line="360" w:lineRule="auto"/>
        <w:ind w:firstLine="420" w:firstLineChars="200"/>
        <w:rPr>
          <w:rFonts w:ascii="宋体" w:hAnsi="宋体"/>
          <w:highlight w:val="none"/>
        </w:rPr>
      </w:pPr>
      <w:r>
        <w:rPr>
          <w:rFonts w:ascii="宋体" w:hAnsi="宋体"/>
          <w:highlight w:val="none"/>
        </w:rPr>
        <w:br w:type="page"/>
      </w:r>
      <w:bookmarkStart w:id="406" w:name="_Toc224103500"/>
      <w:bookmarkStart w:id="407" w:name="_Toc287607872"/>
      <w:bookmarkStart w:id="408" w:name="_Toc430530534"/>
      <w:bookmarkStart w:id="409" w:name="_Toc287620819"/>
    </w:p>
    <w:bookmarkEnd w:id="406"/>
    <w:bookmarkEnd w:id="407"/>
    <w:bookmarkEnd w:id="408"/>
    <w:bookmarkEnd w:id="409"/>
    <w:p>
      <w:pPr>
        <w:pStyle w:val="4"/>
        <w:spacing w:line="360" w:lineRule="auto"/>
        <w:jc w:val="center"/>
        <w:rPr>
          <w:rFonts w:ascii="宋体" w:hAnsi="宋体"/>
          <w:b w:val="0"/>
          <w:bCs w:val="0"/>
          <w:sz w:val="44"/>
          <w:szCs w:val="44"/>
          <w:highlight w:val="none"/>
        </w:rPr>
      </w:pPr>
      <w:bookmarkStart w:id="410" w:name="_Toc277082656"/>
      <w:bookmarkStart w:id="411" w:name="_Toc430530545"/>
      <w:bookmarkStart w:id="412" w:name="_Toc287620829"/>
      <w:bookmarkStart w:id="413" w:name="_Toc287607882"/>
      <w:bookmarkStart w:id="414" w:name="_Toc224103510"/>
      <w:bookmarkStart w:id="415" w:name="_Toc19372"/>
      <w:bookmarkStart w:id="416" w:name="_Toc27141"/>
      <w:r>
        <w:rPr>
          <w:rFonts w:hint="eastAsia" w:ascii="宋体" w:hAnsi="宋体"/>
          <w:b w:val="0"/>
          <w:bCs w:val="0"/>
          <w:sz w:val="44"/>
          <w:szCs w:val="44"/>
          <w:highlight w:val="none"/>
          <w:lang w:val="en-US" w:eastAsia="zh-CN"/>
        </w:rPr>
        <w:t>二</w:t>
      </w:r>
      <w:r>
        <w:rPr>
          <w:rFonts w:hint="eastAsia" w:ascii="宋体" w:hAnsi="宋体"/>
          <w:b w:val="0"/>
          <w:bCs w:val="0"/>
          <w:sz w:val="44"/>
          <w:szCs w:val="44"/>
          <w:highlight w:val="none"/>
        </w:rPr>
        <w:t>、</w:t>
      </w:r>
      <w:bookmarkEnd w:id="410"/>
      <w:bookmarkEnd w:id="411"/>
      <w:bookmarkEnd w:id="412"/>
      <w:bookmarkEnd w:id="413"/>
      <w:bookmarkEnd w:id="414"/>
      <w:r>
        <w:rPr>
          <w:rFonts w:hint="eastAsia" w:ascii="宋体" w:hAnsi="宋体"/>
          <w:b w:val="0"/>
          <w:bCs w:val="0"/>
          <w:sz w:val="44"/>
          <w:szCs w:val="44"/>
          <w:highlight w:val="none"/>
        </w:rPr>
        <w:t>资格审查部分</w:t>
      </w:r>
      <w:bookmarkEnd w:id="415"/>
      <w:bookmarkEnd w:id="416"/>
    </w:p>
    <w:p>
      <w:pPr>
        <w:spacing w:line="360" w:lineRule="auto"/>
        <w:rPr>
          <w:rFonts w:ascii="宋体" w:hAnsi="宋体"/>
          <w:sz w:val="32"/>
          <w:szCs w:val="32"/>
          <w:highlight w:val="none"/>
        </w:rPr>
      </w:pPr>
    </w:p>
    <w:p>
      <w:pPr>
        <w:spacing w:line="360" w:lineRule="auto"/>
        <w:ind w:firstLine="2560" w:firstLineChars="80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pPr>
        <w:autoSpaceDE w:val="0"/>
        <w:autoSpaceDN w:val="0"/>
        <w:adjustRightInd w:val="0"/>
        <w:snapToGrid w:val="0"/>
        <w:spacing w:line="360" w:lineRule="auto"/>
        <w:jc w:val="left"/>
        <w:rPr>
          <w:rFonts w:ascii="宋体" w:hAnsi="宋体"/>
          <w:kern w:val="0"/>
          <w:sz w:val="16"/>
          <w:szCs w:val="16"/>
          <w:highlight w:val="none"/>
        </w:rPr>
      </w:pPr>
    </w:p>
    <w:p>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pPr>
        <w:autoSpaceDE w:val="0"/>
        <w:autoSpaceDN w:val="0"/>
        <w:adjustRightInd w:val="0"/>
        <w:snapToGrid w:val="0"/>
        <w:spacing w:line="360" w:lineRule="auto"/>
        <w:jc w:val="left"/>
        <w:rPr>
          <w:rFonts w:ascii="宋体" w:hAnsi="宋体" w:cs="MingLiU"/>
          <w:kern w:val="0"/>
          <w:sz w:val="20"/>
          <w:szCs w:val="20"/>
          <w:highlight w:val="none"/>
        </w:rPr>
      </w:pPr>
    </w:p>
    <w:p>
      <w:pPr>
        <w:adjustRightInd w:val="0"/>
        <w:snapToGrid w:val="0"/>
        <w:spacing w:line="264" w:lineRule="auto"/>
        <w:rPr>
          <w:rFonts w:ascii="宋体" w:hAnsi="宋体"/>
          <w:szCs w:val="21"/>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autoSpaceDE w:val="0"/>
        <w:autoSpaceDN w:val="0"/>
        <w:adjustRightInd w:val="0"/>
        <w:snapToGrid w:val="0"/>
        <w:spacing w:line="360" w:lineRule="auto"/>
        <w:jc w:val="left"/>
        <w:rPr>
          <w:rFonts w:ascii="宋体" w:hAnsi="宋体" w:cs="MingLiU"/>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hint="eastAsia" w:ascii="宋体" w:hAnsi="宋体"/>
          <w:w w:val="99"/>
          <w:kern w:val="0"/>
          <w:sz w:val="28"/>
          <w:szCs w:val="28"/>
          <w:highlight w:val="none"/>
          <w:lang w:eastAsia="zh-CN"/>
        </w:rPr>
        <w:t>竞选人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pPr>
        <w:autoSpaceDE w:val="0"/>
        <w:autoSpaceDN w:val="0"/>
        <w:adjustRightInd w:val="0"/>
        <w:snapToGrid w:val="0"/>
        <w:jc w:val="center"/>
        <w:rPr>
          <w:rFonts w:hint="eastAsia" w:ascii="宋体" w:hAnsi="宋体"/>
          <w:kern w:val="0"/>
          <w:sz w:val="36"/>
          <w:szCs w:val="36"/>
          <w:highlight w:val="none"/>
        </w:rPr>
      </w:pPr>
    </w:p>
    <w:p>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pPr>
        <w:spacing w:line="360" w:lineRule="auto"/>
        <w:jc w:val="center"/>
        <w:rPr>
          <w:rFonts w:ascii="宋体" w:hAnsi="宋体"/>
          <w:b/>
          <w:kern w:val="0"/>
          <w:sz w:val="32"/>
          <w:szCs w:val="32"/>
          <w:highlight w:val="none"/>
        </w:rPr>
      </w:pPr>
    </w:p>
    <w:p>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lang w:eastAsia="zh-CN"/>
        </w:rPr>
        <w:t>竞选人</w:t>
      </w:r>
      <w:r>
        <w:rPr>
          <w:rFonts w:ascii="宋体" w:hAnsi="宋体"/>
          <w:highlight w:val="none"/>
        </w:rPr>
        <w:t>基本情况表</w:t>
      </w:r>
    </w:p>
    <w:p>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）其他资料</w:t>
      </w:r>
    </w:p>
    <w:p>
      <w:pPr>
        <w:spacing w:line="360" w:lineRule="auto"/>
        <w:jc w:val="center"/>
        <w:rPr>
          <w:rFonts w:ascii="宋体" w:hAnsi="宋体"/>
          <w:b/>
          <w:kern w:val="0"/>
          <w:sz w:val="32"/>
          <w:szCs w:val="32"/>
          <w:highlight w:val="none"/>
        </w:rPr>
      </w:pPr>
    </w:p>
    <w:p>
      <w:pPr>
        <w:spacing w:line="360" w:lineRule="auto"/>
        <w:jc w:val="center"/>
        <w:rPr>
          <w:rFonts w:ascii="宋体" w:hAnsi="宋体"/>
          <w:b/>
          <w:kern w:val="0"/>
          <w:sz w:val="32"/>
          <w:szCs w:val="32"/>
          <w:highlight w:val="none"/>
        </w:rPr>
      </w:pPr>
    </w:p>
    <w:p>
      <w:pPr>
        <w:pStyle w:val="5"/>
        <w:jc w:val="center"/>
        <w:rPr>
          <w:rFonts w:ascii="宋体" w:hAnsi="宋体"/>
          <w:snapToGrid w:val="0"/>
          <w:kern w:val="0"/>
          <w:sz w:val="30"/>
          <w:szCs w:val="30"/>
          <w:highlight w:val="none"/>
        </w:rPr>
      </w:pPr>
      <w:r>
        <w:rPr>
          <w:rFonts w:ascii="宋体" w:hAnsi="宋体"/>
          <w:highlight w:val="none"/>
        </w:rPr>
        <w:br w:type="page"/>
      </w:r>
      <w:bookmarkStart w:id="417" w:name="_Toc5633"/>
      <w:bookmarkStart w:id="418" w:name="_Toc26444"/>
      <w:bookmarkStart w:id="419" w:name="_Toc277082657"/>
      <w:bookmarkStart w:id="420" w:name="_Toc287607883"/>
      <w:bookmarkStart w:id="421" w:name="_Toc224103511"/>
      <w:bookmarkStart w:id="422" w:name="_Toc287620830"/>
      <w:bookmarkStart w:id="423" w:name="_Toc430530546"/>
      <w:r>
        <w:rPr>
          <w:sz w:val="30"/>
          <w:szCs w:val="30"/>
          <w:highlight w:val="none"/>
        </w:rPr>
        <w:t>（一）</w:t>
      </w:r>
      <w:r>
        <w:rPr>
          <w:rFonts w:hint="eastAsia"/>
          <w:sz w:val="30"/>
          <w:szCs w:val="30"/>
          <w:highlight w:val="none"/>
        </w:rPr>
        <w:t>法定代表人身份证明或附有法定代表人身份证明的授权委托书</w:t>
      </w:r>
      <w:bookmarkEnd w:id="417"/>
      <w:bookmarkEnd w:id="418"/>
    </w:p>
    <w:p>
      <w:pPr>
        <w:spacing w:line="480" w:lineRule="auto"/>
        <w:jc w:val="center"/>
        <w:rPr>
          <w:rFonts w:ascii="宋体" w:hAnsi="宋体"/>
          <w:sz w:val="28"/>
          <w:highlight w:val="none"/>
        </w:rPr>
      </w:pPr>
      <w:r>
        <w:rPr>
          <w:rFonts w:hint="eastAsia" w:ascii="宋体" w:hAnsi="宋体"/>
          <w:sz w:val="28"/>
          <w:highlight w:val="none"/>
        </w:rPr>
        <w:t>法定代表人身份证明</w:t>
      </w:r>
    </w:p>
    <w:p>
      <w:pPr>
        <w:spacing w:line="480" w:lineRule="auto"/>
        <w:jc w:val="center"/>
        <w:rPr>
          <w:rFonts w:ascii="宋体" w:hAnsi="宋体"/>
          <w:highlight w:val="none"/>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竞选人</w:t>
      </w:r>
      <w:r>
        <w:rPr>
          <w:rFonts w:ascii="宋体" w:hAnsi="宋体"/>
          <w:kern w:val="0"/>
          <w:szCs w:val="21"/>
          <w:highlight w:val="none"/>
          <w:u w:val="single"/>
        </w:rPr>
        <w:t>名称）</w:t>
      </w:r>
      <w:r>
        <w:rPr>
          <w:rFonts w:ascii="宋体" w:hAnsi="宋体"/>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pPr>
        <w:autoSpaceDE w:val="0"/>
        <w:autoSpaceDN w:val="0"/>
        <w:adjustRightInd w:val="0"/>
        <w:snapToGrid w:val="0"/>
        <w:spacing w:line="360" w:lineRule="auto"/>
        <w:jc w:val="left"/>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pStyle w:val="18"/>
        <w:spacing w:after="0" w:line="360" w:lineRule="auto"/>
        <w:rPr>
          <w:rFonts w:ascii="宋体" w:hAnsi="宋体"/>
          <w:szCs w:val="21"/>
          <w:highlight w:val="none"/>
        </w:rPr>
      </w:pPr>
    </w:p>
    <w:p>
      <w:pPr>
        <w:autoSpaceDE w:val="0"/>
        <w:autoSpaceDN w:val="0"/>
        <w:adjustRightInd w:val="0"/>
        <w:snapToGrid w:val="0"/>
        <w:spacing w:line="480" w:lineRule="auto"/>
        <w:ind w:firstLine="810" w:firstLineChars="386"/>
        <w:jc w:val="right"/>
        <w:rPr>
          <w:rFonts w:ascii="宋体" w:hAnsi="宋体"/>
          <w:kern w:val="0"/>
          <w:szCs w:val="21"/>
          <w:highlight w:val="none"/>
        </w:rPr>
      </w:pPr>
      <w:r>
        <w:rPr>
          <w:rFonts w:hint="eastAsia" w:ascii="宋体" w:hAnsi="宋体"/>
          <w:kern w:val="0"/>
          <w:szCs w:val="21"/>
          <w:highlight w:val="none"/>
          <w:lang w:eastAsia="zh-CN"/>
        </w:rPr>
        <w:t>竞选人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pPr>
        <w:autoSpaceDE w:val="0"/>
        <w:autoSpaceDN w:val="0"/>
        <w:adjustRightInd w:val="0"/>
        <w:snapToGrid w:val="0"/>
        <w:spacing w:line="480" w:lineRule="auto"/>
        <w:jc w:val="left"/>
        <w:rPr>
          <w:rFonts w:ascii="宋体" w:hAnsi="宋体"/>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autoSpaceDE w:val="0"/>
        <w:autoSpaceDN w:val="0"/>
        <w:adjustRightInd w:val="0"/>
        <w:snapToGrid w:val="0"/>
        <w:spacing w:line="360" w:lineRule="auto"/>
        <w:jc w:val="left"/>
        <w:rPr>
          <w:rFonts w:ascii="宋体" w:hAnsi="宋体"/>
          <w:kern w:val="0"/>
          <w:highlight w:val="none"/>
        </w:rPr>
      </w:pPr>
    </w:p>
    <w:p>
      <w:pPr>
        <w:autoSpaceDE w:val="0"/>
        <w:autoSpaceDN w:val="0"/>
        <w:adjustRightInd w:val="0"/>
        <w:snapToGrid w:val="0"/>
        <w:spacing w:line="360" w:lineRule="auto"/>
        <w:jc w:val="left"/>
        <w:rPr>
          <w:rFonts w:ascii="宋体" w:hAnsi="宋体"/>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419"/>
      <w:bookmarkEnd w:id="420"/>
      <w:bookmarkEnd w:id="421"/>
      <w:bookmarkEnd w:id="422"/>
      <w:bookmarkEnd w:id="423"/>
      <w:r>
        <w:rPr>
          <w:rFonts w:hint="eastAsia" w:ascii="宋体" w:hAnsi="宋体"/>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hint="eastAsia" w:ascii="宋体" w:hAnsi="宋体"/>
          <w:spacing w:val="-1"/>
          <w:kern w:val="0"/>
          <w:szCs w:val="21"/>
          <w:highlight w:val="none"/>
          <w:u w:val="single"/>
          <w:lang w:eastAsia="zh-CN"/>
        </w:rPr>
        <w:t>竞选人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hint="eastAsia" w:ascii="宋体" w:hAnsi="宋体"/>
          <w:kern w:val="0"/>
          <w:szCs w:val="21"/>
          <w:highlight w:val="none"/>
          <w:lang w:eastAsia="zh-CN"/>
        </w:rPr>
        <w:t>竞选文件</w:t>
      </w:r>
      <w:r>
        <w:rPr>
          <w:rFonts w:ascii="宋体" w:hAnsi="宋体"/>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hint="eastAsia" w:ascii="宋体" w:hAnsi="宋体"/>
          <w:kern w:val="0"/>
          <w:szCs w:val="21"/>
          <w:highlight w:val="none"/>
          <w:lang w:val="en-US" w:eastAsia="zh-CN"/>
        </w:rPr>
        <w:t>竞选</w:t>
      </w:r>
      <w:r>
        <w:rPr>
          <w:rFonts w:ascii="宋体" w:hAnsi="宋体"/>
          <w:kern w:val="0"/>
          <w:szCs w:val="21"/>
          <w:highlight w:val="none"/>
        </w:rPr>
        <w:t>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w:t>
      </w:r>
      <w:r>
        <w:rPr>
          <w:rFonts w:hint="eastAsia" w:ascii="宋体" w:hAnsi="宋体"/>
          <w:kern w:val="0"/>
          <w:szCs w:val="21"/>
          <w:highlight w:val="none"/>
          <w:lang w:eastAsia="zh-CN"/>
        </w:rPr>
        <w:t>竞选文件</w:t>
      </w:r>
      <w:r>
        <w:rPr>
          <w:rFonts w:ascii="宋体" w:hAnsi="宋体"/>
          <w:kern w:val="0"/>
          <w:szCs w:val="21"/>
          <w:highlight w:val="none"/>
        </w:rPr>
        <w:t>一并递交。另外须准备一份授权委托书原件在开标现场出具。</w:t>
      </w:r>
    </w:p>
    <w:p>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pPr>
        <w:pStyle w:val="5"/>
        <w:spacing w:before="0" w:after="0" w:line="240" w:lineRule="auto"/>
        <w:jc w:val="center"/>
        <w:rPr>
          <w:rFonts w:ascii="宋体" w:hAnsi="宋体"/>
          <w:highlight w:val="none"/>
        </w:rPr>
      </w:pPr>
      <w:bookmarkStart w:id="424" w:name="_Toc277082658"/>
      <w:bookmarkStart w:id="425" w:name="_Toc430530547"/>
      <w:bookmarkStart w:id="426" w:name="_Toc287620831"/>
      <w:bookmarkStart w:id="427" w:name="_Toc287607884"/>
      <w:bookmarkStart w:id="428" w:name="_Toc224103512"/>
      <w:bookmarkStart w:id="429" w:name="_Toc2153"/>
      <w:r>
        <w:rPr>
          <w:highlight w:val="none"/>
        </w:rPr>
        <w:t>（二）</w:t>
      </w:r>
      <w:bookmarkEnd w:id="424"/>
      <w:bookmarkEnd w:id="425"/>
      <w:bookmarkEnd w:id="426"/>
      <w:bookmarkEnd w:id="427"/>
      <w:bookmarkEnd w:id="428"/>
      <w:bookmarkStart w:id="430" w:name="_Toc277082659"/>
      <w:bookmarkStart w:id="431" w:name="_Toc287607887"/>
      <w:r>
        <w:rPr>
          <w:rFonts w:hint="eastAsia" w:ascii="宋体" w:hAnsi="宋体"/>
          <w:b w:val="0"/>
          <w:bCs w:val="0"/>
          <w:highlight w:val="none"/>
          <w:lang w:eastAsia="zh-CN"/>
        </w:rPr>
        <w:t>竞选人</w:t>
      </w:r>
      <w:r>
        <w:rPr>
          <w:rFonts w:hint="eastAsia" w:ascii="宋体" w:hAnsi="宋体"/>
          <w:b w:val="0"/>
          <w:bCs w:val="0"/>
          <w:highlight w:val="none"/>
        </w:rPr>
        <w:t>基本情况表</w:t>
      </w:r>
      <w:bookmarkEnd w:id="429"/>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lang w:eastAsia="zh-CN"/>
              </w:rPr>
              <w:t>竞选人</w:t>
            </w:r>
            <w:r>
              <w:rPr>
                <w:rFonts w:hint="eastAsia" w:ascii="宋体" w:hAnsi="宋体" w:cs="MingLiU"/>
                <w:kern w:val="0"/>
                <w:szCs w:val="21"/>
                <w:highlight w:val="none"/>
              </w:rPr>
              <w:t>名称</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kern w:val="0"/>
                <w:szCs w:val="21"/>
                <w:highlight w:val="none"/>
              </w:rPr>
            </w:pPr>
          </w:p>
        </w:tc>
        <w:tc>
          <w:tcPr>
            <w:tcW w:w="139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pPr>
              <w:autoSpaceDE w:val="0"/>
              <w:autoSpaceDN w:val="0"/>
              <w:adjustRightInd w:val="0"/>
              <w:snapToGrid w:val="0"/>
              <w:jc w:val="center"/>
              <w:rPr>
                <w:rFonts w:ascii="宋体" w:hAnsi="宋体"/>
                <w:kern w:val="0"/>
                <w:szCs w:val="21"/>
                <w:highlight w:val="none"/>
              </w:rPr>
            </w:pPr>
          </w:p>
        </w:tc>
        <w:tc>
          <w:tcPr>
            <w:tcW w:w="1356" w:type="dxa"/>
            <w:gridSpan w:val="2"/>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kern w:val="0"/>
                <w:szCs w:val="21"/>
                <w:highlight w:val="none"/>
              </w:rPr>
            </w:pPr>
          </w:p>
        </w:tc>
        <w:tc>
          <w:tcPr>
            <w:tcW w:w="925"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5616" w:type="dxa"/>
            <w:gridSpan w:val="7"/>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restart"/>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kern w:val="0"/>
                <w:szCs w:val="21"/>
                <w:highlight w:val="none"/>
              </w:rPr>
            </w:pPr>
          </w:p>
        </w:tc>
      </w:tr>
    </w:tbl>
    <w:p>
      <w:pPr>
        <w:spacing w:line="360" w:lineRule="auto"/>
        <w:jc w:val="center"/>
        <w:rPr>
          <w:rFonts w:ascii="宋体" w:hAnsi="宋体"/>
          <w:szCs w:val="21"/>
          <w:highlight w:val="none"/>
        </w:rPr>
      </w:pPr>
    </w:p>
    <w:p>
      <w:pPr>
        <w:rPr>
          <w:highlight w:val="none"/>
        </w:rPr>
      </w:pPr>
      <w:r>
        <w:rPr>
          <w:rFonts w:ascii="宋体" w:hAnsi="宋体"/>
          <w:szCs w:val="21"/>
          <w:highlight w:val="none"/>
        </w:rPr>
        <w:br w:type="page"/>
      </w:r>
      <w:bookmarkEnd w:id="430"/>
      <w:bookmarkEnd w:id="431"/>
    </w:p>
    <w:p>
      <w:pPr>
        <w:pStyle w:val="5"/>
        <w:spacing w:before="0" w:line="360" w:lineRule="auto"/>
        <w:jc w:val="center"/>
        <w:rPr>
          <w:rFonts w:ascii="宋体" w:hAnsi="宋体"/>
          <w:b w:val="0"/>
          <w:highlight w:val="none"/>
        </w:rPr>
      </w:pPr>
      <w:bookmarkStart w:id="432" w:name="_Toc25182"/>
      <w:r>
        <w:rPr>
          <w:rFonts w:hint="eastAsia" w:ascii="宋体" w:hAnsi="宋体"/>
          <w:b w:val="0"/>
          <w:highlight w:val="none"/>
        </w:rPr>
        <w:t>（</w:t>
      </w:r>
      <w:r>
        <w:rPr>
          <w:rFonts w:hint="eastAsia" w:ascii="宋体" w:hAnsi="宋体"/>
          <w:b w:val="0"/>
          <w:highlight w:val="none"/>
          <w:lang w:val="en-US" w:eastAsia="zh-CN"/>
        </w:rPr>
        <w:t>三</w:t>
      </w:r>
      <w:r>
        <w:rPr>
          <w:rFonts w:hint="eastAsia" w:ascii="宋体" w:hAnsi="宋体"/>
          <w:b w:val="0"/>
          <w:highlight w:val="none"/>
        </w:rPr>
        <w:t>）其他资料</w:t>
      </w:r>
      <w:bookmarkEnd w:id="432"/>
    </w:p>
    <w:bookmarkEnd w:id="344"/>
    <w:bookmarkEnd w:id="345"/>
    <w:bookmarkEnd w:id="346"/>
    <w:p>
      <w:pPr>
        <w:rPr>
          <w:highlight w:val="none"/>
        </w:rPr>
      </w:pPr>
    </w:p>
    <w:sectPr>
      <w:footerReference r:id="rId6"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PAGE   \* MERGEFORMAT</w:instrText>
    </w:r>
    <w:r>
      <w:fldChar w:fldCharType="separate"/>
    </w:r>
    <w:r>
      <w:rPr>
        <w:lang w:val="zh-CN"/>
      </w:rPr>
      <w:t>2</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15704"/>
    <w:multiLevelType w:val="singleLevel"/>
    <w:tmpl w:val="3F4157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000000"/>
    <w:rsid w:val="01750EDE"/>
    <w:rsid w:val="02497534"/>
    <w:rsid w:val="029A7643"/>
    <w:rsid w:val="02CB3070"/>
    <w:rsid w:val="02FF23FF"/>
    <w:rsid w:val="03712D21"/>
    <w:rsid w:val="043C1EA8"/>
    <w:rsid w:val="057364D8"/>
    <w:rsid w:val="07146850"/>
    <w:rsid w:val="0747316B"/>
    <w:rsid w:val="08D852DC"/>
    <w:rsid w:val="0AC34A23"/>
    <w:rsid w:val="0B374AB7"/>
    <w:rsid w:val="0B8A12CF"/>
    <w:rsid w:val="0F3118B1"/>
    <w:rsid w:val="0FED2443"/>
    <w:rsid w:val="102C328E"/>
    <w:rsid w:val="10662E20"/>
    <w:rsid w:val="13CA799C"/>
    <w:rsid w:val="155F0AA1"/>
    <w:rsid w:val="17072F54"/>
    <w:rsid w:val="180E1BEA"/>
    <w:rsid w:val="1D9E2B66"/>
    <w:rsid w:val="1EB93EB5"/>
    <w:rsid w:val="202820DF"/>
    <w:rsid w:val="210618F0"/>
    <w:rsid w:val="21270CC2"/>
    <w:rsid w:val="24266EC9"/>
    <w:rsid w:val="26D36140"/>
    <w:rsid w:val="28AF528E"/>
    <w:rsid w:val="2B24412B"/>
    <w:rsid w:val="2D316018"/>
    <w:rsid w:val="2D397AFE"/>
    <w:rsid w:val="2E0A756F"/>
    <w:rsid w:val="2F3F0791"/>
    <w:rsid w:val="30BF31A0"/>
    <w:rsid w:val="316600C5"/>
    <w:rsid w:val="3300448E"/>
    <w:rsid w:val="33CB0DB0"/>
    <w:rsid w:val="344A7EB3"/>
    <w:rsid w:val="37EC438C"/>
    <w:rsid w:val="3E485474"/>
    <w:rsid w:val="424A2B87"/>
    <w:rsid w:val="43BE2B8A"/>
    <w:rsid w:val="44C57144"/>
    <w:rsid w:val="45480226"/>
    <w:rsid w:val="48093C71"/>
    <w:rsid w:val="4B3F6D5D"/>
    <w:rsid w:val="4D920C64"/>
    <w:rsid w:val="4F305D57"/>
    <w:rsid w:val="4F79447E"/>
    <w:rsid w:val="522A6FE1"/>
    <w:rsid w:val="53394028"/>
    <w:rsid w:val="53B03160"/>
    <w:rsid w:val="54AC09F2"/>
    <w:rsid w:val="566209E7"/>
    <w:rsid w:val="56CC3E96"/>
    <w:rsid w:val="591F4667"/>
    <w:rsid w:val="59952F94"/>
    <w:rsid w:val="5CBC4428"/>
    <w:rsid w:val="5F370970"/>
    <w:rsid w:val="618D4BBE"/>
    <w:rsid w:val="63091321"/>
    <w:rsid w:val="6534707B"/>
    <w:rsid w:val="671764AB"/>
    <w:rsid w:val="68233E92"/>
    <w:rsid w:val="6A9774F1"/>
    <w:rsid w:val="6B9D26D7"/>
    <w:rsid w:val="6BA64352"/>
    <w:rsid w:val="6D6C1709"/>
    <w:rsid w:val="6F00293A"/>
    <w:rsid w:val="6F0D49D1"/>
    <w:rsid w:val="760A6969"/>
    <w:rsid w:val="78BB630B"/>
    <w:rsid w:val="7A4160FC"/>
    <w:rsid w:val="7AFE0EDA"/>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5"/>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80"/>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3"/>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6"/>
    <w:autoRedefine/>
    <w:qFormat/>
    <w:uiPriority w:val="0"/>
    <w:pPr>
      <w:keepNext/>
      <w:keepLines/>
      <w:ind w:firstLine="200" w:firstLineChars="200"/>
      <w:outlineLvl w:val="5"/>
    </w:pPr>
    <w:rPr>
      <w:rFonts w:hAnsi="Arial"/>
    </w:rPr>
  </w:style>
  <w:style w:type="paragraph" w:styleId="10">
    <w:name w:val="heading 7"/>
    <w:basedOn w:val="1"/>
    <w:next w:val="1"/>
    <w:link w:val="273"/>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8"/>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9"/>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autoRedefine/>
    <w:qFormat/>
    <w:uiPriority w:val="1"/>
  </w:style>
  <w:style w:type="table" w:default="1" w:styleId="46">
    <w:name w:val="Normal Table"/>
    <w:autoRedefine/>
    <w:qFormat/>
    <w:uiPriority w:val="99"/>
    <w:tblPr>
      <w:tblCellMar>
        <w:top w:w="0" w:type="dxa"/>
        <w:left w:w="108" w:type="dxa"/>
        <w:bottom w:w="0" w:type="dxa"/>
        <w:right w:w="108" w:type="dxa"/>
      </w:tblCellMar>
    </w:tblPr>
  </w:style>
  <w:style w:type="paragraph" w:styleId="2">
    <w:name w:val="Title"/>
    <w:basedOn w:val="1"/>
    <w:next w:val="1"/>
    <w:link w:val="212"/>
    <w:autoRedefine/>
    <w:qFormat/>
    <w:uiPriority w:val="0"/>
    <w:pPr>
      <w:widowControl/>
      <w:jc w:val="center"/>
    </w:pPr>
    <w:rPr>
      <w:kern w:val="0"/>
      <w:sz w:val="20"/>
      <w:u w:val="single"/>
      <w:lang w:eastAsia="en-US"/>
    </w:r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5"/>
    <w:autoRedefine/>
    <w:qFormat/>
    <w:uiPriority w:val="0"/>
    <w:pPr>
      <w:shd w:val="clear" w:color="auto" w:fill="000080"/>
    </w:pPr>
  </w:style>
  <w:style w:type="paragraph" w:styleId="16">
    <w:name w:val="annotation text"/>
    <w:basedOn w:val="1"/>
    <w:link w:val="290"/>
    <w:autoRedefine/>
    <w:qFormat/>
    <w:uiPriority w:val="99"/>
    <w:pPr>
      <w:jc w:val="left"/>
    </w:pPr>
  </w:style>
  <w:style w:type="paragraph" w:styleId="17">
    <w:name w:val="Body Text 3"/>
    <w:basedOn w:val="1"/>
    <w:link w:val="309"/>
    <w:autoRedefine/>
    <w:qFormat/>
    <w:uiPriority w:val="0"/>
    <w:pPr>
      <w:spacing w:after="120"/>
    </w:pPr>
    <w:rPr>
      <w:sz w:val="16"/>
      <w:szCs w:val="16"/>
    </w:rPr>
  </w:style>
  <w:style w:type="paragraph" w:styleId="18">
    <w:name w:val="Body Text"/>
    <w:basedOn w:val="1"/>
    <w:link w:val="215"/>
    <w:autoRedefine/>
    <w:qFormat/>
    <w:uiPriority w:val="0"/>
    <w:pPr>
      <w:spacing w:after="120"/>
    </w:pPr>
  </w:style>
  <w:style w:type="paragraph" w:styleId="19">
    <w:name w:val="Body Text Indent"/>
    <w:basedOn w:val="1"/>
    <w:link w:val="270"/>
    <w:autoRedefine/>
    <w:qFormat/>
    <w:uiPriority w:val="0"/>
    <w:pPr>
      <w:ind w:firstLine="407" w:firstLineChars="200"/>
    </w:p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sz w:val="18"/>
      <w:szCs w:val="18"/>
    </w:rPr>
  </w:style>
  <w:style w:type="paragraph" w:styleId="23">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5"/>
    <w:autoRedefine/>
    <w:qFormat/>
    <w:uiPriority w:val="0"/>
    <w:rPr>
      <w:rFonts w:ascii="宋体" w:hAnsi="Courier New" w:cs="Courier New"/>
      <w:szCs w:val="21"/>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link w:val="158"/>
    <w:autoRedefine/>
    <w:qFormat/>
    <w:uiPriority w:val="0"/>
    <w:pPr>
      <w:ind w:left="100" w:leftChars="2500"/>
    </w:pPr>
  </w:style>
  <w:style w:type="paragraph" w:styleId="27">
    <w:name w:val="Body Text Indent 2"/>
    <w:basedOn w:val="1"/>
    <w:link w:val="272"/>
    <w:autoRedefine/>
    <w:qFormat/>
    <w:uiPriority w:val="0"/>
    <w:pPr>
      <w:widowControl/>
      <w:spacing w:line="480" w:lineRule="auto"/>
      <w:ind w:firstLine="560"/>
      <w:jc w:val="left"/>
    </w:pPr>
    <w:rPr>
      <w:kern w:val="0"/>
      <w:sz w:val="28"/>
    </w:rPr>
  </w:style>
  <w:style w:type="paragraph" w:styleId="28">
    <w:name w:val="endnote text"/>
    <w:basedOn w:val="1"/>
    <w:link w:val="182"/>
    <w:autoRedefine/>
    <w:qFormat/>
    <w:uiPriority w:val="0"/>
    <w:pPr>
      <w:widowControl/>
      <w:snapToGrid w:val="0"/>
      <w:jc w:val="left"/>
    </w:pPr>
    <w:rPr>
      <w:rFonts w:ascii="Arial" w:hAnsi="Arial" w:cs="Arial"/>
      <w:kern w:val="0"/>
      <w:sz w:val="20"/>
      <w:lang w:eastAsia="en-US"/>
    </w:rPr>
  </w:style>
  <w:style w:type="paragraph" w:styleId="29">
    <w:name w:val="Balloon Text"/>
    <w:basedOn w:val="1"/>
    <w:link w:val="209"/>
    <w:autoRedefine/>
    <w:qFormat/>
    <w:uiPriority w:val="0"/>
    <w:rPr>
      <w:sz w:val="18"/>
      <w:szCs w:val="18"/>
    </w:rPr>
  </w:style>
  <w:style w:type="paragraph" w:styleId="30">
    <w:name w:val="footer"/>
    <w:basedOn w:val="1"/>
    <w:link w:val="197"/>
    <w:autoRedefine/>
    <w:qFormat/>
    <w:uiPriority w:val="0"/>
    <w:pPr>
      <w:tabs>
        <w:tab w:val="center" w:pos="4153"/>
        <w:tab w:val="right" w:pos="8306"/>
      </w:tabs>
      <w:snapToGrid w:val="0"/>
      <w:jc w:val="left"/>
    </w:pPr>
    <w:rPr>
      <w:sz w:val="18"/>
      <w:szCs w:val="18"/>
    </w:rPr>
  </w:style>
  <w:style w:type="paragraph" w:styleId="31">
    <w:name w:val="header"/>
    <w:basedOn w:val="1"/>
    <w:link w:val="237"/>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2"/>
    <w:autoRedefine/>
    <w:qFormat/>
    <w:uiPriority w:val="0"/>
    <w:pPr>
      <w:widowControl/>
      <w:jc w:val="center"/>
    </w:pPr>
    <w:rPr>
      <w:kern w:val="0"/>
      <w:sz w:val="20"/>
      <w:u w:val="single"/>
      <w:lang w:eastAsia="en-US"/>
    </w:rPr>
  </w:style>
  <w:style w:type="paragraph" w:styleId="35">
    <w:name w:val="footnote text"/>
    <w:basedOn w:val="1"/>
    <w:link w:val="217"/>
    <w:autoRedefine/>
    <w:qFormat/>
    <w:uiPriority w:val="0"/>
    <w:pPr>
      <w:widowControl/>
      <w:snapToGrid w:val="0"/>
      <w:jc w:val="left"/>
    </w:pPr>
    <w:rPr>
      <w:rFonts w:ascii="Arial" w:hAnsi="Arial" w:cs="Arial"/>
      <w:kern w:val="0"/>
      <w:sz w:val="18"/>
      <w:szCs w:val="18"/>
      <w:lang w:eastAsia="en-US"/>
    </w:rPr>
  </w:style>
  <w:style w:type="paragraph" w:styleId="36">
    <w:name w:val="toc 6"/>
    <w:basedOn w:val="1"/>
    <w:next w:val="1"/>
    <w:autoRedefine/>
    <w:qFormat/>
    <w:uiPriority w:val="39"/>
    <w:pPr>
      <w:ind w:left="1050"/>
      <w:jc w:val="left"/>
    </w:pPr>
    <w:rPr>
      <w:sz w:val="18"/>
      <w:szCs w:val="18"/>
    </w:rPr>
  </w:style>
  <w:style w:type="paragraph" w:styleId="37">
    <w:name w:val="Body Text Indent 3"/>
    <w:basedOn w:val="1"/>
    <w:link w:val="269"/>
    <w:autoRedefine/>
    <w:qFormat/>
    <w:uiPriority w:val="0"/>
    <w:pPr>
      <w:spacing w:line="360" w:lineRule="auto"/>
      <w:ind w:firstLine="280" w:firstLineChars="100"/>
    </w:pPr>
    <w:rPr>
      <w:rFonts w:ascii="宋体" w:hAnsi="宋体"/>
      <w:sz w:val="28"/>
      <w:szCs w:val="28"/>
    </w:rPr>
  </w:style>
  <w:style w:type="paragraph" w:styleId="38">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link w:val="265"/>
    <w:autoRedefine/>
    <w:qFormat/>
    <w:uiPriority w:val="0"/>
    <w:rPr>
      <w:i/>
      <w:iCs/>
      <w:sz w:val="26"/>
    </w:rPr>
  </w:style>
  <w:style w:type="paragraph" w:styleId="41">
    <w:name w:val="HTML Preformatted"/>
    <w:basedOn w:val="1"/>
    <w:link w:val="17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1"/>
    </w:rPr>
  </w:style>
  <w:style w:type="paragraph" w:styleId="44">
    <w:name w:val="annotation subject"/>
    <w:basedOn w:val="16"/>
    <w:next w:val="16"/>
    <w:link w:val="264"/>
    <w:autoRedefine/>
    <w:qFormat/>
    <w:uiPriority w:val="0"/>
    <w:rPr>
      <w:b/>
      <w:bCs/>
    </w:rPr>
  </w:style>
  <w:style w:type="paragraph" w:styleId="45">
    <w:name w:val="Body Text First Indent"/>
    <w:basedOn w:val="1"/>
    <w:autoRedefine/>
    <w:qFormat/>
    <w:uiPriority w:val="99"/>
    <w:pPr>
      <w:spacing w:line="360" w:lineRule="auto"/>
      <w:ind w:firstLine="420"/>
    </w:pPr>
    <w:rPr>
      <w:rFonts w:ascii="宋体" w:hAnsi="宋体"/>
      <w:sz w:val="24"/>
    </w:rPr>
  </w:style>
  <w:style w:type="table" w:styleId="47">
    <w:name w:val="Table Grid"/>
    <w:basedOn w:val="46"/>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autoRedefine/>
    <w:qFormat/>
    <w:uiPriority w:val="0"/>
    <w:rPr>
      <w:b/>
      <w:bCs/>
    </w:rPr>
  </w:style>
  <w:style w:type="character" w:styleId="50">
    <w:name w:val="endnote reference"/>
    <w:autoRedefine/>
    <w:qFormat/>
    <w:uiPriority w:val="0"/>
    <w:rPr>
      <w:vertAlign w:val="superscript"/>
    </w:rPr>
  </w:style>
  <w:style w:type="character" w:styleId="51">
    <w:name w:val="page number"/>
    <w:basedOn w:val="48"/>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i/>
      <w:iCs/>
    </w:rPr>
  </w:style>
  <w:style w:type="character" w:styleId="54">
    <w:name w:val="Hyperlink"/>
    <w:autoRedefine/>
    <w:qFormat/>
    <w:uiPriority w:val="99"/>
    <w:rPr>
      <w:color w:val="0000FF"/>
      <w:u w:val="single"/>
    </w:rPr>
  </w:style>
  <w:style w:type="character" w:styleId="55">
    <w:name w:val="annotation reference"/>
    <w:autoRedefine/>
    <w:qFormat/>
    <w:uiPriority w:val="0"/>
    <w:rPr>
      <w:sz w:val="21"/>
      <w:szCs w:val="21"/>
    </w:rPr>
  </w:style>
  <w:style w:type="character" w:styleId="56">
    <w:name w:val="footnote reference"/>
    <w:autoRedefine/>
    <w:qFormat/>
    <w:uiPriority w:val="0"/>
    <w:rPr>
      <w:vertAlign w:val="superscript"/>
    </w:rPr>
  </w:style>
  <w:style w:type="paragraph" w:customStyle="1" w:styleId="57">
    <w:name w:val="目录 53"/>
    <w:next w:val="1"/>
    <w:autoRedefine/>
    <w:qFormat/>
    <w:uiPriority w:val="99"/>
    <w:pPr>
      <w:wordWrap w:val="0"/>
      <w:ind w:left="1275"/>
      <w:jc w:val="both"/>
    </w:pPr>
    <w:rPr>
      <w:rFonts w:ascii="Calibri" w:hAnsi="Calibri" w:eastAsia="宋体" w:cs="Times New Roman"/>
      <w:sz w:val="21"/>
      <w:lang w:val="en-US" w:eastAsia="zh-CN" w:bidi="ar-SA"/>
    </w:rPr>
  </w:style>
  <w:style w:type="paragraph" w:customStyle="1" w:styleId="58">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autoRedefine/>
    <w:qFormat/>
    <w:uiPriority w:val="99"/>
    <w:pPr>
      <w:ind w:firstLine="420" w:firstLineChars="200"/>
    </w:pPr>
    <w:rPr>
      <w:sz w:val="28"/>
      <w:szCs w:val="28"/>
    </w:rPr>
  </w:style>
  <w:style w:type="paragraph" w:customStyle="1" w:styleId="60">
    <w:name w:val="表格标题"/>
    <w:basedOn w:val="61"/>
    <w:autoRedefine/>
    <w:qFormat/>
    <w:uiPriority w:val="0"/>
  </w:style>
  <w:style w:type="paragraph" w:customStyle="1" w:styleId="61">
    <w:name w:val="表格内容"/>
    <w:basedOn w:val="1"/>
    <w:autoRedefine/>
    <w:qFormat/>
    <w:uiPriority w:val="0"/>
    <w:pPr>
      <w:suppressLineNumbers/>
      <w:suppressAutoHyphens/>
    </w:pPr>
  </w:style>
  <w:style w:type="paragraph" w:customStyle="1" w:styleId="62">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autoRedefine/>
    <w:qFormat/>
    <w:uiPriority w:val="0"/>
    <w:pPr>
      <w:spacing w:line="600" w:lineRule="exact"/>
      <w:ind w:firstLine="567"/>
    </w:pPr>
    <w:rPr>
      <w:rFonts w:ascii="Calibri" w:hAnsi="Calibri"/>
      <w:sz w:val="28"/>
    </w:rPr>
  </w:style>
  <w:style w:type="paragraph" w:customStyle="1" w:styleId="66">
    <w:name w:val="列出段落11"/>
    <w:basedOn w:val="1"/>
    <w:autoRedefine/>
    <w:qFormat/>
    <w:uiPriority w:val="0"/>
    <w:pPr>
      <w:ind w:firstLine="420" w:firstLineChars="200"/>
    </w:pPr>
    <w:rPr>
      <w:sz w:val="28"/>
      <w:szCs w:val="28"/>
    </w:rPr>
  </w:style>
  <w:style w:type="paragraph" w:customStyle="1" w:styleId="67">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autoRedefine/>
    <w:qFormat/>
    <w:uiPriority w:val="0"/>
  </w:style>
  <w:style w:type="paragraph" w:customStyle="1" w:styleId="69">
    <w:name w:val="WW-表格内容"/>
    <w:basedOn w:val="1"/>
    <w:autoRedefine/>
    <w:qFormat/>
    <w:uiPriority w:val="0"/>
    <w:pPr>
      <w:suppressLineNumbers/>
      <w:suppressAutoHyphens/>
    </w:pPr>
  </w:style>
  <w:style w:type="paragraph" w:customStyle="1" w:styleId="70">
    <w:name w:val="引用2"/>
    <w:basedOn w:val="1"/>
    <w:next w:val="1"/>
    <w:link w:val="301"/>
    <w:autoRedefine/>
    <w:qFormat/>
    <w:uiPriority w:val="0"/>
    <w:rPr>
      <w:i/>
      <w:iCs/>
      <w:color w:val="000000"/>
    </w:rPr>
  </w:style>
  <w:style w:type="paragraph" w:customStyle="1" w:styleId="71">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autoRedefine/>
    <w:qFormat/>
    <w:uiPriority w:val="0"/>
    <w:pPr>
      <w:spacing w:line="360" w:lineRule="auto"/>
      <w:ind w:firstLine="200" w:firstLineChars="200"/>
    </w:pPr>
    <w:rPr>
      <w:rFonts w:ascii="Tahoma" w:hAnsi="Tahoma"/>
      <w:sz w:val="24"/>
    </w:rPr>
  </w:style>
  <w:style w:type="paragraph" w:customStyle="1" w:styleId="74">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autoRedefine/>
    <w:qFormat/>
    <w:uiPriority w:val="0"/>
    <w:pPr>
      <w:widowControl/>
    </w:pPr>
    <w:rPr>
      <w:rFonts w:ascii="Calibri" w:hAnsi="Calibri" w:cs="宋体"/>
      <w:kern w:val="0"/>
      <w:szCs w:val="21"/>
    </w:rPr>
  </w:style>
  <w:style w:type="paragraph" w:customStyle="1" w:styleId="77">
    <w:name w:val="列出段落1"/>
    <w:basedOn w:val="1"/>
    <w:autoRedefine/>
    <w:qFormat/>
    <w:uiPriority w:val="0"/>
    <w:pPr>
      <w:ind w:firstLine="420" w:firstLineChars="200"/>
    </w:pPr>
    <w:rPr>
      <w:sz w:val="28"/>
      <w:szCs w:val="28"/>
    </w:rPr>
  </w:style>
  <w:style w:type="paragraph" w:customStyle="1" w:styleId="78">
    <w:name w:val="样式1"/>
    <w:basedOn w:val="1"/>
    <w:next w:val="6"/>
    <w:autoRedefine/>
    <w:qFormat/>
    <w:uiPriority w:val="0"/>
    <w:pPr>
      <w:spacing w:line="360" w:lineRule="auto"/>
      <w:ind w:firstLine="420" w:firstLineChars="200"/>
    </w:pPr>
    <w:rPr>
      <w:rFonts w:ascii="宋体" w:hAnsi="宋体"/>
      <w:szCs w:val="21"/>
    </w:rPr>
  </w:style>
  <w:style w:type="paragraph" w:customStyle="1" w:styleId="79">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1">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1"/>
    <w:autoRedefine/>
    <w:qFormat/>
    <w:uiPriority w:val="29"/>
    <w:rPr>
      <w:i/>
      <w:iCs/>
      <w:color w:val="000000"/>
      <w:szCs w:val="20"/>
    </w:rPr>
  </w:style>
  <w:style w:type="paragraph" w:customStyle="1" w:styleId="83">
    <w:name w:val="表格文字"/>
    <w:basedOn w:val="1"/>
    <w:autoRedefine/>
    <w:qFormat/>
    <w:uiPriority w:val="0"/>
    <w:pPr>
      <w:adjustRightInd w:val="0"/>
      <w:spacing w:line="420" w:lineRule="atLeast"/>
      <w:jc w:val="left"/>
      <w:textAlignment w:val="baseline"/>
    </w:pPr>
    <w:rPr>
      <w:kern w:val="0"/>
      <w:szCs w:val="20"/>
    </w:rPr>
  </w:style>
  <w:style w:type="paragraph" w:customStyle="1" w:styleId="84">
    <w:name w:val="_Style 96"/>
    <w:autoRedefine/>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autoRedefine/>
    <w:qFormat/>
    <w:uiPriority w:val="0"/>
    <w:pPr>
      <w:spacing w:line="360" w:lineRule="auto"/>
      <w:ind w:firstLine="200" w:firstLineChars="200"/>
    </w:pPr>
    <w:rPr>
      <w:rFonts w:ascii="宋体" w:hAnsi="Calibri"/>
      <w:sz w:val="24"/>
    </w:rPr>
  </w:style>
  <w:style w:type="paragraph" w:customStyle="1" w:styleId="88">
    <w:name w:val="标题4"/>
    <w:basedOn w:val="4"/>
    <w:next w:val="21"/>
    <w:link w:val="244"/>
    <w:autoRedefine/>
    <w:qFormat/>
    <w:uiPriority w:val="0"/>
    <w:pPr>
      <w:spacing w:line="413" w:lineRule="auto"/>
    </w:pPr>
    <w:rPr>
      <w:rFonts w:ascii="Arial" w:hAnsi="Arial"/>
      <w:kern w:val="0"/>
      <w:sz w:val="24"/>
    </w:rPr>
  </w:style>
  <w:style w:type="paragraph" w:customStyle="1" w:styleId="89">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autoRedefine/>
    <w:qFormat/>
    <w:uiPriority w:val="0"/>
    <w:pPr>
      <w:widowControl/>
      <w:spacing w:after="160" w:line="240" w:lineRule="exact"/>
      <w:jc w:val="left"/>
    </w:pPr>
    <w:rPr>
      <w:rFonts w:ascii="Calibri" w:hAnsi="Calibri"/>
      <w:szCs w:val="20"/>
    </w:rPr>
  </w:style>
  <w:style w:type="paragraph" w:customStyle="1" w:styleId="97">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autoRedefine/>
    <w:qFormat/>
    <w:uiPriority w:val="0"/>
    <w:pPr>
      <w:widowControl/>
      <w:spacing w:after="120"/>
    </w:pPr>
    <w:rPr>
      <w:kern w:val="0"/>
      <w:szCs w:val="21"/>
    </w:rPr>
  </w:style>
  <w:style w:type="paragraph" w:customStyle="1" w:styleId="101">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autoRedefine/>
    <w:qFormat/>
    <w:uiPriority w:val="0"/>
    <w:rPr>
      <w:i/>
      <w:iCs/>
      <w:color w:val="000000"/>
      <w:szCs w:val="22"/>
    </w:rPr>
  </w:style>
  <w:style w:type="paragraph" w:customStyle="1" w:styleId="104">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9">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autoRedefine/>
    <w:qFormat/>
    <w:uiPriority w:val="0"/>
    <w:pPr>
      <w:jc w:val="center"/>
      <w:textAlignment w:val="center"/>
    </w:pPr>
    <w:rPr>
      <w:rFonts w:ascii="华文细黑" w:hAnsi="华文细黑"/>
      <w:kern w:val="0"/>
      <w:szCs w:val="20"/>
    </w:rPr>
  </w:style>
  <w:style w:type="paragraph" w:customStyle="1" w:styleId="112">
    <w:name w:val="明显引用1"/>
    <w:basedOn w:val="1"/>
    <w:next w:val="1"/>
    <w:link w:val="299"/>
    <w:autoRedefine/>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autoRedefine/>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6"/>
    <w:autoRedefine/>
    <w:qFormat/>
    <w:uiPriority w:val="0"/>
    <w:pPr>
      <w:spacing w:line="413" w:lineRule="auto"/>
    </w:pPr>
    <w:rPr>
      <w:rFonts w:ascii="Arial" w:hAnsi="Arial"/>
      <w:kern w:val="0"/>
      <w:sz w:val="24"/>
    </w:rPr>
  </w:style>
  <w:style w:type="paragraph" w:customStyle="1" w:styleId="118">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8"/>
    <w:autoRedefine/>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autoRedefine/>
    <w:qFormat/>
    <w:uiPriority w:val="0"/>
    <w:rPr>
      <w:rFonts w:ascii="Calibri" w:hAnsi="Calibri"/>
    </w:rPr>
  </w:style>
  <w:style w:type="paragraph" w:customStyle="1" w:styleId="122">
    <w:name w:val="_Style 87"/>
    <w:basedOn w:val="1"/>
    <w:autoRedefine/>
    <w:qFormat/>
    <w:uiPriority w:val="99"/>
    <w:pPr>
      <w:ind w:firstLine="420" w:firstLineChars="200"/>
    </w:pPr>
    <w:rPr>
      <w:rFonts w:ascii="Calibri" w:hAnsi="Calibri"/>
      <w:sz w:val="28"/>
      <w:szCs w:val="28"/>
    </w:rPr>
  </w:style>
  <w:style w:type="paragraph" w:customStyle="1" w:styleId="123">
    <w:name w:val="自定样式1"/>
    <w:basedOn w:val="1"/>
    <w:autoRedefine/>
    <w:qFormat/>
    <w:uiPriority w:val="0"/>
    <w:pPr>
      <w:suppressAutoHyphens/>
      <w:jc w:val="center"/>
    </w:pPr>
    <w:rPr>
      <w:rFonts w:ascii="宋体" w:hAnsi="宋体"/>
      <w:color w:val="000000"/>
      <w:sz w:val="18"/>
    </w:rPr>
  </w:style>
  <w:style w:type="paragraph" w:customStyle="1" w:styleId="124">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autoRedefine/>
    <w:qFormat/>
    <w:uiPriority w:val="0"/>
  </w:style>
  <w:style w:type="paragraph" w:customStyle="1" w:styleId="126">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autoRedefine/>
    <w:qFormat/>
    <w:uiPriority w:val="34"/>
    <w:pPr>
      <w:ind w:firstLine="420" w:firstLineChars="200"/>
    </w:pPr>
    <w:rPr>
      <w:rFonts w:ascii="Calibri" w:hAnsi="Calibri"/>
    </w:rPr>
  </w:style>
  <w:style w:type="paragraph" w:customStyle="1" w:styleId="128">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autoRedefine/>
    <w:qFormat/>
    <w:uiPriority w:val="0"/>
    <w:pPr>
      <w:spacing w:line="0" w:lineRule="atLeast"/>
    </w:pPr>
    <w:rPr>
      <w:rFonts w:ascii="Calibri" w:hAnsi="Calibri"/>
      <w:b/>
      <w:snapToGrid w:val="0"/>
      <w:szCs w:val="20"/>
    </w:rPr>
  </w:style>
  <w:style w:type="paragraph" w:customStyle="1" w:styleId="130">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autoRedefine/>
    <w:qFormat/>
    <w:uiPriority w:val="0"/>
  </w:style>
  <w:style w:type="paragraph" w:customStyle="1" w:styleId="134">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6">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autoRedefine/>
    <w:qFormat/>
    <w:uiPriority w:val="0"/>
  </w:style>
  <w:style w:type="paragraph" w:customStyle="1" w:styleId="138">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autoRedefine/>
    <w:qFormat/>
    <w:uiPriority w:val="99"/>
    <w:rPr>
      <w:kern w:val="2"/>
      <w:sz w:val="21"/>
      <w:szCs w:val="24"/>
    </w:rPr>
  </w:style>
  <w:style w:type="character" w:customStyle="1" w:styleId="144">
    <w:name w:val="尾注文本 Char1"/>
    <w:autoRedefine/>
    <w:qFormat/>
    <w:uiPriority w:val="0"/>
    <w:rPr>
      <w:rFonts w:ascii="Arial" w:hAnsi="Arial" w:cs="Arial"/>
      <w:szCs w:val="24"/>
      <w:lang w:eastAsia="en-US"/>
    </w:rPr>
  </w:style>
  <w:style w:type="character" w:customStyle="1" w:styleId="145">
    <w:name w:val="脚注文本 Char"/>
    <w:autoRedefine/>
    <w:qFormat/>
    <w:uiPriority w:val="0"/>
    <w:rPr>
      <w:rFonts w:ascii="Arial" w:hAnsi="Arial" w:eastAsia="宋体" w:cs="Arial"/>
      <w:sz w:val="18"/>
      <w:szCs w:val="18"/>
      <w:lang w:eastAsia="en-US"/>
    </w:rPr>
  </w:style>
  <w:style w:type="character" w:customStyle="1" w:styleId="146">
    <w:name w:val="Char Char17"/>
    <w:autoRedefine/>
    <w:qFormat/>
    <w:uiPriority w:val="0"/>
    <w:rPr>
      <w:kern w:val="2"/>
      <w:sz w:val="26"/>
      <w:szCs w:val="24"/>
    </w:rPr>
  </w:style>
  <w:style w:type="character" w:customStyle="1" w:styleId="147">
    <w:name w:val="副标题 Char1"/>
    <w:autoRedefine/>
    <w:qFormat/>
    <w:uiPriority w:val="0"/>
    <w:rPr>
      <w:szCs w:val="24"/>
      <w:u w:val="single"/>
      <w:lang w:eastAsia="en-US"/>
    </w:rPr>
  </w:style>
  <w:style w:type="character" w:customStyle="1" w:styleId="148">
    <w:name w:val="标题 Char1"/>
    <w:autoRedefine/>
    <w:qFormat/>
    <w:uiPriority w:val="10"/>
    <w:rPr>
      <w:szCs w:val="24"/>
      <w:u w:val="single"/>
      <w:lang w:eastAsia="en-US"/>
    </w:rPr>
  </w:style>
  <w:style w:type="character" w:customStyle="1" w:styleId="149">
    <w:name w:val="Char Char24"/>
    <w:autoRedefine/>
    <w:qFormat/>
    <w:uiPriority w:val="0"/>
    <w:rPr>
      <w:b/>
      <w:bCs/>
      <w:kern w:val="44"/>
      <w:sz w:val="44"/>
      <w:szCs w:val="44"/>
    </w:rPr>
  </w:style>
  <w:style w:type="character" w:customStyle="1" w:styleId="150">
    <w:name w:val="批注主题 Char"/>
    <w:autoRedefine/>
    <w:qFormat/>
    <w:uiPriority w:val="0"/>
    <w:rPr>
      <w:rFonts w:ascii="宋体" w:hAnsi="宋体" w:eastAsia="宋体"/>
      <w:kern w:val="2"/>
      <w:sz w:val="24"/>
      <w:szCs w:val="28"/>
      <w:lang w:val="en-US" w:eastAsia="zh-CN" w:bidi="ar-SA"/>
    </w:rPr>
  </w:style>
  <w:style w:type="character" w:customStyle="1" w:styleId="151">
    <w:name w:val="引用 Char1"/>
    <w:link w:val="82"/>
    <w:autoRedefine/>
    <w:qFormat/>
    <w:uiPriority w:val="29"/>
    <w:rPr>
      <w:i/>
      <w:iCs/>
      <w:color w:val="000000"/>
      <w:kern w:val="2"/>
      <w:sz w:val="21"/>
    </w:rPr>
  </w:style>
  <w:style w:type="character" w:customStyle="1" w:styleId="152">
    <w:name w:val="Char Char23"/>
    <w:autoRedefine/>
    <w:qFormat/>
    <w:uiPriority w:val="0"/>
    <w:rPr>
      <w:rFonts w:ascii="Cambria" w:hAnsi="Cambria" w:eastAsia="宋体" w:cs="Times New Roman"/>
      <w:b/>
      <w:bCs/>
      <w:kern w:val="2"/>
      <w:sz w:val="32"/>
      <w:szCs w:val="32"/>
    </w:rPr>
  </w:style>
  <w:style w:type="character" w:customStyle="1" w:styleId="153">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4">
    <w:name w:val="标题 9 Char1"/>
    <w:autoRedefine/>
    <w:qFormat/>
    <w:uiPriority w:val="0"/>
    <w:rPr>
      <w:rFonts w:ascii="Times New Roman" w:hAnsi="Times New Roman" w:eastAsia="仿宋_GB2312" w:cs="Times New Roman"/>
      <w:sz w:val="30"/>
      <w:szCs w:val="20"/>
    </w:rPr>
  </w:style>
  <w:style w:type="character" w:customStyle="1" w:styleId="155">
    <w:name w:val="正文文本 Char1"/>
    <w:autoRedefine/>
    <w:qFormat/>
    <w:uiPriority w:val="0"/>
    <w:rPr>
      <w:kern w:val="2"/>
      <w:sz w:val="21"/>
      <w:szCs w:val="22"/>
    </w:rPr>
  </w:style>
  <w:style w:type="character" w:customStyle="1" w:styleId="156">
    <w:name w:val="引用 Char2"/>
    <w:autoRedefine/>
    <w:qFormat/>
    <w:uiPriority w:val="99"/>
    <w:rPr>
      <w:i/>
      <w:iCs/>
      <w:color w:val="000000"/>
      <w:kern w:val="2"/>
      <w:sz w:val="21"/>
      <w:szCs w:val="24"/>
    </w:rPr>
  </w:style>
  <w:style w:type="character" w:customStyle="1" w:styleId="157">
    <w:name w:val="正文文本 Char3"/>
    <w:autoRedefine/>
    <w:qFormat/>
    <w:uiPriority w:val="99"/>
    <w:rPr>
      <w:rFonts w:ascii="Calibri" w:hAnsi="Calibri" w:eastAsia="宋体" w:cs="Times New Roman"/>
      <w:szCs w:val="24"/>
    </w:rPr>
  </w:style>
  <w:style w:type="character" w:customStyle="1" w:styleId="158">
    <w:name w:val="日期 字符"/>
    <w:link w:val="26"/>
    <w:autoRedefine/>
    <w:qFormat/>
    <w:uiPriority w:val="0"/>
    <w:rPr>
      <w:rFonts w:eastAsia="宋体"/>
      <w:kern w:val="2"/>
      <w:sz w:val="21"/>
      <w:szCs w:val="24"/>
      <w:lang w:val="en-US" w:eastAsia="zh-CN" w:bidi="ar-SA"/>
    </w:rPr>
  </w:style>
  <w:style w:type="character" w:customStyle="1" w:styleId="159">
    <w:name w:val="标题 2 Char"/>
    <w:autoRedefine/>
    <w:qFormat/>
    <w:uiPriority w:val="0"/>
    <w:rPr>
      <w:rFonts w:ascii="仿宋_GB2312" w:hAnsi="Calibri" w:eastAsia="仿宋_GB2312" w:cs="Times New Roman"/>
      <w:b/>
      <w:spacing w:val="1"/>
      <w:w w:val="99"/>
      <w:kern w:val="0"/>
      <w:sz w:val="28"/>
      <w:szCs w:val="32"/>
    </w:rPr>
  </w:style>
  <w:style w:type="character" w:customStyle="1" w:styleId="160">
    <w:name w:val="标题 7 Char"/>
    <w:autoRedefine/>
    <w:qFormat/>
    <w:uiPriority w:val="0"/>
    <w:rPr>
      <w:rFonts w:ascii="Calibri" w:hAnsi="Calibri" w:eastAsia="宋体" w:cs="Times New Roman"/>
      <w:b/>
      <w:bCs/>
      <w:sz w:val="24"/>
      <w:szCs w:val="24"/>
    </w:rPr>
  </w:style>
  <w:style w:type="character" w:customStyle="1" w:styleId="161">
    <w:name w:val="批注框文本 Char1"/>
    <w:autoRedefine/>
    <w:qFormat/>
    <w:uiPriority w:val="0"/>
    <w:rPr>
      <w:kern w:val="2"/>
      <w:sz w:val="18"/>
      <w:szCs w:val="18"/>
    </w:rPr>
  </w:style>
  <w:style w:type="character" w:customStyle="1" w:styleId="162">
    <w:name w:val="日期 Char1"/>
    <w:autoRedefine/>
    <w:qFormat/>
    <w:uiPriority w:val="0"/>
    <w:rPr>
      <w:kern w:val="2"/>
      <w:sz w:val="21"/>
      <w:szCs w:val="22"/>
    </w:rPr>
  </w:style>
  <w:style w:type="character" w:customStyle="1" w:styleId="163">
    <w:name w:val="_Style 171"/>
    <w:autoRedefine/>
    <w:qFormat/>
    <w:uiPriority w:val="0"/>
    <w:rPr>
      <w:b/>
      <w:bCs/>
      <w:i/>
      <w:iCs/>
      <w:color w:val="4F81BD"/>
    </w:rPr>
  </w:style>
  <w:style w:type="character" w:customStyle="1" w:styleId="164">
    <w:name w:val="Char Char22"/>
    <w:autoRedefine/>
    <w:qFormat/>
    <w:uiPriority w:val="0"/>
    <w:rPr>
      <w:b/>
      <w:bCs/>
      <w:kern w:val="2"/>
      <w:sz w:val="32"/>
      <w:szCs w:val="32"/>
    </w:rPr>
  </w:style>
  <w:style w:type="character" w:customStyle="1" w:styleId="165">
    <w:name w:val="标题 6 Char1"/>
    <w:autoRedefine/>
    <w:qFormat/>
    <w:uiPriority w:val="0"/>
    <w:rPr>
      <w:rFonts w:ascii="Times New Roman" w:hAnsi="Arial" w:eastAsia="仿宋_GB2312" w:cs="Times New Roman"/>
      <w:sz w:val="30"/>
      <w:szCs w:val="20"/>
    </w:rPr>
  </w:style>
  <w:style w:type="character" w:customStyle="1" w:styleId="166">
    <w:name w:val="标题5 Char Char"/>
    <w:link w:val="117"/>
    <w:autoRedefine/>
    <w:qFormat/>
    <w:uiPriority w:val="0"/>
    <w:rPr>
      <w:rFonts w:ascii="Arial" w:hAnsi="Arial"/>
      <w:b/>
      <w:bCs/>
      <w:sz w:val="24"/>
      <w:szCs w:val="32"/>
      <w:lang w:bidi="ar-SA"/>
    </w:rPr>
  </w:style>
  <w:style w:type="character" w:customStyle="1" w:styleId="167">
    <w:name w:val="正文文本缩进 Char1"/>
    <w:autoRedefine/>
    <w:qFormat/>
    <w:uiPriority w:val="0"/>
    <w:rPr>
      <w:kern w:val="2"/>
      <w:sz w:val="21"/>
      <w:szCs w:val="24"/>
    </w:rPr>
  </w:style>
  <w:style w:type="character" w:customStyle="1" w:styleId="168">
    <w:name w:val="标题 4 Char1"/>
    <w:autoRedefine/>
    <w:qFormat/>
    <w:uiPriority w:val="0"/>
    <w:rPr>
      <w:rFonts w:ascii="宋体" w:hAnsi="宋体" w:eastAsia="宋体" w:cs="宋体"/>
      <w:b/>
      <w:bCs/>
      <w:sz w:val="24"/>
      <w:szCs w:val="24"/>
    </w:rPr>
  </w:style>
  <w:style w:type="character" w:customStyle="1" w:styleId="169">
    <w:name w:val="尾注文本 Char"/>
    <w:autoRedefine/>
    <w:qFormat/>
    <w:uiPriority w:val="0"/>
    <w:rPr>
      <w:kern w:val="2"/>
      <w:sz w:val="21"/>
      <w:szCs w:val="24"/>
    </w:rPr>
  </w:style>
  <w:style w:type="character" w:customStyle="1" w:styleId="170">
    <w:name w:val="HTML 预设格式 字符"/>
    <w:link w:val="41"/>
    <w:autoRedefine/>
    <w:qFormat/>
    <w:uiPriority w:val="0"/>
    <w:rPr>
      <w:rFonts w:ascii="宋体" w:hAnsi="宋体" w:eastAsia="宋体" w:cs="宋体"/>
      <w:color w:val="000000"/>
      <w:sz w:val="24"/>
      <w:szCs w:val="24"/>
      <w:lang w:val="en-US" w:eastAsia="zh-CN" w:bidi="ar-SA"/>
    </w:rPr>
  </w:style>
  <w:style w:type="character" w:customStyle="1" w:styleId="171">
    <w:name w:val="尾注文本 Char2"/>
    <w:autoRedefine/>
    <w:qFormat/>
    <w:uiPriority w:val="99"/>
    <w:rPr>
      <w:rFonts w:ascii="Calibri" w:hAnsi="Calibri" w:eastAsia="宋体" w:cs="Times New Roman"/>
      <w:szCs w:val="24"/>
    </w:rPr>
  </w:style>
  <w:style w:type="character" w:customStyle="1" w:styleId="172">
    <w:name w:val="明显强调1"/>
    <w:autoRedefine/>
    <w:qFormat/>
    <w:uiPriority w:val="0"/>
    <w:rPr>
      <w:b/>
      <w:bCs/>
      <w:i/>
      <w:iCs/>
      <w:color w:val="4F81BD"/>
    </w:rPr>
  </w:style>
  <w:style w:type="character" w:customStyle="1" w:styleId="173">
    <w:name w:val="正文文本 Char"/>
    <w:autoRedefine/>
    <w:qFormat/>
    <w:uiPriority w:val="0"/>
    <w:rPr>
      <w:sz w:val="26"/>
      <w:szCs w:val="24"/>
    </w:rPr>
  </w:style>
  <w:style w:type="character" w:customStyle="1" w:styleId="174">
    <w:name w:val="脚注文本 Char2"/>
    <w:autoRedefine/>
    <w:qFormat/>
    <w:uiPriority w:val="99"/>
    <w:rPr>
      <w:rFonts w:ascii="Calibri" w:hAnsi="Calibri" w:eastAsia="宋体" w:cs="Times New Roman"/>
      <w:sz w:val="18"/>
      <w:szCs w:val="18"/>
    </w:rPr>
  </w:style>
  <w:style w:type="character" w:customStyle="1" w:styleId="175">
    <w:name w:val="正文文本 2 Char1"/>
    <w:autoRedefine/>
    <w:qFormat/>
    <w:uiPriority w:val="99"/>
    <w:rPr>
      <w:rFonts w:ascii="Calibri" w:hAnsi="Calibri" w:eastAsia="宋体" w:cs="Times New Roman"/>
      <w:szCs w:val="24"/>
    </w:rPr>
  </w:style>
  <w:style w:type="character" w:customStyle="1" w:styleId="176">
    <w:name w:val="_Style 248"/>
    <w:autoRedefine/>
    <w:qFormat/>
    <w:uiPriority w:val="0"/>
    <w:rPr>
      <w:b/>
      <w:bCs/>
      <w:smallCaps/>
      <w:spacing w:val="5"/>
    </w:rPr>
  </w:style>
  <w:style w:type="character" w:customStyle="1" w:styleId="177">
    <w:name w:val="明显引用 Char3"/>
    <w:autoRedefine/>
    <w:qFormat/>
    <w:uiPriority w:val="30"/>
    <w:rPr>
      <w:rFonts w:ascii="Calibri" w:hAnsi="Calibri" w:eastAsia="宋体" w:cs="Times New Roman"/>
      <w:b/>
      <w:bCs/>
      <w:i/>
      <w:iCs/>
      <w:color w:val="4F81BD"/>
      <w:szCs w:val="24"/>
    </w:rPr>
  </w:style>
  <w:style w:type="character" w:customStyle="1" w:styleId="178">
    <w:name w:val="_Style 254"/>
    <w:autoRedefine/>
    <w:qFormat/>
    <w:uiPriority w:val="0"/>
    <w:rPr>
      <w:b/>
      <w:bCs/>
      <w:smallCaps/>
      <w:color w:val="C0504D"/>
      <w:spacing w:val="5"/>
      <w:u w:val="single"/>
    </w:rPr>
  </w:style>
  <w:style w:type="character" w:customStyle="1" w:styleId="179">
    <w:name w:val="正文文本缩进 Char2"/>
    <w:autoRedefine/>
    <w:qFormat/>
    <w:uiPriority w:val="99"/>
    <w:rPr>
      <w:rFonts w:ascii="Calibri" w:hAnsi="Calibri" w:eastAsia="宋体" w:cs="Times New Roman"/>
      <w:szCs w:val="24"/>
    </w:rPr>
  </w:style>
  <w:style w:type="character" w:customStyle="1" w:styleId="180">
    <w:name w:val="标题 4 字符"/>
    <w:link w:val="6"/>
    <w:autoRedefine/>
    <w:qFormat/>
    <w:uiPriority w:val="0"/>
    <w:rPr>
      <w:rFonts w:ascii="宋体" w:hAnsi="宋体" w:eastAsia="宋体" w:cs="宋体"/>
      <w:b/>
      <w:bCs/>
      <w:sz w:val="24"/>
      <w:szCs w:val="24"/>
      <w:lang w:val="en-US" w:eastAsia="zh-CN" w:bidi="ar-SA"/>
    </w:rPr>
  </w:style>
  <w:style w:type="character" w:customStyle="1" w:styleId="181">
    <w:name w:val="正文文本缩进 3 Char"/>
    <w:autoRedefine/>
    <w:qFormat/>
    <w:uiPriority w:val="0"/>
    <w:rPr>
      <w:kern w:val="2"/>
      <w:sz w:val="16"/>
      <w:szCs w:val="16"/>
    </w:rPr>
  </w:style>
  <w:style w:type="character" w:customStyle="1" w:styleId="182">
    <w:name w:val="尾注文本 字符"/>
    <w:link w:val="28"/>
    <w:autoRedefine/>
    <w:qFormat/>
    <w:uiPriority w:val="0"/>
    <w:rPr>
      <w:rFonts w:ascii="Arial" w:hAnsi="Arial" w:eastAsia="宋体" w:cs="Arial"/>
      <w:szCs w:val="24"/>
      <w:lang w:val="en-US" w:eastAsia="en-US" w:bidi="ar-SA"/>
    </w:rPr>
  </w:style>
  <w:style w:type="character" w:customStyle="1" w:styleId="183">
    <w:name w:val="引用 Char3"/>
    <w:autoRedefine/>
    <w:qFormat/>
    <w:uiPriority w:val="29"/>
    <w:rPr>
      <w:rFonts w:ascii="Calibri" w:hAnsi="Calibri" w:eastAsia="宋体" w:cs="Times New Roman"/>
      <w:i/>
      <w:iCs/>
      <w:color w:val="000000"/>
      <w:szCs w:val="24"/>
    </w:rPr>
  </w:style>
  <w:style w:type="character" w:customStyle="1" w:styleId="184">
    <w:name w:val="Char Char32"/>
    <w:autoRedefine/>
    <w:qFormat/>
    <w:uiPriority w:val="0"/>
    <w:rPr>
      <w:rFonts w:ascii="仿宋_GB2312" w:eastAsia="仿宋_GB2312" w:cs="MingLiU"/>
      <w:b/>
      <w:spacing w:val="1"/>
      <w:w w:val="99"/>
      <w:sz w:val="28"/>
      <w:szCs w:val="32"/>
    </w:rPr>
  </w:style>
  <w:style w:type="character" w:customStyle="1" w:styleId="185">
    <w:name w:val="日期 Char"/>
    <w:autoRedefine/>
    <w:qFormat/>
    <w:uiPriority w:val="0"/>
    <w:rPr>
      <w:rFonts w:eastAsia="宋体"/>
      <w:szCs w:val="24"/>
    </w:rPr>
  </w:style>
  <w:style w:type="character" w:customStyle="1" w:styleId="186">
    <w:name w:val="页脚 Char"/>
    <w:autoRedefine/>
    <w:qFormat/>
    <w:uiPriority w:val="0"/>
    <w:rPr>
      <w:sz w:val="18"/>
      <w:szCs w:val="18"/>
    </w:rPr>
  </w:style>
  <w:style w:type="character" w:customStyle="1" w:styleId="187">
    <w:name w:val="style121"/>
    <w:autoRedefine/>
    <w:qFormat/>
    <w:uiPriority w:val="0"/>
    <w:rPr>
      <w:rFonts w:hint="eastAsia" w:ascii="宋体" w:hAnsi="宋体" w:eastAsia="宋体"/>
      <w:sz w:val="18"/>
      <w:szCs w:val="18"/>
    </w:rPr>
  </w:style>
  <w:style w:type="character" w:customStyle="1" w:styleId="188">
    <w:name w:val="ss16"/>
    <w:autoRedefine/>
    <w:qFormat/>
    <w:uiPriority w:val="0"/>
    <w:rPr>
      <w:rFonts w:hint="eastAsia" w:ascii="宋体" w:hAnsi="宋体" w:eastAsia="宋体"/>
      <w:color w:val="000000"/>
      <w:sz w:val="9"/>
      <w:szCs w:val="9"/>
    </w:rPr>
  </w:style>
  <w:style w:type="character" w:customStyle="1" w:styleId="189">
    <w:name w:val="textcontents"/>
    <w:autoRedefine/>
    <w:qFormat/>
    <w:uiPriority w:val="0"/>
    <w:rPr>
      <w:rFonts w:cs="Times New Roman"/>
    </w:rPr>
  </w:style>
  <w:style w:type="character" w:customStyle="1" w:styleId="190">
    <w:name w:val="14t1"/>
    <w:autoRedefine/>
    <w:qFormat/>
    <w:uiPriority w:val="0"/>
    <w:rPr>
      <w:rFonts w:hint="eastAsia" w:ascii="宋体" w:hAnsi="宋体" w:eastAsia="宋体"/>
      <w:sz w:val="11"/>
      <w:szCs w:val="11"/>
    </w:rPr>
  </w:style>
  <w:style w:type="character" w:customStyle="1" w:styleId="191">
    <w:name w:val="不明显参考1"/>
    <w:autoRedefine/>
    <w:qFormat/>
    <w:uiPriority w:val="0"/>
    <w:rPr>
      <w:smallCaps/>
      <w:color w:val="C0504D"/>
      <w:u w:val="single"/>
    </w:rPr>
  </w:style>
  <w:style w:type="character" w:customStyle="1" w:styleId="192">
    <w:name w:val="unnamed1"/>
    <w:basedOn w:val="48"/>
    <w:autoRedefine/>
    <w:qFormat/>
    <w:uiPriority w:val="0"/>
  </w:style>
  <w:style w:type="character" w:customStyle="1" w:styleId="193">
    <w:name w:val="批注主题 Char3"/>
    <w:autoRedefine/>
    <w:qFormat/>
    <w:uiPriority w:val="99"/>
    <w:rPr>
      <w:rFonts w:ascii="Calibri" w:hAnsi="Calibri" w:eastAsia="宋体" w:cs="Times New Roman"/>
      <w:b/>
      <w:bCs/>
      <w:szCs w:val="24"/>
    </w:rPr>
  </w:style>
  <w:style w:type="character" w:customStyle="1" w:styleId="194">
    <w:name w:val="标题 3 字符"/>
    <w:link w:val="5"/>
    <w:autoRedefine/>
    <w:qFormat/>
    <w:uiPriority w:val="0"/>
    <w:rPr>
      <w:rFonts w:eastAsia="宋体"/>
      <w:b/>
      <w:bCs/>
      <w:kern w:val="2"/>
      <w:sz w:val="32"/>
      <w:szCs w:val="32"/>
      <w:lang w:val="en-US" w:eastAsia="zh-CN" w:bidi="ar-SA"/>
    </w:rPr>
  </w:style>
  <w:style w:type="character" w:customStyle="1" w:styleId="195">
    <w:name w:val="标题 2 字符"/>
    <w:link w:val="4"/>
    <w:autoRedefine/>
    <w:qFormat/>
    <w:uiPriority w:val="0"/>
    <w:rPr>
      <w:rFonts w:ascii="Cambria" w:hAnsi="Cambria" w:eastAsia="宋体"/>
      <w:b/>
      <w:bCs/>
      <w:kern w:val="2"/>
      <w:sz w:val="32"/>
      <w:szCs w:val="32"/>
      <w:lang w:val="en-US" w:eastAsia="zh-CN" w:bidi="ar-SA"/>
    </w:rPr>
  </w:style>
  <w:style w:type="character" w:customStyle="1" w:styleId="196">
    <w:name w:val="标题 6 字符"/>
    <w:link w:val="8"/>
    <w:autoRedefine/>
    <w:qFormat/>
    <w:uiPriority w:val="0"/>
    <w:rPr>
      <w:rFonts w:hAnsi="Arial" w:eastAsia="仿宋_GB2312"/>
      <w:sz w:val="30"/>
      <w:lang w:val="en-US" w:eastAsia="zh-CN" w:bidi="ar-SA"/>
    </w:rPr>
  </w:style>
  <w:style w:type="character" w:customStyle="1" w:styleId="197">
    <w:name w:val="页脚 字符"/>
    <w:link w:val="30"/>
    <w:autoRedefine/>
    <w:qFormat/>
    <w:uiPriority w:val="0"/>
    <w:rPr>
      <w:rFonts w:eastAsia="宋体"/>
      <w:kern w:val="2"/>
      <w:sz w:val="18"/>
      <w:szCs w:val="18"/>
      <w:lang w:val="en-US" w:eastAsia="zh-CN" w:bidi="ar-SA"/>
    </w:rPr>
  </w:style>
  <w:style w:type="character" w:customStyle="1" w:styleId="198">
    <w:name w:val="引用 Char4"/>
    <w:link w:val="103"/>
    <w:autoRedefine/>
    <w:qFormat/>
    <w:uiPriority w:val="0"/>
    <w:rPr>
      <w:i/>
      <w:iCs/>
      <w:color w:val="000000"/>
      <w:kern w:val="2"/>
      <w:sz w:val="21"/>
      <w:szCs w:val="22"/>
      <w:lang w:bidi="ar-SA"/>
    </w:rPr>
  </w:style>
  <w:style w:type="character" w:customStyle="1" w:styleId="199">
    <w:name w:val="标题 9 字符"/>
    <w:link w:val="12"/>
    <w:autoRedefine/>
    <w:qFormat/>
    <w:uiPriority w:val="0"/>
    <w:rPr>
      <w:rFonts w:eastAsia="仿宋_GB2312"/>
      <w:sz w:val="30"/>
      <w:lang w:val="en-US" w:eastAsia="zh-CN" w:bidi="ar-SA"/>
    </w:rPr>
  </w:style>
  <w:style w:type="character" w:customStyle="1" w:styleId="200">
    <w:name w:val="标题 3 Char"/>
    <w:autoRedefine/>
    <w:qFormat/>
    <w:uiPriority w:val="0"/>
    <w:rPr>
      <w:rFonts w:ascii="仿宋_GB2312" w:hAnsi="Calibri" w:eastAsia="仿宋_GB2312" w:cs="Times New Roman"/>
      <w:b/>
      <w:kern w:val="0"/>
      <w:sz w:val="24"/>
      <w:szCs w:val="28"/>
    </w:rPr>
  </w:style>
  <w:style w:type="character" w:customStyle="1" w:styleId="201">
    <w:name w:val="批注文字 Char2"/>
    <w:autoRedefine/>
    <w:qFormat/>
    <w:uiPriority w:val="0"/>
    <w:rPr>
      <w:rFonts w:ascii="Calibri" w:hAnsi="Calibri" w:eastAsia="宋体" w:cs="Times New Roman"/>
      <w:szCs w:val="24"/>
    </w:rPr>
  </w:style>
  <w:style w:type="character" w:customStyle="1" w:styleId="202">
    <w:name w:val="normaltext1"/>
    <w:autoRedefine/>
    <w:qFormat/>
    <w:uiPriority w:val="0"/>
    <w:rPr>
      <w:rFonts w:hint="default" w:ascii="ˎ̥" w:hAnsi="ˎ̥"/>
      <w:sz w:val="9"/>
      <w:szCs w:val="9"/>
    </w:rPr>
  </w:style>
  <w:style w:type="character" w:customStyle="1" w:styleId="203">
    <w:name w:val="ca-141"/>
    <w:autoRedefine/>
    <w:qFormat/>
    <w:uiPriority w:val="0"/>
    <w:rPr>
      <w:rFonts w:hint="eastAsia" w:ascii="仿宋_GB2312" w:eastAsia="仿宋_GB2312"/>
      <w:sz w:val="21"/>
      <w:szCs w:val="21"/>
    </w:rPr>
  </w:style>
  <w:style w:type="character" w:customStyle="1" w:styleId="204">
    <w:name w:val="main_tdbg_7601"/>
    <w:autoRedefine/>
    <w:qFormat/>
    <w:uiPriority w:val="0"/>
    <w:rPr>
      <w:sz w:val="14"/>
      <w:szCs w:val="14"/>
    </w:rPr>
  </w:style>
  <w:style w:type="character" w:customStyle="1" w:styleId="205">
    <w:name w:val="文档结构图 字符"/>
    <w:link w:val="15"/>
    <w:autoRedefine/>
    <w:qFormat/>
    <w:uiPriority w:val="0"/>
    <w:rPr>
      <w:rFonts w:eastAsia="宋体"/>
      <w:kern w:val="2"/>
      <w:sz w:val="21"/>
      <w:szCs w:val="24"/>
      <w:lang w:val="en-US" w:eastAsia="zh-CN" w:bidi="ar-SA"/>
    </w:rPr>
  </w:style>
  <w:style w:type="character" w:customStyle="1" w:styleId="206">
    <w:name w:val="批注框文本 Char3"/>
    <w:autoRedefine/>
    <w:qFormat/>
    <w:uiPriority w:val="99"/>
    <w:rPr>
      <w:rFonts w:ascii="Calibri" w:hAnsi="Calibri" w:eastAsia="宋体" w:cs="Times New Roman"/>
      <w:sz w:val="18"/>
      <w:szCs w:val="18"/>
    </w:rPr>
  </w:style>
  <w:style w:type="character" w:customStyle="1" w:styleId="207">
    <w:name w:val="Char Char9"/>
    <w:autoRedefine/>
    <w:qFormat/>
    <w:uiPriority w:val="0"/>
    <w:rPr>
      <w:rFonts w:ascii="仿宋_GB2312" w:eastAsia="仿宋_GB2312" w:cs="MingLiU"/>
      <w:b/>
      <w:sz w:val="24"/>
      <w:szCs w:val="28"/>
      <w:lang w:val="en-US" w:eastAsia="zh-CN" w:bidi="ar-SA"/>
    </w:rPr>
  </w:style>
  <w:style w:type="character" w:customStyle="1" w:styleId="208">
    <w:name w:val="title11"/>
    <w:autoRedefine/>
    <w:qFormat/>
    <w:uiPriority w:val="0"/>
    <w:rPr>
      <w:b/>
      <w:bCs/>
      <w:color w:val="FFFFFF"/>
      <w:sz w:val="11"/>
      <w:szCs w:val="11"/>
    </w:rPr>
  </w:style>
  <w:style w:type="character" w:customStyle="1" w:styleId="209">
    <w:name w:val="批注框文本 字符"/>
    <w:link w:val="29"/>
    <w:autoRedefine/>
    <w:qFormat/>
    <w:uiPriority w:val="0"/>
    <w:rPr>
      <w:rFonts w:eastAsia="宋体"/>
      <w:kern w:val="2"/>
      <w:sz w:val="18"/>
      <w:szCs w:val="18"/>
      <w:lang w:val="en-US" w:eastAsia="zh-CN" w:bidi="ar-SA"/>
    </w:rPr>
  </w:style>
  <w:style w:type="character" w:customStyle="1" w:styleId="210">
    <w:name w:val="标题 8 Char1"/>
    <w:autoRedefine/>
    <w:qFormat/>
    <w:uiPriority w:val="0"/>
    <w:rPr>
      <w:rFonts w:ascii="Times New Roman" w:hAnsi="Arial" w:eastAsia="仿宋_GB2312" w:cs="Times New Roman"/>
      <w:sz w:val="30"/>
      <w:szCs w:val="20"/>
    </w:rPr>
  </w:style>
  <w:style w:type="character" w:customStyle="1" w:styleId="211">
    <w:name w:val="标题 Char2"/>
    <w:autoRedefine/>
    <w:qFormat/>
    <w:uiPriority w:val="10"/>
    <w:rPr>
      <w:rFonts w:ascii="Cambria" w:hAnsi="Cambria" w:eastAsia="宋体" w:cs="Times New Roman"/>
      <w:b/>
      <w:bCs/>
      <w:sz w:val="32"/>
      <w:szCs w:val="32"/>
    </w:rPr>
  </w:style>
  <w:style w:type="character" w:customStyle="1" w:styleId="212">
    <w:name w:val="标题 字符"/>
    <w:link w:val="2"/>
    <w:autoRedefine/>
    <w:qFormat/>
    <w:uiPriority w:val="0"/>
    <w:rPr>
      <w:rFonts w:eastAsia="宋体"/>
      <w:szCs w:val="24"/>
      <w:u w:val="single"/>
      <w:lang w:val="en-US" w:eastAsia="en-US" w:bidi="ar-SA"/>
    </w:rPr>
  </w:style>
  <w:style w:type="character" w:customStyle="1" w:styleId="213">
    <w:name w:val="批注主题 Char1"/>
    <w:autoRedefine/>
    <w:qFormat/>
    <w:uiPriority w:val="0"/>
    <w:rPr>
      <w:b/>
      <w:bCs/>
      <w:kern w:val="2"/>
      <w:sz w:val="21"/>
      <w:szCs w:val="22"/>
    </w:rPr>
  </w:style>
  <w:style w:type="character" w:customStyle="1" w:styleId="214">
    <w:name w:val="副标题 Char"/>
    <w:autoRedefine/>
    <w:qFormat/>
    <w:uiPriority w:val="0"/>
    <w:rPr>
      <w:rFonts w:ascii="Cambria" w:hAnsi="Cambria" w:eastAsia="宋体" w:cs="Times New Roman"/>
      <w:b/>
      <w:bCs/>
      <w:kern w:val="28"/>
      <w:sz w:val="32"/>
      <w:szCs w:val="32"/>
    </w:rPr>
  </w:style>
  <w:style w:type="character" w:customStyle="1" w:styleId="215">
    <w:name w:val="正文文本 字符"/>
    <w:link w:val="18"/>
    <w:autoRedefine/>
    <w:qFormat/>
    <w:uiPriority w:val="0"/>
    <w:rPr>
      <w:rFonts w:eastAsia="宋体"/>
      <w:kern w:val="2"/>
      <w:sz w:val="21"/>
      <w:szCs w:val="24"/>
      <w:lang w:val="en-US" w:eastAsia="zh-CN" w:bidi="ar-SA"/>
    </w:rPr>
  </w:style>
  <w:style w:type="character" w:customStyle="1" w:styleId="216">
    <w:name w:val="纯文本 Char1"/>
    <w:autoRedefine/>
    <w:qFormat/>
    <w:uiPriority w:val="0"/>
    <w:rPr>
      <w:rFonts w:ascii="宋体" w:hAnsi="Courier New" w:cs="Courier New"/>
      <w:kern w:val="2"/>
      <w:sz w:val="21"/>
      <w:szCs w:val="21"/>
    </w:rPr>
  </w:style>
  <w:style w:type="character" w:customStyle="1" w:styleId="217">
    <w:name w:val="脚注文本 字符"/>
    <w:link w:val="35"/>
    <w:autoRedefine/>
    <w:qFormat/>
    <w:uiPriority w:val="0"/>
    <w:rPr>
      <w:rFonts w:ascii="Arial" w:hAnsi="Arial" w:eastAsia="宋体" w:cs="Arial"/>
      <w:sz w:val="18"/>
      <w:szCs w:val="18"/>
      <w:lang w:val="en-US" w:eastAsia="en-US" w:bidi="ar-SA"/>
    </w:rPr>
  </w:style>
  <w:style w:type="character" w:customStyle="1" w:styleId="218">
    <w:name w:val="标题 2 Char1"/>
    <w:autoRedefine/>
    <w:qFormat/>
    <w:uiPriority w:val="0"/>
    <w:rPr>
      <w:rFonts w:ascii="Cambria" w:hAnsi="Cambria" w:eastAsia="宋体" w:cs="Times New Roman"/>
      <w:b/>
      <w:bCs/>
      <w:kern w:val="2"/>
      <w:sz w:val="32"/>
      <w:szCs w:val="32"/>
    </w:rPr>
  </w:style>
  <w:style w:type="character" w:customStyle="1" w:styleId="219">
    <w:name w:val="脚注文本 Char1"/>
    <w:autoRedefine/>
    <w:qFormat/>
    <w:uiPriority w:val="0"/>
    <w:rPr>
      <w:rFonts w:ascii="Arial" w:hAnsi="Arial" w:cs="Arial"/>
      <w:sz w:val="18"/>
      <w:szCs w:val="18"/>
      <w:lang w:eastAsia="en-US"/>
    </w:rPr>
  </w:style>
  <w:style w:type="character" w:customStyle="1" w:styleId="220">
    <w:name w:val="HTML 预设格式 Char2"/>
    <w:autoRedefine/>
    <w:qFormat/>
    <w:uiPriority w:val="99"/>
    <w:rPr>
      <w:rFonts w:ascii="Courier New" w:hAnsi="Courier New" w:eastAsia="宋体" w:cs="Courier New"/>
      <w:sz w:val="20"/>
      <w:szCs w:val="20"/>
    </w:rPr>
  </w:style>
  <w:style w:type="character" w:customStyle="1" w:styleId="221">
    <w:name w:val="标题 8 Char"/>
    <w:autoRedefine/>
    <w:qFormat/>
    <w:uiPriority w:val="0"/>
    <w:rPr>
      <w:rFonts w:ascii="Arial" w:hAnsi="Arial" w:eastAsia="黑体" w:cs="Times New Roman"/>
      <w:sz w:val="24"/>
      <w:szCs w:val="24"/>
    </w:rPr>
  </w:style>
  <w:style w:type="character" w:customStyle="1" w:styleId="222">
    <w:name w:val="s3"/>
    <w:autoRedefine/>
    <w:qFormat/>
    <w:uiPriority w:val="0"/>
  </w:style>
  <w:style w:type="character" w:customStyle="1" w:styleId="223">
    <w:name w:val="标题 4 Char"/>
    <w:autoRedefine/>
    <w:qFormat/>
    <w:uiPriority w:val="0"/>
    <w:rPr>
      <w:rFonts w:ascii="仿宋_GB2312" w:hAnsi="Calibri" w:eastAsia="仿宋_GB2312" w:cs="Times New Roman"/>
      <w:b/>
      <w:kern w:val="0"/>
      <w:sz w:val="24"/>
      <w:szCs w:val="28"/>
    </w:rPr>
  </w:style>
  <w:style w:type="character" w:customStyle="1" w:styleId="224">
    <w:name w:val="正文文本缩进 2 Char"/>
    <w:autoRedefine/>
    <w:qFormat/>
    <w:uiPriority w:val="0"/>
    <w:rPr>
      <w:kern w:val="2"/>
      <w:sz w:val="21"/>
      <w:szCs w:val="24"/>
    </w:rPr>
  </w:style>
  <w:style w:type="character" w:customStyle="1" w:styleId="225">
    <w:name w:val="style21"/>
    <w:autoRedefine/>
    <w:qFormat/>
    <w:uiPriority w:val="0"/>
    <w:rPr>
      <w:b/>
      <w:bCs/>
      <w:sz w:val="28"/>
      <w:szCs w:val="28"/>
    </w:rPr>
  </w:style>
  <w:style w:type="character" w:customStyle="1" w:styleId="226">
    <w:name w:val="正文文本缩进 2 Char2"/>
    <w:autoRedefine/>
    <w:qFormat/>
    <w:uiPriority w:val="99"/>
    <w:rPr>
      <w:rFonts w:ascii="Calibri" w:hAnsi="Calibri" w:eastAsia="宋体" w:cs="Times New Roman"/>
      <w:szCs w:val="24"/>
    </w:rPr>
  </w:style>
  <w:style w:type="character" w:customStyle="1" w:styleId="227">
    <w:name w:val="ht1"/>
    <w:autoRedefine/>
    <w:qFormat/>
    <w:uiPriority w:val="0"/>
    <w:rPr>
      <w:rFonts w:ascii="黑体" w:eastAsia="黑体"/>
      <w:b/>
      <w:bCs/>
    </w:rPr>
  </w:style>
  <w:style w:type="character" w:customStyle="1" w:styleId="228">
    <w:name w:val="文档结构图 Char3"/>
    <w:autoRedefine/>
    <w:qFormat/>
    <w:uiPriority w:val="99"/>
    <w:rPr>
      <w:rFonts w:ascii="宋体" w:hAnsi="Calibri" w:eastAsia="宋体" w:cs="Times New Roman"/>
      <w:sz w:val="18"/>
      <w:szCs w:val="18"/>
    </w:rPr>
  </w:style>
  <w:style w:type="character" w:customStyle="1" w:styleId="229">
    <w:name w:val="书籍标题1"/>
    <w:autoRedefine/>
    <w:qFormat/>
    <w:uiPriority w:val="0"/>
    <w:rPr>
      <w:b/>
      <w:bCs/>
      <w:smallCaps/>
      <w:spacing w:val="5"/>
    </w:rPr>
  </w:style>
  <w:style w:type="character" w:customStyle="1" w:styleId="230">
    <w:name w:val="标题 7 Char1"/>
    <w:autoRedefine/>
    <w:qFormat/>
    <w:uiPriority w:val="0"/>
    <w:rPr>
      <w:rFonts w:ascii="Times New Roman" w:hAnsi="Times New Roman" w:eastAsia="仿宋_GB2312" w:cs="Times New Roman"/>
      <w:sz w:val="30"/>
      <w:szCs w:val="20"/>
    </w:rPr>
  </w:style>
  <w:style w:type="character" w:customStyle="1" w:styleId="231">
    <w:name w:val="明显引用 Char2"/>
    <w:autoRedefine/>
    <w:qFormat/>
    <w:uiPriority w:val="99"/>
    <w:rPr>
      <w:b/>
      <w:bCs/>
      <w:i/>
      <w:iCs/>
      <w:color w:val="4F81BD"/>
      <w:kern w:val="2"/>
      <w:sz w:val="21"/>
      <w:szCs w:val="24"/>
    </w:rPr>
  </w:style>
  <w:style w:type="character" w:customStyle="1" w:styleId="232">
    <w:name w:val="不明显强调1"/>
    <w:autoRedefine/>
    <w:qFormat/>
    <w:uiPriority w:val="0"/>
    <w:rPr>
      <w:i/>
      <w:iCs/>
      <w:color w:val="808080"/>
    </w:rPr>
  </w:style>
  <w:style w:type="character" w:customStyle="1" w:styleId="233">
    <w:name w:val="普通文字 Char Char2"/>
    <w:autoRedefine/>
    <w:qFormat/>
    <w:uiPriority w:val="0"/>
    <w:rPr>
      <w:rFonts w:ascii="宋体" w:hAnsi="Courier New"/>
      <w:kern w:val="2"/>
      <w:sz w:val="28"/>
      <w:szCs w:val="28"/>
    </w:rPr>
  </w:style>
  <w:style w:type="character" w:customStyle="1" w:styleId="234">
    <w:name w:val="标题 6 Char"/>
    <w:autoRedefine/>
    <w:qFormat/>
    <w:uiPriority w:val="0"/>
    <w:rPr>
      <w:rFonts w:ascii="Arial" w:hAnsi="Arial" w:eastAsia="黑体" w:cs="Times New Roman"/>
      <w:b/>
      <w:bCs/>
      <w:sz w:val="24"/>
      <w:szCs w:val="24"/>
    </w:rPr>
  </w:style>
  <w:style w:type="character" w:customStyle="1" w:styleId="235">
    <w:name w:val="l1"/>
    <w:basedOn w:val="48"/>
    <w:autoRedefine/>
    <w:qFormat/>
    <w:uiPriority w:val="0"/>
  </w:style>
  <w:style w:type="character" w:customStyle="1" w:styleId="236">
    <w:name w:val="未处理的提及1"/>
    <w:autoRedefine/>
    <w:qFormat/>
    <w:uiPriority w:val="99"/>
    <w:rPr>
      <w:color w:val="808080"/>
      <w:shd w:val="clear" w:color="auto" w:fill="E6E6E6"/>
    </w:rPr>
  </w:style>
  <w:style w:type="character" w:customStyle="1" w:styleId="237">
    <w:name w:val="页眉 字符"/>
    <w:link w:val="31"/>
    <w:autoRedefine/>
    <w:qFormat/>
    <w:uiPriority w:val="0"/>
    <w:rPr>
      <w:rFonts w:eastAsia="宋体"/>
      <w:kern w:val="2"/>
      <w:sz w:val="18"/>
      <w:szCs w:val="18"/>
      <w:lang w:val="en-US" w:eastAsia="zh-CN" w:bidi="ar-SA"/>
    </w:rPr>
  </w:style>
  <w:style w:type="character" w:customStyle="1" w:styleId="238">
    <w:name w:val="Char Char35"/>
    <w:autoRedefine/>
    <w:qFormat/>
    <w:uiPriority w:val="0"/>
    <w:rPr>
      <w:rFonts w:ascii="仿宋_GB2312" w:eastAsia="仿宋_GB2312" w:cs="MingLiU"/>
      <w:b/>
      <w:sz w:val="24"/>
      <w:szCs w:val="28"/>
    </w:rPr>
  </w:style>
  <w:style w:type="character" w:customStyle="1" w:styleId="239">
    <w:name w:val="Char Char11"/>
    <w:autoRedefine/>
    <w:qFormat/>
    <w:uiPriority w:val="0"/>
    <w:rPr>
      <w:rFonts w:eastAsia="黑体"/>
      <w:kern w:val="2"/>
      <w:sz w:val="44"/>
      <w:szCs w:val="44"/>
      <w:lang w:val="en-US" w:eastAsia="zh-CN" w:bidi="ar-SA"/>
    </w:rPr>
  </w:style>
  <w:style w:type="character" w:customStyle="1" w:styleId="240">
    <w:name w:val="style31"/>
    <w:autoRedefine/>
    <w:qFormat/>
    <w:uiPriority w:val="0"/>
    <w:rPr>
      <w:sz w:val="10"/>
      <w:szCs w:val="10"/>
    </w:rPr>
  </w:style>
  <w:style w:type="character" w:customStyle="1" w:styleId="241">
    <w:name w:val="0d1471"/>
    <w:autoRedefine/>
    <w:qFormat/>
    <w:uiPriority w:val="0"/>
    <w:rPr>
      <w:color w:val="000000"/>
      <w:sz w:val="11"/>
      <w:szCs w:val="11"/>
      <w:u w:val="none"/>
    </w:rPr>
  </w:style>
  <w:style w:type="character" w:customStyle="1" w:styleId="242">
    <w:name w:val="标题 9 Char"/>
    <w:autoRedefine/>
    <w:qFormat/>
    <w:uiPriority w:val="0"/>
    <w:rPr>
      <w:rFonts w:ascii="Arial" w:hAnsi="Arial" w:eastAsia="黑体" w:cs="Times New Roman"/>
      <w:szCs w:val="21"/>
    </w:rPr>
  </w:style>
  <w:style w:type="character" w:customStyle="1" w:styleId="243">
    <w:name w:val="标题 3 Char1"/>
    <w:autoRedefine/>
    <w:qFormat/>
    <w:uiPriority w:val="0"/>
    <w:rPr>
      <w:rFonts w:ascii="Times New Roman" w:hAnsi="Times New Roman" w:eastAsia="宋体" w:cs="Times New Roman"/>
      <w:b/>
      <w:bCs/>
      <w:kern w:val="2"/>
      <w:sz w:val="32"/>
      <w:szCs w:val="32"/>
    </w:rPr>
  </w:style>
  <w:style w:type="character" w:customStyle="1" w:styleId="244">
    <w:name w:val="标题4 Char Char"/>
    <w:link w:val="88"/>
    <w:autoRedefine/>
    <w:qFormat/>
    <w:uiPriority w:val="0"/>
    <w:rPr>
      <w:rFonts w:ascii="Arial" w:hAnsi="Arial"/>
      <w:b/>
      <w:bCs/>
      <w:sz w:val="24"/>
      <w:szCs w:val="32"/>
      <w:lang w:bidi="ar-SA"/>
    </w:rPr>
  </w:style>
  <w:style w:type="character" w:customStyle="1" w:styleId="245">
    <w:name w:val="标题 5 Char1"/>
    <w:autoRedefine/>
    <w:qFormat/>
    <w:uiPriority w:val="0"/>
    <w:rPr>
      <w:rFonts w:ascii="宋体" w:hAnsi="宋体" w:eastAsia="宋体" w:cs="宋体"/>
      <w:b/>
      <w:bCs/>
      <w:sz w:val="20"/>
      <w:szCs w:val="20"/>
    </w:rPr>
  </w:style>
  <w:style w:type="character" w:customStyle="1" w:styleId="246">
    <w:name w:val="正文文本缩进 3 Char1"/>
    <w:autoRedefine/>
    <w:qFormat/>
    <w:uiPriority w:val="0"/>
    <w:rPr>
      <w:rFonts w:ascii="宋体" w:hAnsi="宋体"/>
      <w:kern w:val="2"/>
      <w:sz w:val="28"/>
      <w:szCs w:val="28"/>
    </w:rPr>
  </w:style>
  <w:style w:type="character" w:customStyle="1" w:styleId="247">
    <w:name w:val="Char Char33"/>
    <w:autoRedefine/>
    <w:qFormat/>
    <w:uiPriority w:val="0"/>
    <w:rPr>
      <w:rFonts w:ascii="仿宋_GB2312" w:eastAsia="仿宋_GB2312" w:cs="MingLiU"/>
      <w:b/>
      <w:sz w:val="24"/>
      <w:szCs w:val="28"/>
    </w:rPr>
  </w:style>
  <w:style w:type="character" w:customStyle="1" w:styleId="248">
    <w:name w:val="批注文字 Char1"/>
    <w:autoRedefine/>
    <w:qFormat/>
    <w:uiPriority w:val="99"/>
    <w:rPr>
      <w:rFonts w:ascii="Times New Roman" w:hAnsi="Times New Roman" w:eastAsia="宋体" w:cs="Times New Roman"/>
      <w:szCs w:val="24"/>
    </w:rPr>
  </w:style>
  <w:style w:type="character" w:customStyle="1" w:styleId="249">
    <w:name w:val="正文文本 3 Char1"/>
    <w:autoRedefine/>
    <w:qFormat/>
    <w:uiPriority w:val="0"/>
    <w:rPr>
      <w:kern w:val="2"/>
      <w:sz w:val="16"/>
      <w:szCs w:val="16"/>
    </w:rPr>
  </w:style>
  <w:style w:type="character" w:customStyle="1" w:styleId="250">
    <w:name w:val="页眉 Char"/>
    <w:autoRedefine/>
    <w:qFormat/>
    <w:uiPriority w:val="0"/>
    <w:rPr>
      <w:sz w:val="18"/>
      <w:szCs w:val="18"/>
    </w:rPr>
  </w:style>
  <w:style w:type="character" w:customStyle="1" w:styleId="251">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2">
    <w:name w:val="color_red1"/>
    <w:autoRedefine/>
    <w:qFormat/>
    <w:uiPriority w:val="0"/>
    <w:rPr>
      <w:color w:val="FA0004"/>
    </w:rPr>
  </w:style>
  <w:style w:type="character" w:customStyle="1" w:styleId="253">
    <w:name w:val="批注主题 Char2"/>
    <w:autoRedefine/>
    <w:qFormat/>
    <w:uiPriority w:val="99"/>
    <w:rPr>
      <w:b/>
      <w:bCs/>
      <w:kern w:val="2"/>
      <w:sz w:val="21"/>
      <w:szCs w:val="24"/>
    </w:rPr>
  </w:style>
  <w:style w:type="character" w:customStyle="1" w:styleId="254">
    <w:name w:val="Char Char34"/>
    <w:autoRedefine/>
    <w:qFormat/>
    <w:uiPriority w:val="0"/>
    <w:rPr>
      <w:rFonts w:ascii="仿宋_GB2312" w:eastAsia="仿宋_GB2312" w:cs="MingLiU"/>
      <w:b/>
      <w:spacing w:val="1"/>
      <w:w w:val="99"/>
      <w:sz w:val="28"/>
      <w:szCs w:val="32"/>
    </w:rPr>
  </w:style>
  <w:style w:type="character" w:customStyle="1" w:styleId="255">
    <w:name w:val="标题 1 Char"/>
    <w:autoRedefine/>
    <w:qFormat/>
    <w:uiPriority w:val="0"/>
    <w:rPr>
      <w:rFonts w:ascii="Times New Roman" w:hAnsi="Times New Roman" w:eastAsia="宋体" w:cs="Times New Roman"/>
      <w:b/>
      <w:bCs/>
      <w:kern w:val="44"/>
      <w:sz w:val="44"/>
      <w:szCs w:val="44"/>
    </w:rPr>
  </w:style>
  <w:style w:type="character" w:customStyle="1" w:styleId="256">
    <w:name w:val="docpro"/>
    <w:basedOn w:val="48"/>
    <w:autoRedefine/>
    <w:qFormat/>
    <w:uiPriority w:val="0"/>
  </w:style>
  <w:style w:type="character" w:customStyle="1" w:styleId="257">
    <w:name w:val="正文文本 3 Char"/>
    <w:autoRedefine/>
    <w:qFormat/>
    <w:uiPriority w:val="0"/>
    <w:rPr>
      <w:kern w:val="2"/>
      <w:sz w:val="16"/>
      <w:szCs w:val="16"/>
    </w:rPr>
  </w:style>
  <w:style w:type="character" w:customStyle="1" w:styleId="258">
    <w:name w:val="标题 5 Char"/>
    <w:autoRedefine/>
    <w:qFormat/>
    <w:uiPriority w:val="0"/>
    <w:rPr>
      <w:rFonts w:ascii="Calibri" w:hAnsi="Calibri" w:eastAsia="宋体" w:cs="Times New Roman"/>
      <w:b/>
      <w:bCs/>
      <w:sz w:val="28"/>
      <w:szCs w:val="28"/>
    </w:rPr>
  </w:style>
  <w:style w:type="character" w:customStyle="1" w:styleId="259">
    <w:name w:val="style161"/>
    <w:autoRedefine/>
    <w:qFormat/>
    <w:uiPriority w:val="0"/>
    <w:rPr>
      <w:b/>
      <w:bCs/>
      <w:color w:val="333333"/>
    </w:rPr>
  </w:style>
  <w:style w:type="character" w:customStyle="1" w:styleId="260">
    <w:name w:val="文档结构图 Char2"/>
    <w:autoRedefine/>
    <w:qFormat/>
    <w:uiPriority w:val="99"/>
    <w:rPr>
      <w:kern w:val="2"/>
      <w:sz w:val="21"/>
      <w:szCs w:val="24"/>
      <w:shd w:val="clear" w:color="auto" w:fill="000080"/>
    </w:rPr>
  </w:style>
  <w:style w:type="character" w:customStyle="1" w:styleId="261">
    <w:name w:val="页脚 Char1"/>
    <w:autoRedefine/>
    <w:qFormat/>
    <w:uiPriority w:val="99"/>
    <w:rPr>
      <w:kern w:val="2"/>
      <w:sz w:val="18"/>
      <w:szCs w:val="18"/>
    </w:rPr>
  </w:style>
  <w:style w:type="character" w:customStyle="1" w:styleId="262">
    <w:name w:val="日期 Char2"/>
    <w:autoRedefine/>
    <w:qFormat/>
    <w:uiPriority w:val="99"/>
    <w:rPr>
      <w:kern w:val="2"/>
      <w:sz w:val="21"/>
      <w:szCs w:val="24"/>
    </w:rPr>
  </w:style>
  <w:style w:type="character" w:customStyle="1" w:styleId="263">
    <w:name w:val="HTML 预设格式 Char"/>
    <w:autoRedefine/>
    <w:qFormat/>
    <w:uiPriority w:val="0"/>
    <w:rPr>
      <w:rFonts w:ascii="宋体" w:hAnsi="宋体" w:eastAsia="宋体" w:cs="宋体"/>
      <w:color w:val="000000"/>
      <w:sz w:val="24"/>
      <w:szCs w:val="24"/>
    </w:rPr>
  </w:style>
  <w:style w:type="character" w:customStyle="1" w:styleId="264">
    <w:name w:val="批注主题 字符"/>
    <w:link w:val="44"/>
    <w:autoRedefine/>
    <w:qFormat/>
    <w:uiPriority w:val="0"/>
    <w:rPr>
      <w:rFonts w:eastAsia="宋体"/>
      <w:b/>
      <w:bCs/>
      <w:kern w:val="2"/>
      <w:sz w:val="21"/>
      <w:szCs w:val="24"/>
      <w:lang w:val="en-US" w:eastAsia="zh-CN" w:bidi="ar-SA"/>
    </w:rPr>
  </w:style>
  <w:style w:type="character" w:customStyle="1" w:styleId="265">
    <w:name w:val="正文文本 2 字符"/>
    <w:link w:val="40"/>
    <w:autoRedefine/>
    <w:qFormat/>
    <w:uiPriority w:val="0"/>
    <w:rPr>
      <w:i/>
      <w:iCs/>
      <w:kern w:val="2"/>
      <w:sz w:val="26"/>
      <w:szCs w:val="24"/>
    </w:rPr>
  </w:style>
  <w:style w:type="character" w:customStyle="1" w:styleId="266">
    <w:name w:val="批注框文本 Char"/>
    <w:autoRedefine/>
    <w:qFormat/>
    <w:uiPriority w:val="0"/>
    <w:rPr>
      <w:sz w:val="18"/>
      <w:szCs w:val="18"/>
    </w:rPr>
  </w:style>
  <w:style w:type="character" w:customStyle="1" w:styleId="267">
    <w:name w:val="文档结构图 Char"/>
    <w:autoRedefine/>
    <w:qFormat/>
    <w:uiPriority w:val="0"/>
    <w:rPr>
      <w:rFonts w:ascii="宋体"/>
      <w:kern w:val="2"/>
      <w:sz w:val="18"/>
      <w:szCs w:val="18"/>
    </w:rPr>
  </w:style>
  <w:style w:type="character" w:customStyle="1" w:styleId="268">
    <w:name w:val="标题 8 字符"/>
    <w:link w:val="11"/>
    <w:autoRedefine/>
    <w:qFormat/>
    <w:uiPriority w:val="0"/>
    <w:rPr>
      <w:rFonts w:hAnsi="Arial" w:eastAsia="仿宋_GB2312"/>
      <w:sz w:val="30"/>
      <w:lang w:val="en-US" w:eastAsia="zh-CN" w:bidi="ar-SA"/>
    </w:rPr>
  </w:style>
  <w:style w:type="character" w:customStyle="1" w:styleId="269">
    <w:name w:val="正文文本缩进 3 字符"/>
    <w:link w:val="37"/>
    <w:autoRedefine/>
    <w:qFormat/>
    <w:uiPriority w:val="0"/>
    <w:rPr>
      <w:rFonts w:ascii="宋体" w:hAnsi="宋体" w:eastAsia="宋体"/>
      <w:kern w:val="2"/>
      <w:sz w:val="28"/>
      <w:szCs w:val="28"/>
      <w:lang w:val="en-US" w:eastAsia="zh-CN" w:bidi="ar-SA"/>
    </w:rPr>
  </w:style>
  <w:style w:type="character" w:customStyle="1" w:styleId="270">
    <w:name w:val="正文文本缩进 字符"/>
    <w:link w:val="19"/>
    <w:autoRedefine/>
    <w:qFormat/>
    <w:uiPriority w:val="0"/>
    <w:rPr>
      <w:rFonts w:eastAsia="宋体"/>
      <w:kern w:val="2"/>
      <w:sz w:val="21"/>
      <w:szCs w:val="24"/>
      <w:lang w:val="en-US" w:eastAsia="zh-CN" w:bidi="ar-SA"/>
    </w:rPr>
  </w:style>
  <w:style w:type="character" w:customStyle="1" w:styleId="271">
    <w:name w:val="_Style 196"/>
    <w:autoRedefine/>
    <w:qFormat/>
    <w:uiPriority w:val="0"/>
    <w:rPr>
      <w:i/>
      <w:iCs/>
      <w:color w:val="808080"/>
    </w:rPr>
  </w:style>
  <w:style w:type="character" w:customStyle="1" w:styleId="272">
    <w:name w:val="正文文本缩进 2 字符"/>
    <w:link w:val="27"/>
    <w:autoRedefine/>
    <w:qFormat/>
    <w:uiPriority w:val="0"/>
    <w:rPr>
      <w:rFonts w:eastAsia="宋体"/>
      <w:sz w:val="28"/>
      <w:szCs w:val="24"/>
      <w:lang w:val="en-US" w:eastAsia="zh-CN" w:bidi="ar-SA"/>
    </w:rPr>
  </w:style>
  <w:style w:type="character" w:customStyle="1" w:styleId="273">
    <w:name w:val="标题 7 字符"/>
    <w:link w:val="10"/>
    <w:autoRedefine/>
    <w:qFormat/>
    <w:uiPriority w:val="0"/>
    <w:rPr>
      <w:rFonts w:eastAsia="仿宋_GB2312"/>
      <w:sz w:val="30"/>
      <w:lang w:val="en-US" w:eastAsia="zh-CN" w:bidi="ar-SA"/>
    </w:rPr>
  </w:style>
  <w:style w:type="character" w:customStyle="1" w:styleId="274">
    <w:name w:val="Char Char13"/>
    <w:autoRedefine/>
    <w:qFormat/>
    <w:uiPriority w:val="0"/>
    <w:rPr>
      <w:kern w:val="2"/>
      <w:sz w:val="18"/>
      <w:szCs w:val="18"/>
    </w:rPr>
  </w:style>
  <w:style w:type="character" w:customStyle="1" w:styleId="275">
    <w:name w:val="正文文本缩进 2 Char1"/>
    <w:autoRedefine/>
    <w:qFormat/>
    <w:uiPriority w:val="0"/>
    <w:rPr>
      <w:sz w:val="28"/>
      <w:szCs w:val="24"/>
    </w:rPr>
  </w:style>
  <w:style w:type="character" w:customStyle="1" w:styleId="276">
    <w:name w:val="Char Char21"/>
    <w:autoRedefine/>
    <w:qFormat/>
    <w:uiPriority w:val="0"/>
    <w:rPr>
      <w:rFonts w:ascii="宋体" w:hAnsi="宋体" w:cs="宋体"/>
      <w:b/>
      <w:bCs/>
      <w:sz w:val="24"/>
      <w:szCs w:val="24"/>
    </w:rPr>
  </w:style>
  <w:style w:type="character" w:customStyle="1" w:styleId="277">
    <w:name w:val="文档结构图 Char1"/>
    <w:autoRedefine/>
    <w:qFormat/>
    <w:uiPriority w:val="0"/>
    <w:rPr>
      <w:rFonts w:ascii="宋体"/>
      <w:kern w:val="2"/>
      <w:sz w:val="18"/>
      <w:szCs w:val="18"/>
    </w:rPr>
  </w:style>
  <w:style w:type="character" w:customStyle="1" w:styleId="278">
    <w:name w:val="标题 Char"/>
    <w:autoRedefine/>
    <w:qFormat/>
    <w:uiPriority w:val="0"/>
    <w:rPr>
      <w:rFonts w:ascii="Cambria" w:hAnsi="Cambria" w:eastAsia="宋体" w:cs="Times New Roman"/>
      <w:b/>
      <w:bCs/>
      <w:kern w:val="2"/>
      <w:sz w:val="32"/>
      <w:szCs w:val="32"/>
    </w:rPr>
  </w:style>
  <w:style w:type="character" w:customStyle="1" w:styleId="279">
    <w:name w:val="_Style 275"/>
    <w:autoRedefine/>
    <w:qFormat/>
    <w:uiPriority w:val="0"/>
    <w:rPr>
      <w:smallCaps/>
      <w:color w:val="C0504D"/>
      <w:u w:val="single"/>
    </w:rPr>
  </w:style>
  <w:style w:type="character" w:customStyle="1" w:styleId="280">
    <w:name w:val="Char Char12"/>
    <w:autoRedefine/>
    <w:qFormat/>
    <w:uiPriority w:val="0"/>
    <w:rPr>
      <w:rFonts w:eastAsia="黑体"/>
      <w:kern w:val="2"/>
      <w:sz w:val="44"/>
      <w:szCs w:val="44"/>
      <w:lang w:val="en-US" w:eastAsia="zh-CN" w:bidi="ar-SA"/>
    </w:rPr>
  </w:style>
  <w:style w:type="character" w:customStyle="1" w:styleId="281">
    <w:name w:val="明显参考1"/>
    <w:autoRedefine/>
    <w:qFormat/>
    <w:uiPriority w:val="0"/>
    <w:rPr>
      <w:b/>
      <w:bCs/>
      <w:smallCaps/>
      <w:color w:val="C0504D"/>
      <w:spacing w:val="5"/>
      <w:u w:val="single"/>
    </w:rPr>
  </w:style>
  <w:style w:type="character" w:customStyle="1" w:styleId="282">
    <w:name w:val="Char Char36"/>
    <w:autoRedefine/>
    <w:qFormat/>
    <w:uiPriority w:val="0"/>
    <w:rPr>
      <w:rFonts w:ascii="仿宋_GB2312" w:eastAsia="仿宋_GB2312" w:cs="MingLiU"/>
      <w:b/>
      <w:sz w:val="24"/>
      <w:szCs w:val="28"/>
    </w:rPr>
  </w:style>
  <w:style w:type="character" w:customStyle="1" w:styleId="283">
    <w:name w:val="批注框文本 Char2"/>
    <w:autoRedefine/>
    <w:qFormat/>
    <w:uiPriority w:val="99"/>
    <w:rPr>
      <w:kern w:val="2"/>
      <w:sz w:val="18"/>
      <w:szCs w:val="18"/>
    </w:rPr>
  </w:style>
  <w:style w:type="character" w:customStyle="1" w:styleId="284">
    <w:name w:val="subhead1"/>
    <w:autoRedefine/>
    <w:qFormat/>
    <w:uiPriority w:val="0"/>
    <w:rPr>
      <w:rFonts w:hint="default" w:ascii="Tahoma" w:hAnsi="Tahoma" w:cs="Tahoma"/>
      <w:color w:val="000000"/>
      <w:sz w:val="18"/>
      <w:szCs w:val="18"/>
      <w:u w:val="none"/>
      <w:shd w:val="clear" w:color="auto" w:fill="FFFFFF"/>
    </w:rPr>
  </w:style>
  <w:style w:type="character" w:customStyle="1" w:styleId="285">
    <w:name w:val="正文文本缩进 3 Char2"/>
    <w:autoRedefine/>
    <w:qFormat/>
    <w:uiPriority w:val="99"/>
    <w:rPr>
      <w:rFonts w:ascii="Calibri" w:hAnsi="Calibri" w:eastAsia="宋体" w:cs="Times New Roman"/>
      <w:sz w:val="16"/>
      <w:szCs w:val="16"/>
    </w:rPr>
  </w:style>
  <w:style w:type="character" w:customStyle="1" w:styleId="286">
    <w:name w:val="纯文本 Char"/>
    <w:autoRedefine/>
    <w:qFormat/>
    <w:uiPriority w:val="0"/>
    <w:rPr>
      <w:rFonts w:ascii="宋体" w:hAnsi="Courier New"/>
      <w:sz w:val="28"/>
      <w:szCs w:val="28"/>
    </w:rPr>
  </w:style>
  <w:style w:type="character" w:customStyle="1" w:styleId="287">
    <w:name w:val="纯文本 Char2"/>
    <w:autoRedefine/>
    <w:qFormat/>
    <w:uiPriority w:val="99"/>
    <w:rPr>
      <w:rFonts w:ascii="宋体" w:hAnsi="Courier New" w:eastAsia="宋体" w:cs="Courier New"/>
      <w:szCs w:val="21"/>
    </w:rPr>
  </w:style>
  <w:style w:type="character" w:customStyle="1" w:styleId="288">
    <w:name w:val="页眉 Char1"/>
    <w:autoRedefine/>
    <w:qFormat/>
    <w:uiPriority w:val="99"/>
    <w:rPr>
      <w:kern w:val="2"/>
      <w:sz w:val="18"/>
      <w:szCs w:val="18"/>
    </w:rPr>
  </w:style>
  <w:style w:type="character" w:customStyle="1" w:styleId="289">
    <w:name w:val="Char Char14"/>
    <w:autoRedefine/>
    <w:qFormat/>
    <w:uiPriority w:val="0"/>
    <w:rPr>
      <w:kern w:val="2"/>
      <w:sz w:val="18"/>
      <w:szCs w:val="18"/>
    </w:rPr>
  </w:style>
  <w:style w:type="character" w:customStyle="1" w:styleId="290">
    <w:name w:val="批注文字 字符"/>
    <w:link w:val="16"/>
    <w:autoRedefine/>
    <w:qFormat/>
    <w:uiPriority w:val="99"/>
    <w:rPr>
      <w:rFonts w:eastAsia="宋体"/>
      <w:kern w:val="2"/>
      <w:sz w:val="21"/>
      <w:szCs w:val="24"/>
      <w:lang w:val="en-US" w:eastAsia="zh-CN" w:bidi="ar-SA"/>
    </w:rPr>
  </w:style>
  <w:style w:type="character" w:customStyle="1" w:styleId="291">
    <w:name w:val="批注文字 Char Char"/>
    <w:autoRedefine/>
    <w:qFormat/>
    <w:uiPriority w:val="0"/>
    <w:rPr>
      <w:rFonts w:ascii="宋体" w:hAnsi="Times New Roman" w:eastAsia="宋体" w:cs="Times New Roman"/>
      <w:sz w:val="28"/>
      <w:szCs w:val="20"/>
    </w:rPr>
  </w:style>
  <w:style w:type="character" w:customStyle="1" w:styleId="292">
    <w:name w:val="标题 1 Char1"/>
    <w:autoRedefine/>
    <w:qFormat/>
    <w:uiPriority w:val="0"/>
    <w:rPr>
      <w:rFonts w:ascii="Times New Roman" w:hAnsi="Times New Roman" w:eastAsia="宋体" w:cs="Times New Roman"/>
      <w:b/>
      <w:bCs/>
      <w:kern w:val="44"/>
      <w:sz w:val="44"/>
      <w:szCs w:val="44"/>
    </w:rPr>
  </w:style>
  <w:style w:type="character" w:customStyle="1" w:styleId="293">
    <w:name w:val="标题 5 字符"/>
    <w:link w:val="7"/>
    <w:autoRedefine/>
    <w:qFormat/>
    <w:uiPriority w:val="0"/>
    <w:rPr>
      <w:rFonts w:ascii="宋体" w:hAnsi="宋体" w:eastAsia="宋体" w:cs="宋体"/>
      <w:b/>
      <w:bCs/>
      <w:lang w:val="en-US" w:eastAsia="zh-CN" w:bidi="ar-SA"/>
    </w:rPr>
  </w:style>
  <w:style w:type="character" w:customStyle="1" w:styleId="294">
    <w:name w:val="手改 Char Char"/>
    <w:autoRedefine/>
    <w:qFormat/>
    <w:uiPriority w:val="0"/>
    <w:rPr>
      <w:kern w:val="2"/>
      <w:sz w:val="21"/>
      <w:szCs w:val="24"/>
    </w:rPr>
  </w:style>
  <w:style w:type="character" w:customStyle="1" w:styleId="295">
    <w:name w:val="标题 1 字符"/>
    <w:link w:val="3"/>
    <w:autoRedefine/>
    <w:qFormat/>
    <w:uiPriority w:val="0"/>
    <w:rPr>
      <w:rFonts w:eastAsia="宋体"/>
      <w:b/>
      <w:bCs/>
      <w:kern w:val="44"/>
      <w:sz w:val="44"/>
      <w:szCs w:val="44"/>
      <w:lang w:val="en-US" w:eastAsia="zh-CN" w:bidi="ar-SA"/>
    </w:rPr>
  </w:style>
  <w:style w:type="character" w:customStyle="1" w:styleId="296">
    <w:name w:val="intel3"/>
    <w:basedOn w:val="48"/>
    <w:autoRedefine/>
    <w:qFormat/>
    <w:uiPriority w:val="0"/>
  </w:style>
  <w:style w:type="character" w:customStyle="1" w:styleId="297">
    <w:name w:val="副标题 Char2"/>
    <w:autoRedefine/>
    <w:qFormat/>
    <w:uiPriority w:val="11"/>
    <w:rPr>
      <w:rFonts w:ascii="Cambria" w:hAnsi="Cambria" w:eastAsia="宋体" w:cs="Times New Roman"/>
      <w:b/>
      <w:bCs/>
      <w:kern w:val="28"/>
      <w:sz w:val="32"/>
      <w:szCs w:val="32"/>
    </w:rPr>
  </w:style>
  <w:style w:type="character" w:customStyle="1" w:styleId="298">
    <w:name w:val="明显引用 Char4"/>
    <w:link w:val="119"/>
    <w:autoRedefine/>
    <w:qFormat/>
    <w:uiPriority w:val="0"/>
    <w:rPr>
      <w:b/>
      <w:bCs/>
      <w:i/>
      <w:iCs/>
      <w:color w:val="4F81BD"/>
      <w:kern w:val="2"/>
      <w:sz w:val="21"/>
      <w:szCs w:val="22"/>
      <w:lang w:bidi="ar-SA"/>
    </w:rPr>
  </w:style>
  <w:style w:type="character" w:customStyle="1" w:styleId="299">
    <w:name w:val="明显引用 Char1"/>
    <w:link w:val="112"/>
    <w:autoRedefine/>
    <w:qFormat/>
    <w:uiPriority w:val="30"/>
    <w:rPr>
      <w:b/>
      <w:bCs/>
      <w:i/>
      <w:iCs/>
      <w:color w:val="4F81BD"/>
      <w:kern w:val="2"/>
      <w:sz w:val="21"/>
    </w:rPr>
  </w:style>
  <w:style w:type="character" w:customStyle="1" w:styleId="300">
    <w:name w:val="HTML 预设格式 Char1"/>
    <w:autoRedefine/>
    <w:qFormat/>
    <w:uiPriority w:val="0"/>
    <w:rPr>
      <w:rFonts w:ascii="宋体" w:hAnsi="宋体" w:cs="宋体"/>
      <w:color w:val="000000"/>
      <w:sz w:val="24"/>
      <w:szCs w:val="24"/>
    </w:rPr>
  </w:style>
  <w:style w:type="character" w:customStyle="1" w:styleId="301">
    <w:name w:val="引用 Char"/>
    <w:link w:val="70"/>
    <w:autoRedefine/>
    <w:qFormat/>
    <w:uiPriority w:val="0"/>
    <w:rPr>
      <w:rFonts w:ascii="Times New Roman" w:hAnsi="Times New Roman" w:eastAsia="宋体" w:cs="Times New Roman"/>
      <w:i/>
      <w:iCs/>
      <w:color w:val="000000"/>
      <w:kern w:val="2"/>
      <w:sz w:val="21"/>
      <w:szCs w:val="24"/>
    </w:rPr>
  </w:style>
  <w:style w:type="character" w:customStyle="1" w:styleId="302">
    <w:name w:val="副标题 字符"/>
    <w:link w:val="34"/>
    <w:autoRedefine/>
    <w:qFormat/>
    <w:uiPriority w:val="0"/>
    <w:rPr>
      <w:rFonts w:eastAsia="宋体"/>
      <w:szCs w:val="24"/>
      <w:u w:val="single"/>
      <w:lang w:val="en-US" w:eastAsia="en-US" w:bidi="ar-SA"/>
    </w:rPr>
  </w:style>
  <w:style w:type="character" w:customStyle="1" w:styleId="303">
    <w:name w:val="ITTHEADER1 Char"/>
    <w:autoRedefine/>
    <w:qFormat/>
    <w:uiPriority w:val="0"/>
    <w:rPr>
      <w:rFonts w:eastAsia="黑体"/>
      <w:kern w:val="2"/>
      <w:sz w:val="44"/>
      <w:szCs w:val="44"/>
      <w:lang w:val="en-US" w:eastAsia="zh-CN" w:bidi="ar-SA"/>
    </w:rPr>
  </w:style>
  <w:style w:type="character" w:customStyle="1" w:styleId="304">
    <w:name w:val="日期 Char3"/>
    <w:autoRedefine/>
    <w:qFormat/>
    <w:uiPriority w:val="99"/>
    <w:rPr>
      <w:rFonts w:ascii="Calibri" w:hAnsi="Calibri" w:eastAsia="宋体" w:cs="Times New Roman"/>
      <w:szCs w:val="24"/>
    </w:rPr>
  </w:style>
  <w:style w:type="character" w:customStyle="1" w:styleId="305">
    <w:name w:val="纯文本 字符"/>
    <w:link w:val="24"/>
    <w:autoRedefine/>
    <w:qFormat/>
    <w:uiPriority w:val="0"/>
    <w:rPr>
      <w:rFonts w:ascii="宋体" w:hAnsi="Courier New" w:eastAsia="宋体" w:cs="Courier New"/>
      <w:kern w:val="2"/>
      <w:sz w:val="21"/>
      <w:szCs w:val="21"/>
      <w:lang w:val="en-US" w:eastAsia="zh-CN" w:bidi="ar-SA"/>
    </w:rPr>
  </w:style>
  <w:style w:type="character" w:customStyle="1" w:styleId="306">
    <w:name w:val="批注文字 Char"/>
    <w:autoRedefine/>
    <w:qFormat/>
    <w:uiPriority w:val="0"/>
    <w:rPr>
      <w:rFonts w:ascii="Times New Roman" w:hAnsi="Times New Roman" w:eastAsia="宋体" w:cs="Times New Roman"/>
      <w:kern w:val="2"/>
      <w:sz w:val="21"/>
      <w:szCs w:val="24"/>
    </w:rPr>
  </w:style>
  <w:style w:type="character" w:customStyle="1" w:styleId="307">
    <w:name w:val="Section Char"/>
    <w:autoRedefine/>
    <w:qFormat/>
    <w:uiPriority w:val="0"/>
    <w:rPr>
      <w:rFonts w:ascii="仿宋_GB2312" w:eastAsia="仿宋_GB2312" w:cs="MingLiU"/>
      <w:b/>
      <w:sz w:val="24"/>
      <w:szCs w:val="28"/>
      <w:lang w:val="en-US" w:eastAsia="zh-CN" w:bidi="ar-SA"/>
    </w:rPr>
  </w:style>
  <w:style w:type="character" w:customStyle="1" w:styleId="308">
    <w:name w:val="正文文本 3 Char2"/>
    <w:autoRedefine/>
    <w:qFormat/>
    <w:uiPriority w:val="99"/>
    <w:rPr>
      <w:rFonts w:ascii="Calibri" w:hAnsi="Calibri" w:eastAsia="宋体" w:cs="Times New Roman"/>
      <w:sz w:val="16"/>
      <w:szCs w:val="16"/>
    </w:rPr>
  </w:style>
  <w:style w:type="character" w:customStyle="1" w:styleId="309">
    <w:name w:val="正文文本 3 字符"/>
    <w:link w:val="17"/>
    <w:autoRedefine/>
    <w:qFormat/>
    <w:uiPriority w:val="0"/>
    <w:rPr>
      <w:rFonts w:eastAsia="宋体"/>
      <w:kern w:val="2"/>
      <w:sz w:val="16"/>
      <w:szCs w:val="16"/>
      <w:lang w:val="en-US" w:eastAsia="zh-CN" w:bidi="ar-SA"/>
    </w:rPr>
  </w:style>
  <w:style w:type="character" w:customStyle="1" w:styleId="310">
    <w:name w:val="普通文字 Char Char1"/>
    <w:autoRedefine/>
    <w:qFormat/>
    <w:uiPriority w:val="0"/>
    <w:rPr>
      <w:rFonts w:ascii="宋体" w:hAnsi="Courier New"/>
      <w:kern w:val="2"/>
      <w:sz w:val="28"/>
      <w:szCs w:val="28"/>
    </w:rPr>
  </w:style>
  <w:style w:type="character" w:customStyle="1" w:styleId="311">
    <w:name w:val="正文文本缩进 Char"/>
    <w:autoRedefine/>
    <w:qFormat/>
    <w:uiPriority w:val="0"/>
    <w:rPr>
      <w:rFonts w:ascii="黑体" w:hAnsi="宋体" w:eastAsia="黑体"/>
      <w:color w:val="000000"/>
      <w:sz w:val="28"/>
      <w:szCs w:val="32"/>
    </w:rPr>
  </w:style>
  <w:style w:type="character" w:customStyle="1" w:styleId="312">
    <w:name w:val="font161"/>
    <w:autoRedefine/>
    <w:qFormat/>
    <w:uiPriority w:val="0"/>
    <w:rPr>
      <w:b/>
      <w:bCs/>
      <w:sz w:val="32"/>
      <w:szCs w:val="32"/>
    </w:rPr>
  </w:style>
  <w:style w:type="paragraph" w:customStyle="1" w:styleId="313">
    <w:name w:val="List Paragraph_2053445d-0ea7-4fc6-805c-24e9551bff14"/>
    <w:basedOn w:val="1"/>
    <w:autoRedefine/>
    <w:qFormat/>
    <w:uiPriority w:val="99"/>
    <w:pPr>
      <w:ind w:firstLine="420" w:firstLineChars="200"/>
    </w:pPr>
    <w:rPr>
      <w:sz w:val="28"/>
      <w:szCs w:val="28"/>
    </w:rPr>
  </w:style>
  <w:style w:type="paragraph" w:customStyle="1" w:styleId="314">
    <w:name w:val="Revision_be56d849-df43-460f-89c6-231392157f72"/>
    <w:autoRedefine/>
    <w:qFormat/>
    <w:uiPriority w:val="99"/>
    <w:rPr>
      <w:rFonts w:ascii="Times New Roman" w:hAnsi="Times New Roman" w:eastAsia="宋体" w:cs="Times New Roman"/>
      <w:kern w:val="2"/>
      <w:sz w:val="21"/>
      <w:szCs w:val="24"/>
      <w:lang w:val="en-US" w:eastAsia="zh-CN" w:bidi="ar-SA"/>
    </w:rPr>
  </w:style>
  <w:style w:type="paragraph" w:customStyle="1" w:styleId="315">
    <w:name w:val="WPSOffice手动目录 1"/>
    <w:autoRedefine/>
    <w:qFormat/>
    <w:uiPriority w:val="0"/>
    <w:pPr>
      <w:ind w:leftChars="0"/>
    </w:pPr>
    <w:rPr>
      <w:rFonts w:ascii="Times New Roman" w:hAnsi="Times New Roman" w:eastAsia="宋体" w:cs="Times New Roman"/>
      <w:sz w:val="20"/>
      <w:szCs w:val="20"/>
    </w:rPr>
  </w:style>
  <w:style w:type="paragraph" w:customStyle="1" w:styleId="316">
    <w:name w:val="Table Text"/>
    <w:basedOn w:val="1"/>
    <w:autoRedefine/>
    <w:semiHidden/>
    <w:qFormat/>
    <w:uiPriority w:val="0"/>
    <w:rPr>
      <w:rFonts w:ascii="宋体" w:hAnsi="宋体" w:eastAsia="宋体" w:cs="宋体"/>
      <w:sz w:val="24"/>
      <w:szCs w:val="24"/>
    </w:rPr>
  </w:style>
  <w:style w:type="table" w:customStyle="1" w:styleId="31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52</Pages>
  <Words>81330</Words>
  <Characters>85666</Characters>
  <Paragraphs>4432</Paragraphs>
  <TotalTime>28</TotalTime>
  <ScaleCrop>false</ScaleCrop>
  <LinksUpToDate>false</LinksUpToDate>
  <CharactersWithSpaces>93476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 </cp:lastModifiedBy>
  <cp:lastPrinted>2024-03-13T01:11:00Z</cp:lastPrinted>
  <dcterms:modified xsi:type="dcterms:W3CDTF">2024-04-29T07:42:03Z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3875E67B2518458786DA55BE0E35A686_13</vt:lpwstr>
  </property>
</Properties>
</file>