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highlight w:val="none"/>
          <w:lang w:val="en-US" w:eastAsia="zh-CN"/>
        </w:rPr>
      </w:pPr>
      <w:r>
        <w:rPr>
          <w:rFonts w:hint="eastAsia" w:ascii="宋体" w:hAnsi="宋体"/>
          <w:b/>
          <w:sz w:val="44"/>
          <w:szCs w:val="44"/>
          <w:highlight w:val="none"/>
          <w:lang w:val="en-US" w:eastAsia="zh-CN"/>
        </w:rPr>
        <w:t xml:space="preserve"> </w:t>
      </w:r>
    </w:p>
    <w:p>
      <w:pPr>
        <w:spacing w:line="360" w:lineRule="auto"/>
        <w:jc w:val="center"/>
        <w:rPr>
          <w:rFonts w:ascii="宋体" w:hAnsi="宋体"/>
          <w:kern w:val="0"/>
          <w:sz w:val="32"/>
          <w:szCs w:val="32"/>
          <w:highlight w:val="none"/>
        </w:rPr>
      </w:pPr>
      <w:r>
        <w:rPr>
          <w:rFonts w:hint="eastAsia" w:ascii="宋体" w:hAnsi="宋体"/>
          <w:color w:val="0000FF"/>
          <w:kern w:val="0"/>
          <w:sz w:val="32"/>
          <w:szCs w:val="32"/>
          <w:highlight w:val="none"/>
          <w:u w:val="single"/>
          <w:lang w:eastAsia="zh-CN"/>
        </w:rPr>
        <w:t>迎龙创新港大科园片区维修维护项目</w:t>
      </w:r>
      <w:r>
        <w:rPr>
          <w:rFonts w:hint="eastAsia" w:ascii="宋体" w:hAnsi="宋体"/>
          <w:color w:val="0000FF"/>
          <w:kern w:val="0"/>
          <w:sz w:val="32"/>
          <w:szCs w:val="32"/>
          <w:highlight w:val="none"/>
          <w:u w:val="single"/>
          <w:lang w:val="en-US" w:eastAsia="zh-CN"/>
        </w:rPr>
        <w:t>施工</w:t>
      </w:r>
      <w:r>
        <w:rPr>
          <w:rFonts w:hint="eastAsia" w:ascii="宋体" w:hAnsi="宋体"/>
          <w:kern w:val="0"/>
          <w:sz w:val="32"/>
          <w:szCs w:val="32"/>
          <w:highlight w:val="none"/>
          <w:u w:val="single"/>
        </w:rPr>
        <w:t>（项目名称）</w:t>
      </w: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center"/>
        <w:outlineLvl w:val="0"/>
        <w:rPr>
          <w:rFonts w:ascii="宋体" w:hAnsi="宋体"/>
          <w:kern w:val="0"/>
          <w:sz w:val="72"/>
          <w:szCs w:val="72"/>
          <w:highlight w:val="none"/>
        </w:rPr>
      </w:pPr>
      <w:bookmarkStart w:id="0" w:name="_Toc13180"/>
      <w:r>
        <w:rPr>
          <w:rFonts w:hint="eastAsia" w:ascii="宋体" w:hAnsi="宋体"/>
          <w:kern w:val="0"/>
          <w:sz w:val="72"/>
          <w:szCs w:val="72"/>
          <w:highlight w:val="none"/>
          <w:lang w:val="en-US" w:eastAsia="zh-CN"/>
        </w:rPr>
        <w:t>竞争性比选</w:t>
      </w:r>
      <w:r>
        <w:rPr>
          <w:rFonts w:ascii="宋体" w:hAnsi="宋体"/>
          <w:kern w:val="0"/>
          <w:sz w:val="72"/>
          <w:szCs w:val="72"/>
          <w:highlight w:val="none"/>
        </w:rPr>
        <w:t>文件</w:t>
      </w:r>
      <w:bookmarkEnd w:id="0"/>
    </w:p>
    <w:p>
      <w:pPr>
        <w:autoSpaceDE w:val="0"/>
        <w:autoSpaceDN w:val="0"/>
        <w:adjustRightInd w:val="0"/>
        <w:snapToGrid w:val="0"/>
        <w:spacing w:line="360" w:lineRule="auto"/>
        <w:jc w:val="left"/>
        <w:rPr>
          <w:rFonts w:ascii="宋体" w:hAnsi="宋体"/>
          <w:kern w:val="0"/>
          <w:sz w:val="10"/>
          <w:szCs w:val="1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tabs>
          <w:tab w:val="left" w:pos="6219"/>
        </w:tabs>
        <w:autoSpaceDE w:val="0"/>
        <w:autoSpaceDN w:val="0"/>
        <w:adjustRightInd w:val="0"/>
        <w:snapToGrid w:val="0"/>
        <w:spacing w:line="360" w:lineRule="auto"/>
        <w:jc w:val="center"/>
        <w:outlineLvl w:val="0"/>
        <w:rPr>
          <w:rFonts w:ascii="宋体" w:hAnsi="宋体"/>
          <w:b/>
          <w:w w:val="99"/>
          <w:kern w:val="0"/>
          <w:sz w:val="28"/>
          <w:szCs w:val="28"/>
          <w:highlight w:val="none"/>
        </w:rPr>
      </w:pPr>
      <w:bookmarkStart w:id="1" w:name="_Toc22934"/>
      <w:r>
        <w:rPr>
          <w:rFonts w:hint="eastAsia" w:ascii="宋体" w:hAnsi="宋体"/>
          <w:b/>
          <w:w w:val="99"/>
          <w:kern w:val="0"/>
          <w:sz w:val="28"/>
          <w:szCs w:val="28"/>
          <w:highlight w:val="none"/>
          <w:lang w:val="en-US" w:eastAsia="zh-CN"/>
        </w:rPr>
        <w:t>比选</w:t>
      </w:r>
      <w:r>
        <w:rPr>
          <w:rFonts w:ascii="宋体" w:hAnsi="宋体"/>
          <w:b/>
          <w:w w:val="99"/>
          <w:kern w:val="0"/>
          <w:sz w:val="28"/>
          <w:szCs w:val="28"/>
          <w:highlight w:val="none"/>
        </w:rPr>
        <w:t>人：</w:t>
      </w:r>
      <w:r>
        <w:rPr>
          <w:rFonts w:hint="eastAsia" w:ascii="宋体" w:hAnsi="宋体"/>
          <w:b/>
          <w:w w:val="99"/>
          <w:kern w:val="0"/>
          <w:sz w:val="28"/>
          <w:szCs w:val="28"/>
          <w:highlight w:val="none"/>
        </w:rPr>
        <w:t>重庆</w:t>
      </w:r>
      <w:r>
        <w:rPr>
          <w:rFonts w:hint="eastAsia" w:ascii="宋体" w:hAnsi="宋体"/>
          <w:b/>
          <w:w w:val="99"/>
          <w:kern w:val="0"/>
          <w:sz w:val="28"/>
          <w:szCs w:val="28"/>
          <w:highlight w:val="none"/>
          <w:lang w:val="en-US" w:eastAsia="zh-CN"/>
        </w:rPr>
        <w:t>新汇商实业</w:t>
      </w:r>
      <w:r>
        <w:rPr>
          <w:rFonts w:hint="eastAsia" w:ascii="宋体" w:hAnsi="宋体"/>
          <w:b/>
          <w:w w:val="99"/>
          <w:kern w:val="0"/>
          <w:sz w:val="28"/>
          <w:szCs w:val="28"/>
          <w:highlight w:val="none"/>
        </w:rPr>
        <w:t>有限公司</w:t>
      </w:r>
      <w:r>
        <w:rPr>
          <w:rFonts w:ascii="宋体" w:hAnsi="宋体"/>
          <w:b/>
          <w:w w:val="99"/>
          <w:kern w:val="0"/>
          <w:sz w:val="28"/>
          <w:szCs w:val="28"/>
          <w:highlight w:val="none"/>
        </w:rPr>
        <w:t>（盖单位法人章）</w:t>
      </w:r>
      <w:bookmarkEnd w:id="1"/>
    </w:p>
    <w:p>
      <w:pPr>
        <w:autoSpaceDE w:val="0"/>
        <w:autoSpaceDN w:val="0"/>
        <w:adjustRightInd w:val="0"/>
        <w:snapToGrid w:val="0"/>
        <w:spacing w:line="360" w:lineRule="auto"/>
        <w:jc w:val="center"/>
        <w:rPr>
          <w:rFonts w:ascii="宋体" w:hAnsi="宋体"/>
          <w:b/>
          <w:kern w:val="0"/>
          <w:sz w:val="20"/>
          <w:szCs w:val="20"/>
          <w:highlight w:val="none"/>
        </w:rPr>
      </w:pPr>
    </w:p>
    <w:p>
      <w:pPr>
        <w:autoSpaceDE w:val="0"/>
        <w:autoSpaceDN w:val="0"/>
        <w:adjustRightInd w:val="0"/>
        <w:snapToGrid w:val="0"/>
        <w:spacing w:line="360" w:lineRule="auto"/>
        <w:jc w:val="center"/>
        <w:rPr>
          <w:rFonts w:ascii="宋体" w:hAnsi="宋体"/>
          <w:b/>
          <w:kern w:val="0"/>
          <w:sz w:val="28"/>
          <w:szCs w:val="28"/>
          <w:highlight w:val="none"/>
        </w:rPr>
      </w:pPr>
    </w:p>
    <w:p>
      <w:pPr>
        <w:autoSpaceDE w:val="0"/>
        <w:autoSpaceDN w:val="0"/>
        <w:adjustRightInd w:val="0"/>
        <w:snapToGrid w:val="0"/>
        <w:spacing w:line="360" w:lineRule="auto"/>
        <w:jc w:val="center"/>
        <w:rPr>
          <w:rFonts w:ascii="宋体" w:hAnsi="宋体"/>
          <w:b/>
          <w:kern w:val="0"/>
          <w:sz w:val="28"/>
          <w:szCs w:val="28"/>
          <w:highlight w:val="none"/>
        </w:rPr>
      </w:pPr>
    </w:p>
    <w:p>
      <w:pPr>
        <w:autoSpaceDE w:val="0"/>
        <w:autoSpaceDN w:val="0"/>
        <w:adjustRightInd w:val="0"/>
        <w:snapToGrid w:val="0"/>
        <w:spacing w:line="360" w:lineRule="auto"/>
        <w:rPr>
          <w:rFonts w:ascii="宋体" w:hAnsi="宋体"/>
          <w:b/>
          <w:kern w:val="0"/>
          <w:sz w:val="20"/>
          <w:szCs w:val="20"/>
          <w:highlight w:val="none"/>
        </w:rPr>
      </w:pPr>
    </w:p>
    <w:p>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2" w:name="_Toc13210649"/>
      <w:bookmarkStart w:id="3" w:name="_Toc536796736"/>
      <w:bookmarkStart w:id="4" w:name="_Toc536797277"/>
      <w:bookmarkStart w:id="5" w:name="_Toc509218549"/>
      <w:bookmarkStart w:id="6" w:name="_Toc536621766"/>
      <w:r>
        <w:rPr>
          <w:rFonts w:hint="eastAsia" w:ascii="宋体" w:hAnsi="宋体"/>
          <w:b/>
          <w:spacing w:val="8"/>
          <w:kern w:val="0"/>
          <w:sz w:val="28"/>
          <w:szCs w:val="28"/>
          <w:highlight w:val="none"/>
          <w:u w:val="single"/>
          <w:lang w:val="en-US" w:eastAsia="zh-CN"/>
        </w:rPr>
        <w:t>2024</w:t>
      </w:r>
      <w:r>
        <w:rPr>
          <w:rFonts w:ascii="宋体" w:hAnsi="宋体"/>
          <w:b/>
          <w:spacing w:val="8"/>
          <w:kern w:val="0"/>
          <w:sz w:val="28"/>
          <w:szCs w:val="28"/>
          <w:highlight w:val="none"/>
        </w:rPr>
        <w:t>年</w:t>
      </w:r>
      <w:r>
        <w:rPr>
          <w:rFonts w:hint="eastAsia" w:ascii="宋体" w:hAnsi="宋体"/>
          <w:b/>
          <w:spacing w:val="8"/>
          <w:kern w:val="0"/>
          <w:sz w:val="28"/>
          <w:szCs w:val="28"/>
          <w:highlight w:val="none"/>
          <w:u w:val="single"/>
          <w:lang w:val="en-US" w:eastAsia="zh-CN"/>
        </w:rPr>
        <w:t>5</w:t>
      </w:r>
      <w:r>
        <w:rPr>
          <w:rFonts w:ascii="宋体" w:hAnsi="宋体"/>
          <w:b/>
          <w:spacing w:val="8"/>
          <w:kern w:val="0"/>
          <w:sz w:val="28"/>
          <w:szCs w:val="28"/>
          <w:highlight w:val="none"/>
        </w:rPr>
        <w:t>月</w:t>
      </w:r>
      <w:bookmarkEnd w:id="2"/>
      <w:bookmarkEnd w:id="3"/>
      <w:bookmarkEnd w:id="4"/>
      <w:bookmarkEnd w:id="5"/>
      <w:bookmarkEnd w:id="6"/>
    </w:p>
    <w:p>
      <w:pPr>
        <w:pStyle w:val="3"/>
        <w:spacing w:line="360" w:lineRule="auto"/>
        <w:jc w:val="center"/>
        <w:outlineLvl w:val="9"/>
        <w:rPr>
          <w:rFonts w:ascii="宋体" w:hAnsi="宋体"/>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pPr>
        <w:pStyle w:val="120"/>
        <w:jc w:val="center"/>
        <w:rPr>
          <w:rFonts w:ascii="宋体" w:hAnsi="宋体"/>
          <w:color w:val="auto"/>
          <w:sz w:val="44"/>
          <w:szCs w:val="44"/>
          <w:highlight w:val="none"/>
          <w:lang w:val="zh-CN"/>
        </w:rPr>
      </w:pPr>
      <w:bookmarkStart w:id="7" w:name="_Toc28843"/>
      <w:bookmarkStart w:id="8"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7"/>
      <w:bookmarkEnd w:id="8"/>
    </w:p>
    <w:sdt>
      <w:sdtPr>
        <w:rPr>
          <w:rFonts w:ascii="宋体" w:hAnsi="宋体" w:eastAsia="宋体" w:cs="Times New Roman"/>
          <w:kern w:val="2"/>
          <w:sz w:val="21"/>
          <w:szCs w:val="24"/>
          <w:lang w:val="en-US" w:eastAsia="zh-CN" w:bidi="ar-SA"/>
        </w:rPr>
        <w:id w:val="14746035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9" w:name="_Toc509218691"/>
          <w:bookmarkStart w:id="10" w:name="_Toc287620666"/>
          <w:bookmarkStart w:id="11" w:name="_Toc224103298"/>
          <w:bookmarkStart w:id="12" w:name="_Toc287607727"/>
          <w:bookmarkStart w:id="13" w:name="_Toc12819"/>
          <w:bookmarkStart w:id="14" w:name="_Toc7997"/>
          <w:bookmarkStart w:id="15" w:name="_Toc430530415"/>
          <w:bookmarkStart w:id="16" w:name="_Toc277082535"/>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TOC \o "1-1" \h \u </w:instrText>
          </w:r>
          <w:r>
            <w:rPr>
              <w:sz w:val="24"/>
              <w:szCs w:val="24"/>
            </w:rPr>
            <w:fldChar w:fldCharType="separate"/>
          </w:r>
          <w:r>
            <w:rPr>
              <w:sz w:val="24"/>
              <w:szCs w:val="24"/>
            </w:rPr>
            <w:fldChar w:fldCharType="begin"/>
          </w:r>
          <w:r>
            <w:rPr>
              <w:sz w:val="24"/>
              <w:szCs w:val="24"/>
            </w:rPr>
            <w:instrText xml:space="preserve"> HYPERLINK \l _Toc13180 </w:instrText>
          </w:r>
          <w:r>
            <w:rPr>
              <w:sz w:val="24"/>
              <w:szCs w:val="24"/>
            </w:rPr>
            <w:fldChar w:fldCharType="separate"/>
          </w:r>
          <w:r>
            <w:rPr>
              <w:rFonts w:hint="eastAsia" w:ascii="宋体" w:hAnsi="宋体"/>
              <w:kern w:val="0"/>
              <w:sz w:val="24"/>
              <w:szCs w:val="24"/>
              <w:highlight w:val="none"/>
              <w:lang w:val="en-US" w:eastAsia="zh-CN"/>
            </w:rPr>
            <w:t>竞争性比选</w:t>
          </w:r>
          <w:r>
            <w:rPr>
              <w:rFonts w:ascii="宋体" w:hAnsi="宋体"/>
              <w:kern w:val="0"/>
              <w:sz w:val="24"/>
              <w:szCs w:val="24"/>
              <w:highlight w:val="none"/>
            </w:rPr>
            <w:t>文件</w:t>
          </w:r>
          <w:r>
            <w:rPr>
              <w:sz w:val="24"/>
              <w:szCs w:val="24"/>
            </w:rPr>
            <w:tab/>
          </w:r>
          <w:r>
            <w:rPr>
              <w:sz w:val="24"/>
              <w:szCs w:val="24"/>
            </w:rPr>
            <w:fldChar w:fldCharType="begin"/>
          </w:r>
          <w:r>
            <w:rPr>
              <w:sz w:val="24"/>
              <w:szCs w:val="24"/>
            </w:rPr>
            <w:instrText xml:space="preserve"> PAGEREF _Toc13180 \h </w:instrText>
          </w:r>
          <w:r>
            <w:rPr>
              <w:sz w:val="24"/>
              <w:szCs w:val="24"/>
            </w:rPr>
            <w:fldChar w:fldCharType="separate"/>
          </w:r>
          <w:r>
            <w:rPr>
              <w:sz w:val="24"/>
              <w:szCs w:val="24"/>
            </w:rPr>
            <w:t>- 1 -</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_Toc21307 </w:instrText>
          </w:r>
          <w:r>
            <w:rPr>
              <w:sz w:val="24"/>
              <w:szCs w:val="24"/>
            </w:rPr>
            <w:fldChar w:fldCharType="separate"/>
          </w:r>
          <w:r>
            <w:rPr>
              <w:rFonts w:ascii="宋体" w:hAnsi="宋体"/>
              <w:snapToGrid w:val="0"/>
              <w:kern w:val="0"/>
              <w:sz w:val="24"/>
              <w:szCs w:val="24"/>
              <w:highlight w:val="none"/>
            </w:rPr>
            <w:t xml:space="preserve">第一章  </w:t>
          </w:r>
          <w:r>
            <w:rPr>
              <w:rFonts w:hint="eastAsia" w:ascii="宋体" w:hAnsi="宋体"/>
              <w:snapToGrid w:val="0"/>
              <w:kern w:val="0"/>
              <w:sz w:val="24"/>
              <w:szCs w:val="24"/>
              <w:highlight w:val="none"/>
              <w:lang w:eastAsia="zh-CN"/>
            </w:rPr>
            <w:t>比选公告</w:t>
          </w:r>
          <w:r>
            <w:rPr>
              <w:sz w:val="24"/>
              <w:szCs w:val="24"/>
            </w:rPr>
            <w:tab/>
          </w:r>
          <w:r>
            <w:rPr>
              <w:sz w:val="24"/>
              <w:szCs w:val="24"/>
            </w:rPr>
            <w:fldChar w:fldCharType="begin"/>
          </w:r>
          <w:r>
            <w:rPr>
              <w:sz w:val="24"/>
              <w:szCs w:val="24"/>
            </w:rPr>
            <w:instrText xml:space="preserve"> PAGEREF _Toc21307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_Toc22622 </w:instrText>
          </w:r>
          <w:r>
            <w:rPr>
              <w:sz w:val="24"/>
              <w:szCs w:val="24"/>
            </w:rPr>
            <w:fldChar w:fldCharType="separate"/>
          </w:r>
          <w:r>
            <w:rPr>
              <w:rFonts w:ascii="宋体" w:hAnsi="宋体"/>
              <w:snapToGrid w:val="0"/>
              <w:kern w:val="0"/>
              <w:sz w:val="24"/>
              <w:szCs w:val="24"/>
              <w:highlight w:val="none"/>
            </w:rPr>
            <w:t xml:space="preserve">第二章  </w:t>
          </w:r>
          <w:r>
            <w:rPr>
              <w:rFonts w:hint="eastAsia" w:ascii="宋体" w:hAnsi="宋体"/>
              <w:snapToGrid w:val="0"/>
              <w:kern w:val="0"/>
              <w:sz w:val="24"/>
              <w:szCs w:val="24"/>
              <w:highlight w:val="none"/>
              <w:lang w:eastAsia="zh-CN"/>
            </w:rPr>
            <w:t>竞选人</w:t>
          </w:r>
          <w:r>
            <w:rPr>
              <w:rFonts w:ascii="宋体" w:hAnsi="宋体"/>
              <w:snapToGrid w:val="0"/>
              <w:kern w:val="0"/>
              <w:sz w:val="24"/>
              <w:szCs w:val="24"/>
              <w:highlight w:val="none"/>
            </w:rPr>
            <w:t>须知</w:t>
          </w:r>
          <w:r>
            <w:rPr>
              <w:sz w:val="24"/>
              <w:szCs w:val="24"/>
            </w:rPr>
            <w:tab/>
          </w:r>
          <w:r>
            <w:rPr>
              <w:sz w:val="24"/>
              <w:szCs w:val="24"/>
            </w:rPr>
            <w:fldChar w:fldCharType="begin"/>
          </w:r>
          <w:r>
            <w:rPr>
              <w:sz w:val="24"/>
              <w:szCs w:val="24"/>
            </w:rPr>
            <w:instrText xml:space="preserve"> PAGEREF _Toc22622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_Toc4335 </w:instrText>
          </w:r>
          <w:r>
            <w:rPr>
              <w:sz w:val="24"/>
              <w:szCs w:val="24"/>
            </w:rPr>
            <w:fldChar w:fldCharType="separate"/>
          </w:r>
          <w:r>
            <w:rPr>
              <w:rFonts w:ascii="宋体" w:hAnsi="宋体"/>
              <w:sz w:val="24"/>
              <w:szCs w:val="24"/>
              <w:highlight w:val="none"/>
            </w:rPr>
            <w:t xml:space="preserve">第三章 </w:t>
          </w:r>
          <w:r>
            <w:rPr>
              <w:rFonts w:hint="eastAsia" w:ascii="宋体" w:hAnsi="宋体"/>
              <w:sz w:val="24"/>
              <w:szCs w:val="24"/>
              <w:highlight w:val="none"/>
            </w:rPr>
            <w:t xml:space="preserve"> </w:t>
          </w:r>
          <w:r>
            <w:rPr>
              <w:rFonts w:ascii="宋体" w:hAnsi="宋体"/>
              <w:sz w:val="24"/>
              <w:szCs w:val="24"/>
              <w:highlight w:val="none"/>
            </w:rPr>
            <w:t>评标办法（综合评估法）</w:t>
          </w:r>
          <w:r>
            <w:rPr>
              <w:sz w:val="24"/>
              <w:szCs w:val="24"/>
            </w:rPr>
            <w:tab/>
          </w:r>
          <w:r>
            <w:rPr>
              <w:sz w:val="24"/>
              <w:szCs w:val="24"/>
            </w:rPr>
            <w:fldChar w:fldCharType="begin"/>
          </w:r>
          <w:r>
            <w:rPr>
              <w:sz w:val="24"/>
              <w:szCs w:val="24"/>
            </w:rPr>
            <w:instrText xml:space="preserve"> PAGEREF _Toc4335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_Toc29884 </w:instrText>
          </w:r>
          <w:r>
            <w:rPr>
              <w:sz w:val="24"/>
              <w:szCs w:val="24"/>
            </w:rPr>
            <w:fldChar w:fldCharType="separate"/>
          </w:r>
          <w:r>
            <w:rPr>
              <w:rFonts w:ascii="宋体" w:hAnsi="宋体"/>
              <w:sz w:val="24"/>
              <w:szCs w:val="24"/>
              <w:highlight w:val="none"/>
              <w:lang w:eastAsia="zh-CN"/>
            </w:rPr>
            <w:t>附件A：综合评估法否决投标情况一览表</w:t>
          </w:r>
          <w:r>
            <w:rPr>
              <w:sz w:val="24"/>
              <w:szCs w:val="24"/>
            </w:rPr>
            <w:tab/>
          </w:r>
          <w:r>
            <w:rPr>
              <w:sz w:val="24"/>
              <w:szCs w:val="24"/>
            </w:rPr>
            <w:fldChar w:fldCharType="begin"/>
          </w:r>
          <w:r>
            <w:rPr>
              <w:sz w:val="24"/>
              <w:szCs w:val="24"/>
            </w:rPr>
            <w:instrText xml:space="preserve"> PAGEREF _Toc29884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_Toc12421 </w:instrText>
          </w:r>
          <w:r>
            <w:rPr>
              <w:sz w:val="24"/>
              <w:szCs w:val="24"/>
            </w:rPr>
            <w:fldChar w:fldCharType="separate"/>
          </w:r>
          <w:r>
            <w:rPr>
              <w:rFonts w:hint="eastAsia" w:ascii="宋体" w:hAnsi="宋体"/>
              <w:kern w:val="0"/>
              <w:sz w:val="24"/>
              <w:szCs w:val="24"/>
              <w:highlight w:val="none"/>
            </w:rPr>
            <w:t>第四章  合同条款及格式</w:t>
          </w:r>
          <w:r>
            <w:rPr>
              <w:sz w:val="24"/>
              <w:szCs w:val="24"/>
            </w:rPr>
            <w:tab/>
          </w:r>
          <w:r>
            <w:rPr>
              <w:sz w:val="24"/>
              <w:szCs w:val="24"/>
            </w:rPr>
            <w:fldChar w:fldCharType="begin"/>
          </w:r>
          <w:r>
            <w:rPr>
              <w:sz w:val="24"/>
              <w:szCs w:val="24"/>
            </w:rPr>
            <w:instrText xml:space="preserve"> PAGEREF _Toc12421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_Toc28155 </w:instrText>
          </w:r>
          <w:r>
            <w:rPr>
              <w:sz w:val="24"/>
              <w:szCs w:val="24"/>
            </w:rPr>
            <w:fldChar w:fldCharType="separate"/>
          </w:r>
          <w:r>
            <w:rPr>
              <w:rFonts w:ascii="宋体" w:hAnsi="宋体"/>
              <w:sz w:val="24"/>
              <w:szCs w:val="24"/>
              <w:highlight w:val="none"/>
            </w:rPr>
            <w:t>第</w:t>
          </w:r>
          <w:r>
            <w:rPr>
              <w:rFonts w:hint="eastAsia" w:ascii="宋体" w:hAnsi="宋体"/>
              <w:sz w:val="24"/>
              <w:szCs w:val="24"/>
              <w:highlight w:val="none"/>
              <w:lang w:val="en-US" w:eastAsia="zh-CN"/>
            </w:rPr>
            <w:t>五</w:t>
          </w:r>
          <w:r>
            <w:rPr>
              <w:rFonts w:ascii="宋体" w:hAnsi="宋体"/>
              <w:sz w:val="24"/>
              <w:szCs w:val="24"/>
              <w:highlight w:val="none"/>
            </w:rPr>
            <w:t>章</w:t>
          </w:r>
          <w:r>
            <w:rPr>
              <w:rFonts w:hint="eastAsia" w:ascii="宋体" w:hAnsi="宋体"/>
              <w:sz w:val="24"/>
              <w:szCs w:val="24"/>
              <w:highlight w:val="none"/>
            </w:rPr>
            <w:t xml:space="preserve">  </w:t>
          </w:r>
          <w:r>
            <w:rPr>
              <w:rFonts w:ascii="宋体" w:hAnsi="宋体"/>
              <w:sz w:val="24"/>
              <w:szCs w:val="24"/>
              <w:highlight w:val="none"/>
            </w:rPr>
            <w:t>技术标准和要求</w:t>
          </w:r>
          <w:r>
            <w:rPr>
              <w:sz w:val="24"/>
              <w:szCs w:val="24"/>
            </w:rPr>
            <w:tab/>
          </w:r>
          <w:r>
            <w:rPr>
              <w:sz w:val="24"/>
              <w:szCs w:val="24"/>
            </w:rPr>
            <w:fldChar w:fldCharType="begin"/>
          </w:r>
          <w:r>
            <w:rPr>
              <w:sz w:val="24"/>
              <w:szCs w:val="24"/>
            </w:rPr>
            <w:instrText xml:space="preserve"> PAGEREF _Toc28155 \h </w:instrText>
          </w:r>
          <w:r>
            <w:rPr>
              <w:sz w:val="24"/>
              <w:szCs w:val="24"/>
            </w:rPr>
            <w:fldChar w:fldCharType="separate"/>
          </w:r>
          <w:r>
            <w:rPr>
              <w:sz w:val="24"/>
              <w:szCs w:val="24"/>
            </w:rPr>
            <w:t>109</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_Toc3098 </w:instrText>
          </w:r>
          <w:r>
            <w:rPr>
              <w:sz w:val="24"/>
              <w:szCs w:val="24"/>
            </w:rPr>
            <w:fldChar w:fldCharType="separate"/>
          </w:r>
          <w:r>
            <w:rPr>
              <w:rFonts w:hint="eastAsia" w:ascii="宋体" w:hAnsi="宋体"/>
              <w:sz w:val="24"/>
              <w:szCs w:val="24"/>
              <w:highlight w:val="none"/>
            </w:rPr>
            <w:t>第</w:t>
          </w:r>
          <w:r>
            <w:rPr>
              <w:rFonts w:hint="eastAsia" w:ascii="宋体" w:hAnsi="宋体"/>
              <w:sz w:val="24"/>
              <w:szCs w:val="24"/>
              <w:highlight w:val="none"/>
              <w:lang w:val="en-US" w:eastAsia="zh-CN"/>
            </w:rPr>
            <w:t>六</w:t>
          </w:r>
          <w:r>
            <w:rPr>
              <w:rFonts w:hint="eastAsia" w:ascii="宋体" w:hAnsi="宋体"/>
              <w:sz w:val="24"/>
              <w:szCs w:val="24"/>
              <w:highlight w:val="none"/>
            </w:rPr>
            <w:t xml:space="preserve">章  </w:t>
          </w:r>
          <w:r>
            <w:rPr>
              <w:rFonts w:hint="eastAsia" w:ascii="宋体" w:hAnsi="宋体"/>
              <w:sz w:val="24"/>
              <w:szCs w:val="24"/>
              <w:highlight w:val="none"/>
              <w:lang w:eastAsia="zh-CN"/>
            </w:rPr>
            <w:t>竞选文件</w:t>
          </w:r>
          <w:r>
            <w:rPr>
              <w:rFonts w:hint="eastAsia" w:ascii="宋体" w:hAnsi="宋体"/>
              <w:sz w:val="24"/>
              <w:szCs w:val="24"/>
              <w:highlight w:val="none"/>
            </w:rPr>
            <w:t>格式</w:t>
          </w:r>
          <w:r>
            <w:rPr>
              <w:sz w:val="24"/>
              <w:szCs w:val="24"/>
            </w:rPr>
            <w:tab/>
          </w:r>
          <w:r>
            <w:rPr>
              <w:sz w:val="24"/>
              <w:szCs w:val="24"/>
            </w:rPr>
            <w:fldChar w:fldCharType="begin"/>
          </w:r>
          <w:r>
            <w:rPr>
              <w:sz w:val="24"/>
              <w:szCs w:val="24"/>
            </w:rPr>
            <w:instrText xml:space="preserve"> PAGEREF _Toc3098 \h </w:instrText>
          </w:r>
          <w:r>
            <w:rPr>
              <w:sz w:val="24"/>
              <w:szCs w:val="24"/>
            </w:rPr>
            <w:fldChar w:fldCharType="separate"/>
          </w:r>
          <w:r>
            <w:rPr>
              <w:sz w:val="24"/>
              <w:szCs w:val="24"/>
            </w:rPr>
            <w:t>110</w:t>
          </w:r>
          <w:r>
            <w:rPr>
              <w:sz w:val="24"/>
              <w:szCs w:val="24"/>
            </w:rPr>
            <w:fldChar w:fldCharType="end"/>
          </w:r>
          <w:r>
            <w:rPr>
              <w:sz w:val="24"/>
              <w:szCs w:val="24"/>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napToGrid w:val="0"/>
              <w:kern w:val="0"/>
              <w:highlight w:val="none"/>
            </w:rPr>
            <w:sectPr>
              <w:footerReference r:id="rId5" w:type="default"/>
              <w:pgSz w:w="11906" w:h="16838"/>
              <w:pgMar w:top="1134" w:right="1418" w:bottom="1134" w:left="1418" w:header="851" w:footer="992" w:gutter="0"/>
              <w:cols w:space="720" w:num="1"/>
              <w:docGrid w:type="lines" w:linePitch="312" w:charSpace="0"/>
            </w:sectPr>
          </w:pPr>
          <w:r>
            <w:rPr>
              <w:sz w:val="24"/>
              <w:szCs w:val="24"/>
            </w:rPr>
            <w:fldChar w:fldCharType="end"/>
          </w:r>
          <w:bookmarkStart w:id="17" w:name="_Toc21307"/>
        </w:p>
      </w:sdtContent>
    </w:sdt>
    <w:p>
      <w:pPr>
        <w:pStyle w:val="3"/>
        <w:spacing w:line="360" w:lineRule="auto"/>
        <w:jc w:val="center"/>
        <w:rPr>
          <w:rFonts w:ascii="宋体" w:hAnsi="宋体"/>
          <w:snapToGrid w:val="0"/>
          <w:kern w:val="0"/>
          <w:highlight w:val="none"/>
        </w:rPr>
      </w:pPr>
      <w:r>
        <w:rPr>
          <w:rFonts w:ascii="宋体" w:hAnsi="宋体"/>
          <w:snapToGrid w:val="0"/>
          <w:kern w:val="0"/>
          <w:highlight w:val="none"/>
        </w:rPr>
        <w:t xml:space="preserve">第一章  </w:t>
      </w:r>
      <w:r>
        <w:rPr>
          <w:rFonts w:hint="eastAsia" w:ascii="宋体" w:hAnsi="宋体"/>
          <w:snapToGrid w:val="0"/>
          <w:kern w:val="0"/>
          <w:highlight w:val="none"/>
          <w:lang w:eastAsia="zh-CN"/>
        </w:rPr>
        <w:t>比选公告</w:t>
      </w:r>
      <w:bookmarkEnd w:id="9"/>
      <w:bookmarkEnd w:id="10"/>
      <w:bookmarkEnd w:id="11"/>
      <w:bookmarkEnd w:id="12"/>
      <w:bookmarkEnd w:id="13"/>
      <w:bookmarkEnd w:id="14"/>
      <w:bookmarkEnd w:id="15"/>
      <w:bookmarkEnd w:id="16"/>
      <w:bookmarkEnd w:id="17"/>
    </w:p>
    <w:p>
      <w:pPr>
        <w:pStyle w:val="4"/>
        <w:spacing w:before="100" w:after="100" w:line="460" w:lineRule="exact"/>
        <w:jc w:val="center"/>
        <w:rPr>
          <w:rFonts w:hint="eastAsia" w:ascii="宋体" w:hAnsi="宋体"/>
          <w:color w:val="0000FF"/>
          <w:kern w:val="0"/>
          <w:sz w:val="32"/>
          <w:szCs w:val="32"/>
          <w:highlight w:val="none"/>
          <w:u w:val="single"/>
          <w:lang w:val="en-US" w:eastAsia="zh-CN"/>
        </w:rPr>
      </w:pPr>
      <w:bookmarkStart w:id="18" w:name="_Toc430530416"/>
      <w:bookmarkStart w:id="19" w:name="_Toc200359238"/>
      <w:bookmarkStart w:id="20" w:name="_Toc27491"/>
      <w:bookmarkStart w:id="21" w:name="_Toc287607728"/>
      <w:bookmarkStart w:id="22" w:name="_Toc287620667"/>
      <w:bookmarkStart w:id="23" w:name="_Toc509218692"/>
      <w:bookmarkStart w:id="24" w:name="_Toc277082536"/>
      <w:bookmarkStart w:id="25" w:name="_Toc224103299"/>
      <w:bookmarkStart w:id="26" w:name="_Toc26523"/>
      <w:bookmarkStart w:id="27" w:name="_Toc200359427"/>
      <w:r>
        <w:rPr>
          <w:rFonts w:hint="eastAsia" w:ascii="宋体" w:hAnsi="宋体"/>
          <w:color w:val="0000FF"/>
          <w:kern w:val="0"/>
          <w:sz w:val="32"/>
          <w:szCs w:val="32"/>
          <w:highlight w:val="none"/>
          <w:u w:val="single"/>
          <w:lang w:eastAsia="zh-CN"/>
        </w:rPr>
        <w:t>迎龙创新港大科园片区维修维护项目施工</w:t>
      </w:r>
    </w:p>
    <w:p>
      <w:pPr>
        <w:pStyle w:val="4"/>
        <w:spacing w:before="100" w:after="100" w:line="460" w:lineRule="exact"/>
        <w:jc w:val="both"/>
        <w:rPr>
          <w:rFonts w:ascii="宋体" w:hAnsi="宋体"/>
          <w:snapToGrid w:val="0"/>
          <w:color w:val="auto"/>
          <w:sz w:val="28"/>
          <w:szCs w:val="28"/>
          <w:highlight w:val="none"/>
        </w:rPr>
      </w:pPr>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8"/>
      <w:bookmarkEnd w:id="19"/>
      <w:bookmarkEnd w:id="20"/>
      <w:bookmarkEnd w:id="21"/>
      <w:bookmarkEnd w:id="22"/>
      <w:bookmarkEnd w:id="23"/>
      <w:bookmarkEnd w:id="24"/>
      <w:bookmarkEnd w:id="25"/>
      <w:bookmarkEnd w:id="26"/>
      <w:bookmarkEnd w:id="27"/>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迎龙创新港大科园片区维修维护项目施工</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w:t>
      </w:r>
      <w:r>
        <w:rPr>
          <w:rFonts w:ascii="宋体" w:hAnsi="宋体" w:eastAsia="宋体" w:cs="宋体"/>
          <w:spacing w:val="-4"/>
          <w:sz w:val="21"/>
          <w:szCs w:val="21"/>
          <w:u w:val="single" w:color="auto"/>
        </w:rPr>
        <w:t>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u w:val="single"/>
        </w:rPr>
        <w:t>（资金来源）</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w:t>
      </w:r>
      <w:r>
        <w:rPr>
          <w:rFonts w:ascii="宋体" w:hAnsi="宋体" w:eastAsia="宋体" w:cs="宋体"/>
          <w:spacing w:val="-4"/>
          <w:sz w:val="21"/>
          <w:szCs w:val="21"/>
          <w:u w:val="single" w:color="auto"/>
        </w:rPr>
        <w:t>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non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pPr>
        <w:pStyle w:val="4"/>
        <w:spacing w:before="100" w:after="100" w:line="460" w:lineRule="exact"/>
        <w:rPr>
          <w:rFonts w:ascii="宋体" w:hAnsi="宋体"/>
          <w:snapToGrid w:val="0"/>
          <w:color w:val="auto"/>
          <w:sz w:val="28"/>
          <w:szCs w:val="28"/>
          <w:highlight w:val="none"/>
        </w:rPr>
      </w:pPr>
      <w:bookmarkStart w:id="28" w:name="_Toc22556"/>
      <w:bookmarkStart w:id="29" w:name="_Toc200359428"/>
      <w:bookmarkStart w:id="30" w:name="_Toc200359239"/>
      <w:bookmarkStart w:id="31" w:name="_Toc430530417"/>
      <w:bookmarkStart w:id="32" w:name="_Toc287607729"/>
      <w:bookmarkStart w:id="33" w:name="_Toc509218693"/>
      <w:bookmarkStart w:id="34" w:name="_Toc224103300"/>
      <w:bookmarkStart w:id="35" w:name="_Toc287620668"/>
      <w:bookmarkStart w:id="36" w:name="_Toc16344"/>
      <w:bookmarkStart w:id="37" w:name="_Toc277082537"/>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8"/>
      <w:bookmarkEnd w:id="29"/>
      <w:bookmarkEnd w:id="30"/>
      <w:bookmarkEnd w:id="31"/>
      <w:bookmarkEnd w:id="32"/>
      <w:bookmarkEnd w:id="33"/>
      <w:bookmarkEnd w:id="34"/>
      <w:bookmarkEnd w:id="35"/>
      <w:bookmarkEnd w:id="36"/>
      <w:bookmarkEnd w:id="37"/>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rPr>
        <w:t>2.1 建设地点：</w:t>
      </w:r>
      <w:r>
        <w:rPr>
          <w:rFonts w:hint="eastAsia" w:ascii="宋体" w:hAnsi="宋体"/>
          <w:snapToGrid w:val="0"/>
          <w:color w:val="auto"/>
          <w:kern w:val="0"/>
          <w:szCs w:val="21"/>
          <w:highlight w:val="none"/>
          <w:u w:val="single"/>
          <w:lang w:val="en-US" w:eastAsia="zh-CN"/>
        </w:rPr>
        <w:t>经开区</w:t>
      </w:r>
      <w:r>
        <w:rPr>
          <w:rFonts w:hint="eastAsia" w:ascii="宋体" w:hAnsi="宋体"/>
          <w:snapToGrid w:val="0"/>
          <w:color w:val="auto"/>
          <w:kern w:val="0"/>
          <w:szCs w:val="21"/>
          <w:highlight w:val="none"/>
          <w:u w:val="single"/>
        </w:rPr>
        <w:t>迎龙</w:t>
      </w:r>
      <w:r>
        <w:rPr>
          <w:rFonts w:hint="eastAsia" w:ascii="宋体" w:hAnsi="宋体"/>
          <w:snapToGrid w:val="0"/>
          <w:color w:val="auto"/>
          <w:kern w:val="0"/>
          <w:szCs w:val="21"/>
          <w:highlight w:val="none"/>
          <w:u w:val="single"/>
          <w:lang w:val="en-US" w:eastAsia="zh-CN"/>
        </w:rPr>
        <w:t>医药城</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rPr>
      </w:pPr>
      <w:r>
        <w:rPr>
          <w:rFonts w:hint="eastAsia" w:ascii="宋体" w:hAnsi="宋体"/>
          <w:snapToGrid w:val="0"/>
          <w:color w:val="0000FF"/>
          <w:kern w:val="0"/>
          <w:szCs w:val="21"/>
          <w:highlight w:val="none"/>
          <w:u w:val="single"/>
        </w:rPr>
        <w:t>2.2 项目概况与建设规模：</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迎龙创新港大科园片区共有1栋高层建筑、4栋多层建筑、3个车库，建筑面积约15万平方米。维修单位对园区所属建筑进行维修维护，合同为期一年。维修主要内容包括但不限于如下内容，具体以业主单位委托的维修项目为准。</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1.外墙抹灰层或瓷砖鼓包脱落，恢复处理。</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2.房屋外墙雨水管老化漏水，补漏或更换处理。屋面防水处理；雨儿墙防水处理。</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3.主排水排污管道疏通及优化改造；雨污水沟、槽、井、窨井清理清掏清运； 4.屋面天沟清掏检查。厨房、卫生间主排污管道锈蚀老化漏水，补漏或更换处理；阳台主排水管锈蚀老化漏水，补漏或更换处理。</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5.楼栋自来水主水管漏水，补漏或更换处理。</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6.路面、堡坎、围墙修复。窨井盖、铸铁（塑钢、喷塑铁）栏杆等公共设施维护。</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7.因不可抗拒因素造成的房屋损坏等情况的恢复处理。</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8.房屋分隔改变、功能调整及个性化需求等改造、装饰装修。</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9.上述范围的突发应急抢险。</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eastAsia="宋体"/>
          <w:i w:val="0"/>
          <w:iCs w:val="0"/>
          <w:caps w:val="0"/>
          <w:color w:val="0000FF"/>
          <w:spacing w:val="0"/>
          <w:sz w:val="21"/>
          <w:szCs w:val="21"/>
          <w:lang w:eastAsia="zh-CN"/>
        </w:rPr>
      </w:pPr>
      <w:r>
        <w:rPr>
          <w:rFonts w:hint="eastAsia" w:ascii="宋体" w:hAnsi="宋体"/>
          <w:snapToGrid w:val="0"/>
          <w:color w:val="0000FF"/>
          <w:kern w:val="0"/>
          <w:szCs w:val="21"/>
          <w:highlight w:val="none"/>
          <w:u w:val="single"/>
          <w:lang w:val="en-US" w:eastAsia="zh-CN"/>
        </w:rPr>
        <w:t xml:space="preserve"> 以上维修内容，具体实施内容以比选人工作指令为准。</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0000FF"/>
          <w:kern w:val="0"/>
          <w:szCs w:val="21"/>
          <w:highlight w:val="none"/>
          <w:u w:val="single"/>
          <w:lang w:val="en-US" w:eastAsia="zh-CN"/>
        </w:rPr>
        <w:t>30万</w:t>
      </w:r>
      <w:r>
        <w:rPr>
          <w:rFonts w:hint="eastAsia" w:ascii="宋体" w:hAnsi="宋体"/>
          <w:snapToGrid w:val="0"/>
          <w:color w:val="0000FF"/>
          <w:kern w:val="0"/>
          <w:szCs w:val="21"/>
          <w:highlight w:val="none"/>
          <w:u w:val="single"/>
        </w:rPr>
        <w:t>元</w:t>
      </w:r>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0000FF"/>
          <w:kern w:val="0"/>
          <w:szCs w:val="21"/>
          <w:highlight w:val="none"/>
          <w:u w:val="non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范围：</w:t>
      </w:r>
      <w:r>
        <w:rPr>
          <w:rFonts w:hint="eastAsia" w:ascii="宋体" w:hAnsi="宋体"/>
          <w:snapToGrid w:val="0"/>
          <w:color w:val="0000FF"/>
          <w:kern w:val="0"/>
          <w:szCs w:val="21"/>
          <w:highlight w:val="none"/>
          <w:u w:val="single"/>
          <w:lang w:val="en-US" w:eastAsia="zh-CN"/>
        </w:rPr>
        <w:t>迎龙创新港大科园片区共有1栋高层建筑、4栋多层建筑、3个车库，建筑面积约15万平方米。</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2.5 工期要求：</w:t>
      </w:r>
      <w:r>
        <w:rPr>
          <w:rFonts w:hint="eastAsia" w:ascii="宋体" w:hAnsi="宋体"/>
          <w:snapToGrid w:val="0"/>
          <w:color w:val="0000FF"/>
          <w:kern w:val="0"/>
          <w:szCs w:val="21"/>
          <w:highlight w:val="none"/>
          <w:u w:val="single"/>
          <w:lang w:val="en-US" w:eastAsia="zh-CN"/>
        </w:rPr>
        <w:t>365日历天，</w:t>
      </w:r>
      <w:r>
        <w:rPr>
          <w:rFonts w:hint="eastAsia" w:ascii="宋体" w:hAnsi="宋体"/>
          <w:snapToGrid w:val="0"/>
          <w:color w:val="auto"/>
          <w:kern w:val="0"/>
          <w:szCs w:val="21"/>
          <w:highlight w:val="none"/>
        </w:rPr>
        <w:t>缺陷责任期要求：</w:t>
      </w:r>
      <w:r>
        <w:rPr>
          <w:rFonts w:hint="eastAsia" w:ascii="宋体" w:hAnsi="宋体"/>
          <w:snapToGrid w:val="0"/>
          <w:color w:val="auto"/>
          <w:kern w:val="0"/>
          <w:szCs w:val="21"/>
          <w:highlight w:val="none"/>
          <w:u w:val="single"/>
          <w:lang w:val="en-US" w:eastAsia="zh-CN"/>
        </w:rPr>
        <w:t xml:space="preserve">1年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2.6 标段划分（如有）：</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2.7 其他：</w:t>
      </w:r>
      <w:r>
        <w:rPr>
          <w:rFonts w:hint="eastAsia" w:ascii="宋体" w:hAnsi="宋体"/>
          <w:snapToGrid w:val="0"/>
          <w:color w:val="0000FF"/>
          <w:kern w:val="0"/>
          <w:szCs w:val="21"/>
          <w:highlight w:val="none"/>
          <w:u w:val="single"/>
          <w:lang w:val="en-US" w:eastAsia="zh-CN"/>
        </w:rPr>
        <w:t>具体实施内容以比选人工作指令为准。</w:t>
      </w:r>
    </w:p>
    <w:p>
      <w:pPr>
        <w:pStyle w:val="4"/>
        <w:spacing w:before="100" w:after="100" w:line="460" w:lineRule="exact"/>
        <w:rPr>
          <w:rFonts w:ascii="宋体" w:hAnsi="宋体"/>
          <w:snapToGrid w:val="0"/>
          <w:sz w:val="28"/>
          <w:szCs w:val="28"/>
          <w:highlight w:val="none"/>
        </w:rPr>
      </w:pPr>
      <w:bookmarkStart w:id="38" w:name="_Toc509218694"/>
      <w:bookmarkStart w:id="39" w:name="_Toc5240"/>
      <w:bookmarkStart w:id="40" w:name="_Toc224103301"/>
      <w:bookmarkStart w:id="41" w:name="_Toc430530418"/>
      <w:bookmarkStart w:id="42" w:name="_Toc277082538"/>
      <w:bookmarkStart w:id="43" w:name="_Toc287607730"/>
      <w:bookmarkStart w:id="44" w:name="_Toc200359240"/>
      <w:bookmarkStart w:id="45" w:name="_Toc287620669"/>
      <w:bookmarkStart w:id="46" w:name="_Toc19513"/>
      <w:bookmarkStart w:id="47" w:name="_Toc200359429"/>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竞选人</w:t>
      </w:r>
      <w:r>
        <w:rPr>
          <w:rFonts w:ascii="宋体" w:hAnsi="宋体"/>
          <w:snapToGrid w:val="0"/>
          <w:sz w:val="28"/>
          <w:szCs w:val="28"/>
          <w:highlight w:val="none"/>
        </w:rPr>
        <w:t>资格要求</w:t>
      </w:r>
      <w:bookmarkEnd w:id="38"/>
      <w:bookmarkEnd w:id="39"/>
      <w:bookmarkEnd w:id="40"/>
      <w:bookmarkEnd w:id="41"/>
      <w:bookmarkEnd w:id="42"/>
      <w:bookmarkEnd w:id="43"/>
      <w:bookmarkEnd w:id="44"/>
      <w:bookmarkEnd w:id="45"/>
      <w:bookmarkEnd w:id="46"/>
      <w:bookmarkEnd w:id="47"/>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w:t>
      </w:r>
      <w:r>
        <w:rPr>
          <w:rFonts w:hint="eastAsia" w:ascii="宋体" w:hAnsi="宋体"/>
          <w:snapToGrid w:val="0"/>
          <w:kern w:val="0"/>
          <w:szCs w:val="21"/>
          <w:highlight w:val="none"/>
          <w:lang w:eastAsia="zh-CN"/>
        </w:rPr>
        <w:t>竞选人</w:t>
      </w:r>
      <w:r>
        <w:rPr>
          <w:rFonts w:ascii="宋体" w:hAnsi="宋体"/>
          <w:snapToGrid w:val="0"/>
          <w:kern w:val="0"/>
          <w:szCs w:val="21"/>
          <w:highlight w:val="none"/>
        </w:rPr>
        <w:t>须具备</w:t>
      </w:r>
      <w:r>
        <w:rPr>
          <w:rFonts w:hint="eastAsia" w:ascii="宋体" w:hAnsi="宋体"/>
          <w:snapToGrid w:val="0"/>
          <w:kern w:val="0"/>
          <w:szCs w:val="21"/>
          <w:highlight w:val="none"/>
        </w:rPr>
        <w:t>以下条件：</w:t>
      </w:r>
    </w:p>
    <w:p>
      <w:pPr>
        <w:spacing w:line="360" w:lineRule="auto"/>
        <w:ind w:firstLine="315" w:firstLineChars="150"/>
        <w:rPr>
          <w:rFonts w:hint="eastAsia" w:ascii="宋体" w:hAnsi="宋体"/>
          <w:strike w:val="0"/>
          <w:dstrike w:val="0"/>
          <w:color w:val="auto"/>
          <w:szCs w:val="21"/>
          <w:highlight w:val="none"/>
          <w:u w:val="single"/>
        </w:rPr>
      </w:pPr>
      <w:r>
        <w:rPr>
          <w:rFonts w:hint="eastAsia" w:ascii="宋体" w:hAnsi="宋体"/>
          <w:snapToGrid w:val="0"/>
          <w:kern w:val="0"/>
          <w:szCs w:val="21"/>
          <w:highlight w:val="none"/>
        </w:rPr>
        <w:t>3.1.1 本次招标要求</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具备的资质条件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lang w:val="en-US" w:eastAsia="zh-CN"/>
        </w:rPr>
        <w:t>具</w:t>
      </w:r>
      <w:r>
        <w:rPr>
          <w:rFonts w:hint="eastAsia" w:ascii="宋体" w:hAnsi="宋体"/>
          <w:snapToGrid w:val="0"/>
          <w:color w:val="auto"/>
          <w:kern w:val="0"/>
          <w:szCs w:val="21"/>
          <w:highlight w:val="none"/>
          <w:u w:val="single"/>
        </w:rPr>
        <w:t>备建设行政主管部门颁发的</w:t>
      </w:r>
      <w:r>
        <w:rPr>
          <w:rFonts w:hint="eastAsia" w:ascii="宋体" w:hAnsi="宋体"/>
          <w:snapToGrid w:val="0"/>
          <w:color w:val="auto"/>
          <w:kern w:val="0"/>
          <w:szCs w:val="21"/>
          <w:highlight w:val="none"/>
          <w:u w:val="single"/>
          <w:lang w:val="en-US" w:eastAsia="zh-CN"/>
        </w:rPr>
        <w:t>建筑工程施工总承包或市政公用工程</w:t>
      </w:r>
      <w:r>
        <w:rPr>
          <w:rFonts w:hint="eastAsia" w:ascii="宋体" w:hAnsi="宋体"/>
          <w:snapToGrid w:val="0"/>
          <w:color w:val="auto"/>
          <w:kern w:val="0"/>
          <w:szCs w:val="21"/>
          <w:highlight w:val="none"/>
          <w:u w:val="single"/>
        </w:rPr>
        <w:t>施工总承包三级及以上资质；</w:t>
      </w:r>
      <w:r>
        <w:rPr>
          <w:rFonts w:hint="eastAsia" w:asciiTheme="minorEastAsia" w:hAnsiTheme="minorEastAsia" w:eastAsiaTheme="minorEastAsia" w:cstheme="minorEastAsia"/>
          <w:sz w:val="21"/>
          <w:szCs w:val="21"/>
          <w:u w:val="single"/>
        </w:rPr>
        <w:t>202</w:t>
      </w:r>
      <w:r>
        <w:rPr>
          <w:rFonts w:hint="eastAsia" w:asciiTheme="minorEastAsia" w:hAnsiTheme="minorEastAsia" w:eastAsiaTheme="minorEastAsia" w:cstheme="minorEastAsia"/>
          <w:sz w:val="21"/>
          <w:szCs w:val="21"/>
          <w:u w:val="single"/>
          <w:lang w:val="en-US" w:eastAsia="zh-CN"/>
        </w:rPr>
        <w:t>0</w:t>
      </w:r>
      <w:r>
        <w:rPr>
          <w:rFonts w:hint="eastAsia" w:asciiTheme="minorEastAsia" w:hAnsiTheme="minorEastAsia" w:eastAsiaTheme="minorEastAsia" w:cstheme="minorEastAsia"/>
          <w:sz w:val="21"/>
          <w:szCs w:val="21"/>
          <w:u w:val="single"/>
        </w:rPr>
        <w:t>年1月1日至</w:t>
      </w:r>
      <w:r>
        <w:rPr>
          <w:rFonts w:hint="eastAsia" w:ascii="宋体" w:hAnsi="宋体"/>
          <w:strike w:val="0"/>
          <w:dstrike w:val="0"/>
          <w:color w:val="auto"/>
          <w:szCs w:val="21"/>
          <w:highlight w:val="none"/>
          <w:u w:val="single"/>
        </w:rPr>
        <w:t>投标截止日止（以竣工时间为准）</w:t>
      </w:r>
      <w:r>
        <w:rPr>
          <w:rFonts w:hint="eastAsia" w:ascii="宋体" w:hAnsi="宋体"/>
          <w:strike w:val="0"/>
          <w:dstrike w:val="0"/>
          <w:color w:val="auto"/>
          <w:szCs w:val="21"/>
          <w:highlight w:val="none"/>
          <w:u w:val="single"/>
          <w:lang w:val="en-US" w:eastAsia="zh-CN"/>
        </w:rPr>
        <w:t>完成</w:t>
      </w:r>
      <w:r>
        <w:rPr>
          <w:rFonts w:hint="eastAsia" w:ascii="宋体" w:hAnsi="宋体"/>
          <w:strike w:val="0"/>
          <w:dstrike w:val="0"/>
          <w:color w:val="auto"/>
          <w:szCs w:val="21"/>
          <w:highlight w:val="none"/>
          <w:u w:val="single"/>
        </w:rPr>
        <w:t>的</w:t>
      </w:r>
      <w:r>
        <w:rPr>
          <w:rFonts w:hint="eastAsia" w:ascii="宋体" w:hAnsi="宋体"/>
          <w:strike w:val="0"/>
          <w:dstrike w:val="0"/>
          <w:color w:val="auto"/>
          <w:szCs w:val="21"/>
          <w:highlight w:val="none"/>
          <w:u w:val="single"/>
          <w:lang w:val="en-US" w:eastAsia="zh-CN"/>
        </w:rPr>
        <w:t>3</w:t>
      </w:r>
      <w:r>
        <w:rPr>
          <w:rFonts w:hint="eastAsia" w:ascii="宋体" w:hAnsi="宋体"/>
          <w:strike w:val="0"/>
          <w:dstrike w:val="0"/>
          <w:color w:val="auto"/>
          <w:szCs w:val="21"/>
          <w:highlight w:val="none"/>
          <w:u w:val="single"/>
        </w:rPr>
        <w:t>个类似项目业绩。</w:t>
      </w:r>
    </w:p>
    <w:p>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还应在人员、设备、资金等方面具有相应的施工能力，详见招标文件第二章</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须知前附表第1.4.1项内容。</w:t>
      </w:r>
    </w:p>
    <w:p>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 xml:space="preserve">□接受 </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不接受</w:t>
      </w:r>
      <w:r>
        <w:rPr>
          <w:rFonts w:ascii="宋体" w:hAnsi="宋体"/>
          <w:snapToGrid w:val="0"/>
          <w:kern w:val="0"/>
          <w:szCs w:val="21"/>
          <w:highlight w:val="none"/>
        </w:rPr>
        <w:t>联合体投标。联合体投标的，应满足下列要求：</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p>
    <w:p>
      <w:pPr>
        <w:pStyle w:val="4"/>
        <w:spacing w:before="100" w:after="100" w:line="460" w:lineRule="exact"/>
        <w:rPr>
          <w:rFonts w:ascii="宋体" w:hAnsi="宋体"/>
          <w:snapToGrid w:val="0"/>
          <w:sz w:val="28"/>
          <w:szCs w:val="28"/>
          <w:highlight w:val="none"/>
        </w:rPr>
      </w:pPr>
      <w:bookmarkStart w:id="48" w:name="_Toc200359430"/>
      <w:bookmarkStart w:id="49" w:name="_Toc13751"/>
      <w:bookmarkStart w:id="50" w:name="_Toc200359241"/>
      <w:bookmarkStart w:id="51" w:name="_Toc430530419"/>
      <w:bookmarkStart w:id="52" w:name="_Toc277082539"/>
      <w:bookmarkStart w:id="53" w:name="_Toc10508"/>
      <w:bookmarkStart w:id="54" w:name="_Toc287620670"/>
      <w:bookmarkStart w:id="55" w:name="_Toc287607731"/>
      <w:bookmarkStart w:id="56" w:name="_Toc224103302"/>
      <w:bookmarkStart w:id="57" w:name="_Toc509218695"/>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val="en-US" w:eastAsia="zh-CN"/>
        </w:rPr>
        <w:t>比选</w:t>
      </w:r>
      <w:r>
        <w:rPr>
          <w:rFonts w:ascii="宋体" w:hAnsi="宋体"/>
          <w:snapToGrid w:val="0"/>
          <w:sz w:val="28"/>
          <w:szCs w:val="28"/>
          <w:highlight w:val="none"/>
        </w:rPr>
        <w:t>文件的获取</w:t>
      </w:r>
      <w:bookmarkEnd w:id="48"/>
      <w:bookmarkEnd w:id="49"/>
      <w:bookmarkEnd w:id="50"/>
      <w:bookmarkEnd w:id="51"/>
      <w:bookmarkEnd w:id="52"/>
      <w:bookmarkEnd w:id="53"/>
      <w:bookmarkEnd w:id="54"/>
      <w:bookmarkEnd w:id="55"/>
      <w:bookmarkEnd w:id="56"/>
      <w:bookmarkEnd w:id="57"/>
    </w:p>
    <w:p>
      <w:pPr>
        <w:widowControl/>
        <w:spacing w:line="360" w:lineRule="auto"/>
        <w:ind w:firstLine="420" w:firstLineChars="200"/>
        <w:rPr>
          <w:rFonts w:cs="宋体" w:asciiTheme="minorEastAsia" w:hAnsiTheme="minorEastAsia" w:eastAsiaTheme="minorEastAsia"/>
          <w:kern w:val="0"/>
          <w:sz w:val="21"/>
          <w:szCs w:val="21"/>
        </w:rPr>
      </w:pPr>
      <w:bookmarkStart w:id="58" w:name="_Toc277082540"/>
      <w:bookmarkStart w:id="59" w:name="_Toc28449"/>
      <w:bookmarkStart w:id="60" w:name="_Toc3893"/>
      <w:bookmarkStart w:id="61" w:name="_Toc287607732"/>
      <w:bookmarkStart w:id="62" w:name="_Toc287620671"/>
      <w:bookmarkStart w:id="63" w:name="_Toc200359431"/>
      <w:bookmarkStart w:id="64" w:name="_Toc430530420"/>
      <w:bookmarkStart w:id="65" w:name="_Toc224103303"/>
      <w:bookmarkStart w:id="66" w:name="_Toc200359242"/>
      <w:bookmarkStart w:id="67" w:name="_Toc509218696"/>
      <w:r>
        <w:rPr>
          <w:rFonts w:hint="eastAsia" w:cs="宋体" w:asciiTheme="minorEastAsia" w:hAnsiTheme="minorEastAsia" w:eastAsiaTheme="minorEastAsia"/>
          <w:kern w:val="0"/>
          <w:sz w:val="21"/>
          <w:szCs w:val="21"/>
        </w:rPr>
        <w:t>4.1 凡有意参加投标者，请于公告发布之日起至至投标截止时间前，</w:t>
      </w:r>
      <w:r>
        <w:rPr>
          <w:rFonts w:hint="eastAsia" w:cs="宋体" w:asciiTheme="minorEastAsia" w:hAnsiTheme="minorEastAsia" w:eastAsiaTheme="minorEastAsia"/>
          <w:color w:val="auto"/>
          <w:kern w:val="0"/>
          <w:sz w:val="21"/>
          <w:szCs w:val="21"/>
        </w:rPr>
        <w:t xml:space="preserve">均可在行采家 (https://www.gec123.com/) </w:t>
      </w:r>
      <w:r>
        <w:rPr>
          <w:rFonts w:hint="eastAsia" w:cs="宋体" w:asciiTheme="minorEastAsia" w:hAnsiTheme="minorEastAsia" w:eastAsiaTheme="minorEastAsia"/>
          <w:color w:val="auto"/>
          <w:kern w:val="0"/>
          <w:sz w:val="21"/>
          <w:szCs w:val="21"/>
          <w:lang w:val="en-US" w:eastAsia="zh-CN"/>
        </w:rPr>
        <w:t>和</w:t>
      </w:r>
      <w:r>
        <w:rPr>
          <w:rFonts w:hint="eastAsia" w:cs="宋体" w:asciiTheme="minorEastAsia" w:hAnsiTheme="minorEastAsia" w:eastAsiaTheme="minorEastAsia"/>
          <w:color w:val="auto"/>
          <w:kern w:val="0"/>
          <w:sz w:val="21"/>
          <w:szCs w:val="21"/>
        </w:rPr>
        <w:t>重庆经开区投资集团官网（http://www.cetzig.com/）上下载本项目竞争性比选文件、答疑、补遗等开标</w:t>
      </w:r>
      <w:r>
        <w:rPr>
          <w:rFonts w:hint="eastAsia" w:cs="宋体" w:asciiTheme="minorEastAsia" w:hAnsiTheme="minorEastAsia" w:eastAsiaTheme="minorEastAsia"/>
          <w:kern w:val="0"/>
          <w:sz w:val="21"/>
          <w:szCs w:val="21"/>
        </w:rPr>
        <w:t>前公布的所有相关资料。在公告期间，各竞标人应随时关注网上发布的竞争性比选文件答疑、补遗、澄清等文件内容，不管竞标人下载与否都视为潜在投标人全部知晓有关招投标过程和全部内容。</w:t>
      </w:r>
    </w:p>
    <w:p>
      <w:pPr>
        <w:pStyle w:val="4"/>
        <w:spacing w:before="100" w:after="100" w:line="460" w:lineRule="exact"/>
        <w:rPr>
          <w:rFonts w:ascii="宋体" w:hAnsi="宋体"/>
          <w:snapToGrid w:val="0"/>
          <w:sz w:val="28"/>
          <w:szCs w:val="28"/>
          <w:highlight w:val="none"/>
        </w:rPr>
      </w:pPr>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竞选文件</w:t>
      </w:r>
      <w:r>
        <w:rPr>
          <w:rFonts w:ascii="宋体" w:hAnsi="宋体"/>
          <w:snapToGrid w:val="0"/>
          <w:sz w:val="28"/>
          <w:szCs w:val="28"/>
          <w:highlight w:val="none"/>
        </w:rPr>
        <w:t>的递交</w:t>
      </w:r>
      <w:bookmarkEnd w:id="58"/>
      <w:bookmarkEnd w:id="59"/>
      <w:bookmarkEnd w:id="60"/>
      <w:bookmarkEnd w:id="61"/>
      <w:bookmarkEnd w:id="62"/>
      <w:bookmarkEnd w:id="63"/>
      <w:bookmarkEnd w:id="64"/>
      <w:bookmarkEnd w:id="65"/>
      <w:bookmarkEnd w:id="66"/>
      <w:bookmarkEnd w:id="67"/>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5.1  </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递交的截止时间（投标截止时间，下同）为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2024</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5</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17</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10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lang w:val="en-US" w:eastAsia="zh-CN"/>
        </w:rPr>
        <w:t>15楼接待室</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r>
        <w:rPr>
          <w:rFonts w:hint="eastAsia" w:ascii="宋体" w:hAnsi="宋体"/>
          <w:snapToGrid w:val="0"/>
          <w:kern w:val="0"/>
          <w:szCs w:val="21"/>
          <w:highlight w:val="none"/>
          <w:lang w:eastAsia="zh-CN"/>
        </w:rPr>
        <w:t>比选人</w:t>
      </w:r>
      <w:r>
        <w:rPr>
          <w:rFonts w:ascii="宋体" w:hAnsi="宋体"/>
          <w:snapToGrid w:val="0"/>
          <w:kern w:val="0"/>
          <w:szCs w:val="21"/>
          <w:highlight w:val="none"/>
        </w:rPr>
        <w:t>不予受理。</w:t>
      </w:r>
      <w:r>
        <w:rPr>
          <w:rFonts w:hint="eastAsia" w:ascii="宋体" w:hAnsi="宋体"/>
          <w:snapToGrid w:val="0"/>
          <w:kern w:val="0"/>
          <w:szCs w:val="21"/>
          <w:highlight w:val="none"/>
          <w:lang w:val="en-US" w:eastAsia="zh-CN"/>
        </w:rPr>
        <w:t xml:space="preserve"> </w:t>
      </w:r>
    </w:p>
    <w:p>
      <w:pPr>
        <w:pStyle w:val="4"/>
        <w:spacing w:before="100" w:after="100" w:line="460" w:lineRule="exact"/>
        <w:rPr>
          <w:rFonts w:ascii="宋体" w:hAnsi="宋体"/>
          <w:snapToGrid w:val="0"/>
          <w:sz w:val="28"/>
          <w:szCs w:val="28"/>
          <w:highlight w:val="none"/>
        </w:rPr>
      </w:pPr>
      <w:bookmarkStart w:id="68" w:name="_Toc19071"/>
      <w:bookmarkStart w:id="69" w:name="_Toc430530421"/>
      <w:bookmarkStart w:id="70" w:name="_Toc277082541"/>
      <w:bookmarkStart w:id="71" w:name="_Toc509218697"/>
      <w:bookmarkStart w:id="72" w:name="_Toc8166"/>
      <w:bookmarkStart w:id="73" w:name="_Toc200359432"/>
      <w:bookmarkStart w:id="74" w:name="_Toc224103304"/>
      <w:bookmarkStart w:id="75" w:name="_Toc287620672"/>
      <w:bookmarkStart w:id="76" w:name="_Toc287607733"/>
      <w:bookmarkStart w:id="77" w:name="_Toc200359243"/>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8"/>
      <w:bookmarkEnd w:id="69"/>
      <w:bookmarkEnd w:id="70"/>
      <w:bookmarkEnd w:id="71"/>
      <w:bookmarkEnd w:id="72"/>
      <w:bookmarkEnd w:id="73"/>
      <w:bookmarkEnd w:id="74"/>
      <w:bookmarkEnd w:id="75"/>
      <w:bookmarkEnd w:id="76"/>
      <w:bookmarkEnd w:id="77"/>
    </w:p>
    <w:p>
      <w:pPr>
        <w:widowControl/>
        <w:spacing w:line="360" w:lineRule="auto"/>
        <w:ind w:firstLine="420" w:firstLineChars="200"/>
        <w:jc w:val="left"/>
        <w:rPr>
          <w:rFonts w:ascii="宋体" w:hAnsi="宋体"/>
          <w:snapToGrid w:val="0"/>
          <w:kern w:val="0"/>
          <w:szCs w:val="21"/>
          <w:highlight w:val="none"/>
        </w:rPr>
      </w:pPr>
      <w:r>
        <w:rPr>
          <w:rFonts w:hint="eastAsia" w:cs="宋体" w:asciiTheme="minorEastAsia" w:hAnsiTheme="minorEastAsia" w:eastAsiaTheme="minorEastAsia"/>
          <w:kern w:val="0"/>
          <w:sz w:val="21"/>
          <w:szCs w:val="21"/>
        </w:rPr>
        <w:t>本次比选公告在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重庆经开区投资集团官网（http://www.cetzig.com/）上发布。</w:t>
      </w:r>
    </w:p>
    <w:p>
      <w:pPr>
        <w:pStyle w:val="4"/>
        <w:spacing w:before="100" w:after="100" w:line="460" w:lineRule="exact"/>
        <w:rPr>
          <w:rFonts w:ascii="宋体" w:hAnsi="宋体"/>
          <w:snapToGrid w:val="0"/>
          <w:sz w:val="28"/>
          <w:szCs w:val="28"/>
          <w:highlight w:val="none"/>
        </w:rPr>
      </w:pPr>
      <w:bookmarkStart w:id="78" w:name="_Toc31352"/>
      <w:bookmarkStart w:id="79" w:name="_Toc14240"/>
      <w:bookmarkStart w:id="80" w:name="_Toc287620673"/>
      <w:bookmarkStart w:id="81" w:name="_Toc430530422"/>
      <w:bookmarkStart w:id="82" w:name="_Toc509218698"/>
      <w:bookmarkStart w:id="83" w:name="_Toc224103305"/>
      <w:bookmarkStart w:id="84" w:name="_Toc287607734"/>
      <w:bookmarkStart w:id="85" w:name="_Toc277082542"/>
      <w:bookmarkStart w:id="86" w:name="_Toc769"/>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8"/>
      <w:bookmarkEnd w:id="79"/>
      <w:bookmarkStart w:id="87" w:name="_Toc589"/>
      <w:r>
        <w:rPr>
          <w:rFonts w:ascii="宋体" w:hAnsi="宋体"/>
          <w:snapToGrid w:val="0"/>
          <w:sz w:val="28"/>
          <w:szCs w:val="28"/>
          <w:highlight w:val="none"/>
        </w:rPr>
        <w:t>联系方式</w:t>
      </w:r>
      <w:bookmarkEnd w:id="80"/>
      <w:bookmarkEnd w:id="81"/>
      <w:bookmarkEnd w:id="82"/>
      <w:bookmarkEnd w:id="83"/>
      <w:bookmarkEnd w:id="84"/>
      <w:bookmarkEnd w:id="85"/>
      <w:bookmarkEnd w:id="86"/>
      <w:bookmarkEnd w:id="87"/>
    </w:p>
    <w:p>
      <w:pPr>
        <w:spacing w:line="360" w:lineRule="auto"/>
        <w:ind w:firstLine="420" w:firstLineChars="200"/>
        <w:rPr>
          <w:rFonts w:cs="宋体" w:asciiTheme="minorEastAsia" w:hAnsiTheme="minorEastAsia" w:eastAsiaTheme="minorEastAsia"/>
          <w:kern w:val="0"/>
          <w:sz w:val="21"/>
          <w:szCs w:val="21"/>
        </w:rPr>
      </w:pPr>
      <w:bookmarkStart w:id="88" w:name="_Toc287607744"/>
      <w:bookmarkStart w:id="89" w:name="_Toc224103315"/>
      <w:bookmarkStart w:id="90" w:name="_Toc430530432"/>
      <w:bookmarkStart w:id="91" w:name="_Toc287620683"/>
      <w:bookmarkStart w:id="92" w:name="_Toc32148"/>
      <w:r>
        <w:rPr>
          <w:rFonts w:hint="eastAsia" w:cs="宋体" w:asciiTheme="minorEastAsia" w:hAnsiTheme="minorEastAsia" w:eastAsiaTheme="minorEastAsia"/>
          <w:kern w:val="0"/>
          <w:sz w:val="21"/>
          <w:szCs w:val="21"/>
        </w:rPr>
        <w:t>比选人：重庆新汇商实业有限公司</w:t>
      </w:r>
    </w:p>
    <w:p>
      <w:pPr>
        <w:spacing w:line="36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联系人： </w:t>
      </w:r>
      <w:r>
        <w:rPr>
          <w:rFonts w:hint="eastAsia" w:ascii="宋体" w:hAnsi="宋体" w:cs="宋体"/>
          <w:kern w:val="0"/>
          <w:sz w:val="21"/>
          <w:szCs w:val="21"/>
        </w:rPr>
        <w:t>张老师</w:t>
      </w:r>
    </w:p>
    <w:p>
      <w:pPr>
        <w:spacing w:line="360" w:lineRule="auto"/>
        <w:ind w:firstLine="420" w:firstLineChars="200"/>
        <w:rPr>
          <w:rFonts w:cs="宋体" w:asciiTheme="minorEastAsia" w:hAnsiTheme="minorEastAsia" w:eastAsiaTheme="minorEastAsia"/>
          <w:kern w:val="0"/>
          <w:sz w:val="21"/>
          <w:szCs w:val="21"/>
          <w:lang w:val="zh-CN"/>
        </w:rPr>
      </w:pPr>
      <w:r>
        <w:rPr>
          <w:rFonts w:hint="eastAsia" w:cs="宋体" w:asciiTheme="minorEastAsia" w:hAnsiTheme="minorEastAsia" w:eastAsiaTheme="minorEastAsia"/>
          <w:kern w:val="0"/>
          <w:sz w:val="21"/>
          <w:szCs w:val="21"/>
        </w:rPr>
        <w:t>电  话：</w:t>
      </w:r>
      <w:r>
        <w:rPr>
          <w:rFonts w:hint="eastAsia" w:ascii="宋体" w:hAnsi="宋体" w:cs="宋体"/>
          <w:kern w:val="0"/>
          <w:sz w:val="21"/>
          <w:szCs w:val="21"/>
        </w:rPr>
        <w:t>13883283726</w:t>
      </w:r>
    </w:p>
    <w:p>
      <w:pPr>
        <w:spacing w:line="360" w:lineRule="auto"/>
        <w:ind w:firstLine="420" w:firstLineChars="200"/>
        <w:rPr>
          <w:rFonts w:hint="eastAsia" w:ascii="宋体" w:hAnsi="宋体" w:cs="宋体"/>
          <w:sz w:val="21"/>
          <w:szCs w:val="21"/>
          <w:lang w:bidi="en-US"/>
        </w:rPr>
      </w:pPr>
      <w:r>
        <w:rPr>
          <w:rFonts w:hint="eastAsia" w:cs="宋体" w:asciiTheme="minorEastAsia" w:hAnsiTheme="minorEastAsia" w:eastAsiaTheme="minorEastAsia"/>
          <w:kern w:val="0"/>
          <w:sz w:val="21"/>
          <w:szCs w:val="21"/>
        </w:rPr>
        <w:t>地  址：</w:t>
      </w:r>
      <w:r>
        <w:rPr>
          <w:rFonts w:hint="eastAsia" w:ascii="宋体" w:hAnsi="宋体" w:cs="宋体"/>
          <w:sz w:val="21"/>
          <w:szCs w:val="21"/>
          <w:lang w:bidi="en-US"/>
        </w:rPr>
        <w:t>重庆市南岸区茶园江桥路一号附1号</w:t>
      </w:r>
    </w:p>
    <w:p>
      <w:pPr>
        <w:pStyle w:val="18"/>
        <w:rPr>
          <w:rFonts w:ascii="宋体" w:hAnsi="宋体"/>
          <w:snapToGrid w:val="0"/>
          <w:color w:val="auto"/>
          <w:kern w:val="0"/>
          <w:szCs w:val="21"/>
          <w:highlight w:val="none"/>
          <w:u w:val="single"/>
        </w:rPr>
      </w:pPr>
      <w:r>
        <w:rPr>
          <w:rFonts w:hint="eastAsia"/>
          <w:lang w:val="en-US" w:eastAsia="zh-CN"/>
        </w:rPr>
        <w:t xml:space="preserve">    邮  箱：50417679@qq.com</w:t>
      </w:r>
    </w:p>
    <w:p>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5</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10</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pStyle w:val="3"/>
        <w:spacing w:before="0" w:after="0" w:line="200" w:lineRule="exact"/>
        <w:jc w:val="center"/>
        <w:outlineLvl w:val="9"/>
        <w:rPr>
          <w:rFonts w:ascii="宋体" w:hAnsi="宋体"/>
          <w:snapToGrid w:val="0"/>
          <w:color w:val="auto"/>
          <w:kern w:val="0"/>
          <w:szCs w:val="21"/>
          <w:highlight w:val="none"/>
        </w:rPr>
      </w:pPr>
      <w:r>
        <w:rPr>
          <w:rFonts w:ascii="宋体" w:hAnsi="宋体"/>
          <w:snapToGrid w:val="0"/>
          <w:color w:val="auto"/>
          <w:kern w:val="0"/>
          <w:szCs w:val="21"/>
          <w:highlight w:val="none"/>
        </w:rPr>
        <w:br w:type="page"/>
      </w:r>
    </w:p>
    <w:p>
      <w:pPr>
        <w:pStyle w:val="3"/>
        <w:spacing w:line="360" w:lineRule="auto"/>
        <w:jc w:val="center"/>
        <w:rPr>
          <w:rFonts w:ascii="宋体" w:hAnsi="宋体"/>
          <w:bCs w:val="0"/>
          <w:snapToGrid w:val="0"/>
          <w:kern w:val="0"/>
          <w:highlight w:val="none"/>
        </w:rPr>
      </w:pPr>
      <w:bookmarkStart w:id="93" w:name="_Toc22622"/>
      <w:bookmarkStart w:id="94" w:name="_Toc5447"/>
      <w:r>
        <w:rPr>
          <w:rFonts w:ascii="宋体" w:hAnsi="宋体"/>
          <w:snapToGrid w:val="0"/>
          <w:kern w:val="0"/>
          <w:highlight w:val="none"/>
        </w:rPr>
        <w:t xml:space="preserve">第二章  </w:t>
      </w:r>
      <w:r>
        <w:rPr>
          <w:rFonts w:hint="eastAsia" w:ascii="宋体" w:hAnsi="宋体"/>
          <w:snapToGrid w:val="0"/>
          <w:kern w:val="0"/>
          <w:highlight w:val="none"/>
          <w:lang w:eastAsia="zh-CN"/>
        </w:rPr>
        <w:t>竞选人</w:t>
      </w:r>
      <w:r>
        <w:rPr>
          <w:rFonts w:ascii="宋体" w:hAnsi="宋体"/>
          <w:snapToGrid w:val="0"/>
          <w:kern w:val="0"/>
          <w:highlight w:val="none"/>
        </w:rPr>
        <w:t>须知</w:t>
      </w:r>
      <w:bookmarkEnd w:id="88"/>
      <w:bookmarkEnd w:id="89"/>
      <w:bookmarkEnd w:id="90"/>
      <w:bookmarkEnd w:id="91"/>
      <w:bookmarkEnd w:id="92"/>
      <w:bookmarkEnd w:id="93"/>
      <w:bookmarkEnd w:id="94"/>
      <w:bookmarkStart w:id="95" w:name="_Toc287620684"/>
      <w:bookmarkStart w:id="96" w:name="_Toc277082551"/>
      <w:bookmarkStart w:id="97" w:name="_Toc224103316"/>
      <w:bookmarkStart w:id="98" w:name="_Toc287607745"/>
      <w:bookmarkStart w:id="99" w:name="_Toc430530433"/>
    </w:p>
    <w:p>
      <w:pPr>
        <w:pStyle w:val="4"/>
        <w:spacing w:before="100" w:after="100" w:line="360" w:lineRule="auto"/>
        <w:rPr>
          <w:rFonts w:ascii="宋体" w:hAnsi="宋体"/>
          <w:highlight w:val="none"/>
        </w:rPr>
      </w:pPr>
      <w:bookmarkStart w:id="100" w:name="_Toc31303"/>
      <w:bookmarkStart w:id="101" w:name="_Toc509218708"/>
      <w:bookmarkStart w:id="102" w:name="_Toc8005"/>
      <w:r>
        <w:rPr>
          <w:rFonts w:hint="eastAsia" w:ascii="宋体" w:hAnsi="宋体"/>
          <w:highlight w:val="none"/>
          <w:lang w:eastAsia="zh-CN"/>
        </w:rPr>
        <w:t>竞选人</w:t>
      </w:r>
      <w:r>
        <w:rPr>
          <w:rFonts w:hint="eastAsia" w:ascii="宋体" w:hAnsi="宋体"/>
          <w:highlight w:val="none"/>
        </w:rPr>
        <w:t>须知前附表</w:t>
      </w:r>
      <w:bookmarkEnd w:id="95"/>
      <w:bookmarkEnd w:id="96"/>
      <w:bookmarkEnd w:id="97"/>
      <w:bookmarkEnd w:id="98"/>
      <w:bookmarkEnd w:id="99"/>
      <w:bookmarkEnd w:id="100"/>
      <w:bookmarkEnd w:id="101"/>
      <w:bookmarkEnd w:id="102"/>
    </w:p>
    <w:p>
      <w:pPr>
        <w:spacing w:line="360" w:lineRule="auto"/>
        <w:ind w:firstLine="420" w:firstLineChars="200"/>
        <w:rPr>
          <w:rFonts w:ascii="宋体" w:hAnsi="宋体"/>
          <w:szCs w:val="21"/>
          <w:highlight w:val="none"/>
        </w:rPr>
      </w:pPr>
      <w:r>
        <w:rPr>
          <w:rFonts w:ascii="宋体" w:hAnsi="宋体"/>
          <w:szCs w:val="21"/>
          <w:highlight w:val="none"/>
        </w:rPr>
        <w:t>正文内容不允许修改。若</w:t>
      </w:r>
      <w:r>
        <w:rPr>
          <w:rFonts w:hint="eastAsia" w:ascii="宋体" w:hAnsi="宋体"/>
          <w:szCs w:val="21"/>
          <w:highlight w:val="none"/>
          <w:lang w:eastAsia="zh-CN"/>
        </w:rPr>
        <w:t>竞选人</w:t>
      </w:r>
      <w:r>
        <w:rPr>
          <w:rFonts w:ascii="宋体" w:hAnsi="宋体"/>
          <w:szCs w:val="21"/>
          <w:highlight w:val="none"/>
        </w:rPr>
        <w:t>须知前附表与正文不一致的地方，以</w:t>
      </w:r>
      <w:r>
        <w:rPr>
          <w:rFonts w:hint="eastAsia" w:ascii="宋体" w:hAnsi="宋体"/>
          <w:szCs w:val="21"/>
          <w:highlight w:val="none"/>
          <w:lang w:eastAsia="zh-CN"/>
        </w:rPr>
        <w:t>竞选人</w:t>
      </w:r>
      <w:r>
        <w:rPr>
          <w:rFonts w:ascii="宋体" w:hAnsi="宋体"/>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比选人</w:t>
            </w:r>
          </w:p>
        </w:tc>
        <w:tc>
          <w:tcPr>
            <w:tcW w:w="6490" w:type="dxa"/>
            <w:vAlign w:val="center"/>
          </w:tcPr>
          <w:p>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称</w:t>
            </w:r>
            <w:r>
              <w:rPr>
                <w:rFonts w:hint="eastAsia" w:ascii="宋体" w:hAnsi="宋体" w:eastAsia="宋体" w:cs="宋体"/>
                <w:color w:val="auto"/>
                <w:szCs w:val="21"/>
                <w:highlight w:val="none"/>
              </w:rPr>
              <w:t>：</w:t>
            </w:r>
            <w:r>
              <w:rPr>
                <w:rFonts w:hint="eastAsia" w:ascii="宋体" w:hAnsi="宋体"/>
                <w:color w:val="auto"/>
                <w:kern w:val="0"/>
                <w:szCs w:val="21"/>
                <w:highlight w:val="none"/>
                <w:u w:val="none"/>
                <w:lang w:eastAsia="zh-CN"/>
              </w:rPr>
              <w:t>重庆新汇商实业有限公司</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址：重庆市南岸区江桥路一号附1号</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r>
              <w:rPr>
                <w:rFonts w:hint="eastAsia" w:ascii="宋体" w:hAnsi="宋体" w:cs="宋体"/>
                <w:color w:val="auto"/>
                <w:szCs w:val="21"/>
                <w:highlight w:val="none"/>
                <w:lang w:val="en-US" w:eastAsia="zh-CN"/>
              </w:rPr>
              <w:t>张</w:t>
            </w:r>
            <w:r>
              <w:rPr>
                <w:rFonts w:hint="eastAsia" w:ascii="宋体" w:hAnsi="宋体" w:eastAsia="宋体" w:cs="宋体"/>
                <w:color w:val="auto"/>
                <w:szCs w:val="21"/>
                <w:highlight w:val="none"/>
              </w:rPr>
              <w:t xml:space="preserve">老师 </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话 ：</w:t>
            </w:r>
            <w:r>
              <w:rPr>
                <w:rFonts w:hint="eastAsia" w:ascii="宋体" w:hAnsi="宋体" w:cs="宋体"/>
                <w:color w:val="auto"/>
                <w:szCs w:val="21"/>
                <w:highlight w:val="none"/>
                <w:lang w:val="en-US" w:eastAsia="zh-CN"/>
              </w:rPr>
              <w:t>13883283726</w:t>
            </w:r>
            <w:r>
              <w:rPr>
                <w:rFonts w:hint="eastAsia" w:ascii="宋体" w:hAnsi="宋体" w:eastAsia="宋体" w:cs="宋体"/>
                <w:color w:val="auto"/>
                <w:szCs w:val="21"/>
                <w:highlight w:val="none"/>
              </w:rPr>
              <w:t xml:space="preserve"> </w:t>
            </w:r>
          </w:p>
          <w:p>
            <w:pPr>
              <w:pStyle w:val="18"/>
            </w:pPr>
            <w:r>
              <w:rPr>
                <w:rFonts w:hint="eastAsia"/>
                <w:lang w:val="en-US" w:eastAsia="zh-CN"/>
              </w:rPr>
              <w:t xml:space="preserve">  邮  箱：50417679@qq.com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pPr>
              <w:snapToGrid w:val="0"/>
              <w:spacing w:line="400" w:lineRule="exact"/>
              <w:ind w:firstLine="210" w:firstLineChars="10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迎龙创新港大科园片区维修维护项目施工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建设地点</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lang w:val="en-US" w:eastAsia="zh-CN"/>
              </w:rPr>
              <w:t>经开区</w:t>
            </w:r>
            <w:r>
              <w:rPr>
                <w:rFonts w:hint="default" w:ascii="宋体" w:hAnsi="宋体" w:eastAsia="宋体"/>
                <w:color w:val="auto"/>
                <w:szCs w:val="21"/>
                <w:highlight w:val="none"/>
                <w:lang w:val="en-US" w:eastAsia="zh-CN"/>
              </w:rPr>
              <w:t>迎龙</w:t>
            </w:r>
            <w:r>
              <w:rPr>
                <w:rFonts w:hint="eastAsia" w:ascii="宋体" w:hAnsi="宋体"/>
                <w:color w:val="auto"/>
                <w:szCs w:val="21"/>
                <w:highlight w:val="none"/>
                <w:lang w:val="en-US" w:eastAsia="zh-CN"/>
              </w:rPr>
              <w:t>医药城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490" w:type="dxa"/>
            <w:vAlign w:val="center"/>
          </w:tcPr>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迎龙创新港大科园片区共有1栋高层建筑、4栋多层建筑、3个车库，建筑面积约15万平方米。维修单位对园区所属建筑进行维修维护，合同为期一年。维修主要内容包括但不限于如下内容，具体以业主单位委托的维修项目为准。</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1.外墙抹灰层或瓷砖鼓包脱落，恢复处理。</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2.房屋外墙雨水管老化漏水，补漏或更换处理。屋面防水处理；雨儿墙防水处理。</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3.主排水排污管道疏通及优化改造；雨污水沟、槽、井、窨井清理清掏清运； 4.屋面天沟清掏检查。厨房、卫生间主排污管道锈蚀老化漏水，补漏或更换处理；阳台主排水管锈蚀老化漏水，补漏或更换处理。</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5.楼栋自来水主水管漏水，补漏或更换处理。</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6.路面、堡坎、围墙修复。窨井盖、铸铁（塑钢、喷塑铁）栏杆等公共设施维护。</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7.因不可抗拒因素造成的房屋损坏等情况的恢复处理。</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8.房屋分隔改变、功能调整及个性化需求等改造、装饰装修。</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0000FF"/>
                <w:kern w:val="0"/>
                <w:szCs w:val="21"/>
                <w:highlight w:val="none"/>
                <w:u w:val="single"/>
                <w:lang w:val="en-US" w:eastAsia="zh-CN"/>
              </w:rPr>
            </w:pPr>
            <w:r>
              <w:rPr>
                <w:rFonts w:hint="eastAsia" w:ascii="宋体" w:hAnsi="宋体"/>
                <w:snapToGrid w:val="0"/>
                <w:color w:val="0000FF"/>
                <w:kern w:val="0"/>
                <w:szCs w:val="21"/>
                <w:highlight w:val="none"/>
                <w:u w:val="single"/>
                <w:lang w:val="en-US" w:eastAsia="zh-CN"/>
              </w:rPr>
              <w:t>9.上述范围的突发应急抢险。</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default" w:ascii="宋体" w:hAnsi="宋体"/>
                <w:i/>
                <w:snapToGrid w:val="0"/>
                <w:color w:val="auto"/>
                <w:kern w:val="0"/>
                <w:szCs w:val="21"/>
                <w:highlight w:val="none"/>
                <w:lang w:val="en-US"/>
              </w:rPr>
            </w:pPr>
            <w:r>
              <w:rPr>
                <w:rFonts w:hint="eastAsia" w:ascii="宋体" w:hAnsi="宋体"/>
                <w:snapToGrid w:val="0"/>
                <w:color w:val="0000FF"/>
                <w:kern w:val="0"/>
                <w:szCs w:val="21"/>
                <w:highlight w:val="none"/>
                <w:u w:val="single"/>
                <w:lang w:val="en-US" w:eastAsia="zh-CN"/>
              </w:rPr>
              <w:t xml:space="preserve"> 以上维修内容，具体实施内容以比选人工作指令为准。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pPr>
              <w:snapToGrid w:val="0"/>
              <w:spacing w:line="400" w:lineRule="exact"/>
              <w:ind w:firstLine="210" w:firstLineChars="1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比选</w:t>
            </w:r>
            <w:r>
              <w:rPr>
                <w:rFonts w:ascii="宋体" w:hAnsi="宋体"/>
                <w:kern w:val="0"/>
                <w:szCs w:val="21"/>
                <w:highlight w:val="none"/>
              </w:rPr>
              <w:t>范围</w:t>
            </w:r>
          </w:p>
        </w:tc>
        <w:tc>
          <w:tcPr>
            <w:tcW w:w="6490" w:type="dxa"/>
            <w:vAlign w:val="center"/>
          </w:tcPr>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i/>
                <w:color w:val="auto"/>
                <w:szCs w:val="21"/>
                <w:highlight w:val="none"/>
              </w:rPr>
            </w:pPr>
            <w:r>
              <w:rPr>
                <w:rFonts w:hint="eastAsia" w:ascii="宋体" w:hAnsi="宋体"/>
                <w:snapToGrid w:val="0"/>
                <w:color w:val="0000FF"/>
                <w:kern w:val="0"/>
                <w:szCs w:val="21"/>
                <w:highlight w:val="none"/>
                <w:u w:val="single"/>
                <w:lang w:val="en-US" w:eastAsia="zh-CN"/>
              </w:rPr>
              <w:t>迎龙创新港大科园片区共有1栋高层建筑、4栋多层建筑、3个车库，建筑面积约15万平方米。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计划工期</w:t>
            </w:r>
          </w:p>
          <w:p>
            <w:pPr>
              <w:snapToGrid w:val="0"/>
              <w:spacing w:line="400" w:lineRule="exact"/>
              <w:jc w:val="center"/>
              <w:rPr>
                <w:rFonts w:ascii="宋体" w:hAnsi="宋体"/>
                <w:kern w:val="0"/>
                <w:szCs w:val="21"/>
                <w:highlight w:val="none"/>
              </w:rPr>
            </w:pPr>
            <w:r>
              <w:rPr>
                <w:rFonts w:hint="eastAsia" w:ascii="宋体" w:hAnsi="宋体"/>
                <w:kern w:val="0"/>
                <w:szCs w:val="21"/>
                <w:highlight w:val="none"/>
              </w:rPr>
              <w:t>缺陷责任期</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kern w:val="0"/>
                <w:szCs w:val="21"/>
                <w:highlight w:val="none"/>
              </w:rPr>
            </w:pPr>
            <w:r>
              <w:rPr>
                <w:rFonts w:hint="eastAsia" w:ascii="宋体" w:hAnsi="宋体"/>
                <w:snapToGrid w:val="0"/>
                <w:color w:val="0000FF"/>
                <w:kern w:val="0"/>
                <w:szCs w:val="21"/>
                <w:highlight w:val="none"/>
                <w:u w:val="single"/>
                <w:lang w:val="en-US" w:eastAsia="zh-CN"/>
              </w:rPr>
              <w:t>365日历天，</w:t>
            </w:r>
            <w:r>
              <w:rPr>
                <w:rFonts w:hint="eastAsia" w:ascii="宋体" w:hAnsi="宋体"/>
                <w:snapToGrid w:val="0"/>
                <w:color w:val="auto"/>
                <w:kern w:val="0"/>
                <w:szCs w:val="21"/>
                <w:highlight w:val="none"/>
              </w:rPr>
              <w:t>缺陷责任期要求：</w:t>
            </w:r>
            <w:r>
              <w:rPr>
                <w:rFonts w:hint="eastAsia" w:ascii="宋体" w:hAnsi="宋体"/>
                <w:snapToGrid w:val="0"/>
                <w:color w:val="auto"/>
                <w:kern w:val="0"/>
                <w:szCs w:val="21"/>
                <w:highlight w:val="none"/>
                <w:u w:val="single"/>
                <w:lang w:val="en-US" w:eastAsia="zh-CN"/>
              </w:rPr>
              <w:t xml:space="preserve">1年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rPr>
              <w:t>符合强制性质量标准，</w:t>
            </w:r>
            <w:r>
              <w:rPr>
                <w:rFonts w:hint="eastAsia" w:ascii="宋体" w:hAnsi="宋体"/>
                <w:szCs w:val="21"/>
                <w:highlight w:val="none"/>
                <w:u w:val="single"/>
              </w:rPr>
              <w:t>符合</w:t>
            </w:r>
            <w:r>
              <w:rPr>
                <w:rFonts w:ascii="宋体" w:hAnsi="宋体"/>
                <w:szCs w:val="21"/>
                <w:highlight w:val="none"/>
                <w:u w:val="single"/>
              </w:rPr>
              <w:t>国家和重庆市现行有关施工质量验收规范要求，并达到合格标准</w:t>
            </w:r>
            <w:r>
              <w:rPr>
                <w:rFonts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35" w:type="dxa"/>
            <w:vAlign w:val="center"/>
          </w:tcPr>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ascii="宋体" w:hAnsi="宋体"/>
                <w:kern w:val="0"/>
                <w:szCs w:val="21"/>
                <w:highlight w:val="none"/>
              </w:rPr>
              <w:t>1.4.1</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ascii="宋体" w:hAnsi="宋体"/>
                <w:kern w:val="0"/>
                <w:szCs w:val="21"/>
                <w:highlight w:val="none"/>
              </w:rPr>
              <w:t>1.4.1</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both"/>
              <w:rPr>
                <w:rFonts w:ascii="宋体" w:hAnsi="宋体"/>
                <w:kern w:val="0"/>
                <w:szCs w:val="21"/>
                <w:highlight w:val="none"/>
              </w:rPr>
            </w:pPr>
          </w:p>
        </w:tc>
        <w:tc>
          <w:tcPr>
            <w:tcW w:w="1644" w:type="dxa"/>
            <w:vAlign w:val="center"/>
          </w:tcPr>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pPr>
              <w:snapToGrid w:val="0"/>
              <w:spacing w:line="400" w:lineRule="exact"/>
              <w:jc w:val="center"/>
              <w:rPr>
                <w:rFonts w:ascii="宋体" w:hAnsi="宋体"/>
                <w:kern w:val="0"/>
                <w:szCs w:val="21"/>
                <w:highlight w:val="none"/>
              </w:rPr>
            </w:pPr>
          </w:p>
          <w:p>
            <w:pPr>
              <w:snapToGrid w:val="0"/>
              <w:spacing w:line="400" w:lineRule="exact"/>
              <w:jc w:val="both"/>
              <w:rPr>
                <w:rFonts w:ascii="宋体" w:hAnsi="宋体"/>
                <w:kern w:val="0"/>
                <w:szCs w:val="21"/>
                <w:highlight w:val="none"/>
              </w:rPr>
            </w:pPr>
          </w:p>
        </w:tc>
        <w:tc>
          <w:tcPr>
            <w:tcW w:w="6490" w:type="dxa"/>
            <w:vAlign w:val="center"/>
          </w:tcPr>
          <w:p>
            <w:pPr>
              <w:autoSpaceDE w:val="0"/>
              <w:autoSpaceDN w:val="0"/>
              <w:adjustRightInd w:val="0"/>
              <w:snapToGrid w:val="0"/>
              <w:spacing w:line="400" w:lineRule="exact"/>
              <w:rPr>
                <w:rFonts w:ascii="宋体" w:hAnsi="宋体"/>
                <w:szCs w:val="21"/>
                <w:highlight w:val="none"/>
              </w:rPr>
            </w:pPr>
            <w:bookmarkStart w:id="103" w:name="OLE_LINK1"/>
            <w:r>
              <w:rPr>
                <w:rFonts w:ascii="宋体" w:hAnsi="宋体"/>
                <w:szCs w:val="21"/>
                <w:highlight w:val="none"/>
              </w:rPr>
              <w:t>本工程施工招标实行资格后审，</w:t>
            </w:r>
            <w:r>
              <w:rPr>
                <w:rFonts w:hint="eastAsia" w:ascii="宋体" w:hAnsi="宋体"/>
                <w:szCs w:val="21"/>
                <w:highlight w:val="none"/>
                <w:lang w:eastAsia="zh-CN"/>
              </w:rPr>
              <w:t>竞选人</w:t>
            </w:r>
            <w:r>
              <w:rPr>
                <w:rFonts w:ascii="宋体" w:hAnsi="宋体"/>
                <w:szCs w:val="21"/>
                <w:highlight w:val="none"/>
              </w:rPr>
              <w:t>应</w:t>
            </w:r>
            <w:bookmarkStart w:id="104" w:name="一是"/>
            <w:bookmarkEnd w:id="104"/>
            <w:r>
              <w:rPr>
                <w:rFonts w:ascii="宋体" w:hAnsi="宋体"/>
                <w:szCs w:val="21"/>
                <w:highlight w:val="none"/>
              </w:rPr>
              <w:t>具备以下资格条件：</w:t>
            </w:r>
          </w:p>
          <w:bookmarkEnd w:id="103"/>
          <w:p>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（1）具备建设行政主管部门颁发的有效的</w:t>
            </w:r>
            <w:r>
              <w:rPr>
                <w:rFonts w:hint="eastAsia" w:ascii="宋体" w:hAnsi="宋体"/>
                <w:color w:val="auto"/>
                <w:szCs w:val="21"/>
                <w:highlight w:val="none"/>
                <w:lang w:val="en-US" w:eastAsia="zh-CN"/>
              </w:rPr>
              <w:t>建筑工程施工总承包或市政公用工程</w:t>
            </w:r>
            <w:r>
              <w:rPr>
                <w:rFonts w:hint="eastAsia" w:ascii="宋体" w:hAnsi="宋体"/>
                <w:color w:val="auto"/>
                <w:szCs w:val="21"/>
                <w:highlight w:val="none"/>
              </w:rPr>
              <w:t>施工总承包三级及以上资质</w:t>
            </w:r>
            <w:r>
              <w:rPr>
                <w:rFonts w:ascii="宋体" w:hAnsi="宋体" w:eastAsia="宋体" w:cs="宋体"/>
                <w:sz w:val="21"/>
                <w:szCs w:val="21"/>
              </w:rPr>
              <w:t>。</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(投标人须在投标文件资格审查部分提供有效的带二维码标识的资质证书复印件)。</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）具备有效的营业执照。</w:t>
            </w:r>
          </w:p>
          <w:p>
            <w:pPr>
              <w:spacing w:line="360" w:lineRule="auto"/>
              <w:ind w:firstLine="316"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(投标人须在投标文件资格审查部分提供有效的带二维码标识的营业执照复印件)。</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（3）具备建设行政主管部门颁发的有效的安全生产许可证，企业主要负责人、拟担任该项目项目经理具备相应的由建设行政主管部门颁发的有效的安全生产考核合格证书。</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(投标人须在投标文件资格审查部分提供有效的安全生产许可证及安全生产考核合格证书复印件)</w:t>
            </w:r>
          </w:p>
          <w:p>
            <w:pPr>
              <w:spacing w:line="360" w:lineRule="auto"/>
              <w:ind w:firstLine="316" w:firstLineChars="150"/>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2.类似业绩</w:t>
            </w:r>
          </w:p>
          <w:p>
            <w:pPr>
              <w:autoSpaceDE w:val="0"/>
              <w:autoSpaceDN w:val="0"/>
              <w:adjustRightInd w:val="0"/>
              <w:snapToGrid w:val="0"/>
              <w:spacing w:line="400" w:lineRule="exact"/>
              <w:ind w:firstLine="420" w:firstLineChars="200"/>
              <w:rPr>
                <w:rFonts w:ascii="宋体" w:hAnsi="宋体"/>
                <w:strike w:val="0"/>
                <w:dstrike w:val="0"/>
                <w:color w:val="auto"/>
                <w:kern w:val="0"/>
                <w:szCs w:val="21"/>
                <w:highlight w:val="none"/>
              </w:rPr>
            </w:pPr>
            <w:r>
              <w:rPr>
                <w:rFonts w:hint="eastAsia" w:ascii="宋体" w:hAnsi="宋体"/>
                <w:strike w:val="0"/>
                <w:dstrike w:val="0"/>
                <w:color w:val="auto"/>
                <w:kern w:val="0"/>
                <w:szCs w:val="21"/>
                <w:highlight w:val="none"/>
                <w:lang w:val="en-US" w:eastAsia="zh-CN"/>
              </w:rPr>
              <w:t>2.1</w:t>
            </w:r>
            <w:r>
              <w:rPr>
                <w:rFonts w:hint="eastAsia" w:ascii="宋体" w:hAnsi="宋体"/>
                <w:strike w:val="0"/>
                <w:dstrike w:val="0"/>
                <w:color w:val="auto"/>
                <w:kern w:val="0"/>
                <w:szCs w:val="21"/>
                <w:highlight w:val="none"/>
              </w:rPr>
              <w:t>业绩时间要求：</w:t>
            </w:r>
          </w:p>
          <w:p>
            <w:pPr>
              <w:spacing w:line="360" w:lineRule="auto"/>
              <w:ind w:firstLine="315" w:firstLineChars="150"/>
              <w:rPr>
                <w:rFonts w:hint="eastAsia" w:ascii="宋体" w:hAnsi="宋体"/>
                <w:strike w:val="0"/>
                <w:dstrike w:val="0"/>
                <w:color w:val="auto"/>
                <w:szCs w:val="21"/>
                <w:highlight w:val="none"/>
              </w:rPr>
            </w:pP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年1月1日至</w:t>
            </w:r>
            <w:r>
              <w:rPr>
                <w:rFonts w:hint="eastAsia" w:ascii="宋体" w:hAnsi="宋体"/>
                <w:strike w:val="0"/>
                <w:dstrike w:val="0"/>
                <w:color w:val="auto"/>
                <w:szCs w:val="21"/>
                <w:highlight w:val="none"/>
              </w:rPr>
              <w:t>投标截止日止（以竣工时间为准）</w:t>
            </w:r>
            <w:r>
              <w:rPr>
                <w:rFonts w:hint="eastAsia" w:ascii="宋体" w:hAnsi="宋体"/>
                <w:strike w:val="0"/>
                <w:dstrike w:val="0"/>
                <w:color w:val="auto"/>
                <w:szCs w:val="21"/>
                <w:highlight w:val="none"/>
                <w:lang w:val="en-US" w:eastAsia="zh-CN"/>
              </w:rPr>
              <w:t>完成</w:t>
            </w:r>
            <w:r>
              <w:rPr>
                <w:rFonts w:hint="eastAsia" w:ascii="宋体" w:hAnsi="宋体"/>
                <w:strike w:val="0"/>
                <w:dstrike w:val="0"/>
                <w:color w:val="auto"/>
                <w:szCs w:val="21"/>
                <w:highlight w:val="none"/>
              </w:rPr>
              <w:t>的</w:t>
            </w:r>
            <w:r>
              <w:rPr>
                <w:rFonts w:hint="eastAsia" w:ascii="宋体" w:hAnsi="宋体"/>
                <w:strike w:val="0"/>
                <w:dstrike w:val="0"/>
                <w:color w:val="auto"/>
                <w:szCs w:val="21"/>
                <w:highlight w:val="none"/>
                <w:lang w:val="en-US" w:eastAsia="zh-CN"/>
              </w:rPr>
              <w:t>3</w:t>
            </w:r>
            <w:r>
              <w:rPr>
                <w:rFonts w:hint="eastAsia" w:ascii="宋体" w:hAnsi="宋体"/>
                <w:strike w:val="0"/>
                <w:dstrike w:val="0"/>
                <w:color w:val="auto"/>
                <w:szCs w:val="21"/>
                <w:highlight w:val="none"/>
              </w:rPr>
              <w:t>个类似项目业绩。</w:t>
            </w:r>
          </w:p>
          <w:p>
            <w:pPr>
              <w:autoSpaceDE w:val="0"/>
              <w:autoSpaceDN w:val="0"/>
              <w:adjustRightInd w:val="0"/>
              <w:snapToGrid w:val="0"/>
              <w:spacing w:line="400" w:lineRule="exact"/>
              <w:ind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w:t>
            </w:r>
            <w:r>
              <w:rPr>
                <w:rFonts w:hint="eastAsia" w:ascii="宋体" w:hAnsi="宋体"/>
                <w:strike w:val="0"/>
                <w:dstrike w:val="0"/>
                <w:color w:val="auto"/>
                <w:szCs w:val="21"/>
                <w:highlight w:val="none"/>
              </w:rPr>
              <w:t>.2业绩规模要求：</w:t>
            </w:r>
          </w:p>
          <w:p>
            <w:pPr>
              <w:autoSpaceDE w:val="0"/>
              <w:autoSpaceDN w:val="0"/>
              <w:adjustRightInd w:val="0"/>
              <w:snapToGrid w:val="0"/>
              <w:spacing w:line="400" w:lineRule="exact"/>
              <w:ind w:firstLine="420" w:firstLineChars="200"/>
              <w:rPr>
                <w:rFonts w:ascii="宋体" w:hAnsi="宋体"/>
                <w:strike w:val="0"/>
                <w:dstrike w:val="0"/>
                <w:color w:val="auto"/>
                <w:szCs w:val="21"/>
                <w:highlight w:val="none"/>
                <w:u w:val="single"/>
              </w:rPr>
            </w:pPr>
            <w:r>
              <w:rPr>
                <w:rFonts w:hint="eastAsia" w:ascii="宋体" w:hAnsi="宋体"/>
                <w:strike w:val="0"/>
                <w:dstrike w:val="0"/>
                <w:color w:val="auto"/>
                <w:szCs w:val="21"/>
                <w:highlight w:val="none"/>
              </w:rPr>
              <w:t>工程类别：</w:t>
            </w:r>
            <w:r>
              <w:rPr>
                <w:rFonts w:hint="eastAsia" w:ascii="宋体" w:hAnsi="宋体"/>
                <w:strike w:val="0"/>
                <w:dstrike w:val="0"/>
                <w:color w:val="auto"/>
                <w:szCs w:val="21"/>
                <w:highlight w:val="none"/>
                <w:u w:val="single"/>
                <w:lang w:val="en-US" w:eastAsia="zh-CN"/>
              </w:rPr>
              <w:t>建筑工程或维修维护项目</w:t>
            </w:r>
            <w:r>
              <w:rPr>
                <w:rFonts w:hint="eastAsia" w:ascii="宋体" w:hAnsi="宋体"/>
                <w:strike w:val="0"/>
                <w:dstrike w:val="0"/>
                <w:color w:val="auto"/>
                <w:szCs w:val="21"/>
                <w:highlight w:val="none"/>
                <w:u w:val="single"/>
              </w:rPr>
              <w:t xml:space="preserve"> </w:t>
            </w:r>
          </w:p>
          <w:p>
            <w:pPr>
              <w:autoSpaceDE w:val="0"/>
              <w:autoSpaceDN w:val="0"/>
              <w:adjustRightInd w:val="0"/>
              <w:snapToGrid w:val="0"/>
              <w:spacing w:line="400" w:lineRule="exact"/>
              <w:ind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若同时设置了工程造价和工程规模要求，则只须满足其中之一:</w:t>
            </w:r>
          </w:p>
          <w:p>
            <w:pPr>
              <w:autoSpaceDE w:val="0"/>
              <w:autoSpaceDN w:val="0"/>
              <w:adjustRightInd w:val="0"/>
              <w:snapToGrid w:val="0"/>
              <w:spacing w:line="400" w:lineRule="exact"/>
              <w:ind w:firstLine="420" w:firstLineChars="200"/>
              <w:rPr>
                <w:rFonts w:hint="eastAsia"/>
              </w:rPr>
            </w:pPr>
            <w:r>
              <w:rPr>
                <w:rFonts w:hint="eastAsia" w:ascii="宋体" w:hAnsi="宋体"/>
                <w:strike w:val="0"/>
                <w:dstrike w:val="0"/>
                <w:color w:val="auto"/>
                <w:szCs w:val="21"/>
                <w:highlight w:val="none"/>
                <w:lang w:eastAsia="zh-CN"/>
              </w:rPr>
              <w:t>☑</w:t>
            </w:r>
            <w:r>
              <w:rPr>
                <w:rFonts w:hint="eastAsia" w:ascii="宋体" w:hAnsi="宋体"/>
                <w:strike w:val="0"/>
                <w:dstrike w:val="0"/>
                <w:color w:val="auto"/>
                <w:szCs w:val="21"/>
                <w:highlight w:val="none"/>
              </w:rPr>
              <w:t>工程造价：</w:t>
            </w:r>
            <w:r>
              <w:rPr>
                <w:rFonts w:hint="eastAsia" w:ascii="宋体" w:hAnsi="宋体"/>
                <w:strike w:val="0"/>
                <w:dstrike w:val="0"/>
                <w:color w:val="auto"/>
                <w:szCs w:val="21"/>
                <w:highlight w:val="none"/>
                <w:u w:val="single"/>
              </w:rPr>
              <w:t xml:space="preserve"> 合同金额</w:t>
            </w:r>
            <w:r>
              <w:rPr>
                <w:rFonts w:hint="eastAsia" w:ascii="宋体" w:hAnsi="宋体"/>
                <w:strike w:val="0"/>
                <w:dstrike w:val="0"/>
                <w:color w:val="auto"/>
                <w:szCs w:val="21"/>
                <w:highlight w:val="none"/>
                <w:u w:val="single"/>
                <w:lang w:val="en-US" w:eastAsia="zh-CN"/>
              </w:rPr>
              <w:t>20</w:t>
            </w:r>
            <w:r>
              <w:rPr>
                <w:rFonts w:hint="eastAsia" w:ascii="宋体" w:hAnsi="宋体"/>
                <w:strike w:val="0"/>
                <w:dstrike w:val="0"/>
                <w:color w:val="auto"/>
                <w:szCs w:val="21"/>
                <w:highlight w:val="none"/>
                <w:u w:val="single"/>
              </w:rPr>
              <w:t xml:space="preserve">万元及以上 </w:t>
            </w:r>
          </w:p>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投标人须在投标文件资格审查部分提供业绩合同复印件</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若上述资料无法体现工程规模的，还须提供业主证明。</w:t>
            </w:r>
            <w:r>
              <w:rPr>
                <w:rFonts w:hint="eastAsia" w:asciiTheme="minorEastAsia" w:hAnsiTheme="minorEastAsia" w:eastAsiaTheme="minorEastAsia" w:cstheme="minorEastAsia"/>
                <w:sz w:val="21"/>
                <w:szCs w:val="21"/>
              </w:rPr>
              <w:t>）。</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.投标截止日投标资格情况</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投标人自行承诺（格式自拟）不得存在下列情形之一：</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（1）被最高人民法院在“信用中国”网站（www.creditchina.gov.cn）列入失信被执行人名单；</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（2）被列入《重庆市工程建设领域招标投标信用管理暂行办法》规定的重点关注名单且记分达到12分；</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（3）被列入《重庆市工程建设领域招标投标信用管理暂行办法》规定的黑名单；</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（4）被国家、重庆市（含市或任意区县）有关行政部门处以暂停投标资格行政处罚，且在处罚期限内；</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（5）被重庆市住房和城乡建设主管部门暂停在渝承揽新业务。</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.项目经理资格要求</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拟派的项目经理必须已在投标人本单位注册并应具有</w:t>
            </w:r>
            <w:r>
              <w:rPr>
                <w:rFonts w:hint="eastAsia" w:asciiTheme="minorEastAsia" w:hAnsiTheme="minorEastAsia" w:eastAsiaTheme="minorEastAsia" w:cstheme="minorEastAsia"/>
                <w:sz w:val="21"/>
                <w:szCs w:val="21"/>
                <w:u w:val="single"/>
                <w:lang w:val="en-US" w:eastAsia="zh-CN"/>
              </w:rPr>
              <w:t>建筑工程或</w:t>
            </w:r>
            <w:r>
              <w:rPr>
                <w:rFonts w:hint="eastAsia" w:eastAsiaTheme="minorEastAsia"/>
                <w:color w:val="auto"/>
                <w:szCs w:val="21"/>
                <w:highlight w:val="none"/>
                <w:u w:val="single"/>
                <w:lang w:val="en-US" w:eastAsia="zh-CN"/>
              </w:rPr>
              <w:t>市政公用工程</w:t>
            </w:r>
            <w:r>
              <w:rPr>
                <w:rFonts w:hint="eastAsia"/>
                <w:color w:val="auto"/>
                <w:szCs w:val="21"/>
                <w:highlight w:val="none"/>
                <w:u w:val="single"/>
              </w:rPr>
              <w:t xml:space="preserve">工程 </w:t>
            </w:r>
            <w:r>
              <w:rPr>
                <w:rFonts w:hint="eastAsia"/>
                <w:color w:val="auto"/>
                <w:szCs w:val="21"/>
                <w:highlight w:val="none"/>
              </w:rPr>
              <w:t>专业</w:t>
            </w:r>
            <w:r>
              <w:rPr>
                <w:color w:val="auto"/>
                <w:szCs w:val="21"/>
                <w:highlight w:val="none"/>
                <w:u w:val="single"/>
              </w:rPr>
              <w:t xml:space="preserve"> </w:t>
            </w:r>
            <w:r>
              <w:rPr>
                <w:rFonts w:hint="eastAsia"/>
                <w:color w:val="auto"/>
                <w:szCs w:val="21"/>
                <w:highlight w:val="none"/>
                <w:u w:val="single"/>
                <w:lang w:val="en-US" w:eastAsia="zh-CN"/>
              </w:rPr>
              <w:t>二</w:t>
            </w:r>
            <w:r>
              <w:rPr>
                <w:color w:val="auto"/>
                <w:szCs w:val="21"/>
                <w:highlight w:val="none"/>
                <w:u w:val="single"/>
              </w:rPr>
              <w:t>级及以上</w:t>
            </w:r>
            <w:r>
              <w:rPr>
                <w:color w:val="auto"/>
                <w:szCs w:val="21"/>
                <w:highlight w:val="none"/>
              </w:rPr>
              <w:t>注册建造师执业</w:t>
            </w:r>
            <w:r>
              <w:rPr>
                <w:rFonts w:ascii="宋体" w:hAnsi="宋体"/>
                <w:color w:val="auto"/>
                <w:szCs w:val="21"/>
                <w:highlight w:val="none"/>
              </w:rPr>
              <w:t>资格</w:t>
            </w:r>
            <w:r>
              <w:rPr>
                <w:rFonts w:hint="eastAsia" w:asciiTheme="minorEastAsia" w:hAnsiTheme="minorEastAsia" w:eastAsiaTheme="minorEastAsia" w:cstheme="minorEastAsia"/>
                <w:sz w:val="21"/>
                <w:szCs w:val="21"/>
              </w:rPr>
              <w:t>，应为投标人本单位人员，</w:t>
            </w:r>
            <w:r>
              <w:rPr>
                <w:rFonts w:hint="eastAsia" w:asciiTheme="minorEastAsia" w:hAnsiTheme="minorEastAsia" w:eastAsiaTheme="minorEastAsia" w:cstheme="minorEastAsia"/>
                <w:b/>
                <w:bCs/>
                <w:sz w:val="21"/>
                <w:szCs w:val="21"/>
              </w:rPr>
              <w:t>并做出项目经理到岗履职的承诺</w:t>
            </w:r>
            <w:r>
              <w:rPr>
                <w:rFonts w:hint="eastAsia" w:asciiTheme="minorEastAsia" w:hAnsiTheme="minorEastAsia" w:eastAsiaTheme="minorEastAsia" w:cstheme="minorEastAsia"/>
                <w:sz w:val="21"/>
                <w:szCs w:val="21"/>
              </w:rPr>
              <w:t>（自行承诺拟派项目经理中选后只能在本项目任职，签订合同时拟派的项目经理必须与投标文件中的项目经理一致。不能按承诺到岗履约的，按合同相关条款处罚并上报行政主管部门，给比选人造成损失的，投标人依法承担违约赔偿责任）和未被禁标的承诺（自行承诺拟派项目经理未被我市住房和城乡建设主管部门暂停在渝承揽新业务，若被暂停且参加投标的投标将被否决，比选保证金不予退还，给比选人造成损失的，投标人依法承担违约赔偿责任），否则由评标委员会作否决投标处理。</w:t>
            </w:r>
          </w:p>
          <w:p>
            <w:pPr>
              <w:autoSpaceDE w:val="0"/>
              <w:autoSpaceDN w:val="0"/>
              <w:adjustRightInd w:val="0"/>
              <w:snapToGrid w:val="0"/>
              <w:spacing w:line="360" w:lineRule="auto"/>
              <w:ind w:firstLine="316" w:firstLineChars="15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拟派项目经理中标后不得随意更换。</w:t>
            </w:r>
          </w:p>
          <w:p>
            <w:pPr>
              <w:autoSpaceDE w:val="0"/>
              <w:autoSpaceDN w:val="0"/>
              <w:adjustRightInd w:val="0"/>
              <w:snapToGrid w:val="0"/>
              <w:spacing w:line="360" w:lineRule="auto"/>
              <w:ind w:firstLine="316" w:firstLineChars="15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同时，投标人须在投标文件资格审查部分提供拟派项目经理</w:t>
            </w:r>
            <w:r>
              <w:rPr>
                <w:rFonts w:hint="eastAsia" w:asciiTheme="minorEastAsia" w:hAnsiTheme="minorEastAsia" w:eastAsiaTheme="minorEastAsia" w:cstheme="minorEastAsia"/>
                <w:b/>
                <w:bCs/>
                <w:sz w:val="21"/>
                <w:szCs w:val="21"/>
                <w:lang w:val="en-US" w:eastAsia="zh-CN"/>
              </w:rPr>
              <w:t>注册证书</w:t>
            </w:r>
            <w:r>
              <w:rPr>
                <w:rFonts w:hint="eastAsia" w:asciiTheme="minorEastAsia" w:hAnsiTheme="minorEastAsia" w:eastAsiaTheme="minorEastAsia" w:cstheme="minorEastAsia"/>
                <w:b/>
                <w:bCs/>
                <w:sz w:val="21"/>
                <w:szCs w:val="21"/>
              </w:rPr>
              <w:t>、身份证、投标人本单位为其缴纳的养老保险证明材料复印件，拟派项目经理到岗履职和未被禁标的承诺原件。</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.其他人员要求</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）主要管理人员：</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中选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选后不能满足该要求的，取消其中选资格，给比选人造成损失的，投标人依法承担违约赔偿责任。</w:t>
            </w:r>
            <w:r>
              <w:rPr>
                <w:rFonts w:hint="eastAsia" w:asciiTheme="minorEastAsia" w:hAnsiTheme="minorEastAsia" w:eastAsiaTheme="minorEastAsia" w:cstheme="minorEastAsia"/>
                <w:b/>
                <w:bCs/>
                <w:sz w:val="21"/>
                <w:szCs w:val="21"/>
              </w:rPr>
              <w:t>投标人须在投标文件中附承诺函（格式自拟）。</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）委托代理人：</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本项目委托代理人必须为投标人本单位职工。</w:t>
            </w:r>
            <w:r>
              <w:rPr>
                <w:rFonts w:hint="eastAsia" w:asciiTheme="minorEastAsia" w:hAnsiTheme="minorEastAsia" w:eastAsiaTheme="minorEastAsia" w:cstheme="minorEastAsia"/>
                <w:b/>
                <w:bCs/>
                <w:sz w:val="21"/>
                <w:szCs w:val="21"/>
              </w:rPr>
              <w:t>投标人须在投标文件资格审查部分提供投标人本单位为该委托代理人缴纳的养老保险证明复印件。否则，将由评标委员会作否决投标处理。</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特别说明：</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（1）以上1～4条，有一条不满足，则投标文件由评标委员会作否决投标处理。</w:t>
            </w:r>
            <w:r>
              <w:rPr>
                <w:rFonts w:hint="eastAsia" w:asciiTheme="minorEastAsia" w:hAnsiTheme="minorEastAsia" w:eastAsiaTheme="minorEastAsia" w:cstheme="minorEastAsia"/>
                <w:b/>
                <w:bCs/>
                <w:sz w:val="21"/>
                <w:szCs w:val="21"/>
              </w:rPr>
              <w:t>以上所有复印件加盖投标人鲜章，否则，将由评标委员会作否决投标处理。</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（2）比选人在比选有效期内均有权对投标人提供的以上资料进行核实，若发现资料存在虚假不实，按照相关法律法规处理，投标人承担因此造成的相关责任并赔偿相应损失。</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（3）本比选文件中所要求的人员养老保险证明要求如下：</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①社会单位提供养老保险证明，事业单位提供养老保险证明或行政主管部门在编证明。</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②投标文件中对养老保险的要求为：项目经理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委托代理人的养老保险证明期限为 202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月至 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月的连续养老保险。</w:t>
            </w:r>
          </w:p>
          <w:p>
            <w:pPr>
              <w:spacing w:line="400" w:lineRule="exact"/>
              <w:ind w:firstLine="420" w:firstLineChars="200"/>
              <w:rPr>
                <w:rFonts w:ascii="宋体" w:hAnsi="宋体"/>
                <w:bCs/>
                <w:snapToGrid w:val="0"/>
                <w:kern w:val="0"/>
                <w:szCs w:val="21"/>
                <w:highlight w:val="none"/>
              </w:rPr>
            </w:pPr>
            <w:r>
              <w:rPr>
                <w:rFonts w:hint="eastAsia" w:asciiTheme="minorEastAsia" w:hAnsiTheme="minorEastAsia" w:eastAsiaTheme="minorEastAsia" w:cstheme="minorEastAsia"/>
                <w:sz w:val="21"/>
                <w:szCs w:val="21"/>
              </w:rPr>
              <w:t>养老保险证明必须加盖社保部门公章，提供养老保险参保证明（个人），含身份证号或社保号和参保基本情况、参保缴费明细（养老保险），否则由评标委员会作否决投标处理。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不接受</w:t>
            </w:r>
          </w:p>
          <w:p>
            <w:pPr>
              <w:snapToGrid w:val="0"/>
              <w:spacing w:after="15" w:afterLines="5"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接受，应满足下列要求：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不组织</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组织，</w:t>
            </w:r>
            <w:r>
              <w:rPr>
                <w:rFonts w:hint="eastAsia" w:ascii="宋体" w:hAnsi="宋体"/>
                <w:kern w:val="0"/>
                <w:szCs w:val="21"/>
                <w:highlight w:val="none"/>
              </w:rPr>
              <w:t>集中</w:t>
            </w:r>
            <w:r>
              <w:rPr>
                <w:rFonts w:ascii="宋体" w:hAnsi="宋体"/>
                <w:kern w:val="0"/>
                <w:szCs w:val="21"/>
                <w:highlight w:val="none"/>
              </w:rPr>
              <w:t>踏勘时间：</w:t>
            </w:r>
          </w:p>
          <w:p>
            <w:pPr>
              <w:snapToGrid w:val="0"/>
              <w:spacing w:line="400" w:lineRule="exact"/>
              <w:ind w:firstLine="1260" w:firstLineChars="600"/>
              <w:rPr>
                <w:rFonts w:ascii="宋体" w:hAnsi="宋体"/>
                <w:kern w:val="0"/>
                <w:szCs w:val="21"/>
                <w:highlight w:val="none"/>
              </w:rPr>
            </w:pPr>
            <w:r>
              <w:rPr>
                <w:rFonts w:ascii="宋体" w:hAnsi="宋体"/>
                <w:kern w:val="0"/>
                <w:szCs w:val="21"/>
                <w:highlight w:val="none"/>
              </w:rPr>
              <w:t>集中踏勘地点：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不召开</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召开，召开时间：</w:t>
            </w:r>
          </w:p>
          <w:p>
            <w:pPr>
              <w:snapToGrid w:val="0"/>
              <w:spacing w:after="15" w:afterLines="5" w:line="400" w:lineRule="exact"/>
              <w:ind w:firstLine="1260" w:firstLineChars="600"/>
              <w:rPr>
                <w:rFonts w:ascii="宋体" w:hAnsi="宋体"/>
                <w:kern w:val="0"/>
                <w:szCs w:val="21"/>
                <w:highlight w:val="none"/>
              </w:rPr>
            </w:pPr>
            <w:r>
              <w:rPr>
                <w:rFonts w:ascii="宋体" w:hAnsi="宋体"/>
                <w:kern w:val="0"/>
                <w:szCs w:val="21"/>
                <w:highlight w:val="none"/>
              </w:rPr>
              <w:t>召开地点：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不允许</w:t>
            </w:r>
          </w:p>
          <w:p>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w:t>
            </w:r>
            <w:r>
              <w:rPr>
                <w:rFonts w:ascii="宋体" w:hAnsi="宋体"/>
                <w:kern w:val="0"/>
                <w:szCs w:val="21"/>
                <w:highlight w:val="none"/>
              </w:rPr>
              <w:t>允许，分包内容要求：</w:t>
            </w:r>
            <w:r>
              <w:rPr>
                <w:rFonts w:hint="eastAsia" w:ascii="宋体" w:hAnsi="宋体"/>
                <w:kern w:val="0"/>
                <w:szCs w:val="21"/>
                <w:highlight w:val="none"/>
                <w:lang w:val="en-US" w:eastAsia="zh-CN"/>
              </w:rPr>
              <w:t>/</w:t>
            </w:r>
          </w:p>
          <w:p>
            <w:pPr>
              <w:snapToGrid w:val="0"/>
              <w:spacing w:line="400" w:lineRule="exact"/>
              <w:ind w:firstLine="1260" w:firstLineChars="600"/>
              <w:rPr>
                <w:rFonts w:hint="eastAsia" w:ascii="宋体" w:hAnsi="宋体" w:eastAsia="宋体"/>
                <w:kern w:val="0"/>
                <w:szCs w:val="21"/>
                <w:highlight w:val="none"/>
                <w:lang w:val="en-US" w:eastAsia="zh-CN"/>
              </w:rPr>
            </w:pPr>
            <w:r>
              <w:rPr>
                <w:rFonts w:ascii="宋体" w:hAnsi="宋体"/>
                <w:kern w:val="0"/>
                <w:szCs w:val="21"/>
                <w:highlight w:val="none"/>
              </w:rPr>
              <w:t>分包金额要求：</w:t>
            </w:r>
            <w:r>
              <w:rPr>
                <w:rFonts w:hint="eastAsia" w:ascii="宋体" w:hAnsi="宋体"/>
                <w:kern w:val="0"/>
                <w:szCs w:val="21"/>
                <w:highlight w:val="none"/>
                <w:lang w:val="en-US" w:eastAsia="zh-CN"/>
              </w:rPr>
              <w:t>/</w:t>
            </w:r>
          </w:p>
          <w:p>
            <w:pPr>
              <w:snapToGrid w:val="0"/>
              <w:spacing w:after="15" w:afterLines="5" w:line="400" w:lineRule="exact"/>
              <w:rPr>
                <w:rFonts w:hint="eastAsia" w:ascii="宋体" w:hAnsi="宋体" w:eastAsia="宋体"/>
                <w:kern w:val="0"/>
                <w:szCs w:val="21"/>
                <w:highlight w:val="none"/>
                <w:lang w:val="en-US" w:eastAsia="zh-CN"/>
              </w:rPr>
            </w:pPr>
            <w:r>
              <w:rPr>
                <w:rFonts w:ascii="宋体" w:hAnsi="宋体"/>
                <w:kern w:val="0"/>
                <w:szCs w:val="21"/>
                <w:highlight w:val="none"/>
              </w:rPr>
              <w:t>接受分包的第三人资质要求：</w:t>
            </w:r>
            <w:r>
              <w:rPr>
                <w:rFonts w:hint="eastAsia" w:ascii="宋体" w:hAnsi="宋体"/>
                <w:kern w:val="0"/>
                <w:szCs w:val="21"/>
                <w:highlight w:val="none"/>
                <w:lang w:val="en-US" w:eastAsia="zh-CN"/>
              </w:rPr>
              <w:t>/</w:t>
            </w:r>
          </w:p>
          <w:p>
            <w:pPr>
              <w:snapToGrid w:val="0"/>
              <w:spacing w:after="15" w:afterLines="5" w:line="400" w:lineRule="exact"/>
              <w:rPr>
                <w:rFonts w:ascii="宋体" w:hAnsi="宋体"/>
                <w:kern w:val="0"/>
                <w:szCs w:val="21"/>
                <w:highlight w:val="none"/>
              </w:rPr>
            </w:pPr>
            <w:r>
              <w:rPr>
                <w:rFonts w:hint="eastAsia" w:ascii="宋体" w:hAnsi="宋体"/>
                <w:kern w:val="0"/>
                <w:szCs w:val="21"/>
                <w:highlight w:val="none"/>
              </w:rPr>
              <w:t>注：分包应按照相关法律法规及规范性文件执行，不得违法分包。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比选人</w:t>
            </w:r>
            <w:r>
              <w:rPr>
                <w:rFonts w:ascii="宋体" w:hAnsi="宋体"/>
                <w:szCs w:val="21"/>
                <w:highlight w:val="none"/>
              </w:rPr>
              <w:t>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pPr>
              <w:spacing w:line="360" w:lineRule="auto"/>
              <w:ind w:firstLine="420" w:firstLineChars="200"/>
              <w:rPr>
                <w:rFonts w:ascii="宋体" w:hAnsi="宋体"/>
                <w:kern w:val="0"/>
                <w:szCs w:val="21"/>
                <w:highlight w:val="none"/>
              </w:rPr>
            </w:pPr>
            <w:r>
              <w:rPr>
                <w:rFonts w:hint="eastAsia" w:asciiTheme="minorEastAsia" w:hAnsiTheme="minorEastAsia" w:eastAsiaTheme="minorEastAsia" w:cstheme="minorEastAsia"/>
                <w:snapToGrid w:val="0"/>
                <w:kern w:val="0"/>
                <w:sz w:val="21"/>
                <w:szCs w:val="21"/>
              </w:rPr>
              <w:t>投标人应仔细阅读招标文件及附件的所有内容，如有文字表述不清，图纸尺寸标注不明以及存在错、漏、缺、概念模糊和有可能出现歧义或理解上的偏差的内容等应在202</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5</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15</w:t>
            </w:r>
            <w:r>
              <w:rPr>
                <w:rFonts w:hint="eastAsia" w:asciiTheme="minorEastAsia" w:hAnsiTheme="minorEastAsia" w:eastAsiaTheme="minorEastAsia" w:cstheme="minorEastAsia"/>
                <w:snapToGrid w:val="0"/>
                <w:kern w:val="0"/>
                <w:sz w:val="21"/>
                <w:szCs w:val="21"/>
              </w:rPr>
              <w:t>日 12:00  前发送至</w:t>
            </w:r>
            <w:r>
              <w:rPr>
                <w:rFonts w:hint="eastAsia" w:asciiTheme="minorEastAsia" w:hAnsiTheme="minorEastAsia" w:eastAsiaTheme="minorEastAsia" w:cstheme="minorEastAsia"/>
                <w:snapToGrid w:val="0"/>
                <w:kern w:val="0"/>
                <w:sz w:val="21"/>
                <w:szCs w:val="21"/>
                <w:lang w:val="en-US" w:eastAsia="zh-CN"/>
              </w:rPr>
              <w:t>比选人</w:t>
            </w:r>
            <w:r>
              <w:rPr>
                <w:rFonts w:hint="eastAsia" w:asciiTheme="minorEastAsia" w:hAnsiTheme="minorEastAsia" w:eastAsiaTheme="minorEastAsia" w:cstheme="minorEastAsia"/>
                <w:snapToGrid w:val="0"/>
                <w:kern w:val="0"/>
                <w:sz w:val="21"/>
                <w:szCs w:val="21"/>
              </w:rPr>
              <w:t>提供的邮箱。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pPr>
              <w:spacing w:line="360" w:lineRule="auto"/>
              <w:ind w:firstLine="420" w:firstLineChars="200"/>
              <w:rPr>
                <w:rFonts w:ascii="宋体" w:hAnsi="宋体"/>
                <w:snapToGrid w:val="0"/>
                <w:kern w:val="0"/>
                <w:szCs w:val="21"/>
                <w:highlight w:val="none"/>
              </w:rPr>
            </w:pPr>
            <w:r>
              <w:rPr>
                <w:rFonts w:hint="eastAsia" w:cs="宋体" w:asciiTheme="minorEastAsia" w:hAnsiTheme="minorEastAsia" w:eastAsiaTheme="minorEastAsia"/>
                <w:kern w:val="0"/>
                <w:sz w:val="21"/>
                <w:szCs w:val="21"/>
              </w:rPr>
              <w:t xml:space="preserve">在行采家(https://www.gec123.com/) </w:t>
            </w:r>
            <w:r>
              <w:rPr>
                <w:rFonts w:hint="eastAsia" w:cs="宋体" w:asciiTheme="minorEastAsia" w:hAnsiTheme="minorEastAsia" w:eastAsiaTheme="minorEastAsia"/>
                <w:kern w:val="0"/>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Theme="minorEastAsia" w:hAnsiTheme="minorEastAsia" w:eastAsiaTheme="minorEastAsia" w:cstheme="minorEastAsia"/>
                <w:snapToGrid w:val="0"/>
                <w:kern w:val="0"/>
                <w:sz w:val="21"/>
                <w:szCs w:val="21"/>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pPr>
              <w:snapToGrid w:val="0"/>
              <w:spacing w:line="400" w:lineRule="exact"/>
              <w:jc w:val="center"/>
              <w:rPr>
                <w:rFonts w:ascii="宋体" w:hAnsi="宋体"/>
                <w:kern w:val="0"/>
                <w:szCs w:val="21"/>
                <w:highlight w:val="none"/>
              </w:rPr>
            </w:pP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w:t>
            </w:r>
            <w:r>
              <w:rPr>
                <w:rFonts w:hint="eastAsia" w:ascii="宋体" w:hAnsi="宋体"/>
                <w:szCs w:val="21"/>
                <w:highlight w:val="none"/>
                <w:lang w:eastAsia="zh-CN"/>
              </w:rPr>
              <w:t>比选公告</w:t>
            </w:r>
            <w:r>
              <w:rPr>
                <w:rFonts w:hint="eastAsia" w:ascii="宋体" w:hAnsi="宋体"/>
                <w:szCs w:val="21"/>
                <w:highlight w:val="none"/>
              </w:rPr>
              <w:t>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pPr>
              <w:snapToGrid w:val="0"/>
              <w:spacing w:after="15" w:afterLines="5"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lang w:eastAsia="zh-CN"/>
              </w:rPr>
              <w:t>竞选文件</w:t>
            </w:r>
            <w:r>
              <w:rPr>
                <w:rFonts w:ascii="宋体" w:hAnsi="宋体"/>
                <w:kern w:val="0"/>
                <w:szCs w:val="21"/>
                <w:highlight w:val="none"/>
              </w:rPr>
              <w:t>的其他材料</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的书面澄清、说明和补正（但不得改变</w:t>
            </w:r>
            <w:r>
              <w:rPr>
                <w:rFonts w:hint="eastAsia" w:ascii="宋体" w:hAnsi="宋体"/>
                <w:szCs w:val="21"/>
                <w:highlight w:val="none"/>
                <w:lang w:eastAsia="zh-CN"/>
              </w:rPr>
              <w:t>竞选文件</w:t>
            </w:r>
            <w:r>
              <w:rPr>
                <w:rFonts w:ascii="宋体" w:hAnsi="宋体"/>
                <w:szCs w:val="21"/>
                <w:highlight w:val="none"/>
              </w:rPr>
              <w:t>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pPr>
              <w:spacing w:line="360" w:lineRule="auto"/>
              <w:ind w:firstLine="420" w:firstLineChars="200"/>
              <w:rPr>
                <w:rFonts w:hint="default" w:asciiTheme="minorEastAsia" w:hAnsiTheme="minorEastAsia" w:eastAsiaTheme="minorEastAsia" w:cstheme="minorEastAsia"/>
                <w:snapToGrid w:val="0"/>
                <w:color w:val="0000FF"/>
                <w:kern w:val="0"/>
                <w:sz w:val="21"/>
                <w:szCs w:val="21"/>
                <w:lang w:val="en-US" w:eastAsia="zh-CN"/>
              </w:rPr>
            </w:pPr>
            <w:r>
              <w:rPr>
                <w:rFonts w:hint="eastAsia" w:asciiTheme="minorEastAsia" w:hAnsiTheme="minorEastAsia" w:eastAsiaTheme="minorEastAsia" w:cstheme="minorEastAsia"/>
                <w:snapToGrid w:val="0"/>
                <w:color w:val="0000FF"/>
                <w:kern w:val="0"/>
                <w:sz w:val="21"/>
                <w:szCs w:val="21"/>
                <w:lang w:val="en-US" w:eastAsia="zh-CN"/>
              </w:rPr>
              <w:t>固定费率报价，费率最高限价为80%。</w:t>
            </w:r>
          </w:p>
          <w:p>
            <w:pPr>
              <w:spacing w:line="360" w:lineRule="auto"/>
              <w:ind w:firstLine="420" w:firstLineChars="200"/>
            </w:pPr>
            <w:r>
              <w:rPr>
                <w:rFonts w:hint="eastAsia" w:asciiTheme="minorEastAsia" w:hAnsiTheme="minorEastAsia" w:eastAsiaTheme="minorEastAsia" w:cstheme="minorEastAsia"/>
                <w:snapToGrid w:val="0"/>
                <w:color w:val="0000FF"/>
                <w:kern w:val="0"/>
                <w:sz w:val="21"/>
                <w:szCs w:val="21"/>
              </w:rPr>
              <w:t>报价原则：投标报价</w:t>
            </w:r>
            <w:r>
              <w:rPr>
                <w:rFonts w:hint="eastAsia" w:asciiTheme="minorEastAsia" w:hAnsiTheme="minorEastAsia" w:eastAsiaTheme="minorEastAsia" w:cstheme="minorEastAsia"/>
                <w:snapToGrid w:val="0"/>
                <w:color w:val="0000FF"/>
                <w:kern w:val="0"/>
                <w:sz w:val="21"/>
                <w:szCs w:val="21"/>
                <w:lang w:val="en-US" w:eastAsia="zh-CN"/>
              </w:rPr>
              <w:t>费率</w:t>
            </w:r>
            <w:r>
              <w:rPr>
                <w:rFonts w:hint="eastAsia" w:asciiTheme="minorEastAsia" w:hAnsiTheme="minorEastAsia" w:eastAsiaTheme="minorEastAsia" w:cstheme="minorEastAsia"/>
                <w:snapToGrid w:val="0"/>
                <w:color w:val="0000FF"/>
                <w:kern w:val="0"/>
                <w:sz w:val="21"/>
                <w:szCs w:val="21"/>
              </w:rPr>
              <w:t>中应包含为实施和完成本项目所需的分部分项工程费（含人工费、材料费、施工机具使用费、企业管理费、利润、一般风险费和其他风险费）、措施项目费（含施工组织措施项目费、安全文明施工费和施工技术措施项目费）、其他项目费、规费、税金和其他风险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w:t>
            </w:r>
            <w:r>
              <w:rPr>
                <w:rFonts w:hint="eastAsia" w:ascii="宋体" w:hAnsi="宋体"/>
                <w:szCs w:val="21"/>
                <w:highlight w:val="none"/>
                <w:lang w:eastAsia="zh-CN"/>
              </w:rPr>
              <w:t>竞选文件</w:t>
            </w:r>
            <w:r>
              <w:rPr>
                <w:rFonts w:ascii="宋体" w:hAnsi="宋体"/>
                <w:szCs w:val="21"/>
                <w:highlight w:val="none"/>
              </w:rPr>
              <w:t>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3.4</w:t>
            </w:r>
          </w:p>
        </w:tc>
        <w:tc>
          <w:tcPr>
            <w:tcW w:w="1644" w:type="dxa"/>
            <w:vAlign w:val="center"/>
          </w:tcPr>
          <w:p>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投标保证金</w:t>
            </w:r>
          </w:p>
        </w:tc>
        <w:tc>
          <w:tcPr>
            <w:tcW w:w="6490" w:type="dxa"/>
            <w:vAlign w:val="center"/>
          </w:tcPr>
          <w:p>
            <w:pPr>
              <w:ind w:firstLine="420" w:firstLineChars="200"/>
              <w:rPr>
                <w:rFonts w:hint="eastAsia"/>
                <w:color w:val="auto"/>
                <w:highlight w:val="none"/>
              </w:rPr>
            </w:pPr>
            <w:r>
              <w:rPr>
                <w:rFonts w:hint="eastAsia"/>
                <w:color w:val="auto"/>
                <w:highlight w:val="none"/>
                <w:lang w:val="en-US" w:eastAsia="zh-CN"/>
              </w:rPr>
              <w:t>方式</w:t>
            </w:r>
            <w:r>
              <w:rPr>
                <w:rFonts w:hint="eastAsia"/>
                <w:color w:val="auto"/>
                <w:highlight w:val="none"/>
              </w:rPr>
              <w:t>一</w:t>
            </w:r>
            <w:r>
              <w:rPr>
                <w:rFonts w:hint="eastAsia"/>
                <w:color w:val="auto"/>
                <w:highlight w:val="none"/>
                <w:lang w:eastAsia="zh-CN"/>
              </w:rPr>
              <w:t>：</w:t>
            </w:r>
            <w:r>
              <w:rPr>
                <w:rFonts w:hint="eastAsia"/>
                <w:color w:val="auto"/>
                <w:highlight w:val="none"/>
              </w:rPr>
              <w:t>以转账形式交纳投标保证金</w:t>
            </w:r>
          </w:p>
          <w:p>
            <w:pPr>
              <w:ind w:firstLine="420" w:firstLineChars="200"/>
              <w:rPr>
                <w:rFonts w:hint="eastAsia"/>
                <w:color w:val="auto"/>
                <w:highlight w:val="none"/>
              </w:rPr>
            </w:pPr>
            <w:r>
              <w:rPr>
                <w:rFonts w:hint="eastAsia"/>
                <w:color w:val="auto"/>
                <w:highlight w:val="none"/>
              </w:rPr>
              <w:t>1、投标保证金交款形式及要求：投标人从企业的基本账户（开户行）在</w:t>
            </w:r>
            <w:r>
              <w:rPr>
                <w:rFonts w:hint="eastAsia"/>
                <w:color w:val="auto"/>
                <w:highlight w:val="none"/>
                <w:lang w:val="en-US" w:eastAsia="zh-CN"/>
              </w:rPr>
              <w:t>投标截止时间</w:t>
            </w:r>
            <w:r>
              <w:rPr>
                <w:rFonts w:hint="eastAsia"/>
                <w:color w:val="auto"/>
                <w:highlight w:val="none"/>
              </w:rPr>
              <w:t>前通过转账方式直接划付至下面指定的投标保证金账户。不满足上述要求的投标保证金无效。</w:t>
            </w:r>
          </w:p>
          <w:p>
            <w:pPr>
              <w:ind w:firstLine="420" w:firstLineChars="200"/>
              <w:rPr>
                <w:rFonts w:hint="eastAsia"/>
                <w:color w:val="auto"/>
                <w:highlight w:val="none"/>
              </w:rPr>
            </w:pPr>
            <w:r>
              <w:rPr>
                <w:rFonts w:hint="eastAsia"/>
                <w:color w:val="auto"/>
                <w:highlight w:val="none"/>
                <w:lang w:val="en-US" w:eastAsia="zh-CN"/>
              </w:rPr>
              <w:t>实际到账时间：以投标保证金账户显示的到账时间为准；</w:t>
            </w:r>
            <w:r>
              <w:rPr>
                <w:rFonts w:hint="eastAsia"/>
                <w:color w:val="auto"/>
                <w:highlight w:val="none"/>
              </w:rPr>
              <w:t>投标人自行考虑汇入时间风险，如同城汇入、异地汇入、跨行汇入的时间要求。</w:t>
            </w:r>
          </w:p>
          <w:p>
            <w:pPr>
              <w:ind w:firstLine="420" w:firstLineChars="200"/>
              <w:rPr>
                <w:rFonts w:hint="eastAsia"/>
                <w:color w:val="auto"/>
                <w:highlight w:val="none"/>
              </w:rPr>
            </w:pPr>
            <w:r>
              <w:rPr>
                <w:rFonts w:hint="eastAsia"/>
                <w:color w:val="auto"/>
                <w:highlight w:val="none"/>
              </w:rPr>
              <w:t>2、以转账形式提交投标保证金的金额：</w:t>
            </w:r>
            <w:r>
              <w:rPr>
                <w:rFonts w:hint="eastAsia"/>
                <w:color w:val="auto"/>
                <w:highlight w:val="none"/>
                <w:lang w:val="en-US" w:eastAsia="zh-CN"/>
              </w:rPr>
              <w:t>1</w:t>
            </w:r>
            <w:r>
              <w:rPr>
                <w:rFonts w:hint="eastAsia"/>
                <w:color w:val="auto"/>
                <w:highlight w:val="none"/>
              </w:rPr>
              <w:t>万元整（人民币）。</w:t>
            </w:r>
          </w:p>
          <w:p>
            <w:pPr>
              <w:ind w:firstLine="420" w:firstLineChars="200"/>
              <w:rPr>
                <w:rFonts w:hint="eastAsia"/>
                <w:color w:val="auto"/>
                <w:highlight w:val="none"/>
              </w:rPr>
            </w:pPr>
            <w:r>
              <w:rPr>
                <w:rFonts w:hint="eastAsia"/>
                <w:color w:val="auto"/>
                <w:highlight w:val="none"/>
              </w:rPr>
              <w:t>3、投标保证金账户及账号（任选其一）：</w:t>
            </w:r>
          </w:p>
          <w:p>
            <w:pPr>
              <w:ind w:firstLine="420" w:firstLineChars="200"/>
              <w:rPr>
                <w:rFonts w:hint="eastAsia"/>
                <w:color w:val="auto"/>
                <w:highlight w:val="none"/>
                <w:lang w:val="en-US" w:eastAsia="zh-CN"/>
              </w:rPr>
            </w:pPr>
            <w:r>
              <w:rPr>
                <w:rFonts w:hint="eastAsia"/>
                <w:color w:val="auto"/>
                <w:highlight w:val="none"/>
                <w:lang w:val="en-US" w:eastAsia="zh-CN"/>
              </w:rPr>
              <w:t xml:space="preserve">户  名：重庆新汇商实业有限公司     </w:t>
            </w:r>
          </w:p>
          <w:p>
            <w:pPr>
              <w:ind w:firstLine="420" w:firstLineChars="200"/>
              <w:rPr>
                <w:rFonts w:hint="eastAsia"/>
                <w:color w:val="auto"/>
                <w:highlight w:val="none"/>
                <w:lang w:val="en-US" w:eastAsia="zh-CN"/>
              </w:rPr>
            </w:pPr>
            <w:r>
              <w:rPr>
                <w:rFonts w:hint="eastAsia"/>
                <w:color w:val="auto"/>
                <w:highlight w:val="none"/>
                <w:lang w:val="en-US" w:eastAsia="zh-CN"/>
              </w:rPr>
              <w:t xml:space="preserve">开户行：招商银行南岸支行 </w:t>
            </w:r>
          </w:p>
          <w:p>
            <w:pPr>
              <w:ind w:firstLine="420" w:firstLineChars="200"/>
              <w:rPr>
                <w:rFonts w:hint="eastAsia"/>
                <w:color w:val="auto"/>
                <w:highlight w:val="none"/>
                <w:lang w:val="en-US" w:eastAsia="zh-CN"/>
              </w:rPr>
            </w:pPr>
            <w:r>
              <w:rPr>
                <w:rFonts w:hint="eastAsia"/>
                <w:color w:val="auto"/>
                <w:highlight w:val="none"/>
                <w:lang w:val="en-US" w:eastAsia="zh-CN"/>
              </w:rPr>
              <w:t>账  号：123905136510401</w:t>
            </w:r>
          </w:p>
          <w:p>
            <w:pPr>
              <w:ind w:firstLine="420" w:firstLineChars="200"/>
              <w:rPr>
                <w:rFonts w:hint="eastAsia"/>
                <w:color w:val="auto"/>
                <w:highlight w:val="none"/>
              </w:rPr>
            </w:pPr>
            <w:r>
              <w:rPr>
                <w:rFonts w:hint="eastAsia"/>
                <w:color w:val="auto"/>
                <w:highlight w:val="none"/>
              </w:rPr>
              <w:t>投标人须在投标文件资格审查部分“其他资料”中提供企业基本账户开户证明文件。</w:t>
            </w:r>
          </w:p>
          <w:p>
            <w:pPr>
              <w:ind w:firstLine="420" w:firstLineChars="200"/>
              <w:rPr>
                <w:rFonts w:hint="eastAsia"/>
                <w:color w:val="auto"/>
                <w:highlight w:val="none"/>
              </w:rPr>
            </w:pPr>
            <w:r>
              <w:rPr>
                <w:rFonts w:hint="eastAsia"/>
                <w:color w:val="auto"/>
                <w:highlight w:val="none"/>
              </w:rPr>
              <w:t>4、投标人必须在付款凭证备注栏中注明是</w:t>
            </w:r>
            <w:r>
              <w:rPr>
                <w:rFonts w:hint="eastAsia"/>
                <w:color w:val="auto"/>
                <w:highlight w:val="none"/>
                <w:lang w:val="en-US" w:eastAsia="zh-CN"/>
              </w:rPr>
              <w:t>“ XXX项目投标保证金”。</w:t>
            </w:r>
          </w:p>
          <w:p>
            <w:pPr>
              <w:ind w:firstLine="420" w:firstLineChars="200"/>
              <w:rPr>
                <w:rFonts w:hint="eastAsia"/>
                <w:color w:val="auto"/>
                <w:highlight w:val="none"/>
              </w:rPr>
            </w:pPr>
            <w:r>
              <w:rPr>
                <w:rFonts w:hint="eastAsia"/>
                <w:color w:val="auto"/>
                <w:highlight w:val="none"/>
              </w:rPr>
              <w:t>5、投标保证金有效期与投标有效期一致。</w:t>
            </w:r>
          </w:p>
          <w:p>
            <w:pPr>
              <w:ind w:firstLine="420" w:firstLineChars="200"/>
              <w:rPr>
                <w:rFonts w:hint="eastAsia"/>
                <w:color w:val="auto"/>
                <w:highlight w:val="none"/>
              </w:rPr>
            </w:pPr>
            <w:r>
              <w:rPr>
                <w:rFonts w:hint="eastAsia"/>
                <w:color w:val="auto"/>
                <w:highlight w:val="none"/>
              </w:rPr>
              <w:t>6、评标过程中由评标委员会根据投标人在投标文件中提供的企业基本账户开户证明文件核实其投标保证金是否由基本账户转入，未从基本账户转入的，由评标委员会作否决投标处理。</w:t>
            </w:r>
          </w:p>
          <w:p>
            <w:pPr>
              <w:ind w:firstLine="420" w:firstLineChars="200"/>
              <w:rPr>
                <w:rFonts w:hint="eastAsia"/>
                <w:color w:val="auto"/>
                <w:highlight w:val="none"/>
              </w:rPr>
            </w:pPr>
            <w:r>
              <w:rPr>
                <w:rFonts w:hint="eastAsia"/>
                <w:color w:val="auto"/>
                <w:highlight w:val="none"/>
              </w:rPr>
              <w:t>二、投标保证金的退还</w:t>
            </w:r>
          </w:p>
          <w:p>
            <w:pPr>
              <w:ind w:firstLine="420" w:firstLineChars="200"/>
              <w:rPr>
                <w:rFonts w:hint="eastAsia"/>
                <w:color w:val="auto"/>
                <w:highlight w:val="none"/>
              </w:rPr>
            </w:pPr>
            <w:r>
              <w:rPr>
                <w:rFonts w:hint="eastAsia"/>
                <w:color w:val="auto"/>
                <w:highlight w:val="none"/>
              </w:rPr>
              <w:t>招标人在中标通知书发出后</w:t>
            </w:r>
            <w:r>
              <w:rPr>
                <w:rFonts w:hint="eastAsia"/>
                <w:color w:val="auto"/>
                <w:highlight w:val="none"/>
                <w:lang w:val="en-US" w:eastAsia="zh-CN"/>
              </w:rPr>
              <w:t>15</w:t>
            </w:r>
            <w:r>
              <w:rPr>
                <w:rFonts w:hint="eastAsia"/>
                <w:color w:val="auto"/>
                <w:highlight w:val="none"/>
              </w:rPr>
              <w:t>个工作日内，退还向除中标人和中标候选人以外的投标人</w:t>
            </w:r>
            <w:r>
              <w:rPr>
                <w:rFonts w:hint="eastAsia"/>
                <w:color w:val="auto"/>
                <w:highlight w:val="none"/>
                <w:lang w:val="en-US" w:eastAsia="zh-CN"/>
              </w:rPr>
              <w:t>的</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pPr>
              <w:ind w:firstLine="420" w:firstLineChars="200"/>
              <w:rPr>
                <w:rFonts w:hint="eastAsia"/>
                <w:color w:val="auto"/>
                <w:highlight w:val="none"/>
              </w:rPr>
            </w:pPr>
            <w:r>
              <w:rPr>
                <w:rFonts w:hint="eastAsia"/>
                <w:color w:val="auto"/>
                <w:highlight w:val="none"/>
              </w:rPr>
              <w:t>招标人和中标人签订合同</w:t>
            </w:r>
            <w:r>
              <w:rPr>
                <w:rFonts w:hint="eastAsia"/>
                <w:color w:val="auto"/>
                <w:highlight w:val="none"/>
                <w:lang w:val="en-US" w:eastAsia="zh-CN"/>
              </w:rPr>
              <w:t>后</w:t>
            </w:r>
            <w:r>
              <w:rPr>
                <w:rFonts w:hint="eastAsia"/>
                <w:color w:val="auto"/>
                <w:highlight w:val="none"/>
                <w:lang w:eastAsia="zh-CN"/>
              </w:rPr>
              <w:t>，</w:t>
            </w:r>
            <w:r>
              <w:rPr>
                <w:rFonts w:hint="eastAsia"/>
                <w:color w:val="auto"/>
                <w:highlight w:val="none"/>
              </w:rPr>
              <w:t>当在合同生效后</w:t>
            </w:r>
            <w:r>
              <w:rPr>
                <w:rFonts w:hint="eastAsia"/>
                <w:color w:val="auto"/>
                <w:highlight w:val="none"/>
                <w:lang w:val="en-US" w:eastAsia="zh-CN"/>
              </w:rPr>
              <w:t>15</w:t>
            </w:r>
            <w:r>
              <w:rPr>
                <w:rFonts w:hint="eastAsia"/>
                <w:color w:val="auto"/>
                <w:highlight w:val="none"/>
              </w:rPr>
              <w:t>个工作日内</w:t>
            </w:r>
            <w:r>
              <w:rPr>
                <w:rFonts w:hint="eastAsia"/>
                <w:color w:val="auto"/>
                <w:highlight w:val="none"/>
                <w:lang w:eastAsia="zh-CN"/>
              </w:rPr>
              <w:t>，</w:t>
            </w:r>
            <w:r>
              <w:rPr>
                <w:rFonts w:hint="eastAsia"/>
                <w:color w:val="auto"/>
                <w:highlight w:val="none"/>
              </w:rPr>
              <w:t>向中标人和中标候选人退还投标保证金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pPr>
              <w:snapToGrid w:val="0"/>
              <w:spacing w:line="400" w:lineRule="exact"/>
              <w:ind w:firstLine="420" w:firstLineChars="200"/>
              <w:rPr>
                <w:rFonts w:hint="eastAsia"/>
                <w:color w:val="auto"/>
                <w:highlight w:val="none"/>
                <w:lang w:val="en-US" w:eastAsia="zh-CN"/>
              </w:rPr>
            </w:pPr>
            <w:r>
              <w:rPr>
                <w:rFonts w:hint="eastAsia"/>
                <w:color w:val="auto"/>
                <w:highlight w:val="none"/>
                <w:lang w:val="en-US" w:eastAsia="zh-CN"/>
              </w:rPr>
              <w:t>方式二：</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一、</w:t>
            </w:r>
            <w:r>
              <w:rPr>
                <w:rFonts w:hint="eastAsia" w:ascii="宋体" w:hAnsi="宋体"/>
                <w:color w:val="auto"/>
                <w:kern w:val="0"/>
                <w:szCs w:val="21"/>
                <w:highlight w:val="none"/>
              </w:rPr>
              <w:t>以纸质投标保函形式交纳投标保证金</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纸质投标保函</w:t>
            </w:r>
            <w:r>
              <w:rPr>
                <w:rFonts w:ascii="宋体" w:hAnsi="宋体"/>
                <w:color w:val="auto"/>
                <w:kern w:val="0"/>
                <w:szCs w:val="21"/>
                <w:highlight w:val="none"/>
              </w:rPr>
              <w:t>交纳形式及要求：</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（1）缴纳形式：</w:t>
            </w:r>
            <w:r>
              <w:rPr>
                <w:rFonts w:hint="eastAsia" w:ascii="宋体" w:hAnsi="宋体"/>
                <w:color w:val="auto"/>
                <w:kern w:val="0"/>
                <w:szCs w:val="21"/>
                <w:highlight w:val="none"/>
                <w:lang w:val="en-US" w:eastAsia="zh-CN"/>
              </w:rPr>
              <w:t>纸质投标保函</w:t>
            </w:r>
            <w:r>
              <w:rPr>
                <w:rFonts w:hint="eastAsia" w:ascii="宋体" w:hAnsi="宋体"/>
                <w:color w:val="auto"/>
                <w:kern w:val="0"/>
                <w:szCs w:val="21"/>
                <w:highlight w:val="none"/>
              </w:rPr>
              <w:t>包括银行保函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其示范文本详见第八章投标文件格式。投标人提交的纸质投标保函应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kern w:val="0"/>
                <w:szCs w:val="21"/>
                <w:highlight w:val="none"/>
                <w:lang w:eastAsia="zh-CN"/>
              </w:rPr>
              <w:t>。</w:t>
            </w:r>
          </w:p>
          <w:p>
            <w:pPr>
              <w:snapToGrid w:val="0"/>
              <w:spacing w:line="400" w:lineRule="exact"/>
              <w:ind w:firstLine="420" w:firstLineChars="200"/>
              <w:rPr>
                <w:rFonts w:hint="eastAsia" w:ascii="宋体" w:hAnsi="宋体"/>
                <w:color w:val="auto"/>
                <w:kern w:val="0"/>
                <w:szCs w:val="21"/>
                <w:highlight w:val="none"/>
                <w:lang w:val="en-US" w:eastAsia="zh-CN"/>
              </w:rPr>
            </w:pPr>
            <w:r>
              <w:rPr>
                <w:rFonts w:ascii="宋体" w:hAnsi="宋体"/>
                <w:color w:val="auto"/>
                <w:kern w:val="0"/>
                <w:szCs w:val="21"/>
                <w:highlight w:val="none"/>
              </w:rPr>
              <w:t>（2）具体要求：</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lang w:eastAsia="zh-CN"/>
              </w:rPr>
              <w:t>保函应合法合规，符合招投标行政监督部门、行业主管部门和金融监管部门的相关规定，满足招标文件约定要求。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投标人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投标人对所提交的纸质投标保函的真实性、合法性、有效性负责。</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投标人</w:t>
            </w:r>
            <w:r>
              <w:rPr>
                <w:rFonts w:hint="eastAsia" w:ascii="宋体" w:hAnsi="宋体"/>
                <w:color w:val="auto"/>
                <w:kern w:val="0"/>
                <w:szCs w:val="21"/>
                <w:highlight w:val="none"/>
              </w:rPr>
              <w:t>须在投标文件投标保函部分</w:t>
            </w:r>
            <w:r>
              <w:rPr>
                <w:rFonts w:ascii="宋体" w:hAnsi="宋体"/>
                <w:color w:val="auto"/>
                <w:kern w:val="0"/>
                <w:szCs w:val="21"/>
                <w:highlight w:val="none"/>
              </w:rPr>
              <w:t>提供</w:t>
            </w:r>
            <w:r>
              <w:rPr>
                <w:rFonts w:hint="eastAsia" w:ascii="宋体" w:hAnsi="宋体"/>
                <w:color w:val="auto"/>
                <w:kern w:val="0"/>
                <w:szCs w:val="21"/>
                <w:highlight w:val="none"/>
                <w:lang w:val="en-US" w:eastAsia="zh-CN"/>
              </w:rPr>
              <w:t>纸质</w:t>
            </w:r>
            <w:r>
              <w:rPr>
                <w:rFonts w:ascii="宋体" w:hAnsi="宋体"/>
                <w:color w:val="auto"/>
                <w:kern w:val="0"/>
                <w:szCs w:val="21"/>
                <w:highlight w:val="none"/>
              </w:rPr>
              <w:t>投标保函</w:t>
            </w:r>
            <w:r>
              <w:rPr>
                <w:rFonts w:hint="eastAsia" w:ascii="宋体" w:hAnsi="宋体"/>
                <w:color w:val="auto"/>
                <w:kern w:val="0"/>
                <w:szCs w:val="21"/>
                <w:highlight w:val="none"/>
              </w:rPr>
              <w:t>复印件，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投标保函原件随其他要求提供的原件一并放入原件袋中，在递交投标文件时一次性递交</w:t>
            </w:r>
            <w:r>
              <w:rPr>
                <w:rFonts w:ascii="宋体" w:hAnsi="宋体"/>
                <w:color w:val="auto"/>
                <w:kern w:val="0"/>
                <w:szCs w:val="21"/>
                <w:highlight w:val="none"/>
              </w:rPr>
              <w:t>。</w:t>
            </w:r>
            <w:r>
              <w:rPr>
                <w:rFonts w:hint="eastAsia" w:ascii="宋体" w:hAnsi="宋体"/>
                <w:color w:val="auto"/>
                <w:kern w:val="0"/>
                <w:szCs w:val="21"/>
                <w:highlight w:val="none"/>
              </w:rPr>
              <w:t>退还原件袋时，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投标保函原件不退还，由招标人保管。</w:t>
            </w:r>
          </w:p>
          <w:p>
            <w:pPr>
              <w:snapToGrid w:val="0"/>
              <w:spacing w:line="400" w:lineRule="exact"/>
              <w:ind w:firstLine="420" w:firstLineChars="200"/>
              <w:rPr>
                <w:color w:val="auto"/>
                <w:highlight w:val="none"/>
              </w:rPr>
            </w:pPr>
            <w:r>
              <w:rPr>
                <w:rFonts w:hint="eastAsia"/>
                <w:color w:val="auto"/>
                <w:highlight w:val="none"/>
              </w:rPr>
              <w:t>若投标截止时间延期，则纸质投标保函递交的截止时间和投标截止时间保持一致。</w:t>
            </w:r>
          </w:p>
          <w:p>
            <w:pPr>
              <w:snapToGrid w:val="0"/>
              <w:spacing w:line="400" w:lineRule="exact"/>
              <w:ind w:firstLine="420" w:firstLineChars="200"/>
              <w:rPr>
                <w:color w:val="auto"/>
                <w:highlight w:val="none"/>
              </w:rPr>
            </w:pPr>
            <w:r>
              <w:rPr>
                <w:rFonts w:hint="eastAsia" w:ascii="宋体" w:hAnsi="宋体"/>
                <w:color w:val="auto"/>
                <w:kern w:val="0"/>
                <w:szCs w:val="21"/>
                <w:highlight w:val="none"/>
              </w:rPr>
              <w:t>不满足上述要求的纸质</w:t>
            </w:r>
            <w:r>
              <w:rPr>
                <w:rFonts w:ascii="宋体" w:hAnsi="宋体"/>
                <w:color w:val="auto"/>
                <w:kern w:val="0"/>
                <w:szCs w:val="21"/>
                <w:highlight w:val="none"/>
              </w:rPr>
              <w:t>投标保函无效。</w:t>
            </w:r>
          </w:p>
          <w:p>
            <w:pPr>
              <w:snapToGrid w:val="0"/>
              <w:spacing w:line="400" w:lineRule="exact"/>
              <w:ind w:firstLine="420" w:firstLineChars="200"/>
              <w:rPr>
                <w:color w:val="auto"/>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hint="eastAsia"/>
                <w:color w:val="auto"/>
                <w:highlight w:val="none"/>
              </w:rPr>
              <w:t>以纸质投标保函形式担保的</w:t>
            </w:r>
            <w:r>
              <w:rPr>
                <w:color w:val="auto"/>
                <w:highlight w:val="none"/>
              </w:rPr>
              <w:t>投标保证金的金额</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w:t>
            </w:r>
            <w:r>
              <w:rPr>
                <w:rFonts w:ascii="宋体" w:hAnsi="宋体"/>
                <w:color w:val="auto"/>
                <w:kern w:val="0"/>
                <w:szCs w:val="21"/>
                <w:highlight w:val="none"/>
                <w:u w:val="single"/>
              </w:rPr>
              <w:t xml:space="preserve">  </w:t>
            </w:r>
            <w:r>
              <w:rPr>
                <w:rFonts w:ascii="宋体" w:hAnsi="宋体"/>
                <w:color w:val="auto"/>
                <w:kern w:val="0"/>
                <w:szCs w:val="21"/>
                <w:highlight w:val="none"/>
              </w:rPr>
              <w:t>万元整（人民币）</w:t>
            </w:r>
            <w:r>
              <w:rPr>
                <w:rFonts w:hint="eastAsia"/>
                <w:color w:val="auto"/>
                <w:highlight w:val="none"/>
              </w:rPr>
              <w:t>。</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3. </w:t>
            </w:r>
            <w:r>
              <w:rPr>
                <w:rFonts w:ascii="宋体" w:hAnsi="宋体"/>
                <w:color w:val="auto"/>
                <w:kern w:val="0"/>
                <w:szCs w:val="21"/>
                <w:highlight w:val="none"/>
              </w:rPr>
              <w:t>投标人须</w:t>
            </w:r>
            <w:r>
              <w:rPr>
                <w:rFonts w:hint="eastAsia"/>
                <w:color w:val="auto"/>
                <w:highlight w:val="none"/>
              </w:rPr>
              <w:t>在</w:t>
            </w:r>
            <w:r>
              <w:rPr>
                <w:rFonts w:hint="eastAsia" w:ascii="宋体" w:hAnsi="宋体"/>
                <w:color w:val="auto"/>
                <w:kern w:val="0"/>
                <w:szCs w:val="21"/>
                <w:highlight w:val="none"/>
              </w:rPr>
              <w:t>纸质投标保函</w:t>
            </w:r>
            <w:r>
              <w:rPr>
                <w:rFonts w:hint="eastAsia" w:ascii="宋体" w:hAnsi="宋体"/>
                <w:color w:val="auto"/>
                <w:kern w:val="0"/>
                <w:szCs w:val="21"/>
                <w:highlight w:val="none"/>
                <w:lang w:val="en-US" w:eastAsia="zh-CN"/>
              </w:rPr>
              <w:t>中注明</w:t>
            </w:r>
            <w:r>
              <w:rPr>
                <w:rFonts w:hint="eastAsia" w:ascii="宋体" w:hAnsi="宋体"/>
                <w:color w:val="auto"/>
                <w:kern w:val="0"/>
                <w:szCs w:val="21"/>
                <w:highlight w:val="none"/>
              </w:rPr>
              <w:t>在重庆市辖区范围内的核验</w:t>
            </w:r>
            <w:r>
              <w:rPr>
                <w:rFonts w:hint="eastAsia" w:ascii="宋体" w:hAnsi="宋体"/>
                <w:color w:val="auto"/>
                <w:kern w:val="0"/>
                <w:szCs w:val="21"/>
                <w:highlight w:val="none"/>
                <w:lang w:val="en-US" w:eastAsia="zh-CN"/>
              </w:rPr>
              <w:t>地址和核验方式，并</w:t>
            </w:r>
            <w:r>
              <w:rPr>
                <w:rFonts w:hint="eastAsia" w:ascii="宋体" w:hAnsi="宋体"/>
                <w:color w:val="auto"/>
                <w:kern w:val="0"/>
                <w:szCs w:val="21"/>
                <w:highlight w:val="none"/>
              </w:rPr>
              <w:t>确保其递交的纸质</w:t>
            </w:r>
            <w:r>
              <w:rPr>
                <w:rFonts w:ascii="宋体" w:hAnsi="宋体"/>
                <w:color w:val="auto"/>
                <w:kern w:val="0"/>
                <w:szCs w:val="21"/>
                <w:highlight w:val="none"/>
              </w:rPr>
              <w:t>投标保函能在</w:t>
            </w:r>
            <w:r>
              <w:rPr>
                <w:rFonts w:hint="eastAsia" w:ascii="宋体" w:hAnsi="宋体"/>
                <w:color w:val="auto"/>
                <w:kern w:val="0"/>
                <w:szCs w:val="21"/>
                <w:highlight w:val="none"/>
                <w:lang w:val="en-US" w:eastAsia="zh-CN"/>
              </w:rPr>
              <w:t>开立人</w:t>
            </w:r>
            <w:r>
              <w:rPr>
                <w:rFonts w:hint="eastAsia" w:ascii="宋体" w:hAnsi="宋体"/>
                <w:color w:val="auto"/>
                <w:kern w:val="0"/>
                <w:szCs w:val="21"/>
                <w:highlight w:val="none"/>
              </w:rPr>
              <w:t>在渝</w:t>
            </w:r>
            <w:r>
              <w:rPr>
                <w:rFonts w:hint="eastAsia" w:ascii="宋体" w:hAnsi="宋体"/>
                <w:color w:val="auto"/>
                <w:kern w:val="0"/>
                <w:szCs w:val="21"/>
                <w:highlight w:val="none"/>
                <w:lang w:val="en-US" w:eastAsia="zh-CN"/>
              </w:rPr>
              <w:t>的</w:t>
            </w:r>
            <w:r>
              <w:rPr>
                <w:rFonts w:hint="eastAsia" w:ascii="宋体" w:hAnsi="宋体"/>
                <w:color w:val="auto"/>
                <w:kern w:val="0"/>
                <w:szCs w:val="21"/>
                <w:highlight w:val="none"/>
              </w:rPr>
              <w:t>总部或者分支机构</w:t>
            </w:r>
            <w:r>
              <w:rPr>
                <w:rFonts w:hint="eastAsia" w:ascii="宋体" w:hAnsi="宋体"/>
                <w:color w:val="auto"/>
                <w:kern w:val="0"/>
                <w:szCs w:val="21"/>
                <w:highlight w:val="none"/>
                <w:lang w:val="en-US" w:eastAsia="zh-CN"/>
              </w:rPr>
              <w:t>进行</w:t>
            </w:r>
            <w:r>
              <w:rPr>
                <w:rFonts w:hint="eastAsia" w:ascii="宋体" w:hAnsi="宋体"/>
                <w:color w:val="auto"/>
                <w:kern w:val="0"/>
                <w:szCs w:val="21"/>
                <w:highlight w:val="none"/>
              </w:rPr>
              <w:t>核验。</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 投标人递交的纸质投标保函原件应与投标文件中提供的纸质投标保函</w:t>
            </w:r>
            <w:r>
              <w:rPr>
                <w:rFonts w:hint="eastAsia" w:ascii="宋体" w:hAnsi="宋体"/>
                <w:color w:val="auto"/>
                <w:kern w:val="0"/>
                <w:szCs w:val="21"/>
                <w:highlight w:val="none"/>
                <w:lang w:val="en-US" w:eastAsia="zh-CN"/>
              </w:rPr>
              <w:t>复印件</w:t>
            </w:r>
            <w:r>
              <w:rPr>
                <w:rFonts w:hint="eastAsia" w:ascii="宋体" w:hAnsi="宋体"/>
                <w:color w:val="auto"/>
                <w:kern w:val="0"/>
                <w:szCs w:val="21"/>
                <w:highlight w:val="none"/>
              </w:rPr>
              <w:t>一致，否则由评标委员会作否决投标处理。</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 在发出中标通知书前，招标人应当对投标人（至少中标候选人或中标人）</w:t>
            </w:r>
            <w:r>
              <w:rPr>
                <w:rFonts w:hint="eastAsia" w:ascii="宋体" w:hAnsi="宋体"/>
                <w:color w:val="auto"/>
                <w:kern w:val="0"/>
                <w:szCs w:val="21"/>
                <w:highlight w:val="none"/>
                <w:lang w:val="en-US" w:eastAsia="zh-CN"/>
              </w:rPr>
              <w:t>递交</w:t>
            </w:r>
            <w:r>
              <w:rPr>
                <w:rFonts w:hint="eastAsia" w:ascii="宋体" w:hAnsi="宋体"/>
                <w:color w:val="auto"/>
                <w:kern w:val="0"/>
                <w:szCs w:val="21"/>
                <w:highlight w:val="none"/>
              </w:rPr>
              <w:t>的纸质投标保函</w:t>
            </w:r>
            <w:r>
              <w:rPr>
                <w:rFonts w:hint="eastAsia" w:ascii="宋体" w:hAnsi="宋体"/>
                <w:color w:val="auto"/>
                <w:kern w:val="0"/>
                <w:szCs w:val="21"/>
                <w:highlight w:val="none"/>
                <w:lang w:val="en-US" w:eastAsia="zh-CN"/>
              </w:rPr>
              <w:t>的真实性、合法性、有效性进行核验，对核验不合格或无法按纸质投标保函注明的核验地点、核验方式进行核验的，视为投标人未提交纸质投标保函</w:t>
            </w:r>
            <w:r>
              <w:rPr>
                <w:rFonts w:hint="eastAsia" w:ascii="宋体" w:hAnsi="宋体"/>
                <w:color w:val="auto"/>
                <w:kern w:val="0"/>
                <w:szCs w:val="21"/>
                <w:highlight w:val="none"/>
              </w:rPr>
              <w:t>，对</w:t>
            </w:r>
            <w:r>
              <w:rPr>
                <w:rFonts w:hint="eastAsia" w:ascii="宋体" w:hAnsi="宋体"/>
                <w:color w:val="auto"/>
                <w:szCs w:val="21"/>
                <w:highlight w:val="none"/>
              </w:rPr>
              <w:t>已取得中标候选人资格或中标资格的投标人，</w:t>
            </w:r>
            <w:r>
              <w:rPr>
                <w:rFonts w:hint="eastAsia" w:ascii="宋体" w:hAnsi="宋体"/>
                <w:color w:val="auto"/>
                <w:szCs w:val="21"/>
                <w:highlight w:val="none"/>
                <w:lang w:val="en-US" w:eastAsia="zh-CN"/>
              </w:rPr>
              <w:t>按相关规定</w:t>
            </w:r>
            <w:r>
              <w:rPr>
                <w:rFonts w:hint="eastAsia" w:ascii="宋体" w:hAnsi="宋体"/>
                <w:color w:val="auto"/>
                <w:szCs w:val="21"/>
                <w:highlight w:val="none"/>
              </w:rPr>
              <w:t>取消中标候选人资格或中标资格</w:t>
            </w:r>
            <w:r>
              <w:rPr>
                <w:rFonts w:hint="eastAsia" w:ascii="宋体" w:hAnsi="宋体"/>
                <w:color w:val="auto"/>
                <w:kern w:val="0"/>
                <w:szCs w:val="21"/>
                <w:highlight w:val="none"/>
              </w:rPr>
              <w:t>，</w:t>
            </w:r>
            <w:r>
              <w:rPr>
                <w:rFonts w:hint="eastAsia" w:ascii="宋体" w:hAnsi="宋体"/>
                <w:color w:val="auto"/>
                <w:szCs w:val="21"/>
                <w:highlight w:val="none"/>
              </w:rPr>
              <w:t>给招标人造成损失的，投标人依法承担赔偿责任。</w:t>
            </w:r>
            <w:r>
              <w:rPr>
                <w:rFonts w:hint="eastAsia" w:ascii="宋体" w:hAnsi="宋体"/>
                <w:color w:val="auto"/>
                <w:kern w:val="0"/>
                <w:szCs w:val="21"/>
                <w:highlight w:val="none"/>
                <w:lang w:val="en-US" w:eastAsia="zh-CN"/>
              </w:rPr>
              <w:t>投标人提交的纸质投标</w:t>
            </w:r>
            <w:r>
              <w:rPr>
                <w:rFonts w:hint="eastAsia" w:ascii="宋体" w:hAnsi="宋体"/>
                <w:color w:val="auto"/>
                <w:szCs w:val="21"/>
                <w:highlight w:val="none"/>
              </w:rPr>
              <w:t>保函涉及弄虚作假或其他违法违规</w:t>
            </w:r>
            <w:r>
              <w:rPr>
                <w:rFonts w:hint="eastAsia" w:ascii="宋体" w:hAnsi="宋体"/>
                <w:color w:val="auto"/>
                <w:szCs w:val="21"/>
                <w:highlight w:val="none"/>
                <w:lang w:val="en-US" w:eastAsia="zh-CN"/>
              </w:rPr>
              <w:t>情形</w:t>
            </w:r>
            <w:r>
              <w:rPr>
                <w:rFonts w:hint="eastAsia" w:ascii="宋体" w:hAnsi="宋体"/>
                <w:color w:val="auto"/>
                <w:szCs w:val="21"/>
                <w:highlight w:val="none"/>
              </w:rPr>
              <w:t>的，移送相关部门处理</w:t>
            </w:r>
            <w:r>
              <w:rPr>
                <w:rFonts w:ascii="宋体" w:hAnsi="宋体"/>
                <w:color w:val="auto"/>
                <w:kern w:val="0"/>
                <w:szCs w:val="21"/>
                <w:highlight w:val="none"/>
              </w:rPr>
              <w:t>。</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6. 若投标人为联合体，则由联合体牵头人提供纸质投标保函。</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二、</w:t>
            </w:r>
            <w:r>
              <w:rPr>
                <w:rFonts w:hint="eastAsia" w:ascii="宋体" w:hAnsi="宋体"/>
                <w:color w:val="auto"/>
                <w:kern w:val="0"/>
                <w:szCs w:val="21"/>
                <w:highlight w:val="none"/>
              </w:rPr>
              <w:t>纸质</w:t>
            </w:r>
            <w:r>
              <w:rPr>
                <w:rFonts w:ascii="宋体" w:hAnsi="宋体"/>
                <w:color w:val="auto"/>
                <w:kern w:val="0"/>
                <w:szCs w:val="21"/>
                <w:highlight w:val="none"/>
              </w:rPr>
              <w:t>投标保函的</w:t>
            </w:r>
            <w:r>
              <w:rPr>
                <w:rFonts w:hint="eastAsia" w:ascii="宋体" w:hAnsi="宋体"/>
                <w:color w:val="auto"/>
                <w:kern w:val="0"/>
                <w:szCs w:val="21"/>
                <w:highlight w:val="none"/>
              </w:rPr>
              <w:t>退还、注销</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招标人应当在法定时间内确定中标人，向中标人发出中标通知书，同时向除中标候选人以外的其他投标人退还</w:t>
            </w:r>
            <w:r>
              <w:rPr>
                <w:rFonts w:hint="eastAsia" w:ascii="宋体" w:hAnsi="宋体"/>
                <w:color w:val="auto"/>
                <w:kern w:val="0"/>
                <w:szCs w:val="21"/>
                <w:highlight w:val="none"/>
              </w:rPr>
              <w:t>纸质</w:t>
            </w:r>
            <w:r>
              <w:rPr>
                <w:rFonts w:ascii="宋体" w:hAnsi="宋体"/>
                <w:color w:val="auto"/>
                <w:kern w:val="0"/>
                <w:szCs w:val="21"/>
                <w:highlight w:val="none"/>
              </w:rPr>
              <w:t>投标保函并书面通知相关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本项目准予提前注销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p>
            <w:pPr>
              <w:snapToGrid w:val="0"/>
              <w:spacing w:line="400" w:lineRule="exact"/>
              <w:ind w:firstLine="420" w:firstLineChars="200"/>
              <w:jc w:val="left"/>
              <w:rPr>
                <w:rFonts w:ascii="Times New Roman" w:hAnsi="Times New Roman" w:eastAsia="宋体" w:cs="Times New Roman"/>
                <w:color w:val="auto"/>
                <w:kern w:val="2"/>
                <w:sz w:val="21"/>
                <w:szCs w:val="24"/>
                <w:highlight w:val="none"/>
                <w:lang w:val="en-US" w:eastAsia="zh-CN" w:bidi="ar-SA"/>
              </w:rPr>
            </w:pPr>
            <w:r>
              <w:rPr>
                <w:rFonts w:ascii="宋体" w:hAnsi="宋体"/>
                <w:color w:val="auto"/>
                <w:kern w:val="0"/>
                <w:szCs w:val="21"/>
                <w:highlight w:val="none"/>
              </w:rPr>
              <w:t>招标人应在法定时间内和中标人</w:t>
            </w:r>
            <w:r>
              <w:rPr>
                <w:rFonts w:hint="eastAsia" w:ascii="宋体" w:hAnsi="宋体"/>
                <w:color w:val="auto"/>
                <w:kern w:val="0"/>
                <w:szCs w:val="21"/>
                <w:highlight w:val="none"/>
              </w:rPr>
              <w:t>签订</w:t>
            </w:r>
            <w:r>
              <w:rPr>
                <w:rFonts w:ascii="宋体" w:hAnsi="宋体"/>
                <w:color w:val="auto"/>
                <w:kern w:val="0"/>
                <w:szCs w:val="21"/>
                <w:highlight w:val="none"/>
              </w:rPr>
              <w:t>合同，并同时书面通知相关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向中标人和其他中标候选人注销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lang w:eastAsia="zh-CN"/>
              </w:rPr>
              <w:t>竞选文件</w:t>
            </w:r>
            <w:r>
              <w:rPr>
                <w:rFonts w:hint="eastAsia" w:ascii="宋体" w:hAnsi="宋体"/>
                <w:kern w:val="0"/>
                <w:szCs w:val="21"/>
                <w:highlight w:val="none"/>
              </w:rPr>
              <w:t>格式要求</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时不得对第八章“</w:t>
            </w:r>
            <w:r>
              <w:rPr>
                <w:rFonts w:hint="eastAsia" w:ascii="宋体" w:hAnsi="宋体"/>
                <w:kern w:val="0"/>
                <w:szCs w:val="21"/>
                <w:highlight w:val="none"/>
                <w:lang w:eastAsia="zh-CN"/>
              </w:rPr>
              <w:t>竞选文件</w:t>
            </w:r>
            <w:r>
              <w:rPr>
                <w:rFonts w:hint="eastAsia" w:ascii="宋体" w:hAnsi="宋体"/>
                <w:kern w:val="0"/>
                <w:szCs w:val="21"/>
                <w:highlight w:val="none"/>
              </w:rPr>
              <w:t>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竞选文件</w:t>
            </w:r>
            <w:r>
              <w:rPr>
                <w:rFonts w:hint="eastAsia" w:ascii="宋体" w:hAnsi="宋体"/>
                <w:szCs w:val="21"/>
                <w:highlight w:val="none"/>
              </w:rPr>
              <w:t>应用不褪色的材料书写或打印，并由</w:t>
            </w:r>
            <w:r>
              <w:rPr>
                <w:rFonts w:hint="eastAsia" w:ascii="宋体" w:hAnsi="宋体"/>
                <w:szCs w:val="21"/>
                <w:highlight w:val="none"/>
                <w:lang w:eastAsia="zh-CN"/>
              </w:rPr>
              <w:t>竞选人</w:t>
            </w:r>
            <w:r>
              <w:rPr>
                <w:rFonts w:hint="eastAsia" w:ascii="宋体" w:hAnsi="宋体"/>
                <w:szCs w:val="21"/>
                <w:highlight w:val="none"/>
              </w:rPr>
              <w:t>的法定代表人或其委托代理人在招标文件规定的位置按招标文件要求签名或盖章、盖单位法人章。委托代理人签名的，</w:t>
            </w:r>
            <w:r>
              <w:rPr>
                <w:rFonts w:hint="eastAsia" w:ascii="宋体" w:hAnsi="宋体"/>
                <w:szCs w:val="21"/>
                <w:highlight w:val="none"/>
                <w:lang w:eastAsia="zh-CN"/>
              </w:rPr>
              <w:t>竞选文件</w:t>
            </w:r>
            <w:r>
              <w:rPr>
                <w:rFonts w:hint="eastAsia" w:ascii="宋体" w:hAnsi="宋体"/>
                <w:szCs w:val="21"/>
                <w:highlight w:val="none"/>
              </w:rPr>
              <w:t>应附法定代表人签署的授权委托书。</w:t>
            </w:r>
            <w:r>
              <w:rPr>
                <w:rFonts w:hint="eastAsia" w:ascii="宋体" w:hAnsi="宋体"/>
                <w:szCs w:val="21"/>
                <w:highlight w:val="none"/>
                <w:lang w:eastAsia="zh-CN"/>
              </w:rPr>
              <w:t>竞选文件</w:t>
            </w:r>
            <w:r>
              <w:rPr>
                <w:rFonts w:hint="eastAsia" w:ascii="宋体" w:hAnsi="宋体"/>
                <w:szCs w:val="21"/>
                <w:highlight w:val="none"/>
              </w:rPr>
              <w:t>应尽量避免涂改、行间插字或删除。如果出现上述情况，改动之处应加盖单位法人章或由</w:t>
            </w:r>
            <w:r>
              <w:rPr>
                <w:rFonts w:hint="eastAsia" w:ascii="宋体" w:hAnsi="宋体"/>
                <w:szCs w:val="21"/>
                <w:highlight w:val="none"/>
                <w:lang w:eastAsia="zh-CN"/>
              </w:rPr>
              <w:t>竞选人</w:t>
            </w:r>
            <w:r>
              <w:rPr>
                <w:rFonts w:hint="eastAsia" w:ascii="宋体" w:hAnsi="宋体"/>
                <w:szCs w:val="21"/>
                <w:highlight w:val="none"/>
              </w:rPr>
              <w:t>的法定代表人或其授权的代理人签名确认。</w:t>
            </w:r>
          </w:p>
          <w:p>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pPr>
              <w:snapToGrid w:val="0"/>
              <w:spacing w:line="400" w:lineRule="exact"/>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的份数</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竞选文件</w:t>
            </w:r>
            <w:r>
              <w:rPr>
                <w:rFonts w:ascii="宋体" w:hAnsi="宋体"/>
                <w:kern w:val="0"/>
                <w:szCs w:val="21"/>
                <w:highlight w:val="none"/>
              </w:rPr>
              <w:t>正本</w:t>
            </w:r>
            <w:r>
              <w:rPr>
                <w:rFonts w:hint="eastAsia" w:ascii="宋体" w:hAnsi="宋体"/>
                <w:kern w:val="0"/>
                <w:szCs w:val="21"/>
                <w:highlight w:val="none"/>
              </w:rPr>
              <w:t>1份、副本</w:t>
            </w:r>
            <w:r>
              <w:rPr>
                <w:rFonts w:hint="eastAsia" w:ascii="宋体" w:hAnsi="宋体"/>
                <w:kern w:val="0"/>
                <w:szCs w:val="21"/>
                <w:highlight w:val="none"/>
                <w:lang w:val="en-US" w:eastAsia="zh-CN"/>
              </w:rPr>
              <w:t>1</w:t>
            </w:r>
            <w:r>
              <w:rPr>
                <w:rFonts w:hint="eastAsia" w:ascii="宋体" w:hAnsi="宋体"/>
                <w:kern w:val="0"/>
                <w:szCs w:val="21"/>
                <w:highlight w:val="none"/>
              </w:rPr>
              <w:t>份，电子版形式（光盘</w:t>
            </w:r>
            <w:r>
              <w:rPr>
                <w:rFonts w:hint="eastAsia" w:ascii="宋体" w:hAnsi="宋体"/>
                <w:kern w:val="0"/>
                <w:szCs w:val="21"/>
                <w:highlight w:val="none"/>
                <w:lang w:val="en-US" w:eastAsia="zh-CN"/>
              </w:rPr>
              <w:t>或U盘</w:t>
            </w:r>
            <w:r>
              <w:rPr>
                <w:rFonts w:hint="eastAsia" w:ascii="宋体" w:hAnsi="宋体"/>
                <w:kern w:val="0"/>
                <w:szCs w:val="21"/>
                <w:highlight w:val="none"/>
              </w:rPr>
              <w:t>）1份。当副本和正本不一致时，以正本为准。否则由评标委员会作否决投标处理。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应将</w:t>
            </w:r>
            <w:r>
              <w:rPr>
                <w:rFonts w:hint="eastAsia" w:ascii="宋体" w:hAnsi="宋体"/>
                <w:szCs w:val="21"/>
                <w:highlight w:val="none"/>
                <w:lang w:eastAsia="zh-CN"/>
              </w:rPr>
              <w:t>竞选函</w:t>
            </w:r>
            <w:r>
              <w:rPr>
                <w:rFonts w:ascii="宋体" w:hAnsi="宋体"/>
                <w:szCs w:val="21"/>
                <w:highlight w:val="none"/>
              </w:rPr>
              <w:t>部分、</w:t>
            </w:r>
            <w:r>
              <w:rPr>
                <w:rFonts w:hint="eastAsia" w:ascii="宋体" w:hAnsi="宋体"/>
                <w:kern w:val="0"/>
                <w:szCs w:val="21"/>
                <w:highlight w:val="none"/>
              </w:rPr>
              <w:t>资格审查部分</w:t>
            </w:r>
            <w:r>
              <w:rPr>
                <w:rFonts w:ascii="宋体" w:hAnsi="宋体"/>
                <w:szCs w:val="21"/>
                <w:highlight w:val="none"/>
              </w:rPr>
              <w:t>各自分别装订成册。</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2、装订</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1</w:t>
            </w:r>
            <w:r>
              <w:rPr>
                <w:rFonts w:ascii="宋体" w:hAnsi="宋体"/>
                <w:szCs w:val="21"/>
                <w:highlight w:val="none"/>
              </w:rPr>
              <w:t>）</w:t>
            </w:r>
            <w:r>
              <w:rPr>
                <w:rFonts w:hint="eastAsia" w:ascii="宋体" w:hAnsi="宋体"/>
                <w:szCs w:val="21"/>
                <w:highlight w:val="none"/>
                <w:lang w:eastAsia="zh-CN"/>
              </w:rPr>
              <w:t>竞选函</w:t>
            </w:r>
            <w:r>
              <w:rPr>
                <w:rFonts w:ascii="宋体" w:hAnsi="宋体"/>
                <w:szCs w:val="21"/>
                <w:highlight w:val="none"/>
              </w:rPr>
              <w:t>部分的装订要求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2</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pPr>
              <w:snapToGrid w:val="0"/>
              <w:spacing w:line="400" w:lineRule="exact"/>
              <w:jc w:val="center"/>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的密封</w:t>
            </w:r>
          </w:p>
        </w:tc>
        <w:tc>
          <w:tcPr>
            <w:tcW w:w="6490" w:type="dxa"/>
            <w:vAlign w:val="center"/>
          </w:tcPr>
          <w:p>
            <w:pPr>
              <w:adjustRightInd w:val="0"/>
              <w:snapToGrid w:val="0"/>
              <w:spacing w:line="400" w:lineRule="exact"/>
              <w:ind w:firstLine="420" w:firstLineChars="200"/>
              <w:rPr>
                <w:rFonts w:ascii="宋体" w:hAnsi="宋体"/>
                <w:szCs w:val="21"/>
                <w:highlight w:val="none"/>
              </w:rPr>
            </w:pPr>
            <w:r>
              <w:rPr>
                <w:rFonts w:hint="eastAsia" w:ascii="宋体" w:hAnsi="宋体"/>
                <w:szCs w:val="21"/>
              </w:rPr>
              <w:t>应用“投标文件”袋单独封装，并在封口处加盖投标人单位法人章，同时“投标文件”袋应按本表第4.1.2项的规定写明相应内容。“投标文件”袋未按要求密封的，</w:t>
            </w:r>
            <w:r>
              <w:rPr>
                <w:rFonts w:hint="eastAsia" w:ascii="宋体" w:hAnsi="宋体"/>
                <w:szCs w:val="21"/>
                <w:lang w:val="en-US" w:eastAsia="zh-CN"/>
              </w:rPr>
              <w:t>比选</w:t>
            </w:r>
            <w:r>
              <w:rPr>
                <w:rFonts w:hint="eastAsia" w:ascii="宋体" w:hAnsi="宋体"/>
                <w:szCs w:val="21"/>
              </w:rPr>
              <w:t>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hint="eastAsia" w:ascii="宋体" w:hAnsi="宋体"/>
                <w:kern w:val="0"/>
                <w:szCs w:val="21"/>
                <w:highlight w:val="none"/>
                <w:lang w:eastAsia="zh-CN"/>
              </w:rPr>
              <w:t>竞选文件</w:t>
            </w:r>
            <w:r>
              <w:rPr>
                <w:rFonts w:ascii="宋体" w:hAnsi="宋体"/>
                <w:kern w:val="0"/>
                <w:szCs w:val="21"/>
                <w:highlight w:val="none"/>
              </w:rPr>
              <w:t>”大袋封套上写明如下内容：</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名称：</w:t>
            </w:r>
            <w:r>
              <w:rPr>
                <w:rFonts w:hint="eastAsia" w:ascii="宋体" w:hAnsi="宋体"/>
                <w:kern w:val="0"/>
                <w:szCs w:val="21"/>
                <w:highlight w:val="none"/>
                <w:u w:val="single"/>
              </w:rPr>
              <w:t xml:space="preserve">            </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竞选人</w:t>
            </w:r>
            <w:r>
              <w:rPr>
                <w:rFonts w:hint="eastAsia" w:ascii="宋体" w:hAnsi="宋体"/>
                <w:kern w:val="0"/>
                <w:szCs w:val="21"/>
                <w:highlight w:val="none"/>
              </w:rPr>
              <w:t>名称：</w:t>
            </w:r>
            <w:r>
              <w:rPr>
                <w:rFonts w:hint="eastAsia" w:ascii="宋体" w:hAnsi="宋体"/>
                <w:kern w:val="0"/>
                <w:szCs w:val="21"/>
                <w:highlight w:val="none"/>
                <w:u w:val="single"/>
              </w:rPr>
              <w:t xml:space="preserve">            </w:t>
            </w:r>
          </w:p>
          <w:p>
            <w:pPr>
              <w:snapToGrid w:val="0"/>
              <w:spacing w:line="400" w:lineRule="exact"/>
              <w:ind w:firstLine="420" w:firstLineChars="200"/>
              <w:rPr>
                <w:rFonts w:hint="eastAsia" w:ascii="宋体" w:hAnsi="宋体" w:eastAsia="宋体"/>
                <w:kern w:val="0"/>
                <w:szCs w:val="21"/>
                <w:highlight w:val="none"/>
                <w:lang w:eastAsia="zh-CN"/>
              </w:rPr>
            </w:pPr>
            <w:r>
              <w:rPr>
                <w:rFonts w:ascii="宋体" w:hAnsi="宋体"/>
                <w:kern w:val="0"/>
                <w:szCs w:val="21"/>
                <w:highlight w:val="none"/>
                <w:u w:val="single"/>
              </w:rPr>
              <w:t xml:space="preserve">                （项目名称）</w:t>
            </w:r>
            <w:r>
              <w:rPr>
                <w:rFonts w:hint="eastAsia" w:ascii="宋体" w:hAnsi="宋体"/>
                <w:kern w:val="0"/>
                <w:szCs w:val="21"/>
                <w:highlight w:val="none"/>
                <w:lang w:eastAsia="zh-CN"/>
              </w:rPr>
              <w:t>竞选文件</w:t>
            </w:r>
          </w:p>
          <w:p>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递交</w:t>
            </w:r>
            <w:r>
              <w:rPr>
                <w:rFonts w:hint="eastAsia" w:ascii="宋体" w:hAnsi="宋体"/>
                <w:kern w:val="0"/>
                <w:szCs w:val="21"/>
                <w:highlight w:val="none"/>
                <w:lang w:eastAsia="zh-CN"/>
              </w:rPr>
              <w:t>竞选文件</w:t>
            </w:r>
            <w:r>
              <w:rPr>
                <w:rFonts w:ascii="宋体" w:hAnsi="宋体"/>
                <w:kern w:val="0"/>
                <w:szCs w:val="21"/>
                <w:highlight w:val="none"/>
              </w:rPr>
              <w:t>地点</w:t>
            </w:r>
          </w:p>
        </w:tc>
        <w:tc>
          <w:tcPr>
            <w:tcW w:w="6490" w:type="dxa"/>
            <w:vAlign w:val="center"/>
          </w:tcPr>
          <w:p>
            <w:pPr>
              <w:snapToGrid w:val="0"/>
              <w:spacing w:line="400" w:lineRule="exact"/>
              <w:ind w:firstLine="420" w:firstLineChars="200"/>
              <w:rPr>
                <w:rFonts w:hint="default" w:ascii="宋体" w:hAnsi="宋体" w:eastAsia="宋体"/>
                <w:bCs/>
                <w:i/>
                <w:szCs w:val="21"/>
                <w:highlight w:val="none"/>
                <w:lang w:val="en-US" w:eastAsia="zh-CN"/>
              </w:rPr>
            </w:pP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是否退还</w:t>
            </w:r>
            <w:r>
              <w:rPr>
                <w:rFonts w:hint="eastAsia" w:ascii="宋体" w:hAnsi="宋体"/>
                <w:kern w:val="0"/>
                <w:szCs w:val="21"/>
                <w:highlight w:val="none"/>
                <w:lang w:eastAsia="zh-CN"/>
              </w:rPr>
              <w:t>竞选文件</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pPr>
              <w:snapToGrid w:val="0"/>
              <w:spacing w:line="400" w:lineRule="exact"/>
              <w:ind w:firstLine="420" w:firstLineChars="200"/>
              <w:rPr>
                <w:rFonts w:hint="default" w:ascii="宋体" w:hAnsi="宋体" w:eastAsia="宋体"/>
                <w:kern w:val="0"/>
                <w:szCs w:val="21"/>
                <w:highlight w:val="none"/>
                <w:lang w:val="en-US" w:eastAsia="zh-CN"/>
              </w:rPr>
            </w:pPr>
            <w:r>
              <w:rPr>
                <w:rFonts w:ascii="宋体" w:hAnsi="宋体"/>
                <w:kern w:val="0"/>
                <w:szCs w:val="21"/>
                <w:highlight w:val="none"/>
              </w:rPr>
              <w:t>开标时间：</w:t>
            </w:r>
            <w:r>
              <w:rPr>
                <w:rFonts w:hint="eastAsia" w:ascii="宋体" w:hAnsi="宋体"/>
                <w:kern w:val="0"/>
                <w:szCs w:val="21"/>
                <w:highlight w:val="none"/>
                <w:lang w:val="en-US" w:eastAsia="zh-CN"/>
              </w:rPr>
              <w:t>2024年5月17</w:t>
            </w:r>
            <w:bookmarkStart w:id="443" w:name="_GoBack"/>
            <w:bookmarkEnd w:id="443"/>
            <w:r>
              <w:rPr>
                <w:rFonts w:hint="eastAsia" w:ascii="宋体" w:hAnsi="宋体"/>
                <w:kern w:val="0"/>
                <w:szCs w:val="21"/>
                <w:highlight w:val="none"/>
                <w:lang w:val="en-US" w:eastAsia="zh-CN"/>
              </w:rPr>
              <w:t>日10时00分</w:t>
            </w:r>
          </w:p>
          <w:p>
            <w:pPr>
              <w:snapToGrid w:val="0"/>
              <w:spacing w:line="400" w:lineRule="exact"/>
              <w:ind w:firstLine="420" w:firstLineChars="200"/>
              <w:rPr>
                <w:rFonts w:ascii="宋体" w:hAnsi="宋体"/>
                <w:bCs/>
                <w:i/>
                <w:szCs w:val="21"/>
                <w:highlight w:val="none"/>
              </w:rPr>
            </w:pPr>
            <w:r>
              <w:rPr>
                <w:rFonts w:ascii="宋体" w:hAnsi="宋体"/>
                <w:kern w:val="0"/>
                <w:szCs w:val="21"/>
                <w:highlight w:val="none"/>
              </w:rPr>
              <w:t>开标地点</w:t>
            </w:r>
            <w:r>
              <w:rPr>
                <w:rFonts w:hint="eastAsia" w:ascii="宋体" w:hAnsi="宋体"/>
                <w:kern w:val="0"/>
                <w:szCs w:val="21"/>
                <w:highlight w:val="none"/>
                <w:lang w:val="en-US" w:eastAsia="zh-CN"/>
              </w:rPr>
              <w:t>：</w:t>
            </w:r>
            <w:r>
              <w:rPr>
                <w:rFonts w:hint="eastAsia" w:ascii="宋体" w:hAnsi="宋体"/>
                <w:szCs w:val="21"/>
              </w:rPr>
              <w:t>重庆市南岸区茶园江桥路一号附1号</w:t>
            </w:r>
            <w:r>
              <w:rPr>
                <w:rFonts w:hint="eastAsia" w:ascii="宋体" w:hAnsi="宋体"/>
                <w:szCs w:val="21"/>
                <w:lang w:val="en-US" w:eastAsia="zh-CN"/>
              </w:rPr>
              <w:t>重庆经开投投资集团有限公司1503</w:t>
            </w:r>
            <w:r>
              <w:rPr>
                <w:rFonts w:hint="eastAsia" w:ascii="宋体" w:hAnsi="宋体"/>
                <w:szCs w:val="21"/>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w:t>
            </w:r>
            <w:r>
              <w:rPr>
                <w:rFonts w:hint="eastAsia" w:ascii="宋体" w:hAnsi="宋体"/>
                <w:szCs w:val="21"/>
                <w:highlight w:val="none"/>
                <w:lang w:eastAsia="zh-CN"/>
              </w:rPr>
              <w:t>竞选人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2</w:t>
            </w:r>
            <w:r>
              <w:rPr>
                <w:rFonts w:ascii="宋体" w:hAnsi="宋体"/>
                <w:szCs w:val="21"/>
                <w:highlight w:val="none"/>
              </w:rPr>
              <w:t>. 公布在投标截止时间前递交</w:t>
            </w:r>
            <w:r>
              <w:rPr>
                <w:rFonts w:hint="eastAsia" w:ascii="宋体" w:hAnsi="宋体"/>
                <w:szCs w:val="21"/>
                <w:highlight w:val="none"/>
                <w:lang w:eastAsia="zh-CN"/>
              </w:rPr>
              <w:t>竞选文件</w:t>
            </w:r>
            <w:r>
              <w:rPr>
                <w:rFonts w:ascii="宋体" w:hAnsi="宋体"/>
                <w:szCs w:val="21"/>
                <w:highlight w:val="none"/>
              </w:rPr>
              <w:t>的</w:t>
            </w:r>
            <w:r>
              <w:rPr>
                <w:rFonts w:hint="eastAsia" w:ascii="宋体" w:hAnsi="宋体"/>
                <w:szCs w:val="21"/>
                <w:highlight w:val="none"/>
                <w:lang w:eastAsia="zh-CN"/>
              </w:rPr>
              <w:t>竞选人</w:t>
            </w:r>
            <w:r>
              <w:rPr>
                <w:rFonts w:ascii="宋体" w:hAnsi="宋体"/>
                <w:szCs w:val="21"/>
                <w:highlight w:val="none"/>
              </w:rPr>
              <w:t>名称</w:t>
            </w:r>
            <w:r>
              <w:rPr>
                <w:rFonts w:hint="eastAsia" w:ascii="宋体" w:hAnsi="宋体"/>
                <w:szCs w:val="21"/>
                <w:highlight w:val="none"/>
              </w:rPr>
              <w:t>。</w:t>
            </w:r>
          </w:p>
          <w:p>
            <w:pPr>
              <w:snapToGrid w:val="0"/>
              <w:spacing w:line="400" w:lineRule="exact"/>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ascii="宋体" w:hAnsi="宋体"/>
                <w:szCs w:val="21"/>
                <w:highlight w:val="none"/>
              </w:rPr>
              <w:t xml:space="preserve">. </w:t>
            </w:r>
            <w:r>
              <w:rPr>
                <w:rFonts w:hint="eastAsia" w:ascii="宋体" w:hAnsi="宋体"/>
                <w:szCs w:val="21"/>
                <w:highlight w:val="none"/>
                <w:lang w:eastAsia="zh-CN"/>
              </w:rPr>
              <w:t>竞选文件</w:t>
            </w:r>
            <w:r>
              <w:rPr>
                <w:rFonts w:hint="eastAsia" w:ascii="宋体" w:hAnsi="宋体"/>
                <w:szCs w:val="21"/>
                <w:highlight w:val="none"/>
              </w:rPr>
              <w:t>的密封检查：</w:t>
            </w:r>
            <w:r>
              <w:rPr>
                <w:rFonts w:hint="eastAsia" w:ascii="宋体" w:hAnsi="宋体"/>
                <w:szCs w:val="21"/>
                <w:highlight w:val="none"/>
                <w:lang w:eastAsia="zh-CN"/>
              </w:rPr>
              <w:t>竞选人</w:t>
            </w:r>
            <w:r>
              <w:rPr>
                <w:rFonts w:hint="eastAsia" w:ascii="宋体" w:hAnsi="宋体"/>
                <w:szCs w:val="21"/>
                <w:highlight w:val="none"/>
              </w:rPr>
              <w:t>可对自己的</w:t>
            </w:r>
            <w:r>
              <w:rPr>
                <w:rFonts w:hint="eastAsia" w:ascii="宋体" w:hAnsi="宋体"/>
                <w:szCs w:val="21"/>
                <w:highlight w:val="none"/>
                <w:lang w:eastAsia="zh-CN"/>
              </w:rPr>
              <w:t>竞选文件</w:t>
            </w:r>
            <w:r>
              <w:rPr>
                <w:rFonts w:hint="eastAsia" w:ascii="宋体" w:hAnsi="宋体"/>
                <w:szCs w:val="21"/>
                <w:highlight w:val="none"/>
              </w:rPr>
              <w:t>封装情况进行检查，以确认其</w:t>
            </w:r>
            <w:r>
              <w:rPr>
                <w:rFonts w:hint="eastAsia" w:ascii="宋体" w:hAnsi="宋体"/>
                <w:szCs w:val="21"/>
                <w:highlight w:val="none"/>
                <w:lang w:eastAsia="zh-CN"/>
              </w:rPr>
              <w:t>竞选文件</w:t>
            </w:r>
            <w:r>
              <w:rPr>
                <w:rFonts w:hint="eastAsia" w:ascii="宋体" w:hAnsi="宋体"/>
                <w:szCs w:val="21"/>
                <w:highlight w:val="none"/>
              </w:rPr>
              <w:t>密封完好。</w:t>
            </w:r>
          </w:p>
          <w:p>
            <w:pPr>
              <w:snapToGrid w:val="0"/>
              <w:spacing w:line="400" w:lineRule="exact"/>
              <w:ind w:firstLine="420" w:firstLineChars="200"/>
            </w:pPr>
            <w:r>
              <w:rPr>
                <w:rFonts w:hint="eastAsia" w:ascii="宋体" w:hAnsi="宋体"/>
                <w:color w:val="auto"/>
                <w:szCs w:val="21"/>
                <w:highlight w:val="none"/>
                <w:lang w:val="en-US" w:eastAsia="zh-CN"/>
              </w:rPr>
              <w:t>4</w:t>
            </w:r>
            <w:r>
              <w:rPr>
                <w:rFonts w:hint="eastAsia" w:ascii="宋体" w:hAnsi="宋体"/>
                <w:color w:val="auto"/>
                <w:szCs w:val="21"/>
                <w:highlight w:val="none"/>
              </w:rPr>
              <w:t>. 汇总投标保证金交纳情况</w:t>
            </w:r>
          </w:p>
          <w:p>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5</w:t>
            </w:r>
            <w:r>
              <w:rPr>
                <w:rFonts w:ascii="宋体" w:hAnsi="宋体"/>
                <w:szCs w:val="21"/>
                <w:highlight w:val="none"/>
              </w:rPr>
              <w:t>. 公布最高限价</w:t>
            </w:r>
            <w:r>
              <w:rPr>
                <w:rFonts w:hint="eastAsia" w:ascii="宋体" w:hAnsi="宋体"/>
                <w:szCs w:val="21"/>
                <w:highlight w:val="none"/>
              </w:rPr>
              <w:t>。</w:t>
            </w:r>
          </w:p>
          <w:p>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w:t>
            </w:r>
            <w:r>
              <w:rPr>
                <w:rFonts w:hint="eastAsia" w:ascii="宋体" w:hAnsi="宋体"/>
                <w:szCs w:val="21"/>
                <w:highlight w:val="none"/>
                <w:lang w:eastAsia="zh-CN"/>
              </w:rPr>
              <w:t>竞选文件</w:t>
            </w:r>
            <w:r>
              <w:rPr>
                <w:rFonts w:ascii="宋体" w:hAnsi="宋体"/>
                <w:szCs w:val="21"/>
                <w:highlight w:val="none"/>
              </w:rPr>
              <w:t>。公布</w:t>
            </w:r>
            <w:r>
              <w:rPr>
                <w:rFonts w:hint="eastAsia" w:ascii="宋体" w:hAnsi="宋体"/>
                <w:szCs w:val="21"/>
                <w:highlight w:val="none"/>
                <w:lang w:eastAsia="zh-CN"/>
              </w:rPr>
              <w:t>竞选人</w:t>
            </w:r>
            <w:r>
              <w:rPr>
                <w:rFonts w:ascii="宋体" w:hAnsi="宋体"/>
                <w:szCs w:val="21"/>
                <w:highlight w:val="none"/>
              </w:rPr>
              <w:t>名称、投标报价、质量要求、工期及其他内容并记录在案</w:t>
            </w:r>
            <w:r>
              <w:rPr>
                <w:rFonts w:hint="eastAsia" w:ascii="宋体" w:hAnsi="宋体"/>
                <w:szCs w:val="21"/>
                <w:highlight w:val="none"/>
              </w:rPr>
              <w:t>。</w:t>
            </w:r>
          </w:p>
          <w:p>
            <w:pPr>
              <w:numPr>
                <w:ilvl w:val="255"/>
                <w:numId w:val="0"/>
              </w:num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eastAsia="zh-CN"/>
              </w:rPr>
              <w:t>竞选人</w:t>
            </w:r>
            <w:r>
              <w:rPr>
                <w:rFonts w:hint="eastAsia" w:ascii="宋体" w:hAnsi="宋体"/>
                <w:szCs w:val="21"/>
                <w:highlight w:val="none"/>
              </w:rPr>
              <w:t>对开标有异议的，应当场提出，由</w:t>
            </w:r>
            <w:r>
              <w:rPr>
                <w:rFonts w:hint="eastAsia" w:ascii="宋体" w:hAnsi="宋体"/>
                <w:szCs w:val="21"/>
                <w:highlight w:val="none"/>
                <w:lang w:eastAsia="zh-CN"/>
              </w:rPr>
              <w:t>比选人</w:t>
            </w:r>
            <w:r>
              <w:rPr>
                <w:rFonts w:hint="eastAsia" w:ascii="宋体" w:hAnsi="宋体"/>
                <w:szCs w:val="21"/>
                <w:highlight w:val="none"/>
              </w:rPr>
              <w:t>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8</w:t>
            </w:r>
            <w:r>
              <w:rPr>
                <w:rFonts w:ascii="宋体" w:hAnsi="宋体"/>
                <w:szCs w:val="21"/>
                <w:highlight w:val="none"/>
              </w:rPr>
              <w:t xml:space="preserve">. </w:t>
            </w:r>
            <w:r>
              <w:rPr>
                <w:rFonts w:hint="eastAsia" w:ascii="宋体" w:hAnsi="宋体"/>
                <w:szCs w:val="21"/>
                <w:highlight w:val="none"/>
                <w:lang w:eastAsia="zh-CN"/>
              </w:rPr>
              <w:t>竞选人</w:t>
            </w:r>
            <w:r>
              <w:rPr>
                <w:rFonts w:ascii="宋体" w:hAnsi="宋体"/>
                <w:szCs w:val="21"/>
                <w:highlight w:val="none"/>
              </w:rPr>
              <w:t>代表、</w:t>
            </w:r>
            <w:r>
              <w:rPr>
                <w:rFonts w:hint="eastAsia" w:ascii="宋体" w:hAnsi="宋体"/>
                <w:szCs w:val="21"/>
                <w:highlight w:val="none"/>
                <w:lang w:eastAsia="zh-CN"/>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9</w:t>
            </w:r>
            <w:r>
              <w:rPr>
                <w:rFonts w:ascii="宋体" w:hAnsi="宋体"/>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w:t>
            </w:r>
            <w:r>
              <w:rPr>
                <w:rFonts w:hint="eastAsia" w:ascii="宋体" w:hAnsi="宋体"/>
                <w:spacing w:val="4"/>
                <w:kern w:val="0"/>
                <w:szCs w:val="21"/>
                <w:highlight w:val="none"/>
                <w:lang w:eastAsia="zh-CN"/>
              </w:rPr>
              <w:t>比选人</w:t>
            </w:r>
            <w:r>
              <w:rPr>
                <w:rFonts w:hint="eastAsia" w:ascii="宋体" w:hAnsi="宋体"/>
                <w:spacing w:val="4"/>
                <w:kern w:val="0"/>
                <w:szCs w:val="21"/>
              </w:rPr>
              <w:t>依法自行</w:t>
            </w:r>
            <w:r>
              <w:rPr>
                <w:rFonts w:hint="eastAsia" w:ascii="宋体" w:hAnsi="宋体"/>
                <w:spacing w:val="4"/>
                <w:kern w:val="0"/>
                <w:szCs w:val="21"/>
                <w:highlight w:val="none"/>
              </w:rPr>
              <w:t>组建评标委员会</w:t>
            </w:r>
            <w:r>
              <w:rPr>
                <w:rFonts w:hint="eastAsia" w:ascii="宋体" w:hAnsi="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是</w:t>
            </w:r>
          </w:p>
          <w:p>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否，推荐经评审综合得分由高到低排名前三名为中标候选人。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eastAsia="宋体" w:cs="Times New Roman"/>
                <w:kern w:val="0"/>
                <w:sz w:val="21"/>
                <w:szCs w:val="21"/>
                <w:highlight w:val="none"/>
                <w:lang w:val="en-US" w:eastAsia="zh-CN" w:bidi="ar-SA"/>
              </w:rPr>
            </w:pPr>
            <w:r>
              <w:rPr>
                <w:rFonts w:hint="eastAsia" w:ascii="宋体" w:hAnsi="宋体"/>
                <w:kern w:val="0"/>
                <w:szCs w:val="21"/>
                <w:highlight w:val="none"/>
              </w:rPr>
              <w:t>7.2</w:t>
            </w:r>
          </w:p>
        </w:tc>
        <w:tc>
          <w:tcPr>
            <w:tcW w:w="1644" w:type="dxa"/>
            <w:vAlign w:val="center"/>
          </w:tcPr>
          <w:p>
            <w:pPr>
              <w:snapToGrid w:val="0"/>
              <w:spacing w:after="62" w:afterLines="20"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中标公示</w:t>
            </w:r>
          </w:p>
        </w:tc>
        <w:tc>
          <w:tcPr>
            <w:tcW w:w="6490" w:type="dxa"/>
            <w:vAlign w:val="center"/>
          </w:tcPr>
          <w:p>
            <w:pPr>
              <w:snapToGrid w:val="0"/>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在收到评标报告后3日内将评标结果在在行采家(https://www.gec123.com/) 和重庆经开区投资集团官网（http://www.cetzig.com/）上进行公示</w:t>
            </w:r>
            <w:r>
              <w:rPr>
                <w:rFonts w:hint="eastAsia" w:ascii="宋体" w:hAnsi="宋体" w:cs="宋体"/>
                <w:szCs w:val="21"/>
                <w:highlight w:val="none"/>
              </w:rPr>
              <w:t>，公示期为</w:t>
            </w:r>
            <w:r>
              <w:rPr>
                <w:rFonts w:hint="eastAsia" w:ascii="宋体" w:hAnsi="宋体" w:cs="宋体"/>
                <w:szCs w:val="21"/>
                <w:highlight w:val="none"/>
                <w:lang w:val="en-US" w:eastAsia="zh-CN"/>
              </w:rPr>
              <w:t>1个工作</w:t>
            </w:r>
            <w:r>
              <w:rPr>
                <w:rFonts w:hint="eastAsia" w:ascii="宋体" w:hAnsi="宋体" w:cs="宋体"/>
                <w:szCs w:val="21"/>
                <w:highlight w:val="none"/>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7.3.1</w:t>
            </w:r>
          </w:p>
        </w:tc>
        <w:tc>
          <w:tcPr>
            <w:tcW w:w="1644" w:type="dxa"/>
            <w:vAlign w:val="center"/>
          </w:tcPr>
          <w:p>
            <w:pPr>
              <w:snapToGrid w:val="0"/>
              <w:spacing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履约担保</w:t>
            </w:r>
          </w:p>
        </w:tc>
        <w:tc>
          <w:tcPr>
            <w:tcW w:w="6490" w:type="dxa"/>
            <w:vAlign w:val="center"/>
          </w:tcPr>
          <w:p>
            <w:pPr>
              <w:numPr>
                <w:ilvl w:val="0"/>
                <w:numId w:val="1"/>
              </w:num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中标人是否提供履约担保：</w:t>
            </w:r>
            <w:r>
              <w:rPr>
                <w:rFonts w:hint="eastAsia" w:ascii="宋体" w:hAnsi="宋体"/>
                <w:kern w:val="0"/>
                <w:szCs w:val="21"/>
                <w:highlight w:val="none"/>
                <w:u w:val="single"/>
              </w:rPr>
              <w:t>提供</w:t>
            </w:r>
            <w:r>
              <w:rPr>
                <w:rFonts w:hint="eastAsia" w:ascii="宋体" w:hAnsi="宋体"/>
                <w:kern w:val="0"/>
                <w:szCs w:val="21"/>
                <w:highlight w:val="none"/>
              </w:rPr>
              <w:t>。</w:t>
            </w:r>
          </w:p>
          <w:p>
            <w:pPr>
              <w:numPr>
                <w:ilvl w:val="0"/>
                <w:numId w:val="0"/>
              </w:num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2、中标人提供履约担保的形式、金额及期限：</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（1）履约担保的形式：现金或银行保函或现金+银行保函的组合；采用银行保函形式的，保函必须为不可撤销且见索即付；</w:t>
            </w:r>
          </w:p>
          <w:p>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rPr>
              <w:t>（2）履约担保的金额：</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中标金额5%</w:t>
            </w:r>
            <w:r>
              <w:rPr>
                <w:rFonts w:hint="eastAsia" w:ascii="宋体" w:hAnsi="宋体"/>
                <w:kern w:val="0"/>
                <w:szCs w:val="21"/>
                <w:highlight w:val="none"/>
                <w:u w:val="single"/>
              </w:rPr>
              <w:t xml:space="preserve"> </w:t>
            </w:r>
            <w:r>
              <w:rPr>
                <w:rFonts w:hint="eastAsia" w:ascii="宋体" w:hAnsi="宋体"/>
                <w:kern w:val="0"/>
                <w:szCs w:val="21"/>
                <w:highlight w:val="none"/>
              </w:rPr>
              <w:t>；</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（3）履约担保的提交时间：</w:t>
            </w:r>
            <w:r>
              <w:rPr>
                <w:rFonts w:hint="eastAsia"/>
                <w:szCs w:val="21"/>
              </w:rPr>
              <w:t>从</w:t>
            </w:r>
            <w:r>
              <w:rPr>
                <w:rFonts w:hint="eastAsia"/>
                <w:szCs w:val="21"/>
                <w:lang w:val="en-US" w:eastAsia="zh-CN"/>
              </w:rPr>
              <w:t>中标通知书</w:t>
            </w:r>
            <w:r>
              <w:rPr>
                <w:rFonts w:hint="eastAsia"/>
                <w:szCs w:val="21"/>
              </w:rPr>
              <w:t>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szCs w:val="21"/>
                <w:lang w:eastAsia="zh-CN"/>
              </w:rPr>
              <w:t>，</w:t>
            </w:r>
            <w:r>
              <w:rPr>
                <w:rFonts w:hint="eastAsia"/>
                <w:szCs w:val="21"/>
                <w:lang w:val="en-US" w:eastAsia="zh-CN"/>
              </w:rPr>
              <w:t>且在合同签订前</w:t>
            </w:r>
            <w:r>
              <w:rPr>
                <w:rFonts w:hint="eastAsia" w:ascii="宋体" w:hAnsi="宋体"/>
                <w:kern w:val="0"/>
                <w:szCs w:val="21"/>
                <w:highlight w:val="none"/>
              </w:rPr>
              <w:t>。</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（4）履约担保的期限：见专用合同条款。</w:t>
            </w:r>
          </w:p>
          <w:p>
            <w:pPr>
              <w:snapToGrid w:val="0"/>
              <w:spacing w:after="62" w:afterLines="20" w:line="400" w:lineRule="exact"/>
              <w:ind w:firstLine="420" w:firstLineChars="200"/>
              <w:rPr>
                <w:rFonts w:ascii="宋体" w:hAnsi="宋体" w:eastAsia="宋体" w:cs="Times New Roman"/>
                <w:kern w:val="0"/>
                <w:sz w:val="21"/>
                <w:szCs w:val="21"/>
                <w:highlight w:val="none"/>
                <w:lang w:val="en-US" w:eastAsia="zh-CN" w:bidi="ar-SA"/>
              </w:rPr>
            </w:pPr>
            <w:r>
              <w:rPr>
                <w:rFonts w:hint="eastAsia" w:ascii="宋体" w:hAnsi="宋体"/>
                <w:kern w:val="0"/>
                <w:szCs w:val="21"/>
                <w:highlight w:val="none"/>
              </w:rPr>
              <w:t>（5）履约担保的退还时间：见专用合同条款。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default" w:ascii="宋体" w:hAnsi="宋体" w:eastAsia="宋体" w:cs="Times New Roman"/>
                <w:kern w:val="0"/>
                <w:sz w:val="21"/>
                <w:szCs w:val="21"/>
                <w:highlight w:val="none"/>
                <w:lang w:val="en-US" w:eastAsia="zh-CN" w:bidi="ar-SA"/>
              </w:rPr>
            </w:pPr>
            <w:r>
              <w:rPr>
                <w:rFonts w:hint="eastAsia" w:ascii="宋体" w:hAnsi="宋体"/>
                <w:kern w:val="0"/>
                <w:szCs w:val="21"/>
                <w:highlight w:val="none"/>
                <w:lang w:val="en-US" w:eastAsia="zh-CN"/>
              </w:rPr>
              <w:t>7.3.2</w:t>
            </w:r>
          </w:p>
        </w:tc>
        <w:tc>
          <w:tcPr>
            <w:tcW w:w="1644" w:type="dxa"/>
            <w:vAlign w:val="center"/>
          </w:tcPr>
          <w:p>
            <w:pPr>
              <w:snapToGrid w:val="0"/>
              <w:spacing w:line="400" w:lineRule="exact"/>
              <w:jc w:val="center"/>
              <w:rPr>
                <w:rFonts w:ascii="宋体" w:hAnsi="宋体" w:eastAsia="宋体" w:cs="Times New Roman"/>
                <w:kern w:val="0"/>
                <w:sz w:val="21"/>
                <w:szCs w:val="21"/>
                <w:lang w:val="en-US" w:eastAsia="zh-CN" w:bidi="ar-SA"/>
              </w:rPr>
            </w:pPr>
            <w:r>
              <w:rPr>
                <w:rFonts w:hint="eastAsia" w:ascii="宋体" w:hAnsi="宋体"/>
                <w:kern w:val="0"/>
                <w:szCs w:val="21"/>
              </w:rPr>
              <w:t>低价风险担保</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并报采购投标行政监督部门按照信用管理办法的规定处理，对中标人的不良行为直接记12分，纳入重点关注名单。</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或现金+银行保函的组合；采用银行保函形式的，保函必须为不可撤销且见索即付</w:t>
            </w:r>
            <w:r>
              <w:rPr>
                <w:rFonts w:hint="eastAsia" w:ascii="宋体" w:hAnsi="宋体"/>
                <w:kern w:val="0"/>
                <w:szCs w:val="21"/>
              </w:rPr>
              <w:t>。</w:t>
            </w:r>
          </w:p>
          <w:p>
            <w:pPr>
              <w:autoSpaceDE w:val="0"/>
              <w:autoSpaceDN w:val="0"/>
              <w:adjustRightInd w:val="0"/>
              <w:snapToGrid w:val="0"/>
              <w:spacing w:line="400" w:lineRule="exact"/>
              <w:ind w:firstLine="420" w:firstLineChars="200"/>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w:t>
            </w:r>
            <w:r>
              <w:rPr>
                <w:rFonts w:hint="eastAsia" w:ascii="宋体" w:hAnsi="宋体"/>
                <w:kern w:val="0"/>
                <w:szCs w:val="21"/>
                <w:lang w:val="en-US" w:eastAsia="zh-CN"/>
              </w:rPr>
              <w:t>费率</w:t>
            </w:r>
            <w:r>
              <w:rPr>
                <w:rFonts w:hint="eastAsia" w:ascii="宋体" w:hAnsi="宋体"/>
                <w:kern w:val="0"/>
                <w:szCs w:val="21"/>
              </w:rPr>
              <w:t>）×3</w:t>
            </w:r>
            <w:r>
              <w:rPr>
                <w:rStyle w:val="55"/>
                <w:rFonts w:hint="eastAsia"/>
              </w:rPr>
              <w:t>，</w:t>
            </w:r>
            <w:r>
              <w:rPr>
                <w:rStyle w:val="55"/>
              </w:rPr>
              <w:t>且最高不超过最高限价</w:t>
            </w:r>
            <w:r>
              <w:rPr>
                <w:rFonts w:hint="eastAsia" w:ascii="宋体" w:hAnsi="宋体"/>
                <w:kern w:val="0"/>
                <w:szCs w:val="21"/>
              </w:rPr>
              <w:t>×</w:t>
            </w:r>
            <w:r>
              <w:rPr>
                <w:rFonts w:hint="eastAsia" w:ascii="宋体" w:hAnsi="宋体"/>
                <w:kern w:val="0"/>
                <w:szCs w:val="21"/>
                <w:lang w:val="en-US" w:eastAsia="zh-CN"/>
              </w:rPr>
              <w:t>30万元</w:t>
            </w:r>
            <w:r>
              <w:rPr>
                <w:rStyle w:val="55"/>
              </w:rPr>
              <w:t>的85%</w:t>
            </w:r>
            <w:r>
              <w:rPr>
                <w:rStyle w:val="55"/>
                <w:rFonts w:hint="eastAsia"/>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）低价风险担保送达采购人的时间：</w:t>
            </w:r>
            <w:r>
              <w:rPr>
                <w:rFonts w:hint="eastAsia"/>
                <w:szCs w:val="21"/>
              </w:rPr>
              <w:t>从</w:t>
            </w:r>
            <w:r>
              <w:rPr>
                <w:rFonts w:hint="eastAsia"/>
                <w:szCs w:val="21"/>
                <w:lang w:val="en-US" w:eastAsia="zh-CN"/>
              </w:rPr>
              <w:t>中标通知书</w:t>
            </w:r>
            <w:r>
              <w:rPr>
                <w:rFonts w:hint="eastAsia"/>
                <w:szCs w:val="21"/>
              </w:rPr>
              <w:t>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（4）中标人因自身原因未按中标通知书规定的时限与采购人签订合同的，采购人有权扣除其低价风险担保并取消中标资格。</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pPr>
              <w:widowControl/>
              <w:spacing w:line="400" w:lineRule="exact"/>
              <w:ind w:firstLine="420" w:firstLineChars="200"/>
            </w:pPr>
            <w:r>
              <w:rPr>
                <w:rFonts w:hint="eastAsia"/>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pPr>
              <w:widowControl/>
              <w:spacing w:line="400" w:lineRule="exact"/>
              <w:ind w:firstLine="420" w:firstLineChars="200"/>
              <w:rPr>
                <w:rFonts w:hint="eastAsia" w:ascii="宋体" w:hAnsi="宋体" w:eastAsia="宋体" w:cs="Times New Roman"/>
                <w:kern w:val="0"/>
                <w:sz w:val="21"/>
                <w:szCs w:val="21"/>
                <w:lang w:val="en-US" w:eastAsia="zh-CN" w:bidi="ar-SA"/>
              </w:rPr>
            </w:pPr>
            <w:r>
              <w:rPr>
                <w:rFonts w:hint="eastAsia"/>
              </w:rPr>
              <w:t>5、投标总报价低于最高限价85%的，投标人应在编制投标文件时，在投标函部分中递交低价风险担保缴纳承诺书。承诺书格式详见第八章投标文件格式。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w:t>
            </w:r>
            <w:r>
              <w:rPr>
                <w:rFonts w:hint="eastAsia" w:ascii="宋体" w:hAnsi="宋体"/>
                <w:kern w:val="0"/>
                <w:szCs w:val="21"/>
                <w:highlight w:val="none"/>
                <w:lang w:eastAsia="zh-CN"/>
              </w:rPr>
              <w:t>竞选人</w:t>
            </w:r>
            <w:r>
              <w:rPr>
                <w:rFonts w:ascii="宋体" w:hAnsi="宋体"/>
                <w:kern w:val="0"/>
                <w:szCs w:val="21"/>
                <w:highlight w:val="none"/>
              </w:rPr>
              <w:t>须知第8.1（1）执行；</w:t>
            </w:r>
          </w:p>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w:t>
            </w:r>
            <w:r>
              <w:rPr>
                <w:rFonts w:hint="eastAsia" w:ascii="宋体" w:hAnsi="宋体"/>
                <w:kern w:val="0"/>
                <w:szCs w:val="21"/>
                <w:highlight w:val="none"/>
                <w:lang w:eastAsia="zh-CN"/>
              </w:rPr>
              <w:t>竞选人</w:t>
            </w:r>
            <w:r>
              <w:rPr>
                <w:rFonts w:ascii="宋体" w:hAnsi="宋体"/>
                <w:kern w:val="0"/>
                <w:szCs w:val="21"/>
                <w:highlight w:val="none"/>
              </w:rPr>
              <w:t>须知第8.1（2）执行；</w:t>
            </w:r>
          </w:p>
          <w:p>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须知第8.1（3）执行；</w:t>
            </w:r>
          </w:p>
          <w:p>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须知第8.1（4）执行</w:t>
            </w:r>
            <w:r>
              <w:rPr>
                <w:rFonts w:hint="eastAsia" w:ascii="宋体" w:hAnsi="宋体"/>
                <w:kern w:val="0"/>
                <w:szCs w:val="21"/>
                <w:highlight w:val="none"/>
              </w:rPr>
              <w:t>。</w:t>
            </w:r>
          </w:p>
          <w:p>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pPr>
              <w:snapToGrid w:val="0"/>
              <w:spacing w:line="400" w:lineRule="exact"/>
              <w:jc w:val="center"/>
              <w:rPr>
                <w:highlight w:val="none"/>
              </w:rPr>
            </w:pPr>
            <w:bookmarkStart w:id="105" w:name="_Toc430530434"/>
            <w:bookmarkStart w:id="106" w:name="_Toc13210670"/>
            <w:bookmarkStart w:id="107" w:name="_Toc509218709"/>
            <w:bookmarkStart w:id="108" w:name="_Toc16930431"/>
            <w:bookmarkStart w:id="109" w:name="_Toc536628250"/>
            <w:r>
              <w:rPr>
                <w:rFonts w:hint="eastAsia" w:ascii="宋体" w:hAnsi="宋体"/>
                <w:kern w:val="0"/>
                <w:szCs w:val="21"/>
                <w:highlight w:val="none"/>
              </w:rPr>
              <w:t>重新</w:t>
            </w:r>
            <w:r>
              <w:rPr>
                <w:rFonts w:ascii="宋体" w:hAnsi="宋体"/>
                <w:kern w:val="0"/>
                <w:szCs w:val="21"/>
                <w:highlight w:val="none"/>
              </w:rPr>
              <w:t>招标和不再招标</w:t>
            </w:r>
            <w:bookmarkEnd w:id="105"/>
            <w:bookmarkEnd w:id="106"/>
            <w:bookmarkEnd w:id="107"/>
            <w:bookmarkEnd w:id="108"/>
            <w:bookmarkEnd w:id="109"/>
          </w:p>
        </w:tc>
        <w:tc>
          <w:tcPr>
            <w:tcW w:w="6490" w:type="dxa"/>
            <w:vAlign w:val="center"/>
          </w:tcPr>
          <w:p>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仍然少于三个的，按照招标投标法律法规规定的程序开标和评标。重新招标经评审有有效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的，应当依法确定中标候选人；无有效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sz w:val="21"/>
                <w:szCs w:val="21"/>
              </w:rPr>
              <w:t>10.1</w:t>
            </w:r>
          </w:p>
        </w:tc>
        <w:tc>
          <w:tcPr>
            <w:tcW w:w="1644" w:type="dxa"/>
            <w:vAlign w:val="center"/>
          </w:tcPr>
          <w:p>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sz w:val="21"/>
                <w:szCs w:val="21"/>
              </w:rPr>
              <w:t>工程款</w:t>
            </w:r>
            <w:r>
              <w:rPr>
                <w:rFonts w:hint="eastAsia" w:asciiTheme="minorEastAsia" w:hAnsiTheme="minorEastAsia" w:eastAsiaTheme="minorEastAsia" w:cstheme="minorEastAsia"/>
                <w:sz w:val="21"/>
                <w:szCs w:val="21"/>
                <w:lang w:val="en-US" w:eastAsia="zh-CN"/>
              </w:rPr>
              <w:t>结算及</w:t>
            </w:r>
            <w:r>
              <w:rPr>
                <w:rFonts w:hint="eastAsia" w:asciiTheme="minorEastAsia" w:hAnsiTheme="minorEastAsia" w:eastAsiaTheme="minorEastAsia" w:cstheme="minorEastAsia"/>
                <w:sz w:val="21"/>
                <w:szCs w:val="21"/>
              </w:rPr>
              <w:t>支付</w:t>
            </w:r>
          </w:p>
        </w:tc>
        <w:tc>
          <w:tcPr>
            <w:tcW w:w="6490" w:type="dxa"/>
            <w:vAlign w:val="top"/>
          </w:tcPr>
          <w:p>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结算原则：</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lang w:val="en-US" w:eastAsia="zh-CN"/>
              </w:rPr>
              <w:t>结算价</w:t>
            </w:r>
            <w:r>
              <w:rPr>
                <w:rFonts w:hint="eastAsia" w:asciiTheme="minorEastAsia" w:hAnsiTheme="minorEastAsia" w:eastAsiaTheme="minorEastAsia" w:cstheme="minorEastAsia"/>
                <w:b w:val="0"/>
                <w:bCs/>
                <w:color w:val="0000FF"/>
                <w:kern w:val="0"/>
                <w:szCs w:val="21"/>
                <w:highlight w:val="none"/>
              </w:rPr>
              <w:t>=经审核的建筑安装工程费×</w:t>
            </w:r>
            <w:r>
              <w:rPr>
                <w:rFonts w:hint="eastAsia" w:asciiTheme="minorEastAsia" w:hAnsiTheme="minorEastAsia" w:eastAsiaTheme="minorEastAsia" w:cstheme="minorEastAsia"/>
                <w:b w:val="0"/>
                <w:bCs/>
                <w:color w:val="0000FF"/>
                <w:kern w:val="0"/>
                <w:szCs w:val="21"/>
                <w:highlight w:val="none"/>
                <w:lang w:val="en-US" w:eastAsia="zh-CN"/>
              </w:rPr>
              <w:t>固定费率</w:t>
            </w:r>
            <w:r>
              <w:rPr>
                <w:rFonts w:hint="eastAsia" w:asciiTheme="minorEastAsia" w:hAnsiTheme="minorEastAsia" w:eastAsiaTheme="minorEastAsia" w:cstheme="minorEastAsia"/>
                <w:b w:val="0"/>
                <w:bCs/>
                <w:color w:val="0000FF"/>
                <w:kern w:val="0"/>
                <w:szCs w:val="21"/>
                <w:highlight w:val="none"/>
              </w:rPr>
              <w:t>（认质核价材料和设备、安全文明施工费、规费、税金不参与</w:t>
            </w:r>
            <w:r>
              <w:rPr>
                <w:rFonts w:hint="eastAsia" w:asciiTheme="minorEastAsia" w:hAnsiTheme="minorEastAsia" w:eastAsiaTheme="minorEastAsia" w:cstheme="minorEastAsia"/>
                <w:b w:val="0"/>
                <w:bCs/>
                <w:color w:val="0000FF"/>
                <w:kern w:val="0"/>
                <w:szCs w:val="21"/>
                <w:highlight w:val="none"/>
                <w:lang w:val="en-US" w:eastAsia="zh-CN"/>
              </w:rPr>
              <w:t>浮动</w:t>
            </w:r>
            <w:r>
              <w:rPr>
                <w:rFonts w:hint="eastAsia" w:asciiTheme="minorEastAsia" w:hAnsiTheme="minorEastAsia" w:eastAsiaTheme="minorEastAsia" w:cstheme="minorEastAsia"/>
                <w:b w:val="0"/>
                <w:bCs/>
                <w:color w:val="0000FF"/>
                <w:kern w:val="0"/>
                <w:szCs w:val="21"/>
                <w:highlight w:val="none"/>
              </w:rPr>
              <w:t>）。</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rPr>
              <w:t>建筑安装工程费以</w:t>
            </w:r>
            <w:r>
              <w:rPr>
                <w:rFonts w:hint="eastAsia" w:asciiTheme="minorEastAsia" w:hAnsiTheme="minorEastAsia" w:eastAsiaTheme="minorEastAsia" w:cstheme="minorEastAsia"/>
                <w:b w:val="0"/>
                <w:bCs/>
                <w:color w:val="0000FF"/>
                <w:kern w:val="0"/>
                <w:szCs w:val="21"/>
                <w:highlight w:val="none"/>
                <w:lang w:val="en-US" w:eastAsia="zh-CN"/>
              </w:rPr>
              <w:t>比选</w:t>
            </w:r>
            <w:r>
              <w:rPr>
                <w:rFonts w:hint="eastAsia" w:asciiTheme="minorEastAsia" w:hAnsiTheme="minorEastAsia" w:eastAsiaTheme="minorEastAsia" w:cstheme="minorEastAsia"/>
                <w:b w:val="0"/>
                <w:bCs/>
                <w:color w:val="0000FF"/>
                <w:kern w:val="0"/>
                <w:szCs w:val="21"/>
                <w:highlight w:val="none"/>
              </w:rPr>
              <w:t>人认可的审定结果作为结算依据。</w:t>
            </w:r>
            <w:r>
              <w:rPr>
                <w:rFonts w:hint="eastAsia" w:asciiTheme="minorEastAsia" w:hAnsiTheme="minorEastAsia" w:eastAsiaTheme="minorEastAsia" w:cstheme="minorEastAsia"/>
                <w:b w:val="0"/>
                <w:bCs/>
                <w:color w:val="0000FF"/>
                <w:kern w:val="0"/>
                <w:szCs w:val="21"/>
                <w:highlight w:val="none"/>
                <w:lang w:val="en-US" w:eastAsia="zh-CN"/>
              </w:rPr>
              <w:t>竞选</w:t>
            </w:r>
            <w:r>
              <w:rPr>
                <w:rFonts w:hint="eastAsia" w:asciiTheme="minorEastAsia" w:hAnsiTheme="minorEastAsia" w:eastAsiaTheme="minorEastAsia" w:cstheme="minorEastAsia"/>
                <w:b w:val="0"/>
                <w:bCs/>
                <w:color w:val="0000FF"/>
                <w:kern w:val="0"/>
                <w:szCs w:val="21"/>
                <w:highlight w:val="none"/>
              </w:rPr>
              <w:t>人必须接受，否则视为违约，具体原则如下：</w:t>
            </w:r>
          </w:p>
          <w:p>
            <w:pPr>
              <w:numPr>
                <w:ilvl w:val="0"/>
                <w:numId w:val="2"/>
              </w:num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rPr>
              <w:t>计价原则：按《工程量清单项目计量规范（2013-重庆）》、《2018年重庆市房屋修缮定额》（</w:t>
            </w:r>
            <w:r>
              <w:rPr>
                <w:rFonts w:hint="eastAsia" w:asciiTheme="minorEastAsia" w:hAnsiTheme="minorEastAsia" w:eastAsiaTheme="minorEastAsia" w:cstheme="minorEastAsia"/>
                <w:b w:val="0"/>
                <w:bCs/>
                <w:color w:val="0000FF"/>
                <w:kern w:val="0"/>
                <w:szCs w:val="21"/>
                <w:highlight w:val="none"/>
                <w:lang w:val="en-US" w:eastAsia="zh-CN"/>
              </w:rPr>
              <w:t>缺项</w:t>
            </w:r>
            <w:r>
              <w:rPr>
                <w:rFonts w:hint="eastAsia" w:asciiTheme="minorEastAsia" w:hAnsiTheme="minorEastAsia" w:eastAsiaTheme="minorEastAsia" w:cstheme="minorEastAsia"/>
                <w:b w:val="0"/>
                <w:bCs/>
                <w:color w:val="0000FF"/>
                <w:kern w:val="0"/>
                <w:szCs w:val="21"/>
                <w:highlight w:val="none"/>
              </w:rPr>
              <w:t>部分借用其他配套定额）及相关配套文件、定额进行计量计价按实计算。</w:t>
            </w:r>
          </w:p>
          <w:p>
            <w:pPr>
              <w:numPr>
                <w:ilvl w:val="0"/>
                <w:numId w:val="0"/>
              </w:num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rPr>
              <w:t>上述计价原则中无定额可套用的，由</w:t>
            </w:r>
            <w:r>
              <w:rPr>
                <w:rFonts w:hint="eastAsia" w:asciiTheme="minorEastAsia" w:hAnsiTheme="minorEastAsia" w:eastAsiaTheme="minorEastAsia" w:cstheme="minorEastAsia"/>
                <w:b w:val="0"/>
                <w:bCs/>
                <w:color w:val="0000FF"/>
                <w:kern w:val="0"/>
                <w:szCs w:val="21"/>
                <w:highlight w:val="none"/>
                <w:lang w:val="en-US" w:eastAsia="zh-CN"/>
              </w:rPr>
              <w:t>竞选</w:t>
            </w:r>
            <w:r>
              <w:rPr>
                <w:rFonts w:hint="eastAsia" w:asciiTheme="minorEastAsia" w:hAnsiTheme="minorEastAsia" w:eastAsiaTheme="minorEastAsia" w:cstheme="minorEastAsia"/>
                <w:b w:val="0"/>
                <w:bCs/>
                <w:color w:val="0000FF"/>
                <w:kern w:val="0"/>
                <w:szCs w:val="21"/>
                <w:highlight w:val="none"/>
              </w:rPr>
              <w:t>人会同监理人、跟审单位（如有）、</w:t>
            </w:r>
            <w:r>
              <w:rPr>
                <w:rFonts w:hint="eastAsia" w:asciiTheme="minorEastAsia" w:hAnsiTheme="minorEastAsia" w:eastAsiaTheme="minorEastAsia" w:cstheme="minorEastAsia"/>
                <w:b w:val="0"/>
                <w:bCs/>
                <w:color w:val="0000FF"/>
                <w:kern w:val="0"/>
                <w:szCs w:val="21"/>
                <w:highlight w:val="none"/>
                <w:lang w:val="en-US" w:eastAsia="zh-CN"/>
              </w:rPr>
              <w:t>比选</w:t>
            </w:r>
            <w:r>
              <w:rPr>
                <w:rFonts w:hint="eastAsia" w:asciiTheme="minorEastAsia" w:hAnsiTheme="minorEastAsia" w:eastAsiaTheme="minorEastAsia" w:cstheme="minorEastAsia"/>
                <w:b w:val="0"/>
                <w:bCs/>
                <w:color w:val="0000FF"/>
                <w:kern w:val="0"/>
                <w:szCs w:val="21"/>
                <w:highlight w:val="none"/>
              </w:rPr>
              <w:t>人按相关原则、编制方法编制补充定额（人工、材料、机械基价执行2018年计价定额的基价，2018年计价定额没有的基价，按市场价计）；或参照重庆市场相同工作的市场价格上报监理人，最终价格按</w:t>
            </w:r>
            <w:r>
              <w:rPr>
                <w:rFonts w:hint="eastAsia" w:asciiTheme="minorEastAsia" w:hAnsiTheme="minorEastAsia" w:eastAsiaTheme="minorEastAsia" w:cstheme="minorEastAsia"/>
                <w:b w:val="0"/>
                <w:bCs/>
                <w:color w:val="0000FF"/>
                <w:kern w:val="0"/>
                <w:szCs w:val="21"/>
                <w:highlight w:val="none"/>
                <w:lang w:val="en-US" w:eastAsia="zh-CN"/>
              </w:rPr>
              <w:t>竞选</w:t>
            </w:r>
            <w:r>
              <w:rPr>
                <w:rFonts w:hint="eastAsia" w:asciiTheme="minorEastAsia" w:hAnsiTheme="minorEastAsia" w:eastAsiaTheme="minorEastAsia" w:cstheme="minorEastAsia"/>
                <w:b w:val="0"/>
                <w:bCs/>
                <w:color w:val="0000FF"/>
                <w:kern w:val="0"/>
                <w:szCs w:val="21"/>
                <w:highlight w:val="none"/>
              </w:rPr>
              <w:t>人、监理人、跟审单位（如有）、</w:t>
            </w:r>
            <w:r>
              <w:rPr>
                <w:rFonts w:hint="eastAsia" w:asciiTheme="minorEastAsia" w:hAnsiTheme="minorEastAsia" w:eastAsiaTheme="minorEastAsia" w:cstheme="minorEastAsia"/>
                <w:b w:val="0"/>
                <w:bCs/>
                <w:color w:val="0000FF"/>
                <w:kern w:val="0"/>
                <w:szCs w:val="21"/>
                <w:highlight w:val="none"/>
                <w:lang w:val="en-US" w:eastAsia="zh-CN"/>
              </w:rPr>
              <w:t>比选</w:t>
            </w:r>
            <w:r>
              <w:rPr>
                <w:rFonts w:hint="eastAsia" w:asciiTheme="minorEastAsia" w:hAnsiTheme="minorEastAsia" w:eastAsiaTheme="minorEastAsia" w:cstheme="minorEastAsia"/>
                <w:b w:val="0"/>
                <w:bCs/>
                <w:color w:val="0000FF"/>
                <w:kern w:val="0"/>
                <w:szCs w:val="21"/>
                <w:highlight w:val="none"/>
              </w:rPr>
              <w:t>人共同询价确认的价格执行。</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rPr>
              <w:t>（2）计量原则：分部分项工程量清单计价表中的工程数量以施工设计图为依据，以设计变更图、监理工程师和发包人认可的尺寸、断面为参考依据，根据《房屋建筑与装饰工程工程量计算规范》（GB50854-2013）</w:t>
            </w:r>
            <w:r>
              <w:rPr>
                <w:rFonts w:hint="eastAsia" w:asciiTheme="minorEastAsia" w:hAnsiTheme="minorEastAsia" w:eastAsiaTheme="minorEastAsia" w:cstheme="minorEastAsia"/>
                <w:b w:val="0"/>
                <w:bCs/>
                <w:color w:val="0000FF"/>
                <w:kern w:val="0"/>
                <w:szCs w:val="21"/>
                <w:highlight w:val="none"/>
                <w:lang w:val="en-US" w:eastAsia="zh-CN"/>
              </w:rPr>
              <w:t>等</w:t>
            </w:r>
            <w:r>
              <w:rPr>
                <w:rFonts w:hint="eastAsia" w:asciiTheme="minorEastAsia" w:hAnsiTheme="minorEastAsia" w:eastAsiaTheme="minorEastAsia" w:cstheme="minorEastAsia"/>
                <w:b w:val="0"/>
                <w:bCs/>
                <w:color w:val="0000FF"/>
                <w:kern w:val="0"/>
                <w:szCs w:val="21"/>
                <w:highlight w:val="none"/>
              </w:rPr>
              <w:t>各专业工程工程量计算规范规定的计算规则及</w:t>
            </w:r>
            <w:r>
              <w:rPr>
                <w:rFonts w:hint="eastAsia" w:asciiTheme="minorEastAsia" w:hAnsiTheme="minorEastAsia" w:eastAsiaTheme="minorEastAsia" w:cstheme="minorEastAsia"/>
                <w:b w:val="0"/>
                <w:bCs/>
                <w:color w:val="0000FF"/>
                <w:kern w:val="0"/>
                <w:szCs w:val="21"/>
                <w:highlight w:val="none"/>
                <w:lang w:val="en-US" w:eastAsia="zh-CN"/>
              </w:rPr>
              <w:t>比选</w:t>
            </w:r>
            <w:r>
              <w:rPr>
                <w:rFonts w:hint="eastAsia" w:asciiTheme="minorEastAsia" w:hAnsiTheme="minorEastAsia" w:eastAsiaTheme="minorEastAsia" w:cstheme="minorEastAsia"/>
                <w:b w:val="0"/>
                <w:bCs/>
                <w:color w:val="0000FF"/>
                <w:kern w:val="0"/>
                <w:szCs w:val="21"/>
                <w:highlight w:val="none"/>
              </w:rPr>
              <w:t>文件约定的计算规则计量。</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rPr>
              <w:t>（3）人工单价：按</w:t>
            </w:r>
            <w:r>
              <w:rPr>
                <w:rFonts w:hint="eastAsia" w:asciiTheme="minorEastAsia" w:hAnsiTheme="minorEastAsia" w:eastAsiaTheme="minorEastAsia" w:cstheme="minorEastAsia"/>
                <w:b w:val="0"/>
                <w:bCs/>
                <w:color w:val="0000FF"/>
                <w:kern w:val="0"/>
                <w:szCs w:val="21"/>
                <w:highlight w:val="none"/>
                <w:lang w:val="en-US" w:eastAsia="zh-CN"/>
              </w:rPr>
              <w:t>实施当期</w:t>
            </w:r>
            <w:r>
              <w:rPr>
                <w:rFonts w:hint="eastAsia" w:asciiTheme="minorEastAsia" w:hAnsiTheme="minorEastAsia" w:eastAsiaTheme="minorEastAsia" w:cstheme="minorEastAsia"/>
                <w:b w:val="0"/>
                <w:bCs/>
                <w:color w:val="0000FF"/>
                <w:kern w:val="0"/>
                <w:szCs w:val="21"/>
                <w:highlight w:val="none"/>
              </w:rPr>
              <w:t>重庆市建设工程造价管理总站发布的《重庆工程造价信息》发布的项目所在地的人工单价执行。</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rPr>
              <w:t>（4）设备材料单价：</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rPr>
              <w:t>1）设备材料单价按照</w:t>
            </w:r>
            <w:r>
              <w:rPr>
                <w:rFonts w:hint="eastAsia" w:asciiTheme="minorEastAsia" w:hAnsiTheme="minorEastAsia" w:eastAsiaTheme="minorEastAsia" w:cstheme="minorEastAsia"/>
                <w:b w:val="0"/>
                <w:bCs/>
                <w:color w:val="0000FF"/>
                <w:kern w:val="0"/>
                <w:szCs w:val="21"/>
                <w:highlight w:val="none"/>
                <w:lang w:val="en-US" w:eastAsia="zh-CN"/>
              </w:rPr>
              <w:t>实施当期</w:t>
            </w:r>
            <w:r>
              <w:rPr>
                <w:rFonts w:hint="eastAsia" w:asciiTheme="minorEastAsia" w:hAnsiTheme="minorEastAsia" w:eastAsiaTheme="minorEastAsia" w:cstheme="minorEastAsia"/>
                <w:b w:val="0"/>
                <w:bCs/>
                <w:color w:val="0000FF"/>
                <w:kern w:val="0"/>
                <w:szCs w:val="21"/>
                <w:highlight w:val="none"/>
              </w:rPr>
              <w:t>《重庆工程造价信息》发布的项目所在地的信息价执行；</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rPr>
              <w:t>2）《重庆工程造价信息》</w:t>
            </w:r>
            <w:r>
              <w:rPr>
                <w:rFonts w:hint="eastAsia" w:asciiTheme="minorEastAsia" w:hAnsiTheme="minorEastAsia" w:eastAsiaTheme="minorEastAsia" w:cstheme="minorEastAsia"/>
                <w:b w:val="0"/>
                <w:bCs/>
                <w:color w:val="0000FF"/>
                <w:kern w:val="0"/>
                <w:szCs w:val="21"/>
                <w:highlight w:val="none"/>
                <w:lang w:val="en-US" w:eastAsia="zh-CN"/>
              </w:rPr>
              <w:t>没有的</w:t>
            </w:r>
            <w:r>
              <w:rPr>
                <w:rFonts w:hint="eastAsia" w:asciiTheme="minorEastAsia" w:hAnsiTheme="minorEastAsia" w:eastAsiaTheme="minorEastAsia" w:cstheme="minorEastAsia"/>
                <w:b w:val="0"/>
                <w:bCs/>
                <w:color w:val="0000FF"/>
                <w:kern w:val="0"/>
                <w:szCs w:val="21"/>
                <w:highlight w:val="none"/>
              </w:rPr>
              <w:t>材料和设备，由</w:t>
            </w:r>
            <w:r>
              <w:rPr>
                <w:rFonts w:hint="eastAsia" w:asciiTheme="minorEastAsia" w:hAnsiTheme="minorEastAsia" w:eastAsiaTheme="minorEastAsia" w:cstheme="minorEastAsia"/>
                <w:b w:val="0"/>
                <w:bCs/>
                <w:color w:val="0000FF"/>
                <w:kern w:val="0"/>
                <w:szCs w:val="21"/>
                <w:highlight w:val="none"/>
                <w:lang w:val="en-US" w:eastAsia="zh-CN"/>
              </w:rPr>
              <w:t>竞选</w:t>
            </w:r>
            <w:r>
              <w:rPr>
                <w:rFonts w:hint="eastAsia" w:asciiTheme="minorEastAsia" w:hAnsiTheme="minorEastAsia" w:eastAsiaTheme="minorEastAsia" w:cstheme="minorEastAsia"/>
                <w:b w:val="0"/>
                <w:bCs/>
                <w:color w:val="0000FF"/>
                <w:kern w:val="0"/>
                <w:szCs w:val="21"/>
                <w:highlight w:val="none"/>
              </w:rPr>
              <w:t>人申报，</w:t>
            </w:r>
            <w:r>
              <w:rPr>
                <w:rFonts w:hint="eastAsia" w:asciiTheme="minorEastAsia" w:hAnsiTheme="minorEastAsia" w:eastAsiaTheme="minorEastAsia" w:cstheme="minorEastAsia"/>
                <w:b w:val="0"/>
                <w:bCs/>
                <w:color w:val="0000FF"/>
                <w:kern w:val="0"/>
                <w:szCs w:val="21"/>
                <w:highlight w:val="none"/>
                <w:lang w:val="en-US" w:eastAsia="zh-CN"/>
              </w:rPr>
              <w:t>比选</w:t>
            </w:r>
            <w:r>
              <w:rPr>
                <w:rFonts w:hint="eastAsia" w:asciiTheme="minorEastAsia" w:hAnsiTheme="minorEastAsia" w:eastAsiaTheme="minorEastAsia" w:cstheme="minorEastAsia"/>
                <w:b w:val="0"/>
                <w:bCs/>
                <w:color w:val="0000FF"/>
                <w:kern w:val="0"/>
                <w:szCs w:val="21"/>
                <w:highlight w:val="none"/>
              </w:rPr>
              <w:t>人会同监理人</w:t>
            </w:r>
            <w:r>
              <w:rPr>
                <w:rFonts w:hint="eastAsia" w:asciiTheme="minorEastAsia" w:hAnsiTheme="minorEastAsia" w:eastAsiaTheme="minorEastAsia" w:cstheme="minorEastAsia"/>
                <w:b w:val="0"/>
                <w:bCs/>
                <w:color w:val="0000FF"/>
                <w:kern w:val="0"/>
                <w:szCs w:val="21"/>
                <w:highlight w:val="none"/>
                <w:lang w:eastAsia="zh-CN"/>
              </w:rPr>
              <w:t>、</w:t>
            </w:r>
            <w:r>
              <w:rPr>
                <w:rFonts w:hint="eastAsia" w:asciiTheme="minorEastAsia" w:hAnsiTheme="minorEastAsia" w:eastAsiaTheme="minorEastAsia" w:cstheme="minorEastAsia"/>
                <w:b w:val="0"/>
                <w:bCs/>
                <w:color w:val="0000FF"/>
                <w:kern w:val="0"/>
                <w:szCs w:val="21"/>
                <w:highlight w:val="none"/>
              </w:rPr>
              <w:t>跟审单位</w:t>
            </w:r>
            <w:r>
              <w:rPr>
                <w:rFonts w:hint="eastAsia" w:asciiTheme="minorEastAsia" w:hAnsiTheme="minorEastAsia" w:eastAsiaTheme="minorEastAsia" w:cstheme="minorEastAsia"/>
                <w:b w:val="0"/>
                <w:bCs/>
                <w:color w:val="0000FF"/>
                <w:kern w:val="0"/>
                <w:szCs w:val="21"/>
                <w:highlight w:val="none"/>
                <w:lang w:val="en-US" w:eastAsia="zh-CN"/>
              </w:rPr>
              <w:t>（如有）</w:t>
            </w:r>
            <w:r>
              <w:rPr>
                <w:rFonts w:hint="eastAsia" w:asciiTheme="minorEastAsia" w:hAnsiTheme="minorEastAsia" w:eastAsiaTheme="minorEastAsia" w:cstheme="minorEastAsia"/>
                <w:b w:val="0"/>
                <w:bCs/>
                <w:color w:val="0000FF"/>
                <w:kern w:val="0"/>
                <w:szCs w:val="21"/>
                <w:highlight w:val="none"/>
              </w:rPr>
              <w:t>按认质核价相关管理办法及程序，根据市场行情认质核价。但原则上不超过</w:t>
            </w:r>
            <w:r>
              <w:rPr>
                <w:rFonts w:hint="eastAsia" w:asciiTheme="minorEastAsia" w:hAnsiTheme="minorEastAsia" w:eastAsiaTheme="minorEastAsia" w:cstheme="minorEastAsia"/>
                <w:b w:val="0"/>
                <w:bCs/>
                <w:color w:val="0000FF"/>
                <w:kern w:val="0"/>
                <w:szCs w:val="21"/>
                <w:highlight w:val="none"/>
                <w:lang w:val="en-US" w:eastAsia="zh-CN"/>
              </w:rPr>
              <w:t>实施当期</w:t>
            </w:r>
            <w:r>
              <w:rPr>
                <w:rFonts w:hint="eastAsia" w:asciiTheme="minorEastAsia" w:hAnsiTheme="minorEastAsia" w:eastAsiaTheme="minorEastAsia" w:cstheme="minorEastAsia"/>
                <w:b w:val="0"/>
                <w:bCs/>
                <w:color w:val="0000FF"/>
                <w:kern w:val="0"/>
                <w:szCs w:val="21"/>
                <w:highlight w:val="none"/>
              </w:rPr>
              <w:t>《重庆工程造价信息》公布的信息价；</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rPr>
              <w:t>3）上述材料和设备价格均为不含税价格，包括材料原价、运杂费、运输损耗费、采购及保管费等所有费用，认质核价的材料和设备若</w:t>
            </w:r>
            <w:r>
              <w:rPr>
                <w:rFonts w:hint="eastAsia" w:asciiTheme="minorEastAsia" w:hAnsiTheme="minorEastAsia" w:eastAsiaTheme="minorEastAsia" w:cstheme="minorEastAsia"/>
                <w:b w:val="0"/>
                <w:bCs/>
                <w:color w:val="0000FF"/>
                <w:kern w:val="0"/>
                <w:szCs w:val="21"/>
                <w:highlight w:val="none"/>
                <w:lang w:val="en-US" w:eastAsia="zh-CN"/>
              </w:rPr>
              <w:t>竞选人</w:t>
            </w:r>
            <w:r>
              <w:rPr>
                <w:rFonts w:hint="eastAsia" w:asciiTheme="minorEastAsia" w:hAnsiTheme="minorEastAsia" w:eastAsiaTheme="minorEastAsia" w:cstheme="minorEastAsia"/>
                <w:b w:val="0"/>
                <w:bCs/>
                <w:color w:val="0000FF"/>
                <w:kern w:val="0"/>
                <w:szCs w:val="21"/>
                <w:highlight w:val="none"/>
              </w:rPr>
              <w:t>在</w:t>
            </w:r>
            <w:r>
              <w:rPr>
                <w:rFonts w:hint="eastAsia" w:asciiTheme="minorEastAsia" w:hAnsiTheme="minorEastAsia" w:eastAsiaTheme="minorEastAsia" w:cstheme="minorEastAsia"/>
                <w:b w:val="0"/>
                <w:bCs/>
                <w:color w:val="0000FF"/>
                <w:kern w:val="0"/>
                <w:szCs w:val="21"/>
                <w:highlight w:val="none"/>
                <w:lang w:val="en-US" w:eastAsia="zh-CN"/>
              </w:rPr>
              <w:t>比选</w:t>
            </w:r>
            <w:r>
              <w:rPr>
                <w:rFonts w:hint="eastAsia" w:asciiTheme="minorEastAsia" w:hAnsiTheme="minorEastAsia" w:eastAsiaTheme="minorEastAsia" w:cstheme="minorEastAsia"/>
                <w:b w:val="0"/>
                <w:bCs/>
                <w:color w:val="0000FF"/>
                <w:kern w:val="0"/>
                <w:szCs w:val="21"/>
                <w:highlight w:val="none"/>
              </w:rPr>
              <w:t>人核价后5个工作日内，</w:t>
            </w:r>
            <w:r>
              <w:rPr>
                <w:rFonts w:hint="eastAsia" w:asciiTheme="minorEastAsia" w:hAnsiTheme="minorEastAsia" w:eastAsiaTheme="minorEastAsia" w:cstheme="minorEastAsia"/>
                <w:b w:val="0"/>
                <w:bCs/>
                <w:color w:val="0000FF"/>
                <w:kern w:val="0"/>
                <w:szCs w:val="21"/>
                <w:highlight w:val="none"/>
                <w:lang w:val="en-US" w:eastAsia="zh-CN"/>
              </w:rPr>
              <w:t>竞选</w:t>
            </w:r>
            <w:r>
              <w:rPr>
                <w:rFonts w:hint="eastAsia" w:asciiTheme="minorEastAsia" w:hAnsiTheme="minorEastAsia" w:eastAsiaTheme="minorEastAsia" w:cstheme="minorEastAsia"/>
                <w:b w:val="0"/>
                <w:bCs/>
                <w:color w:val="0000FF"/>
                <w:kern w:val="0"/>
                <w:szCs w:val="21"/>
                <w:highlight w:val="none"/>
              </w:rPr>
              <w:t>人拒绝签字确认</w:t>
            </w:r>
            <w:r>
              <w:rPr>
                <w:rFonts w:hint="eastAsia" w:asciiTheme="minorEastAsia" w:hAnsiTheme="minorEastAsia" w:eastAsiaTheme="minorEastAsia" w:cstheme="minorEastAsia"/>
                <w:b w:val="0"/>
                <w:bCs/>
                <w:color w:val="0000FF"/>
                <w:kern w:val="0"/>
                <w:szCs w:val="21"/>
                <w:highlight w:val="none"/>
                <w:lang w:val="en-US" w:eastAsia="zh-CN"/>
              </w:rPr>
              <w:t>比选</w:t>
            </w:r>
            <w:r>
              <w:rPr>
                <w:rFonts w:hint="eastAsia" w:asciiTheme="minorEastAsia" w:hAnsiTheme="minorEastAsia" w:eastAsiaTheme="minorEastAsia" w:cstheme="minorEastAsia"/>
                <w:b w:val="0"/>
                <w:bCs/>
                <w:color w:val="0000FF"/>
                <w:kern w:val="0"/>
                <w:szCs w:val="21"/>
                <w:highlight w:val="none"/>
              </w:rPr>
              <w:t>人核定的价格或拒绝按</w:t>
            </w:r>
            <w:r>
              <w:rPr>
                <w:rFonts w:hint="eastAsia" w:asciiTheme="minorEastAsia" w:hAnsiTheme="minorEastAsia" w:eastAsiaTheme="minorEastAsia" w:cstheme="minorEastAsia"/>
                <w:b w:val="0"/>
                <w:bCs/>
                <w:color w:val="0000FF"/>
                <w:kern w:val="0"/>
                <w:szCs w:val="21"/>
                <w:highlight w:val="none"/>
                <w:lang w:val="en-US" w:eastAsia="zh-CN"/>
              </w:rPr>
              <w:t>比选</w:t>
            </w:r>
            <w:r>
              <w:rPr>
                <w:rFonts w:hint="eastAsia" w:asciiTheme="minorEastAsia" w:hAnsiTheme="minorEastAsia" w:eastAsiaTheme="minorEastAsia" w:cstheme="minorEastAsia"/>
                <w:b w:val="0"/>
                <w:bCs/>
                <w:color w:val="0000FF"/>
                <w:kern w:val="0"/>
                <w:szCs w:val="21"/>
                <w:highlight w:val="none"/>
              </w:rPr>
              <w:t>人核定的价格采购的，则该种材料或设备改为第三方供货，</w:t>
            </w:r>
            <w:r>
              <w:rPr>
                <w:rFonts w:hint="eastAsia" w:asciiTheme="minorEastAsia" w:hAnsiTheme="minorEastAsia" w:eastAsiaTheme="minorEastAsia" w:cstheme="minorEastAsia"/>
                <w:b w:val="0"/>
                <w:bCs/>
                <w:color w:val="0000FF"/>
                <w:kern w:val="0"/>
                <w:szCs w:val="21"/>
                <w:highlight w:val="none"/>
                <w:lang w:val="en-US" w:eastAsia="zh-CN"/>
              </w:rPr>
              <w:t>比选</w:t>
            </w:r>
            <w:r>
              <w:rPr>
                <w:rFonts w:hint="eastAsia" w:asciiTheme="minorEastAsia" w:hAnsiTheme="minorEastAsia" w:eastAsiaTheme="minorEastAsia" w:cstheme="minorEastAsia"/>
                <w:b w:val="0"/>
                <w:bCs/>
                <w:color w:val="0000FF"/>
                <w:kern w:val="0"/>
                <w:szCs w:val="21"/>
                <w:highlight w:val="none"/>
              </w:rPr>
              <w:t>人收取</w:t>
            </w:r>
            <w:r>
              <w:rPr>
                <w:rFonts w:hint="eastAsia" w:asciiTheme="minorEastAsia" w:hAnsiTheme="minorEastAsia" w:eastAsiaTheme="minorEastAsia" w:cstheme="minorEastAsia"/>
                <w:b w:val="0"/>
                <w:bCs/>
                <w:color w:val="0000FF"/>
                <w:kern w:val="0"/>
                <w:szCs w:val="21"/>
                <w:highlight w:val="none"/>
                <w:lang w:val="en-US" w:eastAsia="zh-CN"/>
              </w:rPr>
              <w:t>竞选</w:t>
            </w:r>
            <w:r>
              <w:rPr>
                <w:rFonts w:hint="eastAsia" w:asciiTheme="minorEastAsia" w:hAnsiTheme="minorEastAsia" w:eastAsiaTheme="minorEastAsia" w:cstheme="minorEastAsia"/>
                <w:b w:val="0"/>
                <w:bCs/>
                <w:color w:val="0000FF"/>
                <w:kern w:val="0"/>
                <w:szCs w:val="21"/>
                <w:highlight w:val="none"/>
              </w:rPr>
              <w:t>人该类材料或设备费的20%作为违约金，并按</w:t>
            </w:r>
            <w:r>
              <w:rPr>
                <w:rFonts w:hint="eastAsia" w:asciiTheme="minorEastAsia" w:hAnsiTheme="minorEastAsia" w:eastAsiaTheme="minorEastAsia" w:cstheme="minorEastAsia"/>
                <w:b w:val="0"/>
                <w:bCs/>
                <w:color w:val="0000FF"/>
                <w:kern w:val="0"/>
                <w:szCs w:val="21"/>
                <w:highlight w:val="none"/>
                <w:lang w:val="en-US" w:eastAsia="zh-CN"/>
              </w:rPr>
              <w:t>比选</w:t>
            </w:r>
            <w:r>
              <w:rPr>
                <w:rFonts w:hint="eastAsia" w:asciiTheme="minorEastAsia" w:hAnsiTheme="minorEastAsia" w:eastAsiaTheme="minorEastAsia" w:cstheme="minorEastAsia"/>
                <w:b w:val="0"/>
                <w:bCs/>
                <w:color w:val="0000FF"/>
                <w:kern w:val="0"/>
                <w:szCs w:val="21"/>
                <w:highlight w:val="none"/>
              </w:rPr>
              <w:t>人实际支付的货款从</w:t>
            </w:r>
            <w:r>
              <w:rPr>
                <w:rFonts w:hint="eastAsia" w:asciiTheme="minorEastAsia" w:hAnsiTheme="minorEastAsia" w:eastAsiaTheme="minorEastAsia" w:cstheme="minorEastAsia"/>
                <w:b w:val="0"/>
                <w:bCs/>
                <w:color w:val="0000FF"/>
                <w:kern w:val="0"/>
                <w:szCs w:val="21"/>
                <w:highlight w:val="none"/>
                <w:lang w:val="en-US" w:eastAsia="zh-CN"/>
              </w:rPr>
              <w:t>竞选</w:t>
            </w:r>
            <w:r>
              <w:rPr>
                <w:rFonts w:hint="eastAsia" w:asciiTheme="minorEastAsia" w:hAnsiTheme="minorEastAsia" w:eastAsiaTheme="minorEastAsia" w:cstheme="minorEastAsia"/>
                <w:b w:val="0"/>
                <w:bCs/>
                <w:color w:val="0000FF"/>
                <w:kern w:val="0"/>
                <w:szCs w:val="21"/>
                <w:highlight w:val="none"/>
              </w:rPr>
              <w:t>人的</w:t>
            </w:r>
            <w:r>
              <w:rPr>
                <w:rFonts w:hint="eastAsia" w:asciiTheme="minorEastAsia" w:hAnsiTheme="minorEastAsia" w:eastAsiaTheme="minorEastAsia" w:cstheme="minorEastAsia"/>
                <w:b w:val="0"/>
                <w:bCs/>
                <w:color w:val="0000FF"/>
                <w:kern w:val="0"/>
                <w:szCs w:val="21"/>
                <w:highlight w:val="none"/>
                <w:lang w:val="en-US" w:eastAsia="zh-CN"/>
              </w:rPr>
              <w:t>工程款</w:t>
            </w:r>
            <w:r>
              <w:rPr>
                <w:rFonts w:hint="eastAsia" w:asciiTheme="minorEastAsia" w:hAnsiTheme="minorEastAsia" w:eastAsiaTheme="minorEastAsia" w:cstheme="minorEastAsia"/>
                <w:b w:val="0"/>
                <w:bCs/>
                <w:color w:val="0000FF"/>
                <w:kern w:val="0"/>
                <w:szCs w:val="21"/>
                <w:highlight w:val="none"/>
              </w:rPr>
              <w:t>中扣除，同时并不解除</w:t>
            </w:r>
            <w:r>
              <w:rPr>
                <w:rFonts w:hint="eastAsia" w:asciiTheme="minorEastAsia" w:hAnsiTheme="minorEastAsia" w:eastAsiaTheme="minorEastAsia" w:cstheme="minorEastAsia"/>
                <w:b w:val="0"/>
                <w:bCs/>
                <w:color w:val="0000FF"/>
                <w:kern w:val="0"/>
                <w:szCs w:val="21"/>
                <w:highlight w:val="none"/>
                <w:lang w:val="en-US" w:eastAsia="zh-CN"/>
              </w:rPr>
              <w:t>竞选</w:t>
            </w:r>
            <w:r>
              <w:rPr>
                <w:rFonts w:hint="eastAsia" w:asciiTheme="minorEastAsia" w:hAnsiTheme="minorEastAsia" w:eastAsiaTheme="minorEastAsia" w:cstheme="minorEastAsia"/>
                <w:b w:val="0"/>
                <w:bCs/>
                <w:color w:val="0000FF"/>
                <w:kern w:val="0"/>
                <w:szCs w:val="21"/>
                <w:highlight w:val="none"/>
              </w:rPr>
              <w:t>人对工程质量保修责任。需认质核价的材料和设备，</w:t>
            </w:r>
            <w:r>
              <w:rPr>
                <w:rFonts w:hint="eastAsia" w:asciiTheme="minorEastAsia" w:hAnsiTheme="minorEastAsia" w:eastAsiaTheme="minorEastAsia" w:cstheme="minorEastAsia"/>
                <w:b w:val="0"/>
                <w:bCs/>
                <w:color w:val="0000FF"/>
                <w:kern w:val="0"/>
                <w:szCs w:val="21"/>
                <w:highlight w:val="none"/>
                <w:lang w:val="en-US" w:eastAsia="zh-CN"/>
              </w:rPr>
              <w:t>竞选</w:t>
            </w:r>
            <w:r>
              <w:rPr>
                <w:rFonts w:hint="eastAsia" w:asciiTheme="minorEastAsia" w:hAnsiTheme="minorEastAsia" w:eastAsiaTheme="minorEastAsia" w:cstheme="minorEastAsia"/>
                <w:b w:val="0"/>
                <w:bCs/>
                <w:color w:val="0000FF"/>
                <w:kern w:val="0"/>
                <w:szCs w:val="21"/>
                <w:highlight w:val="none"/>
              </w:rPr>
              <w:t>人须在使用前书面报</w:t>
            </w:r>
            <w:r>
              <w:rPr>
                <w:rFonts w:hint="eastAsia" w:asciiTheme="minorEastAsia" w:hAnsiTheme="minorEastAsia" w:eastAsiaTheme="minorEastAsia" w:cstheme="minorEastAsia"/>
                <w:b w:val="0"/>
                <w:bCs/>
                <w:color w:val="0000FF"/>
                <w:kern w:val="0"/>
                <w:szCs w:val="21"/>
                <w:highlight w:val="none"/>
                <w:lang w:val="en-US" w:eastAsia="zh-CN"/>
              </w:rPr>
              <w:t>比选</w:t>
            </w:r>
            <w:r>
              <w:rPr>
                <w:rFonts w:hint="eastAsia" w:asciiTheme="minorEastAsia" w:hAnsiTheme="minorEastAsia" w:eastAsiaTheme="minorEastAsia" w:cstheme="minorEastAsia"/>
                <w:b w:val="0"/>
                <w:bCs/>
                <w:color w:val="0000FF"/>
                <w:kern w:val="0"/>
                <w:szCs w:val="21"/>
                <w:highlight w:val="none"/>
              </w:rPr>
              <w:t>人审核（至少提前一个月）。</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lang w:val="en-US" w:eastAsia="zh-CN"/>
              </w:rPr>
              <w:t>4</w:t>
            </w:r>
            <w:r>
              <w:rPr>
                <w:rFonts w:hint="eastAsia" w:asciiTheme="minorEastAsia" w:hAnsiTheme="minorEastAsia" w:eastAsiaTheme="minorEastAsia" w:cstheme="minorEastAsia"/>
                <w:b w:val="0"/>
                <w:bCs/>
                <w:color w:val="0000FF"/>
                <w:kern w:val="0"/>
                <w:szCs w:val="21"/>
                <w:highlight w:val="none"/>
              </w:rPr>
              <w:t>）材料调差调整范围和计算方法：</w:t>
            </w:r>
            <w:r>
              <w:rPr>
                <w:rFonts w:hint="eastAsia" w:asciiTheme="minorEastAsia" w:hAnsiTheme="minorEastAsia" w:eastAsiaTheme="minorEastAsia" w:cstheme="minorEastAsia"/>
                <w:b w:val="0"/>
                <w:bCs/>
                <w:color w:val="0000FF"/>
                <w:kern w:val="0"/>
                <w:szCs w:val="21"/>
                <w:highlight w:val="none"/>
                <w:lang w:val="en-US" w:eastAsia="zh-CN"/>
              </w:rPr>
              <w:t>不采用</w:t>
            </w:r>
            <w:r>
              <w:rPr>
                <w:rFonts w:hint="eastAsia" w:asciiTheme="minorEastAsia" w:hAnsiTheme="minorEastAsia" w:eastAsiaTheme="minorEastAsia" w:cstheme="minorEastAsia"/>
                <w:b w:val="0"/>
                <w:bCs/>
                <w:color w:val="0000FF"/>
                <w:kern w:val="0"/>
                <w:szCs w:val="21"/>
                <w:highlight w:val="none"/>
              </w:rPr>
              <w:t>。</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lang w:val="en-US" w:eastAsia="zh-CN"/>
              </w:rPr>
              <w:t>5</w:t>
            </w:r>
            <w:r>
              <w:rPr>
                <w:rFonts w:hint="eastAsia" w:asciiTheme="minorEastAsia" w:hAnsiTheme="minorEastAsia" w:eastAsiaTheme="minorEastAsia" w:cstheme="minorEastAsia"/>
                <w:b w:val="0"/>
                <w:bCs/>
                <w:color w:val="0000FF"/>
                <w:kern w:val="0"/>
                <w:szCs w:val="21"/>
                <w:highlight w:val="none"/>
              </w:rPr>
              <w:t>）措施费：</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rPr>
              <w:t>组织措施费：按《重庆市建设工程费用定额》（CQFYDE-2018）等相关文件规定执行。</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lang w:eastAsia="zh-CN"/>
              </w:rPr>
            </w:pPr>
            <w:r>
              <w:rPr>
                <w:rFonts w:hint="eastAsia" w:asciiTheme="minorEastAsia" w:hAnsiTheme="minorEastAsia" w:eastAsiaTheme="minorEastAsia" w:cstheme="minorEastAsia"/>
                <w:b w:val="0"/>
                <w:bCs/>
                <w:color w:val="0000FF"/>
                <w:kern w:val="0"/>
                <w:szCs w:val="21"/>
                <w:highlight w:val="none"/>
              </w:rPr>
              <w:t>技术措施费：根据相关工程现行国家计量规范、《重庆市建设工程工程量清单计价规则》、《重庆市建设工程工程量计算规则》及经</w:t>
            </w:r>
            <w:r>
              <w:rPr>
                <w:rFonts w:hint="eastAsia" w:asciiTheme="minorEastAsia" w:hAnsiTheme="minorEastAsia" w:eastAsiaTheme="minorEastAsia" w:cstheme="minorEastAsia"/>
                <w:b w:val="0"/>
                <w:bCs/>
                <w:color w:val="0000FF"/>
                <w:kern w:val="0"/>
                <w:szCs w:val="21"/>
                <w:highlight w:val="none"/>
                <w:lang w:val="en-US" w:eastAsia="zh-CN"/>
              </w:rPr>
              <w:t>比选</w:t>
            </w:r>
            <w:r>
              <w:rPr>
                <w:rFonts w:hint="eastAsia" w:asciiTheme="minorEastAsia" w:hAnsiTheme="minorEastAsia" w:eastAsiaTheme="minorEastAsia" w:cstheme="minorEastAsia"/>
                <w:b w:val="0"/>
                <w:bCs/>
                <w:color w:val="0000FF"/>
                <w:kern w:val="0"/>
                <w:szCs w:val="21"/>
                <w:highlight w:val="none"/>
              </w:rPr>
              <w:t>人、监理人审定的施工组织设计或施工方案执行</w:t>
            </w:r>
            <w:r>
              <w:rPr>
                <w:rFonts w:hint="eastAsia" w:asciiTheme="minorEastAsia" w:hAnsiTheme="minorEastAsia" w:eastAsiaTheme="minorEastAsia" w:cstheme="minorEastAsia"/>
                <w:b w:val="0"/>
                <w:bCs/>
                <w:color w:val="0000FF"/>
                <w:kern w:val="0"/>
                <w:szCs w:val="21"/>
                <w:highlight w:val="none"/>
                <w:lang w:eastAsia="zh-CN"/>
              </w:rPr>
              <w:t>。</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lang w:val="en-US" w:eastAsia="zh-CN"/>
              </w:rPr>
              <w:t>6</w:t>
            </w:r>
            <w:r>
              <w:rPr>
                <w:rFonts w:hint="eastAsia" w:asciiTheme="minorEastAsia" w:hAnsiTheme="minorEastAsia" w:eastAsiaTheme="minorEastAsia" w:cstheme="minorEastAsia"/>
                <w:b w:val="0"/>
                <w:bCs/>
                <w:color w:val="0000FF"/>
                <w:kern w:val="0"/>
                <w:szCs w:val="21"/>
                <w:highlight w:val="none"/>
              </w:rPr>
              <w:t>）安全文明施工费：按照《重庆市建设工程安全文明施工费计取及使用管理规定》（渝建</w:t>
            </w:r>
            <w:r>
              <w:rPr>
                <w:rFonts w:hint="eastAsia" w:asciiTheme="minorEastAsia" w:hAnsiTheme="minorEastAsia" w:eastAsiaTheme="minorEastAsia" w:cstheme="minorEastAsia"/>
                <w:b w:val="0"/>
                <w:bCs/>
                <w:color w:val="0000FF"/>
                <w:kern w:val="0"/>
                <w:szCs w:val="21"/>
                <w:highlight w:val="none"/>
                <w:lang w:val="en-US" w:eastAsia="zh-CN"/>
              </w:rPr>
              <w:t>管</w:t>
            </w:r>
            <w:r>
              <w:rPr>
                <w:rFonts w:hint="eastAsia" w:asciiTheme="minorEastAsia" w:hAnsiTheme="minorEastAsia" w:eastAsiaTheme="minorEastAsia" w:cstheme="minorEastAsia"/>
                <w:b w:val="0"/>
                <w:bCs/>
                <w:color w:val="0000FF"/>
                <w:kern w:val="0"/>
                <w:szCs w:val="21"/>
                <w:highlight w:val="none"/>
              </w:rPr>
              <w:t>[20</w:t>
            </w:r>
            <w:r>
              <w:rPr>
                <w:rFonts w:hint="eastAsia" w:asciiTheme="minorEastAsia" w:hAnsiTheme="minorEastAsia" w:eastAsiaTheme="minorEastAsia" w:cstheme="minorEastAsia"/>
                <w:b w:val="0"/>
                <w:bCs/>
                <w:color w:val="0000FF"/>
                <w:kern w:val="0"/>
                <w:szCs w:val="21"/>
                <w:highlight w:val="none"/>
                <w:lang w:val="en-US" w:eastAsia="zh-CN"/>
              </w:rPr>
              <w:t>24</w:t>
            </w:r>
            <w:r>
              <w:rPr>
                <w:rFonts w:hint="eastAsia" w:asciiTheme="minorEastAsia" w:hAnsiTheme="minorEastAsia" w:eastAsiaTheme="minorEastAsia" w:cstheme="minorEastAsia"/>
                <w:b w:val="0"/>
                <w:bCs/>
                <w:color w:val="0000FF"/>
                <w:kern w:val="0"/>
                <w:szCs w:val="21"/>
                <w:highlight w:val="none"/>
              </w:rPr>
              <w:t>]</w:t>
            </w:r>
            <w:r>
              <w:rPr>
                <w:rFonts w:hint="eastAsia" w:asciiTheme="minorEastAsia" w:hAnsiTheme="minorEastAsia" w:eastAsiaTheme="minorEastAsia" w:cstheme="minorEastAsia"/>
                <w:b w:val="0"/>
                <w:bCs/>
                <w:color w:val="0000FF"/>
                <w:kern w:val="0"/>
                <w:szCs w:val="21"/>
                <w:highlight w:val="none"/>
                <w:lang w:val="en-US" w:eastAsia="zh-CN"/>
              </w:rPr>
              <w:t>38</w:t>
            </w:r>
            <w:r>
              <w:rPr>
                <w:rFonts w:hint="eastAsia" w:asciiTheme="minorEastAsia" w:hAnsiTheme="minorEastAsia" w:eastAsiaTheme="minorEastAsia" w:cstheme="minorEastAsia"/>
                <w:b w:val="0"/>
                <w:bCs/>
                <w:color w:val="0000FF"/>
                <w:kern w:val="0"/>
                <w:szCs w:val="21"/>
                <w:highlight w:val="none"/>
              </w:rPr>
              <w:t>号）规定的合格标准（若有创先创优成功的单项工程，结算时按渝建</w:t>
            </w:r>
            <w:r>
              <w:rPr>
                <w:rFonts w:hint="eastAsia" w:asciiTheme="minorEastAsia" w:hAnsiTheme="minorEastAsia" w:eastAsiaTheme="minorEastAsia" w:cstheme="minorEastAsia"/>
                <w:b w:val="0"/>
                <w:bCs/>
                <w:color w:val="0000FF"/>
                <w:kern w:val="0"/>
                <w:szCs w:val="21"/>
                <w:highlight w:val="none"/>
                <w:lang w:val="en-US" w:eastAsia="zh-CN"/>
              </w:rPr>
              <w:t>管</w:t>
            </w:r>
            <w:r>
              <w:rPr>
                <w:rFonts w:hint="eastAsia" w:asciiTheme="minorEastAsia" w:hAnsiTheme="minorEastAsia" w:eastAsiaTheme="minorEastAsia" w:cstheme="minorEastAsia"/>
                <w:b w:val="0"/>
                <w:bCs/>
                <w:color w:val="0000FF"/>
                <w:kern w:val="0"/>
                <w:szCs w:val="21"/>
                <w:highlight w:val="none"/>
              </w:rPr>
              <w:t>[20</w:t>
            </w:r>
            <w:r>
              <w:rPr>
                <w:rFonts w:hint="eastAsia" w:asciiTheme="minorEastAsia" w:hAnsiTheme="minorEastAsia" w:eastAsiaTheme="minorEastAsia" w:cstheme="minorEastAsia"/>
                <w:b w:val="0"/>
                <w:bCs/>
                <w:color w:val="0000FF"/>
                <w:kern w:val="0"/>
                <w:szCs w:val="21"/>
                <w:highlight w:val="none"/>
                <w:lang w:val="en-US" w:eastAsia="zh-CN"/>
              </w:rPr>
              <w:t>24</w:t>
            </w:r>
            <w:r>
              <w:rPr>
                <w:rFonts w:hint="eastAsia" w:asciiTheme="minorEastAsia" w:hAnsiTheme="minorEastAsia" w:eastAsiaTheme="minorEastAsia" w:cstheme="minorEastAsia"/>
                <w:b w:val="0"/>
                <w:bCs/>
                <w:color w:val="0000FF"/>
                <w:kern w:val="0"/>
                <w:szCs w:val="21"/>
                <w:highlight w:val="none"/>
              </w:rPr>
              <w:t>]</w:t>
            </w:r>
            <w:r>
              <w:rPr>
                <w:rFonts w:hint="eastAsia" w:asciiTheme="minorEastAsia" w:hAnsiTheme="minorEastAsia" w:eastAsiaTheme="minorEastAsia" w:cstheme="minorEastAsia"/>
                <w:b w:val="0"/>
                <w:bCs/>
                <w:color w:val="0000FF"/>
                <w:kern w:val="0"/>
                <w:szCs w:val="21"/>
                <w:highlight w:val="none"/>
                <w:lang w:val="en-US" w:eastAsia="zh-CN"/>
              </w:rPr>
              <w:t>38</w:t>
            </w:r>
            <w:r>
              <w:rPr>
                <w:rFonts w:hint="eastAsia" w:asciiTheme="minorEastAsia" w:hAnsiTheme="minorEastAsia" w:eastAsiaTheme="minorEastAsia" w:cstheme="minorEastAsia"/>
                <w:b w:val="0"/>
                <w:bCs/>
                <w:color w:val="0000FF"/>
                <w:kern w:val="0"/>
                <w:szCs w:val="21"/>
                <w:highlight w:val="none"/>
              </w:rPr>
              <w:t>号标准计入安全文明施工费）执行。施工期间，若相关行政主管部门颁布了新的重庆市建设安全文明施工费计取及使用管理规定的，按新颁布的文件规定执行。</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lang w:val="en-US" w:eastAsia="zh-CN"/>
              </w:rPr>
              <w:t>7</w:t>
            </w:r>
            <w:r>
              <w:rPr>
                <w:rFonts w:hint="eastAsia" w:asciiTheme="minorEastAsia" w:hAnsiTheme="minorEastAsia" w:eastAsiaTheme="minorEastAsia" w:cstheme="minorEastAsia"/>
                <w:b w:val="0"/>
                <w:bCs/>
                <w:color w:val="0000FF"/>
                <w:kern w:val="0"/>
                <w:szCs w:val="21"/>
                <w:highlight w:val="none"/>
              </w:rPr>
              <w:t>）规费：按《重庆市建设工程费用定额》（CQFYDE-2018）费用标准执行。</w:t>
            </w:r>
          </w:p>
          <w:p>
            <w:pPr>
              <w:spacing w:line="360" w:lineRule="auto"/>
              <w:ind w:firstLine="420" w:firstLineChars="200"/>
              <w:rPr>
                <w:rFonts w:hint="eastAsia" w:asciiTheme="minorEastAsia" w:hAnsiTheme="minorEastAsia" w:eastAsiaTheme="minorEastAsia" w:cstheme="minorEastAsia"/>
                <w:b w:val="0"/>
                <w:bCs/>
                <w:color w:val="0000FF"/>
                <w:kern w:val="0"/>
                <w:szCs w:val="21"/>
                <w:highlight w:val="none"/>
              </w:rPr>
            </w:pPr>
            <w:r>
              <w:rPr>
                <w:rFonts w:hint="eastAsia" w:asciiTheme="minorEastAsia" w:hAnsiTheme="minorEastAsia" w:eastAsiaTheme="minorEastAsia" w:cstheme="minorEastAsia"/>
                <w:b w:val="0"/>
                <w:bCs/>
                <w:color w:val="0000FF"/>
                <w:kern w:val="0"/>
                <w:szCs w:val="21"/>
                <w:highlight w:val="none"/>
                <w:lang w:val="en-US" w:eastAsia="zh-CN"/>
              </w:rPr>
              <w:t>8</w:t>
            </w:r>
            <w:r>
              <w:rPr>
                <w:rFonts w:hint="eastAsia" w:asciiTheme="minorEastAsia" w:hAnsiTheme="minorEastAsia" w:eastAsiaTheme="minorEastAsia" w:cstheme="minorEastAsia"/>
                <w:b w:val="0"/>
                <w:bCs/>
                <w:color w:val="0000FF"/>
                <w:kern w:val="0"/>
                <w:szCs w:val="21"/>
                <w:highlight w:val="none"/>
              </w:rPr>
              <w:t>）税金：包含增值税、城市维护建设税、教育费附加、地方教育附加以及环境保护税。按《重庆市建设工程费用定额》（CQFYDE-2018）、《重庆市城乡建设委员会关于建筑业营业税改征增值税调整建设工程计价依据的通知》（渝建发（2016）35号）、《重庆城乡建设委员会关于适用增值税新税率调整建设工程计价依据的通知》（渝建【2018】195号）、渝建发〔2019〕143号文件及配套文件的规定计算。附加税按工程所在市区适用税率计算。</w:t>
            </w:r>
          </w:p>
          <w:p>
            <w:pPr>
              <w:spacing w:line="360" w:lineRule="auto"/>
              <w:ind w:firstLine="422" w:firstLineChars="200"/>
              <w:rPr>
                <w:rFonts w:asciiTheme="minorEastAsia" w:hAnsiTheme="minorEastAsia" w:eastAsiaTheme="minorEastAsia" w:cstheme="minorEastAsia"/>
                <w:b/>
                <w:color w:val="0000FF"/>
                <w:kern w:val="0"/>
                <w:szCs w:val="21"/>
                <w:highlight w:val="none"/>
              </w:rPr>
            </w:pPr>
            <w:r>
              <w:rPr>
                <w:rFonts w:hint="eastAsia" w:asciiTheme="minorEastAsia" w:hAnsiTheme="minorEastAsia" w:eastAsiaTheme="minorEastAsia" w:cstheme="minorEastAsia"/>
                <w:b/>
                <w:color w:val="0000FF"/>
                <w:kern w:val="0"/>
                <w:szCs w:val="21"/>
                <w:highlight w:val="none"/>
              </w:rPr>
              <w:t>审计费：</w:t>
            </w:r>
          </w:p>
          <w:p>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color w:val="0000FF"/>
                <w:kern w:val="0"/>
                <w:szCs w:val="21"/>
                <w:highlight w:val="none"/>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2</w:t>
            </w:r>
          </w:p>
        </w:tc>
        <w:tc>
          <w:tcPr>
            <w:tcW w:w="1644"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工程款支付</w:t>
            </w:r>
          </w:p>
        </w:tc>
        <w:tc>
          <w:tcPr>
            <w:tcW w:w="6490" w:type="dxa"/>
            <w:vAlign w:val="top"/>
          </w:tcPr>
          <w:p>
            <w:pPr>
              <w:spacing w:line="360" w:lineRule="auto"/>
              <w:ind w:firstLine="420" w:firstLineChars="200"/>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rPr>
              <w:t>原则上每3个月结算一次。</w:t>
            </w:r>
            <w:r>
              <w:rPr>
                <w:rFonts w:hint="eastAsia" w:asciiTheme="minorEastAsia" w:hAnsiTheme="minorEastAsia" w:eastAsiaTheme="minorEastAsia" w:cstheme="minorEastAsia"/>
                <w:color w:val="0000FF"/>
                <w:sz w:val="21"/>
                <w:szCs w:val="21"/>
                <w:lang w:val="en-US" w:eastAsia="zh-CN"/>
              </w:rPr>
              <w:t>竞选人</w:t>
            </w:r>
            <w:r>
              <w:rPr>
                <w:rFonts w:hint="eastAsia" w:asciiTheme="minorEastAsia" w:hAnsiTheme="minorEastAsia" w:eastAsiaTheme="minorEastAsia" w:cstheme="minorEastAsia"/>
                <w:color w:val="0000FF"/>
                <w:sz w:val="21"/>
                <w:szCs w:val="21"/>
              </w:rPr>
              <w:t>完成维修、安装、调试等工作并通过</w:t>
            </w:r>
            <w:r>
              <w:rPr>
                <w:rFonts w:hint="eastAsia" w:asciiTheme="minorEastAsia" w:hAnsiTheme="minorEastAsia" w:eastAsiaTheme="minorEastAsia" w:cstheme="minorEastAsia"/>
                <w:color w:val="0000FF"/>
                <w:sz w:val="21"/>
                <w:szCs w:val="21"/>
                <w:lang w:val="en-US" w:eastAsia="zh-CN"/>
              </w:rPr>
              <w:t>比选人</w:t>
            </w:r>
            <w:r>
              <w:rPr>
                <w:rFonts w:hint="eastAsia" w:asciiTheme="minorEastAsia" w:hAnsiTheme="minorEastAsia" w:eastAsiaTheme="minorEastAsia" w:cstheme="minorEastAsia"/>
                <w:color w:val="0000FF"/>
                <w:sz w:val="21"/>
                <w:szCs w:val="21"/>
              </w:rPr>
              <w:t>验收合格后，按每3个月结算一次的原则提交结算申请，</w:t>
            </w:r>
            <w:r>
              <w:rPr>
                <w:rFonts w:hint="eastAsia" w:asciiTheme="minorEastAsia" w:hAnsiTheme="minorEastAsia" w:eastAsiaTheme="minorEastAsia" w:cstheme="minorEastAsia"/>
                <w:color w:val="0000FF"/>
                <w:sz w:val="21"/>
                <w:szCs w:val="21"/>
                <w:lang w:val="en-US" w:eastAsia="zh-CN"/>
              </w:rPr>
              <w:t>比选人</w:t>
            </w:r>
            <w:r>
              <w:rPr>
                <w:rFonts w:hint="eastAsia" w:asciiTheme="minorEastAsia" w:hAnsiTheme="minorEastAsia" w:eastAsiaTheme="minorEastAsia" w:cstheme="minorEastAsia"/>
                <w:color w:val="0000FF"/>
                <w:sz w:val="21"/>
                <w:szCs w:val="21"/>
              </w:rPr>
              <w:t>向</w:t>
            </w:r>
            <w:r>
              <w:rPr>
                <w:rFonts w:hint="eastAsia" w:asciiTheme="minorEastAsia" w:hAnsiTheme="minorEastAsia" w:eastAsiaTheme="minorEastAsia" w:cstheme="minorEastAsia"/>
                <w:color w:val="0000FF"/>
                <w:sz w:val="21"/>
                <w:szCs w:val="21"/>
                <w:lang w:val="en-US" w:eastAsia="zh-CN"/>
              </w:rPr>
              <w:t>竞选人</w:t>
            </w:r>
            <w:r>
              <w:rPr>
                <w:rFonts w:hint="eastAsia" w:asciiTheme="minorEastAsia" w:hAnsiTheme="minorEastAsia" w:eastAsiaTheme="minorEastAsia" w:cstheme="minorEastAsia"/>
                <w:color w:val="0000FF"/>
                <w:sz w:val="21"/>
                <w:szCs w:val="21"/>
              </w:rPr>
              <w:t>支付</w:t>
            </w:r>
            <w:r>
              <w:rPr>
                <w:rFonts w:hint="eastAsia" w:asciiTheme="minorEastAsia" w:hAnsiTheme="minorEastAsia" w:eastAsiaTheme="minorEastAsia" w:cstheme="minorEastAsia"/>
                <w:color w:val="0000FF"/>
                <w:sz w:val="21"/>
                <w:szCs w:val="21"/>
                <w:lang w:val="en-US" w:eastAsia="zh-CN"/>
              </w:rPr>
              <w:t>当次审定</w:t>
            </w:r>
            <w:r>
              <w:rPr>
                <w:rFonts w:hint="eastAsia" w:asciiTheme="minorEastAsia" w:hAnsiTheme="minorEastAsia" w:eastAsiaTheme="minorEastAsia" w:cstheme="minorEastAsia"/>
                <w:color w:val="0000FF"/>
                <w:sz w:val="21"/>
                <w:szCs w:val="21"/>
              </w:rPr>
              <w:t>结算价的97%</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rPr>
              <w:t>保修期满后30日内，若无任何质量问题，</w:t>
            </w:r>
            <w:r>
              <w:rPr>
                <w:rFonts w:hint="eastAsia" w:asciiTheme="minorEastAsia" w:hAnsiTheme="minorEastAsia" w:eastAsiaTheme="minorEastAsia" w:cstheme="minorEastAsia"/>
                <w:color w:val="0000FF"/>
                <w:sz w:val="21"/>
                <w:szCs w:val="21"/>
                <w:lang w:val="en-US" w:eastAsia="zh-CN"/>
              </w:rPr>
              <w:t>比选人</w:t>
            </w:r>
            <w:r>
              <w:rPr>
                <w:rFonts w:hint="eastAsia" w:asciiTheme="minorEastAsia" w:hAnsiTheme="minorEastAsia" w:eastAsiaTheme="minorEastAsia" w:cstheme="minorEastAsia"/>
                <w:color w:val="0000FF"/>
                <w:sz w:val="21"/>
                <w:szCs w:val="21"/>
              </w:rPr>
              <w:t>向</w:t>
            </w:r>
            <w:r>
              <w:rPr>
                <w:rFonts w:hint="eastAsia" w:asciiTheme="minorEastAsia" w:hAnsiTheme="minorEastAsia" w:eastAsiaTheme="minorEastAsia" w:cstheme="minorEastAsia"/>
                <w:color w:val="0000FF"/>
                <w:sz w:val="21"/>
                <w:szCs w:val="21"/>
                <w:lang w:val="en-US" w:eastAsia="zh-CN"/>
              </w:rPr>
              <w:t>竞选</w:t>
            </w:r>
            <w:r>
              <w:rPr>
                <w:rFonts w:hint="eastAsia" w:asciiTheme="minorEastAsia" w:hAnsiTheme="minorEastAsia" w:eastAsiaTheme="minorEastAsia" w:cstheme="minorEastAsia"/>
                <w:color w:val="0000FF"/>
                <w:sz w:val="21"/>
                <w:szCs w:val="21"/>
              </w:rPr>
              <w:t>支付全部剩余尾款3%（不计利息）。</w:t>
            </w:r>
          </w:p>
          <w:p>
            <w:pPr>
              <w:pStyle w:val="18"/>
              <w:ind w:firstLine="422" w:firstLineChars="200"/>
              <w:rPr>
                <w:rFonts w:hint="eastAsia"/>
              </w:rPr>
            </w:pPr>
            <w:r>
              <w:rPr>
                <w:rFonts w:hint="eastAsia"/>
                <w:b/>
                <w:bCs/>
                <w:color w:val="0000FF"/>
                <w:lang w:val="en-US" w:eastAsia="zh-CN"/>
              </w:rPr>
              <w:t>累计支付金额不超过30万元。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644" w:type="dxa"/>
            <w:vAlign w:val="center"/>
          </w:tcPr>
          <w:p>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建筑领域实施农民工工资专用账户相关要求</w:t>
            </w:r>
          </w:p>
        </w:tc>
        <w:tc>
          <w:tcPr>
            <w:tcW w:w="6490" w:type="dxa"/>
            <w:vAlign w:val="top"/>
          </w:tcPr>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在实施过程中，中标人必须执行《重庆市城乡建设委员会、中国人民银行重庆营业管理部、中国银行业监督管理委员会重庆监管局关于建筑领域实施农民工工资专用账户管理及银行代发制度（试行）的通知》（渝建发〔2017〕13号）及《关于建筑领域农民工工资专户管理网络系统正式运行有关事宜的通知》，实行农民工工资专用账户管理及银行代发制度，填报相应的网络管理系统。</w:t>
            </w:r>
          </w:p>
          <w:p>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10.</w:t>
            </w:r>
            <w:r>
              <w:rPr>
                <w:rFonts w:hint="eastAsia" w:ascii="宋体" w:hAnsi="宋体"/>
                <w:kern w:val="0"/>
                <w:szCs w:val="21"/>
                <w:highlight w:val="none"/>
                <w:lang w:val="en-US" w:eastAsia="zh-CN"/>
              </w:rPr>
              <w:t>4</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hint="eastAsia" w:ascii="宋体" w:hAnsi="宋体"/>
                <w:kern w:val="0"/>
                <w:szCs w:val="21"/>
                <w:highlight w:val="none"/>
                <w:lang w:eastAsia="zh-CN"/>
              </w:rPr>
              <w:t>竞选人</w:t>
            </w:r>
            <w:r>
              <w:rPr>
                <w:rFonts w:ascii="宋体" w:hAnsi="宋体"/>
                <w:kern w:val="0"/>
                <w:szCs w:val="21"/>
                <w:highlight w:val="none"/>
              </w:rPr>
              <w:t>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w:t>
            </w:r>
            <w:r>
              <w:rPr>
                <w:rFonts w:hint="eastAsia" w:ascii="宋体" w:hAnsi="宋体"/>
                <w:kern w:val="0"/>
                <w:szCs w:val="21"/>
                <w:highlight w:val="none"/>
                <w:lang w:eastAsia="zh-CN"/>
              </w:rPr>
              <w:t>比选人</w:t>
            </w:r>
            <w:r>
              <w:rPr>
                <w:rFonts w:ascii="宋体" w:hAnsi="宋体"/>
                <w:kern w:val="0"/>
                <w:szCs w:val="21"/>
                <w:highlight w:val="none"/>
              </w:rPr>
              <w:t>提出异议；</w:t>
            </w:r>
            <w:r>
              <w:rPr>
                <w:rFonts w:hint="eastAsia" w:ascii="宋体" w:hAnsi="宋体"/>
                <w:kern w:val="0"/>
                <w:szCs w:val="21"/>
                <w:highlight w:val="none"/>
                <w:lang w:eastAsia="zh-CN"/>
              </w:rPr>
              <w:t>比选人</w:t>
            </w:r>
            <w:r>
              <w:rPr>
                <w:rFonts w:ascii="宋体" w:hAnsi="宋体"/>
                <w:kern w:val="0"/>
                <w:szCs w:val="21"/>
                <w:highlight w:val="none"/>
              </w:rPr>
              <w:t>应当在规定时间内答复；对</w:t>
            </w:r>
            <w:r>
              <w:rPr>
                <w:rFonts w:hint="eastAsia" w:ascii="宋体" w:hAnsi="宋体"/>
                <w:kern w:val="0"/>
                <w:szCs w:val="21"/>
                <w:highlight w:val="none"/>
                <w:lang w:eastAsia="zh-CN"/>
              </w:rPr>
              <w:t>比选人</w:t>
            </w:r>
            <w:r>
              <w:rPr>
                <w:rFonts w:ascii="宋体" w:hAnsi="宋体"/>
                <w:kern w:val="0"/>
                <w:szCs w:val="21"/>
                <w:highlight w:val="none"/>
              </w:rPr>
              <w:t>的答复不满意，可向行政监督部门投诉。</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关于印发&lt;重庆市招标投标活动投诉处理实施细则（修订）&gt;的通知</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渝公管发〔2021〕54号</w:t>
            </w:r>
            <w:r>
              <w:rPr>
                <w:rFonts w:hint="eastAsia" w:ascii="宋体" w:hAnsi="宋体" w:eastAsia="宋体" w:cs="宋体"/>
                <w:color w:val="auto"/>
                <w:kern w:val="0"/>
                <w:szCs w:val="21"/>
                <w:highlight w:val="none"/>
              </w:rPr>
              <w:t>）</w:t>
            </w:r>
            <w:r>
              <w:rPr>
                <w:rFonts w:ascii="宋体" w:hAnsi="宋体"/>
                <w:kern w:val="0"/>
                <w:szCs w:val="21"/>
                <w:highlight w:val="none"/>
              </w:rPr>
              <w:t>等法律法规文件处理投诉。</w:t>
            </w:r>
          </w:p>
          <w:p>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w:t>
            </w:r>
            <w:r>
              <w:rPr>
                <w:rFonts w:hint="eastAsia" w:ascii="宋体" w:hAnsi="宋体"/>
                <w:kern w:val="0"/>
                <w:szCs w:val="21"/>
                <w:highlight w:val="none"/>
                <w:lang w:eastAsia="zh-CN"/>
              </w:rPr>
              <w:t>竞选人</w:t>
            </w:r>
            <w:r>
              <w:rPr>
                <w:rFonts w:hint="eastAsia" w:ascii="宋体" w:hAnsi="宋体"/>
                <w:kern w:val="0"/>
                <w:szCs w:val="21"/>
                <w:highlight w:val="none"/>
              </w:rPr>
              <w:t>捏造事实、伪造材料，或者以非法手段获取证明材料进行质疑或者投诉的，将被列入黑名单管理；</w:t>
            </w:r>
            <w:r>
              <w:rPr>
                <w:rFonts w:ascii="宋体" w:hAnsi="宋体"/>
                <w:kern w:val="0"/>
                <w:szCs w:val="21"/>
                <w:highlight w:val="none"/>
              </w:rPr>
              <w:t>给他人造成损失的，依法承担赔偿责任。</w:t>
            </w:r>
          </w:p>
          <w:p>
            <w:pPr>
              <w:widowControl/>
              <w:spacing w:line="400" w:lineRule="exact"/>
              <w:ind w:firstLine="420" w:firstLineChars="200"/>
              <w:rPr>
                <w:rFonts w:hint="default" w:ascii="宋体" w:hAnsi="宋体"/>
                <w:color w:val="0000FF"/>
                <w:kern w:val="0"/>
                <w:szCs w:val="21"/>
                <w:highlight w:val="none"/>
                <w:lang w:val="en-US"/>
              </w:rPr>
            </w:pPr>
            <w:r>
              <w:rPr>
                <w:rFonts w:hint="eastAsia" w:ascii="宋体" w:hAnsi="宋体"/>
                <w:kern w:val="0"/>
                <w:szCs w:val="21"/>
                <w:highlight w:val="none"/>
              </w:rPr>
              <w:t>4.</w:t>
            </w:r>
            <w:r>
              <w:rPr>
                <w:rFonts w:hint="eastAsia" w:ascii="宋体" w:hAnsi="宋体"/>
                <w:color w:val="0000FF"/>
                <w:kern w:val="0"/>
                <w:szCs w:val="21"/>
                <w:highlight w:val="none"/>
              </w:rPr>
              <w:t>异议受理单位：</w:t>
            </w:r>
            <w:r>
              <w:rPr>
                <w:rFonts w:hint="eastAsia" w:ascii="宋体" w:hAnsi="宋体"/>
                <w:color w:val="0000FF"/>
                <w:kern w:val="0"/>
                <w:szCs w:val="21"/>
                <w:highlight w:val="none"/>
                <w:lang w:eastAsia="zh-CN"/>
              </w:rPr>
              <w:t>重庆经开区投资集团有限公司</w:t>
            </w:r>
          </w:p>
          <w:p>
            <w:pPr>
              <w:widowControl/>
              <w:spacing w:line="400" w:lineRule="exact"/>
              <w:ind w:firstLine="630" w:firstLineChars="300"/>
              <w:rPr>
                <w:rFonts w:hint="default" w:ascii="宋体" w:hAnsi="宋体" w:eastAsia="宋体"/>
                <w:kern w:val="0"/>
                <w:szCs w:val="21"/>
                <w:highlight w:val="none"/>
                <w:lang w:val="en-US" w:eastAsia="zh-CN"/>
              </w:rPr>
            </w:pPr>
            <w:r>
              <w:rPr>
                <w:rFonts w:hint="eastAsia" w:ascii="宋体" w:hAnsi="宋体"/>
                <w:color w:val="0000FF"/>
                <w:kern w:val="0"/>
                <w:szCs w:val="21"/>
                <w:highlight w:val="none"/>
              </w:rPr>
              <w:t>联系电话：</w:t>
            </w:r>
            <w:r>
              <w:rPr>
                <w:rFonts w:hint="eastAsia" w:ascii="宋体" w:hAnsi="宋体"/>
                <w:color w:val="0000FF"/>
                <w:kern w:val="0"/>
                <w:szCs w:val="21"/>
                <w:highlight w:val="none"/>
                <w:lang w:val="en-US" w:eastAsia="zh-CN"/>
              </w:rPr>
              <w:t>62637528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rPr>
              <w:t>10.</w:t>
            </w:r>
            <w:r>
              <w:rPr>
                <w:rFonts w:hint="eastAsia" w:ascii="宋体" w:hAnsi="宋体"/>
                <w:kern w:val="0"/>
                <w:szCs w:val="21"/>
                <w:highlight w:val="none"/>
                <w:lang w:val="en-US" w:eastAsia="zh-CN"/>
              </w:rPr>
              <w:t>5</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w:t>
            </w:r>
            <w:r>
              <w:rPr>
                <w:rFonts w:hint="eastAsia" w:ascii="宋体" w:hAnsi="宋体"/>
                <w:kern w:val="0"/>
                <w:szCs w:val="21"/>
                <w:highlight w:val="none"/>
                <w:lang w:val="en-US" w:eastAsia="zh-CN"/>
              </w:rPr>
              <w:t>比选</w:t>
            </w:r>
            <w:r>
              <w:rPr>
                <w:rFonts w:hint="eastAsia" w:ascii="宋体" w:hAnsi="宋体"/>
                <w:kern w:val="0"/>
                <w:szCs w:val="21"/>
                <w:highlight w:val="none"/>
              </w:rPr>
              <w:t>文件及投标争议的解释</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w:t>
            </w:r>
            <w:r>
              <w:rPr>
                <w:rFonts w:hint="eastAsia" w:ascii="宋体" w:hAnsi="宋体"/>
                <w:kern w:val="0"/>
                <w:szCs w:val="21"/>
                <w:highlight w:val="none"/>
                <w:lang w:val="en-US" w:eastAsia="zh-CN"/>
              </w:rPr>
              <w:t>比选</w:t>
            </w:r>
            <w:r>
              <w:rPr>
                <w:rFonts w:hint="eastAsia" w:ascii="宋体" w:hAnsi="宋体"/>
                <w:kern w:val="0"/>
                <w:szCs w:val="21"/>
                <w:highlight w:val="none"/>
              </w:rPr>
              <w:t>文件的评标标准和方法，以及资格审查和否决投标条款理解有争议的，应当作出不利于</w:t>
            </w:r>
            <w:r>
              <w:rPr>
                <w:rFonts w:hint="eastAsia" w:ascii="宋体" w:hAnsi="宋体"/>
                <w:kern w:val="0"/>
                <w:szCs w:val="21"/>
                <w:highlight w:val="none"/>
                <w:lang w:eastAsia="zh-CN"/>
              </w:rPr>
              <w:t>比选人</w:t>
            </w:r>
            <w:r>
              <w:rPr>
                <w:rFonts w:hint="eastAsia" w:ascii="宋体" w:hAnsi="宋体"/>
                <w:kern w:val="0"/>
                <w:szCs w:val="21"/>
                <w:highlight w:val="none"/>
              </w:rPr>
              <w:t>的解释，但违背国家利益、社会公共利益的除外。</w:t>
            </w:r>
          </w:p>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w:t>
            </w:r>
            <w:r>
              <w:rPr>
                <w:rFonts w:hint="eastAsia" w:ascii="宋体" w:hAnsi="宋体"/>
                <w:kern w:val="0"/>
                <w:szCs w:val="21"/>
                <w:highlight w:val="none"/>
                <w:lang w:eastAsia="zh-CN"/>
              </w:rPr>
              <w:t>竞选文件</w:t>
            </w:r>
            <w:r>
              <w:rPr>
                <w:rFonts w:hint="eastAsia" w:ascii="宋体" w:hAnsi="宋体"/>
                <w:kern w:val="0"/>
                <w:szCs w:val="21"/>
                <w:highlight w:val="none"/>
              </w:rPr>
              <w:t>理解有争议的，应当作出不利于提交该</w:t>
            </w:r>
            <w:r>
              <w:rPr>
                <w:rFonts w:hint="eastAsia" w:ascii="宋体" w:hAnsi="宋体"/>
                <w:kern w:val="0"/>
                <w:szCs w:val="21"/>
                <w:highlight w:val="none"/>
                <w:lang w:eastAsia="zh-CN"/>
              </w:rPr>
              <w:t>竞选文件</w:t>
            </w:r>
            <w:r>
              <w:rPr>
                <w:rFonts w:hint="eastAsia" w:ascii="宋体" w:hAnsi="宋体"/>
                <w:kern w:val="0"/>
                <w:szCs w:val="21"/>
                <w:highlight w:val="none"/>
              </w:rPr>
              <w:t>的</w:t>
            </w:r>
            <w:r>
              <w:rPr>
                <w:rFonts w:hint="eastAsia" w:ascii="宋体" w:hAnsi="宋体"/>
                <w:kern w:val="0"/>
                <w:szCs w:val="21"/>
                <w:highlight w:val="none"/>
                <w:lang w:eastAsia="zh-CN"/>
              </w:rPr>
              <w:t>竞选人</w:t>
            </w:r>
            <w:r>
              <w:rPr>
                <w:rFonts w:hint="eastAsia" w:ascii="宋体" w:hAnsi="宋体"/>
                <w:kern w:val="0"/>
                <w:szCs w:val="21"/>
                <w:highlight w:val="none"/>
              </w:rPr>
              <w:t>的解释。</w:t>
            </w:r>
          </w:p>
        </w:tc>
      </w:tr>
    </w:tbl>
    <w:p>
      <w:pPr>
        <w:pStyle w:val="4"/>
        <w:spacing w:before="0" w:after="0" w:line="200" w:lineRule="exact"/>
        <w:outlineLvl w:val="9"/>
        <w:rPr>
          <w:rFonts w:ascii="宋体" w:hAnsi="宋体"/>
          <w:b w:val="0"/>
          <w:snapToGrid w:val="0"/>
          <w:highlight w:val="none"/>
        </w:rPr>
      </w:pPr>
      <w:bookmarkStart w:id="110" w:name="_Toc224103317"/>
      <w:bookmarkStart w:id="111" w:name="_Toc200513126"/>
      <w:bookmarkStart w:id="112" w:name="_Toc277082552"/>
      <w:bookmarkStart w:id="113" w:name="_Toc287620685"/>
      <w:bookmarkStart w:id="114" w:name="_Toc430530435"/>
      <w:bookmarkStart w:id="115" w:name="_Toc287607746"/>
    </w:p>
    <w:bookmarkEnd w:id="110"/>
    <w:bookmarkEnd w:id="111"/>
    <w:bookmarkEnd w:id="112"/>
    <w:bookmarkEnd w:id="113"/>
    <w:bookmarkEnd w:id="114"/>
    <w:bookmarkEnd w:id="115"/>
    <w:p>
      <w:pPr>
        <w:pStyle w:val="5"/>
        <w:pageBreakBefore w:val="0"/>
        <w:kinsoku/>
        <w:wordWrap/>
        <w:overflowPunct/>
        <w:topLinePunct w:val="0"/>
        <w:bidi w:val="0"/>
        <w:spacing w:before="0" w:after="0" w:line="360" w:lineRule="auto"/>
        <w:textAlignment w:val="auto"/>
        <w:outlineLvl w:val="9"/>
        <w:rPr>
          <w:rFonts w:hint="eastAsia" w:ascii="宋体" w:hAnsi="宋体" w:eastAsia="宋体" w:cs="宋体"/>
          <w:color w:val="auto"/>
          <w:sz w:val="21"/>
          <w:szCs w:val="21"/>
          <w:highlight w:val="none"/>
        </w:rPr>
        <w:sectPr>
          <w:pgSz w:w="11906" w:h="16838"/>
          <w:pgMar w:top="1134" w:right="1418" w:bottom="1134" w:left="1418" w:header="851" w:footer="992" w:gutter="0"/>
          <w:cols w:space="720" w:num="1"/>
          <w:docGrid w:type="lines" w:linePitch="312" w:charSpace="0"/>
        </w:sectPr>
      </w:pPr>
      <w:bookmarkStart w:id="116" w:name="_Toc19008"/>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1.总则</w:t>
      </w:r>
      <w:bookmarkEnd w:id="116"/>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17" w:name="_Toc293756837"/>
      <w:bookmarkStart w:id="118" w:name="_Toc9752"/>
      <w:bookmarkStart w:id="119" w:name="_Toc293756840"/>
      <w:r>
        <w:rPr>
          <w:rFonts w:hint="eastAsia" w:ascii="宋体" w:hAnsi="宋体" w:eastAsia="宋体" w:cs="宋体"/>
          <w:color w:val="auto"/>
          <w:sz w:val="21"/>
          <w:szCs w:val="21"/>
          <w:highlight w:val="none"/>
        </w:rPr>
        <w:t>1.1 项目概况</w:t>
      </w:r>
      <w:bookmarkEnd w:id="117"/>
      <w:bookmarkEnd w:id="11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条件，现对本标段施工进行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本比选项目比选人、比选代理机构、项目名称、建设地点：见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本招标项目建设地点：见投标人须知前附表。</w:t>
      </w:r>
    </w:p>
    <w:p>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本招标项目建设规模：见投标人须知前附表。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0" w:name="_Toc293756838"/>
      <w:bookmarkStart w:id="121" w:name="_Toc5437"/>
      <w:r>
        <w:rPr>
          <w:rFonts w:hint="eastAsia" w:ascii="宋体" w:hAnsi="宋体" w:eastAsia="宋体" w:cs="宋体"/>
          <w:color w:val="auto"/>
          <w:sz w:val="21"/>
          <w:szCs w:val="21"/>
          <w:highlight w:val="none"/>
        </w:rPr>
        <w:t>1.2 资金来源和落实情况</w:t>
      </w:r>
      <w:bookmarkEnd w:id="120"/>
      <w:bookmarkEnd w:id="12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22" w:name="_Toc293756839"/>
      <w:r>
        <w:rPr>
          <w:rFonts w:hint="eastAsia" w:ascii="宋体" w:hAnsi="宋体" w:eastAsia="宋体" w:cs="宋体"/>
          <w:color w:val="auto"/>
          <w:sz w:val="21"/>
          <w:szCs w:val="21"/>
          <w:highlight w:val="none"/>
        </w:rPr>
        <w:t>1.2.1  本招标项目的资金来源：见投标人须知前附表。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3" w:name="_Toc19957"/>
      <w:r>
        <w:rPr>
          <w:rFonts w:hint="eastAsia" w:ascii="宋体" w:hAnsi="宋体" w:eastAsia="宋体" w:cs="宋体"/>
          <w:color w:val="auto"/>
          <w:sz w:val="21"/>
          <w:szCs w:val="21"/>
          <w:highlight w:val="none"/>
        </w:rPr>
        <w:t>1.3 比选范围、计划工期和质量要求</w:t>
      </w:r>
      <w:bookmarkEnd w:id="122"/>
      <w:bookmarkEnd w:id="12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计划工期：见投标人须知前附表。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4" w:name="_Toc9928"/>
      <w:r>
        <w:rPr>
          <w:rFonts w:hint="eastAsia" w:ascii="宋体" w:hAnsi="宋体" w:eastAsia="宋体" w:cs="宋体"/>
          <w:color w:val="auto"/>
          <w:sz w:val="21"/>
          <w:szCs w:val="21"/>
          <w:highlight w:val="none"/>
        </w:rPr>
        <w:t xml:space="preserve">1.4 </w:t>
      </w:r>
      <w:bookmarkEnd w:id="119"/>
      <w:r>
        <w:rPr>
          <w:rFonts w:hint="eastAsia" w:ascii="宋体" w:hAnsi="宋体" w:eastAsia="宋体" w:cs="宋体"/>
          <w:color w:val="auto"/>
          <w:sz w:val="21"/>
          <w:szCs w:val="21"/>
          <w:highlight w:val="none"/>
          <w:lang w:eastAsia="zh-CN"/>
        </w:rPr>
        <w:t>投标人资格要求</w:t>
      </w:r>
      <w:bookmarkEnd w:id="12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人应具备承担本标段施工的资质条件、能力: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（2）项目经理资格：见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（3）项目技术负责人要求：见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（6）其他要求：见投标人须知前附表。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5" w:name="_Toc293756841"/>
      <w:bookmarkStart w:id="126" w:name="_Toc4874"/>
      <w:r>
        <w:rPr>
          <w:rFonts w:hint="eastAsia" w:ascii="宋体" w:hAnsi="宋体" w:eastAsia="宋体" w:cs="宋体"/>
          <w:color w:val="auto"/>
          <w:sz w:val="21"/>
          <w:szCs w:val="21"/>
          <w:highlight w:val="none"/>
        </w:rPr>
        <w:t>1.5 费用承担</w:t>
      </w:r>
      <w:bookmarkEnd w:id="125"/>
      <w:bookmarkEnd w:id="12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7" w:name="_Toc11009"/>
      <w:bookmarkStart w:id="128" w:name="_Toc293756842"/>
      <w:r>
        <w:rPr>
          <w:rFonts w:hint="eastAsia" w:ascii="宋体" w:hAnsi="宋体" w:eastAsia="宋体" w:cs="宋体"/>
          <w:color w:val="auto"/>
          <w:sz w:val="21"/>
          <w:szCs w:val="21"/>
          <w:highlight w:val="none"/>
        </w:rPr>
        <w:t>1.6 保密</w:t>
      </w:r>
      <w:bookmarkEnd w:id="127"/>
      <w:bookmarkEnd w:id="12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9" w:name="_Toc293756843"/>
      <w:bookmarkStart w:id="130" w:name="_Toc18963"/>
      <w:r>
        <w:rPr>
          <w:rFonts w:hint="eastAsia" w:ascii="宋体" w:hAnsi="宋体" w:eastAsia="宋体" w:cs="宋体"/>
          <w:color w:val="auto"/>
          <w:sz w:val="21"/>
          <w:szCs w:val="21"/>
          <w:highlight w:val="none"/>
        </w:rPr>
        <w:t>1.7 语言文字</w:t>
      </w:r>
      <w:bookmarkEnd w:id="129"/>
      <w:bookmarkEnd w:id="130"/>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1" w:name="_Toc104"/>
      <w:bookmarkStart w:id="132" w:name="_Toc293756844"/>
      <w:r>
        <w:rPr>
          <w:rFonts w:hint="eastAsia" w:ascii="宋体" w:hAnsi="宋体" w:eastAsia="宋体" w:cs="宋体"/>
          <w:color w:val="auto"/>
          <w:sz w:val="21"/>
          <w:szCs w:val="21"/>
          <w:highlight w:val="none"/>
        </w:rPr>
        <w:t>1.8 计量单位</w:t>
      </w:r>
      <w:bookmarkEnd w:id="131"/>
      <w:bookmarkEnd w:id="13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3" w:name="_Toc293756845"/>
      <w:bookmarkStart w:id="134" w:name="_Toc2427"/>
      <w:r>
        <w:rPr>
          <w:rFonts w:hint="eastAsia" w:ascii="宋体" w:hAnsi="宋体" w:eastAsia="宋体" w:cs="宋体"/>
          <w:color w:val="auto"/>
          <w:sz w:val="21"/>
          <w:szCs w:val="21"/>
          <w:highlight w:val="none"/>
        </w:rPr>
        <w:t>1.9 踏勘现场</w:t>
      </w:r>
      <w:bookmarkEnd w:id="133"/>
      <w:bookmarkEnd w:id="13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人在踏勘现场中介绍的工程场地和相关的周边环境情况，供投标人在编制投标文件时参考，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5" w:name="_Toc293756846"/>
      <w:bookmarkStart w:id="136" w:name="_Toc30203"/>
      <w:r>
        <w:rPr>
          <w:rFonts w:hint="eastAsia" w:ascii="宋体" w:hAnsi="宋体" w:eastAsia="宋体" w:cs="宋体"/>
          <w:color w:val="auto"/>
          <w:sz w:val="21"/>
          <w:szCs w:val="21"/>
          <w:highlight w:val="none"/>
        </w:rPr>
        <w:t>1.10 比选预备会</w:t>
      </w:r>
      <w:bookmarkEnd w:id="135"/>
      <w:bookmarkEnd w:id="136"/>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7" w:name="_Toc293756847"/>
      <w:bookmarkStart w:id="138" w:name="_Toc13696"/>
      <w:r>
        <w:rPr>
          <w:rFonts w:hint="eastAsia" w:ascii="宋体" w:hAnsi="宋体" w:eastAsia="宋体" w:cs="宋体"/>
          <w:color w:val="auto"/>
          <w:sz w:val="21"/>
          <w:szCs w:val="21"/>
          <w:highlight w:val="none"/>
        </w:rPr>
        <w:t>1.11 分包</w:t>
      </w:r>
      <w:bookmarkEnd w:id="137"/>
      <w:bookmarkEnd w:id="13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投标人拟在中标后将中标项目的部分非主体、非关键性工作进行分包的，应符合投标人须知前附表规定的分包内容、分包金额和接受分包的第三人资质要求等限制性条件。</w:t>
      </w:r>
    </w:p>
    <w:p>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9" w:name="_Toc21334"/>
      <w:r>
        <w:rPr>
          <w:rFonts w:hint="eastAsia" w:ascii="宋体" w:hAnsi="宋体" w:eastAsia="宋体" w:cs="宋体"/>
          <w:color w:val="auto"/>
          <w:sz w:val="21"/>
          <w:szCs w:val="21"/>
          <w:highlight w:val="none"/>
        </w:rPr>
        <w:t>2.比选文件</w:t>
      </w:r>
      <w:bookmarkEnd w:id="139"/>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0" w:name="_Toc25177"/>
      <w:bookmarkStart w:id="141" w:name="_Toc293756848"/>
      <w:r>
        <w:rPr>
          <w:rFonts w:hint="eastAsia" w:ascii="宋体" w:hAnsi="宋体" w:eastAsia="宋体" w:cs="宋体"/>
          <w:color w:val="auto"/>
          <w:sz w:val="21"/>
          <w:szCs w:val="21"/>
          <w:highlight w:val="none"/>
        </w:rPr>
        <w:t>2.1比选文件的组成</w:t>
      </w:r>
      <w:bookmarkEnd w:id="140"/>
      <w:bookmarkEnd w:id="14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（5）工程量清单；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（7）技术标准和要求；</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2" w:name="_Toc17073"/>
      <w:bookmarkStart w:id="143" w:name="_Toc293756849"/>
      <w:r>
        <w:rPr>
          <w:rFonts w:hint="eastAsia" w:ascii="宋体" w:hAnsi="宋体" w:eastAsia="宋体" w:cs="宋体"/>
          <w:color w:val="auto"/>
          <w:sz w:val="21"/>
          <w:szCs w:val="21"/>
          <w:highlight w:val="none"/>
        </w:rPr>
        <w:t>2.2比选文件的澄清</w:t>
      </w:r>
      <w:bookmarkEnd w:id="142"/>
      <w:bookmarkEnd w:id="14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sz w:val="21"/>
          <w:szCs w:val="21"/>
          <w:highlight w:val="none"/>
          <w:lang w:val="en-US" w:eastAsia="zh-CN"/>
        </w:rPr>
        <w:t>以书面形式提交至比选人邮箱</w:t>
      </w:r>
      <w:r>
        <w:rPr>
          <w:rFonts w:hint="eastAsia" w:ascii="宋体" w:hAnsi="宋体" w:eastAsia="宋体" w:cs="宋体"/>
          <w:color w:val="auto"/>
          <w:sz w:val="21"/>
          <w:szCs w:val="21"/>
          <w:highlight w:val="none"/>
        </w:rPr>
        <w:t>提问，要求</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天前在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天，相应延长投标截止时间。</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日的，须相应延后投标截止时间。</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4" w:name="_Toc25781"/>
      <w:bookmarkStart w:id="145" w:name="_Toc293756850"/>
      <w:r>
        <w:rPr>
          <w:rFonts w:hint="eastAsia" w:ascii="宋体" w:hAnsi="宋体" w:eastAsia="宋体" w:cs="宋体"/>
          <w:color w:val="auto"/>
          <w:sz w:val="21"/>
          <w:szCs w:val="21"/>
          <w:highlight w:val="none"/>
        </w:rPr>
        <w:t>2.3比选文件的修改</w:t>
      </w:r>
      <w:bookmarkEnd w:id="144"/>
      <w:bookmarkEnd w:id="14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6" w:name="_Toc293756851"/>
      <w:bookmarkStart w:id="147" w:name="_Toc13298"/>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46"/>
      <w:bookmarkEnd w:id="147"/>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8" w:name="_Toc27406"/>
      <w:bookmarkStart w:id="149" w:name="_Toc293756852"/>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48"/>
      <w:bookmarkEnd w:id="14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（3）联合体协议书（如有）；</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（4）投标保证金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）项目管理机构；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）拟分包项目情况表（如有）；</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）资格审查资料；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0"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投标人应按第五章“工程量清单”的要求填写相应表格。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投标人在投标截止时间前修改投标函中的投标总报价，应同时修改第五章“工程量清单”中的相应报价。此修改须符合本章第 4.3 款的有关要求。</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51" w:name="_Toc3741"/>
      <w:r>
        <w:rPr>
          <w:rFonts w:hint="eastAsia" w:ascii="宋体" w:hAnsi="宋体" w:eastAsia="宋体" w:cs="宋体"/>
          <w:color w:val="auto"/>
          <w:sz w:val="21"/>
          <w:szCs w:val="21"/>
          <w:highlight w:val="none"/>
          <w:lang w:val="en-US" w:eastAsia="zh-CN"/>
        </w:rPr>
        <w:t>3.3  投标有效期</w:t>
      </w:r>
      <w:bookmarkEnd w:id="1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2" w:name="_Toc8270"/>
      <w:bookmarkStart w:id="153" w:name="_Toc293756853"/>
      <w:r>
        <w:rPr>
          <w:rFonts w:hint="eastAsia" w:ascii="宋体" w:hAnsi="宋体" w:eastAsia="宋体" w:cs="宋体"/>
          <w:color w:val="auto"/>
          <w:sz w:val="21"/>
          <w:szCs w:val="21"/>
          <w:highlight w:val="none"/>
        </w:rPr>
        <w:t>3.4 比选保证金</w:t>
      </w:r>
      <w:bookmarkEnd w:id="152"/>
      <w:bookmarkEnd w:id="15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4" w:name="_Toc293756854"/>
      <w:bookmarkStart w:id="155" w:name="_Toc250"/>
      <w:r>
        <w:rPr>
          <w:rFonts w:hint="eastAsia" w:ascii="宋体" w:hAnsi="宋体" w:eastAsia="宋体" w:cs="宋体"/>
          <w:color w:val="auto"/>
          <w:sz w:val="21"/>
          <w:szCs w:val="21"/>
          <w:highlight w:val="none"/>
        </w:rPr>
        <w:t>3.5 资格审查资料</w:t>
      </w:r>
      <w:bookmarkEnd w:id="154"/>
      <w:bookmarkEnd w:id="15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56" w:name="_Toc293756855"/>
      <w:r>
        <w:rPr>
          <w:rFonts w:hint="eastAsia" w:ascii="宋体" w:hAnsi="宋体" w:eastAsia="宋体" w:cs="宋体"/>
          <w:color w:val="auto"/>
          <w:sz w:val="21"/>
          <w:szCs w:val="21"/>
          <w:highlight w:val="none"/>
        </w:rPr>
        <w:t>3.7.1  投标文件应按第八章“投标文件格式”进行编写，如有必要，可以增加附页，作为投标文件的组成部分。其中，投标函附录在满足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7" w:name="_Toc10924"/>
      <w:r>
        <w:rPr>
          <w:rFonts w:hint="eastAsia" w:ascii="宋体" w:hAnsi="宋体" w:eastAsia="宋体" w:cs="宋体"/>
          <w:color w:val="auto"/>
          <w:sz w:val="21"/>
          <w:szCs w:val="21"/>
          <w:highlight w:val="none"/>
        </w:rPr>
        <w:t xml:space="preserve">4. </w:t>
      </w:r>
      <w:bookmarkEnd w:id="156"/>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157"/>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58" w:name="_Toc293756856"/>
      <w:bookmarkStart w:id="159" w:name="_Toc25512"/>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158"/>
      <w:bookmarkEnd w:id="15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0" w:name="_Toc2798"/>
      <w:bookmarkStart w:id="161" w:name="_Toc293756857"/>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160"/>
      <w:bookmarkEnd w:id="16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2" w:name="_Toc288"/>
      <w:bookmarkStart w:id="163" w:name="_Toc29375685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62"/>
      <w:bookmarkEnd w:id="16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4" w:name="_Toc293756859"/>
      <w:bookmarkStart w:id="165" w:name="_Toc29290"/>
      <w:r>
        <w:rPr>
          <w:rFonts w:hint="eastAsia" w:ascii="宋体" w:hAnsi="宋体" w:eastAsia="宋体" w:cs="宋体"/>
          <w:color w:val="auto"/>
          <w:sz w:val="21"/>
          <w:szCs w:val="21"/>
          <w:highlight w:val="none"/>
        </w:rPr>
        <w:t xml:space="preserve">5. </w:t>
      </w:r>
      <w:bookmarkEnd w:id="164"/>
      <w:r>
        <w:rPr>
          <w:rFonts w:hint="eastAsia" w:ascii="宋体" w:hAnsi="宋体" w:eastAsia="宋体" w:cs="宋体"/>
          <w:color w:val="auto"/>
          <w:sz w:val="21"/>
          <w:szCs w:val="21"/>
          <w:highlight w:val="none"/>
        </w:rPr>
        <w:t>比选</w:t>
      </w:r>
      <w:bookmarkEnd w:id="165"/>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6" w:name="_Toc6939"/>
      <w:bookmarkStart w:id="167" w:name="_Toc293756860"/>
      <w:r>
        <w:rPr>
          <w:rFonts w:hint="eastAsia" w:ascii="宋体" w:hAnsi="宋体" w:eastAsia="宋体" w:cs="宋体"/>
          <w:color w:val="auto"/>
          <w:sz w:val="21"/>
          <w:szCs w:val="21"/>
          <w:highlight w:val="none"/>
        </w:rPr>
        <w:t>5.1 比选时间和地点</w:t>
      </w:r>
      <w:bookmarkEnd w:id="166"/>
      <w:bookmarkEnd w:id="16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8" w:name="_Toc716"/>
      <w:bookmarkStart w:id="169" w:name="_Toc293756861"/>
      <w:r>
        <w:rPr>
          <w:rFonts w:hint="eastAsia" w:ascii="宋体" w:hAnsi="宋体" w:eastAsia="宋体" w:cs="宋体"/>
          <w:color w:val="auto"/>
          <w:sz w:val="21"/>
          <w:szCs w:val="21"/>
          <w:highlight w:val="none"/>
        </w:rPr>
        <w:t>5.2 比选程序</w:t>
      </w:r>
      <w:bookmarkEnd w:id="168"/>
      <w:bookmarkEnd w:id="16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170"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1" w:name="_Toc24607"/>
      <w:r>
        <w:rPr>
          <w:rFonts w:hint="eastAsia" w:ascii="宋体" w:hAnsi="宋体" w:eastAsia="宋体" w:cs="宋体"/>
          <w:color w:val="auto"/>
          <w:sz w:val="21"/>
          <w:szCs w:val="21"/>
          <w:highlight w:val="none"/>
        </w:rPr>
        <w:t>6. 评</w:t>
      </w:r>
      <w:bookmarkEnd w:id="170"/>
      <w:r>
        <w:rPr>
          <w:rFonts w:hint="eastAsia" w:ascii="宋体" w:hAnsi="宋体" w:eastAsia="宋体" w:cs="宋体"/>
          <w:color w:val="auto"/>
          <w:sz w:val="21"/>
          <w:szCs w:val="21"/>
          <w:highlight w:val="none"/>
        </w:rPr>
        <w:t>审</w:t>
      </w:r>
      <w:bookmarkEnd w:id="171"/>
    </w:p>
    <w:p>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172" w:name="_Toc287620720"/>
      <w:bookmarkStart w:id="173" w:name="_Toc7646"/>
      <w:bookmarkStart w:id="174" w:name="_Toc224103352"/>
      <w:bookmarkStart w:id="175" w:name="_Toc509218745"/>
      <w:bookmarkStart w:id="176" w:name="_Toc200513161"/>
      <w:bookmarkStart w:id="177" w:name="_Toc287607781"/>
      <w:bookmarkStart w:id="178" w:name="_Toc430530470"/>
      <w:bookmarkStart w:id="179" w:name="_Toc277082587"/>
      <w:bookmarkStart w:id="180"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172"/>
      <w:bookmarkEnd w:id="173"/>
      <w:bookmarkEnd w:id="174"/>
      <w:bookmarkEnd w:id="175"/>
      <w:bookmarkEnd w:id="176"/>
      <w:bookmarkEnd w:id="177"/>
      <w:bookmarkEnd w:id="178"/>
      <w:bookmarkEnd w:id="17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1" w:name="_Toc27306"/>
      <w:bookmarkStart w:id="182" w:name="_Toc509218746"/>
      <w:bookmarkStart w:id="183" w:name="_Toc224103353"/>
      <w:bookmarkStart w:id="184" w:name="_Toc200513162"/>
      <w:bookmarkStart w:id="185" w:name="_Toc430530471"/>
      <w:bookmarkStart w:id="186" w:name="_Toc287607782"/>
      <w:bookmarkStart w:id="187" w:name="_Toc287620721"/>
      <w:bookmarkStart w:id="188" w:name="_Toc277082588"/>
      <w:r>
        <w:rPr>
          <w:rFonts w:hint="eastAsia" w:ascii="宋体" w:hAnsi="宋体" w:eastAsia="宋体" w:cs="宋体"/>
          <w:snapToGrid w:val="0"/>
          <w:color w:val="auto"/>
          <w:kern w:val="0"/>
          <w:sz w:val="21"/>
          <w:szCs w:val="21"/>
          <w:highlight w:val="none"/>
        </w:rPr>
        <w:t>（1）投标人或投标人的主要负责人的近亲属；</w:t>
      </w:r>
      <w:bookmarkEnd w:id="18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9" w:name="_Toc7327"/>
      <w:r>
        <w:rPr>
          <w:rFonts w:hint="eastAsia" w:ascii="宋体" w:hAnsi="宋体" w:eastAsia="宋体" w:cs="宋体"/>
          <w:snapToGrid w:val="0"/>
          <w:color w:val="auto"/>
          <w:kern w:val="0"/>
          <w:sz w:val="21"/>
          <w:szCs w:val="21"/>
          <w:highlight w:val="none"/>
        </w:rPr>
        <w:t>（2）项目主管部门或者项目行政监督部门的人员；</w:t>
      </w:r>
      <w:bookmarkEnd w:id="189"/>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0"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190"/>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1"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19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2" w:name="_Toc7240"/>
      <w:r>
        <w:rPr>
          <w:rFonts w:hint="eastAsia" w:ascii="宋体" w:hAnsi="宋体" w:eastAsia="宋体" w:cs="宋体"/>
          <w:snapToGrid w:val="0"/>
          <w:color w:val="auto"/>
          <w:kern w:val="0"/>
          <w:sz w:val="21"/>
          <w:szCs w:val="21"/>
          <w:highlight w:val="none"/>
        </w:rPr>
        <w:t>（5）法律法规规定的其他情形。</w:t>
      </w:r>
      <w:bookmarkEnd w:id="192"/>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3" w:name="_Toc349"/>
      <w:r>
        <w:rPr>
          <w:rFonts w:hint="eastAsia" w:ascii="宋体" w:hAnsi="宋体" w:eastAsia="宋体" w:cs="宋体"/>
          <w:color w:val="auto"/>
          <w:sz w:val="21"/>
          <w:szCs w:val="21"/>
          <w:highlight w:val="none"/>
          <w:lang w:val="en-US" w:eastAsia="zh-CN"/>
        </w:rPr>
        <w:t>6.2  评标原则</w:t>
      </w:r>
      <w:bookmarkEnd w:id="182"/>
      <w:bookmarkEnd w:id="183"/>
      <w:bookmarkEnd w:id="184"/>
      <w:bookmarkEnd w:id="185"/>
      <w:bookmarkEnd w:id="186"/>
      <w:bookmarkEnd w:id="187"/>
      <w:bookmarkEnd w:id="188"/>
      <w:bookmarkEnd w:id="193"/>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4" w:name="_Toc224103354"/>
      <w:bookmarkStart w:id="195" w:name="_Toc287620722"/>
      <w:bookmarkStart w:id="196" w:name="_Toc509218747"/>
      <w:bookmarkStart w:id="197" w:name="_Toc287607783"/>
      <w:bookmarkStart w:id="198" w:name="_Toc200513163"/>
      <w:bookmarkStart w:id="199" w:name="_Toc277082589"/>
      <w:bookmarkStart w:id="200" w:name="_Toc430530472"/>
      <w:bookmarkStart w:id="201" w:name="_Toc3231"/>
      <w:r>
        <w:rPr>
          <w:rFonts w:hint="eastAsia" w:ascii="宋体" w:hAnsi="宋体" w:eastAsia="宋体" w:cs="宋体"/>
          <w:color w:val="auto"/>
          <w:sz w:val="21"/>
          <w:szCs w:val="21"/>
          <w:highlight w:val="none"/>
          <w:lang w:val="en-US" w:eastAsia="zh-CN"/>
        </w:rPr>
        <w:t>6.3  评标</w:t>
      </w:r>
      <w:bookmarkEnd w:id="194"/>
      <w:bookmarkEnd w:id="195"/>
      <w:bookmarkEnd w:id="196"/>
      <w:bookmarkEnd w:id="197"/>
      <w:bookmarkEnd w:id="198"/>
      <w:bookmarkEnd w:id="199"/>
      <w:bookmarkEnd w:id="200"/>
      <w:bookmarkEnd w:id="201"/>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02" w:name="_Toc5190"/>
      <w:r>
        <w:rPr>
          <w:rFonts w:hint="eastAsia" w:ascii="宋体" w:hAnsi="宋体" w:eastAsia="宋体" w:cs="宋体"/>
          <w:color w:val="auto"/>
          <w:sz w:val="21"/>
          <w:szCs w:val="21"/>
          <w:highlight w:val="none"/>
        </w:rPr>
        <w:t>7. 合同授予</w:t>
      </w:r>
      <w:bookmarkEnd w:id="180"/>
      <w:bookmarkEnd w:id="202"/>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3" w:name="_Toc13886"/>
      <w:bookmarkStart w:id="204" w:name="_Toc293756867"/>
      <w:r>
        <w:rPr>
          <w:rFonts w:hint="eastAsia" w:ascii="宋体" w:hAnsi="宋体" w:eastAsia="宋体" w:cs="宋体"/>
          <w:color w:val="auto"/>
          <w:sz w:val="21"/>
          <w:szCs w:val="21"/>
          <w:highlight w:val="none"/>
        </w:rPr>
        <w:t>7.1 定选方式</w:t>
      </w:r>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5" w:name="_Toc293756868"/>
      <w:bookmarkStart w:id="206" w:name="_Toc17919"/>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07"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在收到评标报告之日起3日内公示中标候选人，公示期不得少于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0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8" w:name="_Toc5235"/>
      <w:bookmarkStart w:id="209" w:name="_Toc293756870"/>
      <w:r>
        <w:rPr>
          <w:rFonts w:hint="eastAsia" w:ascii="宋体" w:hAnsi="宋体" w:eastAsia="宋体" w:cs="宋体"/>
          <w:color w:val="auto"/>
          <w:sz w:val="21"/>
          <w:szCs w:val="21"/>
          <w:highlight w:val="none"/>
        </w:rPr>
        <w:t>7.4 签订合同</w:t>
      </w:r>
      <w:bookmarkEnd w:id="208"/>
      <w:bookmarkEnd w:id="20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10" w:name="_Toc21469"/>
      <w:bookmarkStart w:id="211" w:name="_Toc293756871"/>
      <w:r>
        <w:rPr>
          <w:rFonts w:hint="eastAsia" w:ascii="宋体" w:hAnsi="宋体" w:eastAsia="宋体" w:cs="宋体"/>
          <w:color w:val="auto"/>
          <w:sz w:val="21"/>
          <w:szCs w:val="21"/>
          <w:highlight w:val="none"/>
        </w:rPr>
        <w:t>8. 重新比选和不再比选</w:t>
      </w:r>
      <w:bookmarkEnd w:id="210"/>
      <w:bookmarkEnd w:id="21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12" w:name="_Toc287620729"/>
      <w:bookmarkStart w:id="213" w:name="_Toc430530479"/>
      <w:bookmarkStart w:id="214" w:name="_Toc200513170"/>
      <w:bookmarkStart w:id="215" w:name="_Toc287607790"/>
      <w:bookmarkStart w:id="216" w:name="_Toc224103361"/>
      <w:bookmarkStart w:id="217" w:name="_Toc509218754"/>
      <w:bookmarkStart w:id="218" w:name="_Toc277082596"/>
      <w:bookmarkStart w:id="219" w:name="_Toc27002"/>
      <w:bookmarkStart w:id="220" w:name="_Toc284231394"/>
      <w:bookmarkStart w:id="221" w:name="_Toc293756873"/>
      <w:r>
        <w:rPr>
          <w:rFonts w:hint="eastAsia" w:ascii="宋体" w:hAnsi="宋体" w:eastAsia="宋体" w:cs="宋体"/>
          <w:b w:val="0"/>
          <w:bCs/>
          <w:snapToGrid w:val="0"/>
          <w:color w:val="auto"/>
          <w:kern w:val="2"/>
          <w:sz w:val="21"/>
          <w:szCs w:val="21"/>
          <w:highlight w:val="none"/>
          <w:lang w:val="en-US" w:eastAsia="zh-CN" w:bidi="ar-SA"/>
        </w:rPr>
        <w:t>8.1  重新</w:t>
      </w:r>
      <w:bookmarkEnd w:id="212"/>
      <w:bookmarkEnd w:id="213"/>
      <w:bookmarkEnd w:id="214"/>
      <w:bookmarkEnd w:id="215"/>
      <w:bookmarkEnd w:id="216"/>
      <w:bookmarkEnd w:id="217"/>
      <w:bookmarkEnd w:id="218"/>
      <w:r>
        <w:rPr>
          <w:rFonts w:hint="eastAsia" w:ascii="宋体" w:hAnsi="宋体" w:eastAsia="宋体" w:cs="宋体"/>
          <w:b w:val="0"/>
          <w:bCs/>
          <w:snapToGrid w:val="0"/>
          <w:color w:val="auto"/>
          <w:kern w:val="2"/>
          <w:sz w:val="21"/>
          <w:szCs w:val="21"/>
          <w:highlight w:val="none"/>
          <w:lang w:val="en-US" w:eastAsia="zh-CN" w:bidi="ar-SA"/>
        </w:rPr>
        <w:t>比选</w:t>
      </w:r>
      <w:bookmarkEnd w:id="219"/>
    </w:p>
    <w:p>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22" w:name="_Toc28804"/>
      <w:r>
        <w:rPr>
          <w:rFonts w:hint="eastAsia" w:ascii="宋体" w:hAnsi="宋体" w:eastAsia="宋体" w:cs="宋体"/>
          <w:color w:val="auto"/>
          <w:sz w:val="21"/>
          <w:szCs w:val="21"/>
          <w:highlight w:val="none"/>
        </w:rPr>
        <w:t>8.2 不再</w:t>
      </w:r>
      <w:bookmarkEnd w:id="220"/>
      <w:bookmarkEnd w:id="221"/>
      <w:r>
        <w:rPr>
          <w:rFonts w:hint="eastAsia" w:ascii="宋体" w:hAnsi="宋体" w:eastAsia="宋体" w:cs="宋体"/>
          <w:color w:val="auto"/>
          <w:sz w:val="21"/>
          <w:szCs w:val="21"/>
          <w:highlight w:val="none"/>
        </w:rPr>
        <w:t>比选</w:t>
      </w:r>
      <w:bookmarkEnd w:id="22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23" w:name="_Toc284158456"/>
      <w:bookmarkStart w:id="224" w:name="_Toc288045280"/>
      <w:bookmarkStart w:id="225" w:name="_Toc288046894"/>
      <w:bookmarkStart w:id="226" w:name="_Toc288052291"/>
      <w:bookmarkStart w:id="227" w:name="_Toc288046541"/>
      <w:bookmarkStart w:id="228" w:name="_Toc284159224"/>
      <w:bookmarkStart w:id="229" w:name="_Toc284231395"/>
      <w:bookmarkStart w:id="230" w:name="_Toc284158539"/>
      <w:bookmarkStart w:id="231" w:name="_Toc284159360"/>
      <w:bookmarkStart w:id="232" w:name="_Toc293756874"/>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23"/>
      <w:bookmarkEnd w:id="224"/>
      <w:bookmarkEnd w:id="225"/>
      <w:bookmarkEnd w:id="226"/>
      <w:bookmarkEnd w:id="227"/>
      <w:bookmarkEnd w:id="228"/>
      <w:bookmarkEnd w:id="229"/>
      <w:bookmarkEnd w:id="230"/>
      <w:bookmarkEnd w:id="231"/>
      <w:bookmarkEnd w:id="232"/>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33" w:name="_Toc36043737"/>
      <w:bookmarkStart w:id="234" w:name="_Toc277082598"/>
      <w:bookmarkStart w:id="235" w:name="_Toc509218756"/>
      <w:bookmarkStart w:id="236" w:name="_Toc224103363"/>
      <w:bookmarkStart w:id="237" w:name="_Toc430530481"/>
      <w:bookmarkStart w:id="238" w:name="_Toc287607792"/>
      <w:bookmarkStart w:id="239" w:name="_Toc200513172"/>
      <w:bookmarkStart w:id="240" w:name="_Toc287620731"/>
      <w:bookmarkStart w:id="241" w:name="_Toc31090"/>
      <w:r>
        <w:rPr>
          <w:rFonts w:hint="eastAsia" w:ascii="宋体" w:hAnsi="宋体" w:eastAsia="宋体" w:cs="宋体"/>
          <w:color w:val="auto"/>
          <w:sz w:val="21"/>
          <w:szCs w:val="21"/>
          <w:highlight w:val="none"/>
        </w:rPr>
        <w:t>9.  纪律和监督</w:t>
      </w:r>
      <w:bookmarkEnd w:id="233"/>
      <w:bookmarkEnd w:id="234"/>
      <w:bookmarkEnd w:id="235"/>
      <w:bookmarkEnd w:id="236"/>
      <w:bookmarkEnd w:id="237"/>
      <w:bookmarkEnd w:id="238"/>
      <w:bookmarkEnd w:id="239"/>
      <w:bookmarkEnd w:id="240"/>
      <w:bookmarkEnd w:id="241"/>
    </w:p>
    <w:p>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42" w:name="_Toc224103364"/>
      <w:bookmarkStart w:id="243" w:name="_Toc287607793"/>
      <w:bookmarkStart w:id="244" w:name="_Toc200513173"/>
      <w:bookmarkStart w:id="245" w:name="_Toc287620732"/>
      <w:bookmarkStart w:id="246" w:name="_Toc509218757"/>
      <w:bookmarkStart w:id="247" w:name="_Toc25463"/>
      <w:bookmarkStart w:id="248" w:name="_Toc277082599"/>
      <w:bookmarkStart w:id="249" w:name="_Toc430530482"/>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242"/>
      <w:bookmarkEnd w:id="243"/>
      <w:bookmarkEnd w:id="244"/>
      <w:bookmarkEnd w:id="245"/>
      <w:bookmarkEnd w:id="246"/>
      <w:bookmarkEnd w:id="247"/>
      <w:bookmarkEnd w:id="248"/>
      <w:bookmarkEnd w:id="24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0" w:name="_Toc277082600"/>
      <w:bookmarkStart w:id="251" w:name="_Toc224103365"/>
      <w:bookmarkStart w:id="252" w:name="_Toc509218758"/>
      <w:bookmarkStart w:id="253" w:name="_Toc287620733"/>
      <w:bookmarkStart w:id="254" w:name="_Toc200513174"/>
      <w:bookmarkStart w:id="255" w:name="_Toc287607794"/>
      <w:bookmarkStart w:id="256" w:name="_Toc14890"/>
      <w:bookmarkStart w:id="257" w:name="_Toc430530483"/>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250"/>
      <w:bookmarkEnd w:id="251"/>
      <w:bookmarkEnd w:id="252"/>
      <w:bookmarkEnd w:id="253"/>
      <w:bookmarkEnd w:id="254"/>
      <w:bookmarkEnd w:id="255"/>
      <w:bookmarkEnd w:id="256"/>
      <w:bookmarkEnd w:id="257"/>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8" w:name="_Toc287607795"/>
      <w:bookmarkStart w:id="259" w:name="_Toc277082601"/>
      <w:bookmarkStart w:id="260" w:name="_Toc200513175"/>
      <w:bookmarkStart w:id="261" w:name="_Toc430530484"/>
      <w:bookmarkStart w:id="262" w:name="_Toc20024"/>
      <w:bookmarkStart w:id="263" w:name="_Toc224103366"/>
      <w:bookmarkStart w:id="264" w:name="_Toc509218759"/>
      <w:bookmarkStart w:id="265" w:name="_Toc287620734"/>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258"/>
      <w:bookmarkEnd w:id="259"/>
      <w:bookmarkEnd w:id="260"/>
      <w:bookmarkEnd w:id="261"/>
      <w:bookmarkEnd w:id="262"/>
      <w:bookmarkEnd w:id="263"/>
      <w:bookmarkEnd w:id="264"/>
      <w:bookmarkEnd w:id="265"/>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6" w:name="_Toc509218760"/>
      <w:bookmarkStart w:id="267" w:name="_Toc224103367"/>
      <w:bookmarkStart w:id="268" w:name="_Toc1608"/>
      <w:bookmarkStart w:id="269" w:name="_Toc277082602"/>
      <w:bookmarkStart w:id="270" w:name="_Toc287620735"/>
      <w:bookmarkStart w:id="271" w:name="_Toc430530485"/>
      <w:bookmarkStart w:id="272" w:name="_Toc200513176"/>
      <w:bookmarkStart w:id="273" w:name="_Toc287607796"/>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266"/>
      <w:bookmarkEnd w:id="267"/>
      <w:bookmarkEnd w:id="268"/>
      <w:bookmarkEnd w:id="269"/>
      <w:bookmarkEnd w:id="270"/>
      <w:bookmarkEnd w:id="271"/>
      <w:bookmarkEnd w:id="272"/>
      <w:bookmarkEnd w:id="273"/>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4" w:name="_Toc277082603"/>
      <w:bookmarkStart w:id="275" w:name="_Toc224103368"/>
      <w:bookmarkStart w:id="276" w:name="_Toc2907"/>
      <w:bookmarkStart w:id="277" w:name="_Toc287607797"/>
      <w:bookmarkStart w:id="278" w:name="_Toc509218761"/>
      <w:bookmarkStart w:id="279" w:name="_Toc200513177"/>
      <w:bookmarkStart w:id="280" w:name="_Toc287620736"/>
      <w:bookmarkStart w:id="281" w:name="_Toc430530486"/>
      <w:r>
        <w:rPr>
          <w:rFonts w:hint="eastAsia" w:ascii="宋体" w:hAnsi="宋体" w:eastAsia="宋体" w:cs="宋体"/>
          <w:b w:val="0"/>
          <w:bCs/>
          <w:snapToGrid w:val="0"/>
          <w:color w:val="auto"/>
          <w:kern w:val="2"/>
          <w:sz w:val="21"/>
          <w:szCs w:val="21"/>
          <w:highlight w:val="none"/>
          <w:lang w:val="en-US" w:eastAsia="zh-CN" w:bidi="ar-SA"/>
        </w:rPr>
        <w:t>9.5  投诉</w:t>
      </w:r>
      <w:bookmarkEnd w:id="274"/>
      <w:bookmarkEnd w:id="275"/>
      <w:bookmarkEnd w:id="276"/>
      <w:bookmarkEnd w:id="277"/>
      <w:bookmarkEnd w:id="278"/>
      <w:bookmarkEnd w:id="279"/>
      <w:bookmarkEnd w:id="280"/>
      <w:bookmarkEnd w:id="281"/>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pPr>
        <w:keepNext/>
        <w:keepLines/>
        <w:pageBreakBefore w:val="0"/>
        <w:widowControl w:val="0"/>
        <w:kinsoku/>
        <w:wordWrap/>
        <w:overflowPunct/>
        <w:topLinePunct w:val="0"/>
        <w:bidi w:val="0"/>
        <w:spacing w:before="0" w:after="0" w:line="360" w:lineRule="auto"/>
        <w:ind w:firstLine="420" w:firstLineChars="200"/>
        <w:jc w:val="both"/>
        <w:textAlignment w:val="auto"/>
        <w:outlineLvl w:val="9"/>
        <w:rPr>
          <w:rFonts w:hint="eastAsia" w:ascii="宋体" w:hAnsi="宋体" w:eastAsia="宋体" w:cs="宋体"/>
          <w:b w:val="0"/>
          <w:bCs/>
          <w:snapToGrid w:val="0"/>
          <w:color w:val="auto"/>
          <w:kern w:val="2"/>
          <w:sz w:val="21"/>
          <w:szCs w:val="21"/>
          <w:highlight w:val="none"/>
          <w:lang w:val="en-US" w:eastAsia="zh-CN" w:bidi="ar-SA"/>
        </w:rPr>
      </w:pPr>
      <w:bookmarkStart w:id="282" w:name="_Toc277082604"/>
      <w:bookmarkStart w:id="283" w:name="_Toc509218762"/>
      <w:bookmarkStart w:id="284" w:name="_Toc200513178"/>
      <w:bookmarkStart w:id="285" w:name="_Toc224103369"/>
      <w:bookmarkStart w:id="286" w:name="_Toc36043738"/>
      <w:bookmarkStart w:id="287" w:name="_Toc287620737"/>
      <w:bookmarkStart w:id="288" w:name="_Toc430530487"/>
      <w:bookmarkStart w:id="289" w:name="_Toc287607798"/>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282"/>
      <w:bookmarkEnd w:id="283"/>
      <w:bookmarkEnd w:id="284"/>
      <w:bookmarkEnd w:id="285"/>
      <w:bookmarkEnd w:id="286"/>
      <w:bookmarkEnd w:id="287"/>
      <w:bookmarkEnd w:id="288"/>
      <w:bookmarkEnd w:id="28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pPr>
        <w:spacing w:line="360" w:lineRule="auto"/>
        <w:ind w:firstLine="240" w:firstLineChars="100"/>
        <w:rPr>
          <w:rFonts w:ascii="宋体" w:hAnsi="宋体" w:eastAsia="宋体" w:cs="宋体"/>
          <w:color w:val="auto"/>
          <w:sz w:val="24"/>
          <w:highlight w:val="none"/>
        </w:rPr>
        <w:sectPr>
          <w:pgSz w:w="11906" w:h="16838"/>
          <w:pgMar w:top="1134" w:right="1418" w:bottom="1134" w:left="1418" w:header="851" w:footer="992" w:gutter="0"/>
          <w:cols w:space="720" w:num="1"/>
          <w:docGrid w:type="lines" w:linePitch="312" w:charSpace="0"/>
        </w:sectPr>
      </w:pPr>
    </w:p>
    <w:p>
      <w:pPr>
        <w:pStyle w:val="3"/>
        <w:spacing w:line="360" w:lineRule="auto"/>
        <w:ind w:firstLine="883" w:firstLineChars="200"/>
        <w:jc w:val="center"/>
        <w:rPr>
          <w:rFonts w:ascii="宋体" w:hAnsi="宋体"/>
          <w:highlight w:val="none"/>
        </w:rPr>
      </w:pPr>
      <w:bookmarkStart w:id="290" w:name="_Toc6128"/>
      <w:bookmarkStart w:id="291" w:name="_Toc4335"/>
      <w:bookmarkStart w:id="292" w:name="_Toc5770"/>
      <w:bookmarkStart w:id="293" w:name="_Toc509218774"/>
      <w:bookmarkStart w:id="294" w:name="_Toc224103384"/>
      <w:bookmarkStart w:id="295" w:name="_Toc287607812"/>
      <w:bookmarkStart w:id="296" w:name="_Toc287620751"/>
      <w:bookmarkStart w:id="297" w:name="_Toc430530500"/>
      <w:bookmarkStart w:id="298" w:name="_Toc200513198"/>
      <w:bookmarkStart w:id="299" w:name="_Toc277082618"/>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w:t>
      </w:r>
      <w:r>
        <w:rPr>
          <w:rFonts w:hint="eastAsia" w:ascii="宋体" w:hAnsi="宋体"/>
          <w:snapToGrid w:val="0"/>
          <w:color w:val="auto"/>
          <w:kern w:val="0"/>
          <w:highlight w:val="none"/>
        </w:rPr>
        <w:t>经评审的最低投标价法</w:t>
      </w:r>
      <w:r>
        <w:rPr>
          <w:rFonts w:ascii="宋体" w:hAnsi="宋体"/>
          <w:highlight w:val="none"/>
        </w:rPr>
        <w:t>）</w:t>
      </w:r>
      <w:bookmarkEnd w:id="290"/>
      <w:bookmarkEnd w:id="291"/>
      <w:bookmarkEnd w:id="292"/>
      <w:bookmarkEnd w:id="293"/>
      <w:bookmarkStart w:id="300" w:name="_Toc287607811"/>
      <w:bookmarkStart w:id="301" w:name="_Toc430530499"/>
      <w:bookmarkStart w:id="302" w:name="_Toc277082617"/>
      <w:bookmarkStart w:id="303" w:name="_Toc224103383"/>
      <w:bookmarkStart w:id="304" w:name="_Toc287620750"/>
    </w:p>
    <w:p>
      <w:pPr>
        <w:pStyle w:val="4"/>
        <w:spacing w:before="100" w:after="100" w:line="360" w:lineRule="auto"/>
        <w:rPr>
          <w:rFonts w:ascii="宋体" w:hAnsi="宋体"/>
          <w:highlight w:val="none"/>
        </w:rPr>
      </w:pPr>
      <w:bookmarkStart w:id="305" w:name="_Toc32566"/>
      <w:bookmarkStart w:id="306" w:name="_Toc509218775"/>
      <w:bookmarkStart w:id="307" w:name="_Toc14663"/>
      <w:r>
        <w:rPr>
          <w:rFonts w:hint="eastAsia" w:ascii="宋体" w:hAnsi="宋体"/>
          <w:highlight w:val="none"/>
        </w:rPr>
        <w:t>评标办法前附表</w:t>
      </w:r>
      <w:bookmarkEnd w:id="305"/>
      <w:bookmarkEnd w:id="306"/>
      <w:bookmarkEnd w:id="307"/>
    </w:p>
    <w:p>
      <w:pPr>
        <w:spacing w:line="360" w:lineRule="auto"/>
        <w:ind w:firstLine="420" w:firstLineChars="200"/>
        <w:rPr>
          <w:szCs w:val="21"/>
          <w:highlight w:val="none"/>
        </w:rPr>
      </w:pPr>
      <w:r>
        <w:rPr>
          <w:szCs w:val="21"/>
          <w:highlight w:val="none"/>
        </w:rPr>
        <w:t>评标办法中的评审内容必须和</w:t>
      </w:r>
      <w:r>
        <w:rPr>
          <w:rFonts w:hint="eastAsia"/>
          <w:szCs w:val="21"/>
          <w:highlight w:val="none"/>
          <w:lang w:eastAsia="zh-CN"/>
        </w:rPr>
        <w:t>竞选人</w:t>
      </w:r>
      <w:r>
        <w:rPr>
          <w:szCs w:val="21"/>
          <w:highlight w:val="none"/>
        </w:rPr>
        <w:t>须知中的对应内容一致，若</w:t>
      </w:r>
      <w:r>
        <w:rPr>
          <w:rFonts w:hint="eastAsia"/>
          <w:szCs w:val="21"/>
          <w:highlight w:val="none"/>
          <w:lang w:eastAsia="zh-CN"/>
        </w:rPr>
        <w:t>竞选人</w:t>
      </w:r>
      <w:r>
        <w:rPr>
          <w:szCs w:val="21"/>
          <w:highlight w:val="none"/>
        </w:rPr>
        <w:t>须知中未作要求的内容，不得列入评标办法作为评定依据。</w:t>
      </w:r>
    </w:p>
    <w:bookmarkEnd w:id="300"/>
    <w:bookmarkEnd w:id="301"/>
    <w:bookmarkEnd w:id="302"/>
    <w:bookmarkEnd w:id="303"/>
    <w:bookmarkEnd w:id="304"/>
    <w:tbl>
      <w:tblPr>
        <w:tblStyle w:val="46"/>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jc w:val="center"/>
        </w:trPr>
        <w:tc>
          <w:tcPr>
            <w:tcW w:w="1243" w:type="dxa"/>
            <w:tcBorders>
              <w:right w:val="single" w:color="auto" w:sz="4" w:space="0"/>
            </w:tcBorders>
            <w:vAlign w:val="center"/>
          </w:tcPr>
          <w:p>
            <w:pPr>
              <w:spacing w:line="400" w:lineRule="exact"/>
              <w:jc w:val="center"/>
              <w:rPr>
                <w:rFonts w:ascii="宋体" w:hAnsi="宋体"/>
                <w:b/>
                <w:color w:val="auto"/>
                <w:kern w:val="0"/>
                <w:highlight w:val="none"/>
              </w:rPr>
            </w:pPr>
            <w:bookmarkStart w:id="308" w:name="_Toc509218776"/>
            <w:r>
              <w:rPr>
                <w:rFonts w:ascii="宋体" w:hAnsi="宋体"/>
                <w:b/>
                <w:color w:val="auto"/>
                <w:kern w:val="0"/>
                <w:highlight w:val="none"/>
              </w:rPr>
              <w:t>条款号</w:t>
            </w:r>
          </w:p>
        </w:tc>
        <w:tc>
          <w:tcPr>
            <w:tcW w:w="1560"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pStyle w:val="87"/>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pPr>
              <w:pStyle w:val="87"/>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中按报价由低到高推荐中标候选人，或根据</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授权直接确定中标人。若出现</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投标报价相同的，以“</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在红名单中优先”的原则排序（联合体投标的，须联合体牵头人在红名单中），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均在红名单中或均不在红名单中的，由评标委员会按照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报价</w:t>
            </w:r>
            <w:r>
              <w:rPr>
                <w:rFonts w:hint="eastAsia" w:ascii="宋体" w:hAnsi="宋体"/>
                <w:color w:val="auto"/>
                <w:kern w:val="0"/>
                <w:highlight w:val="none"/>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w:t>
            </w:r>
            <w:r>
              <w:rPr>
                <w:rFonts w:hint="eastAsia" w:ascii="宋体" w:hAnsi="宋体"/>
                <w:color w:val="auto"/>
                <w:kern w:val="0"/>
                <w:highlight w:val="none"/>
                <w:lang w:eastAsia="zh-CN"/>
              </w:rPr>
              <w:t>竞选人</w:t>
            </w:r>
            <w:r>
              <w:rPr>
                <w:rFonts w:hint="eastAsia" w:ascii="宋体" w:hAnsi="宋体"/>
                <w:color w:val="auto"/>
                <w:kern w:val="0"/>
                <w:highlight w:val="none"/>
              </w:rPr>
              <w:t>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rPr>
              <w:t>5名（若实际</w:t>
            </w:r>
            <w:r>
              <w:rPr>
                <w:rFonts w:hint="eastAsia" w:ascii="宋体" w:hAnsi="宋体"/>
                <w:color w:val="auto"/>
                <w:kern w:val="0"/>
                <w:highlight w:val="none"/>
                <w:lang w:eastAsia="zh-CN"/>
              </w:rPr>
              <w:t>竞选人</w:t>
            </w:r>
            <w:r>
              <w:rPr>
                <w:rFonts w:hint="eastAsia" w:ascii="宋体" w:hAnsi="宋体"/>
                <w:color w:val="auto"/>
                <w:kern w:val="0"/>
                <w:highlight w:val="none"/>
              </w:rPr>
              <w:t>数量小于勾选数量，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w:t>
            </w:r>
            <w:r>
              <w:rPr>
                <w:rFonts w:hint="eastAsia" w:ascii="宋体" w:hAnsi="宋体"/>
                <w:color w:val="auto"/>
                <w:kern w:val="0"/>
                <w:highlight w:val="none"/>
                <w:lang w:eastAsia="zh-CN"/>
              </w:rPr>
              <w:t>竞选人</w:t>
            </w:r>
            <w:r>
              <w:rPr>
                <w:rFonts w:hint="eastAsia" w:ascii="宋体" w:hAnsi="宋体"/>
                <w:color w:val="auto"/>
                <w:kern w:val="0"/>
                <w:highlight w:val="none"/>
              </w:rPr>
              <w:t>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restart"/>
            <w:tcBorders>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安全生产条件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kern w:val="0"/>
                <w:highlight w:val="none"/>
              </w:rPr>
              <w:t>业绩要求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szCs w:val="21"/>
                <w:highlight w:val="none"/>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项目经理资格要求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3</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投标函签名盖章</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投标函格式规定签名、盖章的位置有法定代表人或其委托代理人签名（或盖章）、加盖单位法人章。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投标文件份数</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法定代表人的委托代理人有法定代表人签署的授权委托书和</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2.2.4</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rPr>
              <w:t>投标</w:t>
            </w:r>
            <w:r>
              <w:rPr>
                <w:rFonts w:hint="eastAsia" w:ascii="宋体" w:hAnsi="宋体" w:cs="宋体"/>
                <w:color w:val="auto"/>
                <w:kern w:val="0"/>
                <w:highlight w:val="none"/>
                <w:lang w:val="en-US" w:eastAsia="zh-CN"/>
              </w:rPr>
              <w:t>费率</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ascii="宋体" w:hAnsi="宋体" w:cs="宋体"/>
                <w:color w:val="auto"/>
                <w:szCs w:val="21"/>
                <w:highlight w:val="none"/>
              </w:rPr>
              <w:t>.</w:t>
            </w: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费率</w:t>
            </w:r>
            <w:r>
              <w:rPr>
                <w:rFonts w:hint="eastAsia" w:ascii="宋体" w:hAnsi="宋体" w:cs="宋体"/>
                <w:color w:val="auto"/>
                <w:szCs w:val="21"/>
                <w:highlight w:val="none"/>
              </w:rPr>
              <w:t>不得高于</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公布的投标总报价最高限价。</w:t>
            </w:r>
          </w:p>
          <w:p>
            <w:pPr>
              <w:spacing w:line="40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3.投标</w:t>
            </w:r>
            <w:r>
              <w:rPr>
                <w:rFonts w:hint="eastAsia" w:ascii="宋体" w:hAnsi="宋体" w:cs="宋体"/>
                <w:color w:val="auto"/>
                <w:szCs w:val="21"/>
                <w:highlight w:val="none"/>
                <w:lang w:val="en-US" w:eastAsia="zh-CN"/>
              </w:rPr>
              <w:t>费率</w:t>
            </w:r>
            <w:r>
              <w:rPr>
                <w:rFonts w:hint="eastAsia" w:ascii="宋体" w:hAnsi="宋体" w:cs="宋体"/>
                <w:color w:val="auto"/>
                <w:szCs w:val="21"/>
                <w:highlight w:val="none"/>
              </w:rPr>
              <w:t>低于最高限价85%的，</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应在编制投标文件时，在投标函部分中递交低价风险担保提交承诺书。</w:t>
            </w:r>
            <w:r>
              <w:rPr>
                <w:rFonts w:hint="eastAsia" w:ascii="宋体" w:hAnsi="宋体" w:cs="宋体"/>
                <w:bCs/>
                <w:color w:val="auto"/>
                <w:szCs w:val="21"/>
                <w:highlight w:val="none"/>
              </w:rPr>
              <w:t>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暂定金额</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暂列金额、暂估价、安全文明施工费等暂定金额必须按照招标文件给定的金额填报。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竞选人须知前附表</w:t>
            </w:r>
            <w:r>
              <w:rPr>
                <w:rFonts w:hint="eastAsia" w:ascii="宋体" w:hAnsi="宋体" w:cs="宋体"/>
                <w:color w:val="auto"/>
                <w:kern w:val="0"/>
                <w:highlight w:val="none"/>
              </w:rPr>
              <w:t>”第3.4项规定。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符合第四章“合同条款及格式”规定，投标文件不应附有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w:t>
            </w:r>
            <w:r>
              <w:rPr>
                <w:rFonts w:hint="eastAsia" w:ascii="宋体" w:hAnsi="宋体" w:cs="宋体"/>
                <w:color w:val="auto"/>
                <w:kern w:val="0"/>
                <w:highlight w:val="none"/>
                <w:lang w:val="en-US" w:eastAsia="zh-CN"/>
              </w:rPr>
              <w:t>六</w:t>
            </w:r>
            <w:r>
              <w:rPr>
                <w:rFonts w:hint="eastAsia" w:ascii="宋体" w:hAnsi="宋体" w:cs="宋体"/>
                <w:color w:val="auto"/>
                <w:kern w:val="0"/>
                <w:highlight w:val="none"/>
              </w:rPr>
              <w:t>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w:t>
            </w:r>
            <w:r>
              <w:rPr>
                <w:rFonts w:hint="eastAsia" w:ascii="宋体" w:hAnsi="宋体" w:cs="宋体"/>
                <w:color w:val="auto"/>
                <w:kern w:val="0"/>
                <w:highlight w:val="none"/>
                <w:lang w:val="en-US" w:eastAsia="zh-CN"/>
              </w:rPr>
              <w:t>第五章</w:t>
            </w:r>
            <w:r>
              <w:rPr>
                <w:rFonts w:hint="eastAsia" w:ascii="宋体" w:hAnsi="宋体" w:cs="宋体"/>
                <w:color w:val="auto"/>
                <w:kern w:val="0"/>
                <w:highlight w:val="none"/>
              </w:rPr>
              <w:t>“技术标准和要求”规定。（由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已标价工程量清单</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投标报价算术错误修正</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”第1.4.3项规定。</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的投标文件，按照报价由低到高的顺序排序。</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中，报价最低的成为第一中标候选人，报价次低的成为第二中标候选人，依次类推。</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不足三个的，评标委员会应当否决所有投标。但是有效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的经济、技术等指标仍然具有市场竞争力，并满足招标文件要求的，评标委员会可以继续评标并确定中标候选人。</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投标报价相同的，以“</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在红名单中优先”的原则排序</w:t>
            </w:r>
            <w:r>
              <w:rPr>
                <w:rFonts w:hint="eastAsia" w:ascii="宋体" w:hAnsi="宋体"/>
                <w:color w:val="auto"/>
                <w:spacing w:val="4"/>
                <w:kern w:val="0"/>
                <w:szCs w:val="21"/>
                <w:highlight w:val="none"/>
              </w:rPr>
              <w:t>（联合体投标的，须联合体牵头人在红名单中），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均在红名单中</w:t>
            </w:r>
            <w:r>
              <w:rPr>
                <w:rFonts w:hint="eastAsia" w:ascii="宋体" w:hAnsi="宋体"/>
                <w:color w:val="auto"/>
                <w:spacing w:val="4"/>
                <w:kern w:val="0"/>
                <w:szCs w:val="21"/>
                <w:highlight w:val="none"/>
              </w:rPr>
              <w:t>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lang w:eastAsia="zh-CN"/>
              </w:rPr>
              <w:t>竞选人须知</w:t>
            </w:r>
            <w:r>
              <w:rPr>
                <w:rFonts w:ascii="宋体" w:hAnsi="宋体"/>
                <w:color w:val="auto"/>
                <w:kern w:val="0"/>
                <w:szCs w:val="21"/>
                <w:highlight w:val="none"/>
              </w:rPr>
              <w:t>”前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w:t>
            </w:r>
          </w:p>
        </w:tc>
      </w:tr>
    </w:tbl>
    <w:p>
      <w:pPr>
        <w:pStyle w:val="4"/>
        <w:spacing w:before="0" w:after="0" w:line="360" w:lineRule="auto"/>
        <w:rPr>
          <w:rFonts w:ascii="宋体" w:hAnsi="宋体"/>
          <w:b w:val="0"/>
          <w:snapToGrid w:val="0"/>
          <w:color w:val="auto"/>
          <w:highlight w:val="none"/>
        </w:rPr>
      </w:pPr>
    </w:p>
    <w:bookmarkEnd w:id="294"/>
    <w:bookmarkEnd w:id="295"/>
    <w:bookmarkEnd w:id="296"/>
    <w:bookmarkEnd w:id="297"/>
    <w:bookmarkEnd w:id="298"/>
    <w:bookmarkEnd w:id="299"/>
    <w:bookmarkEnd w:id="308"/>
    <w:p>
      <w:pPr>
        <w:pStyle w:val="4"/>
        <w:spacing w:before="0" w:after="0" w:line="360" w:lineRule="auto"/>
        <w:rPr>
          <w:rFonts w:ascii="宋体" w:hAnsi="宋体"/>
          <w:b w:val="0"/>
          <w:snapToGrid w:val="0"/>
          <w:color w:val="auto"/>
          <w:highlight w:val="none"/>
        </w:rPr>
      </w:pPr>
      <w:bookmarkStart w:id="309" w:name="_Toc27750"/>
      <w:bookmarkStart w:id="310" w:name="_Toc12666"/>
      <w:bookmarkStart w:id="311" w:name="_Toc57905886"/>
      <w:r>
        <w:rPr>
          <w:rFonts w:ascii="宋体" w:hAnsi="宋体"/>
          <w:b w:val="0"/>
          <w:snapToGrid w:val="0"/>
          <w:color w:val="auto"/>
          <w:highlight w:val="none"/>
        </w:rPr>
        <w:t>1.  评标方法</w:t>
      </w:r>
      <w:bookmarkEnd w:id="309"/>
      <w:bookmarkEnd w:id="310"/>
      <w:bookmarkEnd w:id="311"/>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w:t>
      </w:r>
      <w:r>
        <w:rPr>
          <w:rFonts w:hint="eastAsia" w:ascii="宋体" w:hAnsi="宋体"/>
          <w:color w:val="auto"/>
          <w:highlight w:val="none"/>
          <w:lang w:eastAsia="zh-CN"/>
        </w:rPr>
        <w:t>竞选人</w:t>
      </w:r>
      <w:r>
        <w:rPr>
          <w:rFonts w:hint="eastAsia" w:ascii="宋体" w:hAnsi="宋体"/>
          <w:color w:val="auto"/>
          <w:highlight w:val="none"/>
        </w:rPr>
        <w:t>中按报价由低到高推荐中标候选人，或根据</w:t>
      </w:r>
      <w:r>
        <w:rPr>
          <w:rFonts w:hint="eastAsia" w:ascii="宋体" w:hAnsi="宋体"/>
          <w:color w:val="auto"/>
          <w:highlight w:val="none"/>
          <w:lang w:eastAsia="zh-CN"/>
        </w:rPr>
        <w:t>比选人</w:t>
      </w:r>
      <w:r>
        <w:rPr>
          <w:rFonts w:hint="eastAsia" w:ascii="宋体" w:hAnsi="宋体"/>
          <w:color w:val="auto"/>
          <w:highlight w:val="none"/>
        </w:rPr>
        <w:t>授权直接确定中标人。若出现</w:t>
      </w:r>
      <w:r>
        <w:rPr>
          <w:rFonts w:hint="eastAsia" w:ascii="宋体" w:hAnsi="宋体"/>
          <w:color w:val="auto"/>
          <w:highlight w:val="none"/>
          <w:lang w:eastAsia="zh-CN"/>
        </w:rPr>
        <w:t>竞选人</w:t>
      </w:r>
      <w:r>
        <w:rPr>
          <w:rFonts w:hint="eastAsia" w:ascii="宋体" w:hAnsi="宋体"/>
          <w:color w:val="auto"/>
          <w:highlight w:val="none"/>
        </w:rPr>
        <w:t>投标报价相同的，以评标办法前附表约定的原则确定排序。</w:t>
      </w:r>
    </w:p>
    <w:p>
      <w:pPr>
        <w:pStyle w:val="4"/>
        <w:spacing w:before="0" w:after="0" w:line="360" w:lineRule="auto"/>
        <w:rPr>
          <w:rFonts w:ascii="宋体" w:hAnsi="宋体"/>
          <w:b w:val="0"/>
          <w:snapToGrid w:val="0"/>
          <w:color w:val="auto"/>
          <w:highlight w:val="none"/>
        </w:rPr>
      </w:pPr>
      <w:bookmarkStart w:id="312" w:name="_Toc57905887"/>
      <w:bookmarkStart w:id="313" w:name="_Toc20502"/>
      <w:bookmarkStart w:id="314" w:name="_Toc24923"/>
      <w:r>
        <w:rPr>
          <w:rFonts w:ascii="宋体" w:hAnsi="宋体"/>
          <w:b w:val="0"/>
          <w:snapToGrid w:val="0"/>
          <w:color w:val="auto"/>
          <w:highlight w:val="none"/>
        </w:rPr>
        <w:t>2.  评审标准</w:t>
      </w:r>
      <w:bookmarkEnd w:id="312"/>
      <w:bookmarkEnd w:id="313"/>
      <w:bookmarkEnd w:id="314"/>
    </w:p>
    <w:p>
      <w:pPr>
        <w:pStyle w:val="5"/>
        <w:spacing w:before="0" w:after="0" w:line="360" w:lineRule="auto"/>
        <w:rPr>
          <w:rFonts w:ascii="宋体" w:hAnsi="宋体" w:cs="宋体"/>
          <w:color w:val="auto"/>
          <w:sz w:val="21"/>
          <w:szCs w:val="21"/>
          <w:highlight w:val="none"/>
        </w:rPr>
      </w:pPr>
      <w:bookmarkStart w:id="315" w:name="_Toc3739"/>
      <w:bookmarkStart w:id="316" w:name="_Toc57905888"/>
      <w:bookmarkStart w:id="317" w:name="_Toc24029"/>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315"/>
      <w:r>
        <w:rPr>
          <w:rFonts w:hint="eastAsia" w:ascii="宋体" w:hAnsi="宋体" w:cs="宋体"/>
          <w:color w:val="auto"/>
          <w:sz w:val="21"/>
          <w:szCs w:val="21"/>
          <w:highlight w:val="none"/>
        </w:rPr>
        <w:t>标准</w:t>
      </w:r>
      <w:bookmarkEnd w:id="316"/>
      <w:bookmarkEnd w:id="317"/>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5"/>
        <w:spacing w:before="0" w:after="0" w:line="360" w:lineRule="auto"/>
        <w:rPr>
          <w:rFonts w:ascii="宋体" w:hAnsi="宋体" w:cs="宋体"/>
          <w:color w:val="auto"/>
          <w:sz w:val="21"/>
          <w:szCs w:val="21"/>
          <w:highlight w:val="none"/>
        </w:rPr>
      </w:pPr>
      <w:bookmarkStart w:id="318" w:name="_Toc16832"/>
      <w:bookmarkStart w:id="319" w:name="_Toc7449"/>
      <w:bookmarkStart w:id="320" w:name="_Toc5790588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318"/>
      <w:r>
        <w:rPr>
          <w:rFonts w:hint="eastAsia" w:ascii="宋体" w:hAnsi="宋体" w:cs="宋体"/>
          <w:color w:val="auto"/>
          <w:sz w:val="21"/>
          <w:szCs w:val="21"/>
          <w:highlight w:val="none"/>
        </w:rPr>
        <w:t>标准</w:t>
      </w:r>
      <w:bookmarkEnd w:id="319"/>
      <w:bookmarkEnd w:id="320"/>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。符合性审查内容：资格评审、形式评审、响应性评审。</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2A  资格评审标准：见资格预审文件第三章“资格审查办法”详细审查标准（适用于已进行资格预审的）。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2B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pPr>
        <w:pStyle w:val="4"/>
        <w:spacing w:before="0" w:after="0" w:line="360" w:lineRule="auto"/>
        <w:rPr>
          <w:rFonts w:ascii="宋体" w:hAnsi="宋体"/>
          <w:b w:val="0"/>
          <w:snapToGrid w:val="0"/>
          <w:color w:val="auto"/>
          <w:highlight w:val="none"/>
        </w:rPr>
      </w:pPr>
      <w:bookmarkStart w:id="321" w:name="_Toc57905890"/>
      <w:bookmarkStart w:id="322" w:name="_Toc30094"/>
      <w:bookmarkStart w:id="323" w:name="_Toc6630"/>
      <w:r>
        <w:rPr>
          <w:rFonts w:ascii="宋体" w:hAnsi="宋体"/>
          <w:b w:val="0"/>
          <w:snapToGrid w:val="0"/>
          <w:color w:val="auto"/>
          <w:highlight w:val="none"/>
        </w:rPr>
        <w:t>3.  评标程序</w:t>
      </w:r>
      <w:bookmarkEnd w:id="321"/>
      <w:bookmarkEnd w:id="322"/>
      <w:bookmarkEnd w:id="323"/>
    </w:p>
    <w:p>
      <w:pPr>
        <w:pStyle w:val="5"/>
        <w:spacing w:before="0" w:after="0" w:line="360" w:lineRule="auto"/>
        <w:rPr>
          <w:rFonts w:ascii="宋体" w:hAnsi="宋体" w:cs="宋体"/>
          <w:color w:val="auto"/>
          <w:sz w:val="21"/>
          <w:szCs w:val="21"/>
          <w:highlight w:val="none"/>
        </w:rPr>
      </w:pPr>
      <w:bookmarkStart w:id="324" w:name="_Toc17317"/>
      <w:bookmarkStart w:id="325" w:name="_Toc57905891"/>
      <w:bookmarkStart w:id="326" w:name="_Toc19555"/>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324"/>
      <w:bookmarkEnd w:id="325"/>
      <w:bookmarkEnd w:id="326"/>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的投标文件，按照报价由低到高的顺序排序。</w:t>
      </w:r>
    </w:p>
    <w:p>
      <w:pPr>
        <w:pStyle w:val="5"/>
        <w:spacing w:before="0" w:after="0" w:line="360" w:lineRule="auto"/>
        <w:rPr>
          <w:rFonts w:ascii="宋体" w:hAnsi="宋体" w:cs="宋体"/>
          <w:color w:val="auto"/>
          <w:sz w:val="21"/>
          <w:szCs w:val="21"/>
          <w:highlight w:val="none"/>
        </w:rPr>
      </w:pPr>
      <w:bookmarkStart w:id="327" w:name="_Toc57905892"/>
      <w:bookmarkStart w:id="328" w:name="_Toc23300"/>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327"/>
      <w:bookmarkEnd w:id="328"/>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款规定的标准对投标文件进行符合性审查。符合性审查顺序：资格评审、形式评审、响应性评审。</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lang w:eastAsia="zh-CN"/>
        </w:rPr>
        <w:t>竞选人</w:t>
      </w:r>
      <w:r>
        <w:rPr>
          <w:rFonts w:ascii="宋体" w:hAnsi="宋体" w:cs="宋体"/>
          <w:color w:val="auto"/>
          <w:szCs w:val="21"/>
          <w:highlight w:val="none"/>
        </w:rPr>
        <w:t>有以下情形之一的，</w:t>
      </w:r>
      <w:r>
        <w:rPr>
          <w:rFonts w:hint="eastAsia" w:ascii="宋体" w:hAnsi="宋体" w:cs="宋体"/>
          <w:color w:val="auto"/>
          <w:szCs w:val="21"/>
          <w:highlight w:val="none"/>
        </w:rPr>
        <w:t>其投标文件将被否决：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lang w:eastAsia="zh-CN"/>
        </w:rPr>
        <w:t>竞选人须知</w:t>
      </w:r>
      <w:r>
        <w:rPr>
          <w:rFonts w:ascii="宋体" w:hAnsi="宋体" w:cs="宋体"/>
          <w:color w:val="auto"/>
          <w:szCs w:val="21"/>
          <w:highlight w:val="none"/>
        </w:rPr>
        <w:t xml:space="preserve">”第1.4.3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书面确认后具有约束力，修正原则如下：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spacing w:line="360" w:lineRule="auto"/>
        <w:ind w:firstLine="420" w:firstLineChars="200"/>
        <w:rPr>
          <w:rFonts w:ascii="宋体" w:hAnsi="宋体" w:cs="宋体"/>
          <w:color w:val="0000FF"/>
          <w:szCs w:val="21"/>
          <w:highlight w:val="none"/>
        </w:rPr>
      </w:pPr>
      <w:r>
        <w:rPr>
          <w:rFonts w:hint="eastAsia" w:ascii="宋体" w:hAnsi="宋体" w:cs="宋体"/>
          <w:color w:val="auto"/>
          <w:szCs w:val="21"/>
          <w:highlight w:val="none"/>
        </w:rPr>
        <w:t>（2）投标函中的总报价与</w:t>
      </w:r>
      <w:r>
        <w:rPr>
          <w:rFonts w:hint="eastAsia" w:ascii="宋体" w:hAnsi="宋体" w:cs="宋体"/>
          <w:color w:val="auto"/>
          <w:szCs w:val="21"/>
          <w:highlight w:val="none"/>
          <w:lang w:val="en-US" w:eastAsia="zh-CN"/>
        </w:rPr>
        <w:t>综合单价</w:t>
      </w:r>
      <w:r>
        <w:rPr>
          <w:rFonts w:hint="eastAsia" w:ascii="宋体" w:hAnsi="宋体" w:cs="宋体"/>
          <w:color w:val="auto"/>
          <w:szCs w:val="21"/>
          <w:highlight w:val="none"/>
        </w:rPr>
        <w:t>清单总报价不一致的，由评标委员会作否决投标处理。</w:t>
      </w:r>
    </w:p>
    <w:p>
      <w:pPr>
        <w:pStyle w:val="5"/>
        <w:spacing w:before="0" w:after="0" w:line="360" w:lineRule="auto"/>
        <w:rPr>
          <w:rFonts w:ascii="宋体" w:hAnsi="宋体" w:cs="宋体"/>
          <w:color w:val="auto"/>
          <w:sz w:val="21"/>
          <w:szCs w:val="21"/>
          <w:highlight w:val="none"/>
        </w:rPr>
      </w:pPr>
      <w:bookmarkStart w:id="329" w:name="_Toc30970"/>
      <w:bookmarkStart w:id="330" w:name="_Toc57905893"/>
      <w:bookmarkStart w:id="331" w:name="_Toc5505"/>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329"/>
      <w:bookmarkEnd w:id="330"/>
      <w:bookmarkEnd w:id="331"/>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对所提交投标文件中不明确的内容进行书面澄清或说明，或者对细微偏差进行补正。评标委员会不接受</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的书面澄清、说明和补正属于投标文件的组成部分。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进一步澄清、说明或补正，直至满足评标委员会的要求。</w:t>
      </w:r>
    </w:p>
    <w:p>
      <w:pPr>
        <w:pStyle w:val="5"/>
        <w:spacing w:before="0" w:after="0" w:line="360" w:lineRule="auto"/>
        <w:rPr>
          <w:rFonts w:ascii="宋体" w:hAnsi="宋体" w:cs="宋体"/>
          <w:color w:val="auto"/>
          <w:sz w:val="21"/>
          <w:szCs w:val="21"/>
          <w:highlight w:val="none"/>
        </w:rPr>
      </w:pPr>
      <w:bookmarkStart w:id="332" w:name="_Toc57905894"/>
      <w:bookmarkStart w:id="333" w:name="_Toc479262406"/>
      <w:bookmarkStart w:id="334" w:name="_Toc26860"/>
      <w:bookmarkStart w:id="335" w:name="_Toc27746"/>
      <w:bookmarkStart w:id="336" w:name="_Toc484465184"/>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332"/>
      <w:bookmarkEnd w:id="333"/>
      <w:bookmarkEnd w:id="334"/>
      <w:bookmarkEnd w:id="335"/>
      <w:bookmarkEnd w:id="336"/>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w:t>
      </w:r>
      <w:r>
        <w:rPr>
          <w:rFonts w:hint="eastAsia" w:ascii="宋体" w:hAnsi="宋体" w:cs="宋体"/>
          <w:color w:val="auto"/>
          <w:szCs w:val="21"/>
          <w:highlight w:val="none"/>
          <w:lang w:eastAsia="zh-CN"/>
        </w:rPr>
        <w:t>竞选人须知</w:t>
      </w:r>
      <w:r>
        <w:rPr>
          <w:rFonts w:hint="eastAsia" w:ascii="宋体" w:hAnsi="宋体" w:cs="宋体"/>
          <w:color w:val="auto"/>
          <w:szCs w:val="21"/>
          <w:highlight w:val="none"/>
        </w:rPr>
        <w:t>”前附表授权直接确定中标人外，评标委员会按经评审的最低投标价法推荐中标候选人。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提交书面评标报告和中标候选人名单。</w:t>
      </w:r>
    </w:p>
    <w:p>
      <w:pPr>
        <w:spacing w:line="360" w:lineRule="auto"/>
        <w:rPr>
          <w:rFonts w:ascii="宋体" w:hAnsi="宋体"/>
          <w:b/>
          <w:szCs w:val="20"/>
          <w:highlight w:val="none"/>
        </w:rPr>
      </w:pPr>
      <w:r>
        <w:rPr>
          <w:rFonts w:ascii="宋体" w:hAnsi="宋体"/>
          <w:kern w:val="0"/>
          <w:sz w:val="20"/>
          <w:szCs w:val="20"/>
          <w:highlight w:val="none"/>
        </w:rPr>
        <w:br w:type="page"/>
      </w:r>
    </w:p>
    <w:p>
      <w:pPr>
        <w:pStyle w:val="33"/>
        <w:spacing w:line="360" w:lineRule="auto"/>
        <w:rPr>
          <w:rFonts w:ascii="宋体" w:hAnsi="宋体"/>
          <w:b/>
          <w:color w:val="auto"/>
          <w:sz w:val="28"/>
          <w:szCs w:val="28"/>
          <w:highlight w:val="none"/>
          <w:u w:val="none"/>
          <w:lang w:eastAsia="zh-CN"/>
        </w:rPr>
      </w:pPr>
      <w:bookmarkStart w:id="337" w:name="招标文件04章合同条款及格式"/>
      <w:bookmarkEnd w:id="337"/>
      <w:bookmarkStart w:id="338" w:name="招标文件03章02评标办法综合评估法02附件02"/>
      <w:bookmarkEnd w:id="338"/>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投标文件存在本一览表下列情形之一的，投标文件视为重大偏差并作否决投标处理，否则，评标委员会不得视为重大偏差而否决竞选人的投标文件</w:t>
      </w:r>
      <w:r>
        <w:rPr>
          <w:rFonts w:ascii="宋体" w:hAnsi="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237"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899"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ascii="宋体" w:hAnsi="宋体"/>
                <w:color w:val="auto"/>
                <w:szCs w:val="21"/>
                <w:highlight w:val="none"/>
              </w:rPr>
            </w:pPr>
            <w:r>
              <w:rPr>
                <w:rFonts w:hint="eastAsia" w:ascii="宋体" w:hAnsi="宋体"/>
                <w:color w:val="auto"/>
                <w:szCs w:val="21"/>
                <w:highlight w:val="none"/>
              </w:rPr>
              <w:t>（如有）</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eastAsia="zh-CN"/>
              </w:rPr>
              <w:t>竞选人</w:t>
            </w:r>
            <w:r>
              <w:rPr>
                <w:rFonts w:hint="eastAsia" w:ascii="宋体" w:hAnsi="宋体"/>
                <w:color w:val="auto"/>
                <w:szCs w:val="21"/>
                <w:highlight w:val="none"/>
              </w:rPr>
              <w:t>的技术方案综合性评审不合格，由评标委员会作否决投标处理。技术方案采用暗标评审时，其形式应符合第二章</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第3.7.5项（</w:t>
            </w:r>
            <w:r>
              <w:rPr>
                <w:rFonts w:hint="eastAsia" w:ascii="宋体" w:hAnsi="宋体"/>
                <w:color w:val="auto"/>
                <w:szCs w:val="21"/>
                <w:highlight w:val="none"/>
                <w:lang w:val="en-US" w:eastAsia="zh-CN"/>
              </w:rPr>
              <w:t>4</w:t>
            </w:r>
            <w:r>
              <w:rPr>
                <w:rFonts w:hint="eastAsia" w:ascii="宋体" w:hAnsi="宋体"/>
                <w:color w:val="auto"/>
                <w:szCs w:val="21"/>
                <w:highlight w:val="none"/>
              </w:rPr>
              <w:t>）技术部分的</w:t>
            </w:r>
            <w:r>
              <w:rPr>
                <w:rFonts w:hint="eastAsia" w:ascii="宋体" w:hAnsi="宋体"/>
                <w:color w:val="auto"/>
                <w:szCs w:val="21"/>
                <w:highlight w:val="none"/>
                <w:lang w:val="en-US" w:eastAsia="zh-CN"/>
              </w:rPr>
              <w:t>装订</w:t>
            </w:r>
            <w:r>
              <w:rPr>
                <w:rFonts w:hint="eastAsia" w:ascii="宋体" w:hAnsi="宋体"/>
                <w:color w:val="auto"/>
                <w:szCs w:val="21"/>
                <w:highlight w:val="none"/>
              </w:rPr>
              <w:t>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eastAsia="zh-CN"/>
              </w:rPr>
              <w:t>竞选人</w:t>
            </w:r>
            <w:r>
              <w:rPr>
                <w:rFonts w:hint="eastAsia" w:ascii="宋体" w:hAnsi="宋体"/>
                <w:color w:val="auto"/>
                <w:szCs w:val="21"/>
                <w:highlight w:val="none"/>
              </w:rPr>
              <w:t>的资质条件、营业执照及安全生产条件须满足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w:t>
            </w:r>
            <w:r>
              <w:rPr>
                <w:rFonts w:hint="eastAsia" w:ascii="宋体" w:hAnsi="宋体"/>
                <w:color w:val="auto"/>
                <w:szCs w:val="21"/>
                <w:highlight w:val="none"/>
                <w:lang w:eastAsia="zh-CN"/>
              </w:rPr>
              <w:t>竞选人</w:t>
            </w:r>
            <w:r>
              <w:rPr>
                <w:rFonts w:hint="eastAsia" w:ascii="宋体" w:hAnsi="宋体"/>
                <w:color w:val="auto"/>
                <w:szCs w:val="21"/>
                <w:highlight w:val="none"/>
              </w:rPr>
              <w:t>的财务须满足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w:t>
            </w:r>
            <w:r>
              <w:rPr>
                <w:rFonts w:hint="eastAsia" w:ascii="宋体" w:hAnsi="宋体"/>
                <w:color w:val="auto"/>
                <w:szCs w:val="21"/>
                <w:highlight w:val="none"/>
                <w:lang w:eastAsia="zh-CN"/>
              </w:rPr>
              <w:t>竞选人</w:t>
            </w:r>
            <w:r>
              <w:rPr>
                <w:rFonts w:hint="eastAsia" w:ascii="宋体" w:hAnsi="宋体"/>
                <w:color w:val="auto"/>
                <w:szCs w:val="21"/>
                <w:highlight w:val="none"/>
              </w:rPr>
              <w:t>的业绩须满足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w:t>
            </w:r>
            <w:r>
              <w:rPr>
                <w:rFonts w:hint="eastAsia" w:ascii="宋体" w:hAnsi="宋体"/>
                <w:color w:val="auto"/>
                <w:szCs w:val="21"/>
                <w:highlight w:val="none"/>
                <w:lang w:eastAsia="zh-CN"/>
              </w:rPr>
              <w:t>竞选人</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w:t>
            </w:r>
            <w:r>
              <w:rPr>
                <w:rFonts w:hint="eastAsia" w:ascii="宋体" w:hAnsi="宋体"/>
                <w:color w:val="auto"/>
                <w:szCs w:val="21"/>
                <w:highlight w:val="none"/>
                <w:lang w:eastAsia="zh-CN"/>
              </w:rPr>
              <w:t>竞选人</w:t>
            </w:r>
            <w:r>
              <w:rPr>
                <w:rFonts w:hint="eastAsia" w:ascii="宋体" w:hAnsi="宋体"/>
                <w:color w:val="auto"/>
                <w:szCs w:val="21"/>
                <w:highlight w:val="none"/>
              </w:rPr>
              <w:t>的项目经理资格须满足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w:t>
            </w:r>
            <w:r>
              <w:rPr>
                <w:rFonts w:hint="eastAsia" w:ascii="宋体" w:hAnsi="宋体"/>
                <w:color w:val="auto"/>
                <w:szCs w:val="21"/>
                <w:highlight w:val="none"/>
                <w:lang w:eastAsia="zh-CN"/>
              </w:rPr>
              <w:t>竞选人</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A-8若有联合体</w:t>
            </w:r>
            <w:r>
              <w:rPr>
                <w:rFonts w:hint="eastAsia" w:ascii="宋体" w:hAnsi="宋体"/>
                <w:color w:val="auto"/>
                <w:szCs w:val="21"/>
                <w:highlight w:val="none"/>
                <w:lang w:eastAsia="zh-CN"/>
              </w:rPr>
              <w:t>竞选人</w:t>
            </w:r>
            <w:r>
              <w:rPr>
                <w:rFonts w:hint="eastAsia" w:ascii="宋体" w:hAnsi="宋体"/>
                <w:color w:val="auto"/>
                <w:szCs w:val="21"/>
                <w:highlight w:val="none"/>
              </w:rPr>
              <w:t>，则：</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w:t>
            </w:r>
            <w:r>
              <w:rPr>
                <w:rFonts w:hint="eastAsia" w:ascii="宋体" w:hAnsi="宋体"/>
                <w:color w:val="auto"/>
                <w:szCs w:val="21"/>
                <w:highlight w:val="none"/>
                <w:lang w:eastAsia="zh-CN"/>
              </w:rPr>
              <w:t>竞选人</w:t>
            </w:r>
            <w:r>
              <w:rPr>
                <w:rFonts w:hint="eastAsia" w:ascii="宋体" w:hAnsi="宋体"/>
                <w:color w:val="auto"/>
                <w:szCs w:val="21"/>
                <w:highlight w:val="none"/>
              </w:rPr>
              <w:t>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A-10投标函格式规定签名、盖章的位置有法定代表人或其委托代理人签名（或盖章）、加盖单位法人章，否则由评标委员会作否决投标处理。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A-11投标文件格式符合第二章“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”第3.7款的要求，否则由评标委员会作否决投标处理。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A-12投标文件份数符合第二章“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”第3.7.4项的规定，</w:t>
            </w:r>
            <w:r>
              <w:rPr>
                <w:rFonts w:hint="eastAsia" w:ascii="宋体" w:hAnsi="宋体"/>
                <w:color w:val="auto"/>
                <w:kern w:val="0"/>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w:t>
            </w:r>
            <w:r>
              <w:rPr>
                <w:rFonts w:hint="eastAsia" w:ascii="宋体" w:hAnsi="宋体" w:cs="宋体"/>
                <w:color w:val="auto"/>
                <w:kern w:val="0"/>
                <w:highlight w:val="none"/>
              </w:rPr>
              <w:t>第八章 投标文件格式要求法定代表人或其委托代理人签名（或盖章）的须齐全。</w:t>
            </w: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w:t>
            </w:r>
            <w:r>
              <w:rPr>
                <w:rFonts w:hint="eastAsia" w:ascii="宋体" w:hAnsi="宋体"/>
                <w:color w:val="auto"/>
                <w:szCs w:val="21"/>
                <w:highlight w:val="none"/>
                <w:lang w:eastAsia="zh-CN"/>
              </w:rPr>
              <w:t>竞选人</w:t>
            </w:r>
            <w:r>
              <w:rPr>
                <w:rFonts w:hint="eastAsia" w:ascii="宋体" w:hAnsi="宋体"/>
                <w:color w:val="auto"/>
                <w:szCs w:val="21"/>
                <w:highlight w:val="none"/>
              </w:rPr>
              <w:t>法定代表人的委托代理人有法定代表人签署的授权委托书和</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A-17</w:t>
            </w:r>
            <w:r>
              <w:rPr>
                <w:rFonts w:hint="eastAsia" w:ascii="宋体" w:hAnsi="宋体" w:cs="宋体"/>
                <w:color w:val="auto"/>
                <w:szCs w:val="21"/>
                <w:highlight w:val="none"/>
              </w:rPr>
              <w:t>投标总报价必须与已标价工程量清单总报价一致</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A-18投标总报价不得高于</w:t>
            </w:r>
            <w:r>
              <w:rPr>
                <w:rFonts w:hint="eastAsia" w:ascii="宋体" w:hAnsi="宋体"/>
                <w:color w:val="auto"/>
                <w:szCs w:val="21"/>
                <w:highlight w:val="none"/>
                <w:lang w:eastAsia="zh-CN"/>
              </w:rPr>
              <w:t>比选人</w:t>
            </w:r>
            <w:r>
              <w:rPr>
                <w:rFonts w:hint="eastAsia" w:ascii="宋体" w:hAnsi="宋体"/>
                <w:color w:val="auto"/>
                <w:szCs w:val="21"/>
                <w:highlight w:val="none"/>
              </w:rPr>
              <w:t>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A-19投标总报价低于最高限价85%的，</w:t>
            </w:r>
            <w:r>
              <w:rPr>
                <w:rFonts w:hint="eastAsia" w:ascii="宋体" w:hAnsi="宋体"/>
                <w:color w:val="auto"/>
                <w:szCs w:val="21"/>
                <w:highlight w:val="none"/>
                <w:lang w:eastAsia="zh-CN"/>
              </w:rPr>
              <w:t>竞选人</w:t>
            </w:r>
            <w:r>
              <w:rPr>
                <w:rFonts w:hint="eastAsia" w:ascii="宋体" w:hAnsi="宋体"/>
                <w:color w:val="auto"/>
                <w:szCs w:val="21"/>
                <w:highlight w:val="none"/>
              </w:rPr>
              <w:t>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A-20暂列金额、暂估价、安全文明施工费等暂定金额必须按照招标文件给定的金额填报，否则由评标委员会作否决投标处理。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A-21投标内容符合第二章“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A-22工期符合第二章“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A-23工程质量符合第二章“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A-24投标有效期符合第二章“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A-25</w:t>
            </w:r>
            <w:r>
              <w:rPr>
                <w:rFonts w:hint="eastAsia" w:ascii="宋体" w:hAnsi="宋体"/>
                <w:color w:val="auto"/>
                <w:szCs w:val="21"/>
                <w:highlight w:val="none"/>
                <w:lang w:eastAsia="zh-CN"/>
              </w:rPr>
              <w:t>竞选人</w:t>
            </w:r>
            <w:r>
              <w:rPr>
                <w:rFonts w:ascii="宋体" w:hAnsi="宋体"/>
                <w:color w:val="auto"/>
                <w:szCs w:val="21"/>
                <w:highlight w:val="none"/>
              </w:rPr>
              <w:t>应按</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规定递交投标保证金，并作为其投标文件的组成部分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A-26符合第四章“合同条款及格式”规定，投标文件不应附有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不能接受的条件，否则由评标委员会作否决投标处理。（由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A-27符合第七章“技术标准和要求”规定。否则由评标委员会作否决投标处理（如有）。（由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A-28</w:t>
            </w:r>
            <w:r>
              <w:rPr>
                <w:rFonts w:hint="eastAsia" w:ascii="宋体" w:hAnsi="宋体"/>
                <w:color w:val="auto"/>
                <w:szCs w:val="21"/>
                <w:highlight w:val="none"/>
                <w:lang w:eastAsia="zh-CN"/>
              </w:rPr>
              <w:t>竞选人</w:t>
            </w:r>
            <w:r>
              <w:rPr>
                <w:rFonts w:hint="eastAsia" w:ascii="宋体" w:hAnsi="宋体"/>
                <w:color w:val="auto"/>
                <w:szCs w:val="21"/>
                <w:highlight w:val="none"/>
              </w:rPr>
              <w:t>提供的关于已标价工程量清单的承诺符合招标文件的要求，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A-30</w:t>
            </w:r>
            <w:r>
              <w:rPr>
                <w:rFonts w:hint="eastAsia" w:ascii="宋体" w:hAnsi="宋体"/>
                <w:color w:val="auto"/>
                <w:szCs w:val="21"/>
                <w:highlight w:val="none"/>
                <w:lang w:eastAsia="zh-CN"/>
              </w:rPr>
              <w:t>竞选人</w:t>
            </w:r>
            <w:r>
              <w:rPr>
                <w:rFonts w:hint="eastAsia" w:ascii="宋体" w:hAnsi="宋体"/>
                <w:color w:val="auto"/>
                <w:szCs w:val="21"/>
                <w:highlight w:val="none"/>
              </w:rPr>
              <w:t>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”第1.4.3项规定的任何一种情形的；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i/>
                <w:color w:val="auto"/>
                <w:szCs w:val="21"/>
                <w:highlight w:val="none"/>
              </w:rPr>
            </w:pPr>
            <w:r>
              <w:rPr>
                <w:rFonts w:hint="eastAsia" w:ascii="宋体" w:hAnsi="宋体"/>
                <w:i/>
                <w:color w:val="auto"/>
                <w:szCs w:val="21"/>
                <w:highlight w:val="none"/>
              </w:rPr>
              <w:t>[提示：</w:t>
            </w:r>
            <w:r>
              <w:rPr>
                <w:rFonts w:hint="eastAsia" w:ascii="宋体" w:hAnsi="宋体"/>
                <w:i/>
                <w:color w:val="auto"/>
                <w:szCs w:val="21"/>
                <w:highlight w:val="none"/>
                <w:lang w:eastAsia="zh-CN"/>
              </w:rPr>
              <w:t>比选人</w:t>
            </w:r>
            <w:r>
              <w:rPr>
                <w:rFonts w:hint="eastAsia" w:ascii="宋体" w:hAnsi="宋体"/>
                <w:i/>
                <w:color w:val="auto"/>
                <w:szCs w:val="21"/>
                <w:highlight w:val="none"/>
              </w:rPr>
              <w:t>必须将所有否决投标条款集中罗列于此表，若无其他否决投标条款则在该条写无。]</w:t>
            </w:r>
          </w:p>
        </w:tc>
      </w:tr>
    </w:tbl>
    <w:p>
      <w:pPr>
        <w:spacing w:line="480" w:lineRule="auto"/>
        <w:jc w:val="left"/>
        <w:rPr>
          <w:rFonts w:ascii="宋体" w:hAnsi="宋体"/>
          <w:color w:val="auto"/>
          <w:kern w:val="0"/>
          <w:sz w:val="24"/>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before="340" w:after="330" w:line="360" w:lineRule="auto"/>
        <w:jc w:val="left"/>
        <w:rPr>
          <w:rFonts w:ascii="宋体" w:hAnsi="宋体"/>
          <w:kern w:val="0"/>
          <w:sz w:val="52"/>
          <w:szCs w:val="52"/>
          <w:highlight w:val="none"/>
        </w:rPr>
      </w:pPr>
      <w:r>
        <w:rPr>
          <w:rFonts w:ascii="宋体" w:hAnsi="宋体"/>
          <w:kern w:val="0"/>
          <w:highlight w:val="none"/>
        </w:rPr>
        <w:br w:type="page"/>
      </w:r>
    </w:p>
    <w:p>
      <w:pPr>
        <w:pStyle w:val="3"/>
        <w:spacing w:line="360" w:lineRule="auto"/>
        <w:jc w:val="center"/>
        <w:rPr>
          <w:rFonts w:ascii="宋体" w:hAnsi="宋体"/>
          <w:kern w:val="0"/>
          <w:highlight w:val="none"/>
        </w:rPr>
      </w:pPr>
      <w:bookmarkStart w:id="339" w:name="_Toc8427"/>
      <w:bookmarkStart w:id="340" w:name="_Toc509218785"/>
      <w:bookmarkStart w:id="341" w:name="_Toc430530509"/>
      <w:bookmarkStart w:id="342" w:name="_Toc10597"/>
      <w:bookmarkStart w:id="343" w:name="_Toc12421"/>
      <w:r>
        <w:rPr>
          <w:rFonts w:hint="eastAsia" w:ascii="宋体" w:hAnsi="宋体"/>
          <w:kern w:val="0"/>
          <w:highlight w:val="none"/>
        </w:rPr>
        <w:t>第四章  合同条款及格式</w:t>
      </w:r>
      <w:bookmarkEnd w:id="339"/>
      <w:bookmarkEnd w:id="340"/>
      <w:bookmarkEnd w:id="341"/>
      <w:bookmarkEnd w:id="342"/>
      <w:bookmarkEnd w:id="343"/>
    </w:p>
    <w:p>
      <w:pPr>
        <w:spacing w:after="156" w:afterLines="50" w:line="560" w:lineRule="exact"/>
        <w:jc w:val="center"/>
        <w:rPr>
          <w:rFonts w:hint="eastAsia" w:ascii="方正小标宋_GBK" w:hAnsi="方正小标宋_GBK" w:eastAsia="方正小标宋_GBK" w:cs="方正小标宋_GBK"/>
          <w:sz w:val="44"/>
          <w:szCs w:val="44"/>
        </w:rPr>
      </w:pPr>
      <w:r>
        <w:rPr>
          <w:rFonts w:ascii="宋体" w:hAnsi="宋体"/>
          <w:highlight w:val="none"/>
        </w:rPr>
        <w:br w:type="page"/>
      </w:r>
      <w:bookmarkStart w:id="344" w:name="_Toc23843"/>
      <w:bookmarkStart w:id="345" w:name="_Toc534185829"/>
      <w:bookmarkStart w:id="346" w:name="_Toc287607865"/>
      <w:bookmarkStart w:id="347" w:name="_Toc24390"/>
      <w:bookmarkStart w:id="348" w:name="_Toc287620812"/>
      <w:bookmarkStart w:id="349" w:name="_Toc430530528"/>
      <w:bookmarkStart w:id="350" w:name="_Toc509218852"/>
      <w:bookmarkStart w:id="351" w:name="_Toc3098"/>
      <w:bookmarkStart w:id="352" w:name="_Toc351203480"/>
      <w:bookmarkStart w:id="353" w:name="_Toc296890982"/>
      <w:bookmarkStart w:id="354" w:name="_Toc296503025"/>
      <w:r>
        <w:rPr>
          <w:rFonts w:hint="eastAsia" w:ascii="方正小标宋_GBK" w:hAnsi="方正小标宋_GBK" w:eastAsia="方正小标宋_GBK" w:cs="方正小标宋_GBK"/>
          <w:sz w:val="44"/>
          <w:szCs w:val="44"/>
        </w:rPr>
        <w:t>迎龙创新港大科园片区房屋维修维护项目合同</w:t>
      </w:r>
    </w:p>
    <w:p>
      <w:pPr>
        <w:spacing w:line="5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甲方：         （以下简称甲方）                        　　</w:t>
      </w:r>
    </w:p>
    <w:p>
      <w:pPr>
        <w:spacing w:line="5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住所地：</w:t>
      </w:r>
    </w:p>
    <w:p>
      <w:pPr>
        <w:spacing w:line="5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乙方：         （以下简称乙方）   　　</w:t>
      </w:r>
    </w:p>
    <w:p>
      <w:pPr>
        <w:spacing w:line="5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住所地：</w:t>
      </w:r>
    </w:p>
    <w:p>
      <w:pPr>
        <w:pStyle w:val="18"/>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法定代表人：</w:t>
      </w:r>
    </w:p>
    <w:p>
      <w:pPr>
        <w:pStyle w:val="18"/>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社会统一信用代码：</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依照《中华人民共和国民法典》等相关法律、法规的规定，甲乙双方本着诚实信用原则，经平等自愿协商，就迎龙创新港大科园片区房屋维修维护项目相关事宜达成一致，特订立本合同，双方共同遵照执行。　　</w:t>
      </w:r>
    </w:p>
    <w:p>
      <w:pPr>
        <w:spacing w:line="560" w:lineRule="exact"/>
        <w:ind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一、项目概况</w:t>
      </w:r>
    </w:p>
    <w:p>
      <w:pPr>
        <w:spacing w:line="560" w:lineRule="exact"/>
        <w:ind w:firstLine="602"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sz w:val="30"/>
          <w:szCs w:val="30"/>
        </w:rPr>
        <w:t>（一） 项目名称：</w:t>
      </w:r>
      <w:r>
        <w:rPr>
          <w:rFonts w:hint="eastAsia" w:ascii="方正仿宋_GBK" w:hAnsi="方正仿宋_GBK" w:eastAsia="方正仿宋_GBK" w:cs="方正仿宋_GBK"/>
          <w:sz w:val="30"/>
          <w:szCs w:val="30"/>
        </w:rPr>
        <w:t>迎龙创新港大科园片区房屋维修维护</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（二） 项目地点：</w:t>
      </w:r>
      <w:r>
        <w:rPr>
          <w:rFonts w:hint="eastAsia" w:ascii="方正仿宋_GBK" w:hAnsi="方正仿宋_GBK" w:eastAsia="方正仿宋_GBK" w:cs="方正仿宋_GBK"/>
          <w:sz w:val="30"/>
          <w:szCs w:val="30"/>
        </w:rPr>
        <w:t>重庆市南岸区迎龙创新港大科园片区</w:t>
      </w:r>
    </w:p>
    <w:p>
      <w:pPr>
        <w:spacing w:line="560" w:lineRule="exact"/>
        <w:ind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二、合同期限及费用</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本《合同》</w:t>
      </w:r>
      <w:r>
        <w:rPr>
          <w:rFonts w:hint="eastAsia" w:ascii="方正仿宋_GBK" w:hAnsi="方正仿宋_GBK" w:eastAsia="方正仿宋_GBK" w:cs="方正仿宋_GBK"/>
          <w:sz w:val="30"/>
          <w:szCs w:val="30"/>
          <w:lang w:val="en-US" w:eastAsia="zh-CN"/>
        </w:rPr>
        <w:t>暂定</w:t>
      </w:r>
      <w:r>
        <w:rPr>
          <w:rFonts w:hint="eastAsia" w:ascii="方正仿宋_GBK" w:hAnsi="方正仿宋_GBK" w:eastAsia="方正仿宋_GBK" w:cs="方正仿宋_GBK"/>
          <w:sz w:val="30"/>
          <w:szCs w:val="30"/>
        </w:rPr>
        <w:t>期限</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年，自</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日至</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日止</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28"/>
          <w:szCs w:val="28"/>
          <w:lang w:eastAsia="zh-CN"/>
        </w:rPr>
        <w:t>具体以合同项目保修期满为止。</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暂定合同金额：</w:t>
      </w:r>
      <w:r>
        <w:rPr>
          <w:rFonts w:hint="eastAsia" w:ascii="方正仿宋_GBK" w:hAnsi="方正仿宋_GBK" w:eastAsia="方正仿宋_GBK" w:cs="方正仿宋_GBK"/>
          <w:sz w:val="30"/>
          <w:szCs w:val="30"/>
          <w:u w:val="single"/>
        </w:rPr>
        <w:t xml:space="preserve">      元（大写：         ）</w:t>
      </w:r>
      <w:r>
        <w:rPr>
          <w:rFonts w:hint="eastAsia" w:ascii="方正仿宋_GBK" w:hAnsi="方正仿宋_GBK" w:eastAsia="方正仿宋_GBK" w:cs="方正仿宋_GBK"/>
          <w:sz w:val="30"/>
          <w:szCs w:val="30"/>
        </w:rPr>
        <w:t>，全费用综合折扣</w:t>
      </w:r>
      <w:r>
        <w:rPr>
          <w:rFonts w:hint="eastAsia" w:ascii="方正仿宋_GBK" w:hAnsi="方正仿宋_GBK" w:eastAsia="方正仿宋_GBK" w:cs="方正仿宋_GBK"/>
          <w:sz w:val="30"/>
          <w:szCs w:val="30"/>
          <w:u w:val="single"/>
        </w:rPr>
        <w:t xml:space="preserve">       （大写：         ） </w:t>
      </w:r>
      <w:r>
        <w:rPr>
          <w:rFonts w:hint="eastAsia" w:ascii="方正仿宋_GBK" w:hAnsi="方正仿宋_GBK" w:eastAsia="方正仿宋_GBK" w:cs="方正仿宋_GBK"/>
          <w:sz w:val="30"/>
          <w:szCs w:val="30"/>
        </w:rPr>
        <w:t>。最终金额以甲方审定的结算金额为准。</w:t>
      </w:r>
    </w:p>
    <w:p>
      <w:pPr>
        <w:spacing w:line="560" w:lineRule="exact"/>
        <w:ind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三、项目主要内容　</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（一）主要维修内容</w:t>
      </w:r>
      <w:r>
        <w:rPr>
          <w:rFonts w:hint="eastAsia" w:ascii="方正仿宋_GBK" w:hAnsi="方正仿宋_GBK" w:eastAsia="方正仿宋_GBK" w:cs="方正仿宋_GBK"/>
          <w:sz w:val="30"/>
          <w:szCs w:val="30"/>
        </w:rPr>
        <w:t>：包括但不限于如下内容，具体以业主单位委托的维修项目为准。</w:t>
      </w:r>
    </w:p>
    <w:p>
      <w:pPr>
        <w:spacing w:line="560" w:lineRule="exact"/>
        <w:ind w:firstLine="600"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sz w:val="30"/>
          <w:szCs w:val="30"/>
        </w:rPr>
        <w:t>1.外墙抹灰层或瓷砖鼓包脱落，恢复处理。</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2.房屋外墙雨水管老化漏水，补漏或更换处理。</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3.屋面防水处理；雨儿墙防水处理。</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4.主排水排污管道疏通及优化改造；雨污水沟、槽、井、窨井清理清掏清运；屋面天沟清掏检查。</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5.厨房、卫生间主排污管道锈蚀老化漏水，补漏或更换处理；阳台主排水管锈蚀老化漏水，补漏或更换处理。</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6.楼栋自来水主水管漏水，补漏或更换处理。</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7.路面、堡坎、围墙修复。</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8.窨井盖、铸铁（塑钢、喷塑铁）栏杆等公共设施维护。</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9.因不可抗拒因素造成的房屋损坏等情况的恢复处理。</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10.房屋分隔改变、功能调整及个性化需求等改造、装饰装修。</w:t>
      </w:r>
    </w:p>
    <w:p>
      <w:pPr>
        <w:spacing w:line="560" w:lineRule="exact"/>
        <w:ind w:firstLine="600" w:firstLineChars="200"/>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z w:val="30"/>
          <w:szCs w:val="30"/>
        </w:rPr>
        <w:t>11.上述范围的突发应急抢险。</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（二）维修材料要求</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材料采用合格产品，质量符合国家及行业标准。</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（三）验收标准</w:t>
      </w:r>
    </w:p>
    <w:p>
      <w:pPr>
        <w:spacing w:line="560" w:lineRule="exact"/>
        <w:ind w:firstLine="600"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安装与屋面防水应达到建筑安装质量和施工工艺要求与验收标准。其中室内（厨房、厕所、阳台）主排水排污管更换后无渗漏；外墙雨水管更换后无脱节、渗漏；屋面防水处理满足暴雨季节无渗漏；其他事项符合国家及行业规范、标准；</w:t>
      </w:r>
    </w:p>
    <w:p>
      <w:pPr>
        <w:spacing w:line="560" w:lineRule="exact"/>
        <w:ind w:firstLine="600"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（2）完成甲方安排的维修维护工作及相关竣工资料，经甲方确认后，组织相关部门进行验收。竣工日期以最后一次整改后通过竣工验收的时间为准。</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乙方必须按要求整改，并承担整改费用；如乙方拒绝按甲方提出的要求整改，甲方有权请第三方整改，由此发生的整改费用从未付工程款中扣除，不足部分甲方有权向乙方追偿。当验收通过后具备交付使用条件时，乙方不得以任何借口拒绝移交工程，甲方有权</w:t>
      </w:r>
      <w:r>
        <w:rPr>
          <w:rFonts w:hint="eastAsia" w:ascii="方正仿宋_GBK" w:hAnsi="方正仿宋_GBK" w:eastAsia="方正仿宋_GBK" w:cs="方正仿宋_GBK"/>
          <w:sz w:val="30"/>
          <w:szCs w:val="30"/>
          <w:lang w:val="en-US" w:eastAsia="zh-CN"/>
        </w:rPr>
        <w:t>直接</w:t>
      </w:r>
      <w:r>
        <w:rPr>
          <w:rFonts w:hint="eastAsia" w:ascii="方正仿宋_GBK" w:hAnsi="方正仿宋_GBK" w:eastAsia="方正仿宋_GBK" w:cs="方正仿宋_GBK"/>
          <w:sz w:val="30"/>
          <w:szCs w:val="30"/>
        </w:rPr>
        <w:t>使用，由此发生的一切后果，由乙方负责。</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（4）乙方提供竣工资料的约定：乙方提供纸质版资料两套，电子版资料一套（U盘）。</w:t>
      </w:r>
    </w:p>
    <w:p>
      <w:pPr>
        <w:spacing w:line="560" w:lineRule="exact"/>
        <w:ind w:firstLine="602"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四、工程质量要求　　</w:t>
      </w:r>
      <w:r>
        <w:rPr>
          <w:rFonts w:hint="eastAsia" w:ascii="方正仿宋_GBK" w:hAnsi="方正仿宋_GBK" w:eastAsia="方正仿宋_GBK" w:cs="方正仿宋_GBK"/>
          <w:sz w:val="30"/>
          <w:szCs w:val="30"/>
        </w:rPr>
        <w:t>　</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本工程按现行建筑工程国家质量验收标准执行，达到合格以上。因乙方原因造成工程质量不合格，乙方必须无条件进行返工，使工程达到合同约定的质量标准，并由乙方自行承担所产生的费用。如乙方在甲方指定的时间内未进行整改，则甲方有权指定第三方整改，并有权将发生相关的全部费用直接从乙方结算款项内扣除</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不足部分甲方有权向乙方追偿。　　</w:t>
      </w:r>
    </w:p>
    <w:p>
      <w:pPr>
        <w:spacing w:line="560" w:lineRule="exact"/>
        <w:ind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五、验收确认及保修</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（一）乙方完成各维修维护项目，应立即向甲方提出验收申请，届时由甲方组织相关人员进行验收确认。验收不合格，乙方应负责无偿返工或修复，若延期完工，则</w:t>
      </w:r>
      <w:r>
        <w:rPr>
          <w:rFonts w:hint="eastAsia" w:ascii="方正仿宋_GBK" w:hAnsi="方正仿宋_GBK" w:eastAsia="方正仿宋_GBK" w:cs="方正仿宋_GBK"/>
          <w:sz w:val="30"/>
          <w:szCs w:val="30"/>
          <w:lang w:val="en-US" w:eastAsia="zh-CN"/>
        </w:rPr>
        <w:t>乙方</w:t>
      </w:r>
      <w:r>
        <w:rPr>
          <w:rFonts w:hint="eastAsia" w:ascii="方正仿宋_GBK" w:hAnsi="方正仿宋_GBK" w:eastAsia="方正仿宋_GBK" w:cs="方正仿宋_GBK"/>
          <w:sz w:val="30"/>
          <w:szCs w:val="30"/>
        </w:rPr>
        <w:t>承担相应的损失。</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各维修项目自甲方组织现场验收确认并出具相关验收确认单之后开始计算质保期，一般项目维修质保期为1年；其中下水道疏通质保期3个月；外墙雨水管更换质保期2年；室内（厨房、厕所、阳台）主排水排污管更换质保期2年；自来水主水管更换质保期5年；屋面防水整体处理质保期5年；堡坎、路面修复质保期3年。</w:t>
      </w:r>
    </w:p>
    <w:p>
      <w:pPr>
        <w:spacing w:line="560" w:lineRule="exact"/>
        <w:ind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六、工程结算及付款方式</w:t>
      </w:r>
    </w:p>
    <w:p>
      <w:pPr>
        <w:spacing w:line="560" w:lineRule="exact"/>
        <w:ind w:firstLine="602" w:firstLineChars="200"/>
        <w:rPr>
          <w:rFonts w:hint="eastAsia" w:ascii="方正仿宋_GBK" w:hAnsi="方正仿宋_GBK" w:eastAsia="方正仿宋_GBK" w:cs="方正仿宋_GBK"/>
          <w:b/>
          <w:sz w:val="30"/>
          <w:szCs w:val="30"/>
          <w:lang w:val="en-US" w:eastAsia="zh-CN"/>
        </w:rPr>
      </w:pPr>
      <w:r>
        <w:rPr>
          <w:rFonts w:hint="eastAsia" w:ascii="方正仿宋_GBK" w:hAnsi="方正仿宋_GBK" w:eastAsia="方正仿宋_GBK" w:cs="方正仿宋_GBK"/>
          <w:b/>
          <w:sz w:val="30"/>
          <w:szCs w:val="30"/>
        </w:rPr>
        <w:t>付款方式：</w:t>
      </w:r>
      <w:r>
        <w:rPr>
          <w:rFonts w:hint="eastAsia" w:ascii="方正仿宋_GBK" w:hAnsi="方正仿宋_GBK" w:eastAsia="方正仿宋_GBK" w:cs="方正仿宋_GBK"/>
          <w:b w:val="0"/>
          <w:bCs/>
          <w:sz w:val="30"/>
          <w:szCs w:val="30"/>
        </w:rPr>
        <w:t>原则上每3个月结算一次。</w:t>
      </w:r>
      <w:r>
        <w:rPr>
          <w:rFonts w:hint="eastAsia" w:ascii="方正仿宋_GBK" w:hAnsi="方正仿宋_GBK" w:eastAsia="方正仿宋_GBK" w:cs="方正仿宋_GBK"/>
          <w:b w:val="0"/>
          <w:bCs/>
          <w:sz w:val="30"/>
          <w:szCs w:val="30"/>
          <w:lang w:val="en-US" w:eastAsia="zh-CN"/>
        </w:rPr>
        <w:t>乙方</w:t>
      </w:r>
      <w:r>
        <w:rPr>
          <w:rFonts w:hint="eastAsia" w:ascii="方正仿宋_GBK" w:hAnsi="方正仿宋_GBK" w:eastAsia="方正仿宋_GBK" w:cs="方正仿宋_GBK"/>
          <w:b w:val="0"/>
          <w:bCs/>
          <w:sz w:val="30"/>
          <w:szCs w:val="30"/>
        </w:rPr>
        <w:t>完成维修、安装、调试等工作并通过</w:t>
      </w:r>
      <w:r>
        <w:rPr>
          <w:rFonts w:hint="eastAsia" w:ascii="方正仿宋_GBK" w:hAnsi="方正仿宋_GBK" w:eastAsia="方正仿宋_GBK" w:cs="方正仿宋_GBK"/>
          <w:b w:val="0"/>
          <w:bCs/>
          <w:sz w:val="30"/>
          <w:szCs w:val="30"/>
          <w:lang w:val="en-US" w:eastAsia="zh-CN"/>
        </w:rPr>
        <w:t>甲方</w:t>
      </w:r>
      <w:r>
        <w:rPr>
          <w:rFonts w:hint="eastAsia" w:ascii="方正仿宋_GBK" w:hAnsi="方正仿宋_GBK" w:eastAsia="方正仿宋_GBK" w:cs="方正仿宋_GBK"/>
          <w:b w:val="0"/>
          <w:bCs/>
          <w:sz w:val="30"/>
          <w:szCs w:val="30"/>
        </w:rPr>
        <w:t>人验收合格后，按每3个月结算一次的原则</w:t>
      </w:r>
      <w:r>
        <w:rPr>
          <w:rFonts w:hint="eastAsia" w:ascii="方正仿宋_GBK" w:hAnsi="方正仿宋_GBK" w:eastAsia="方正仿宋_GBK" w:cs="方正仿宋_GBK"/>
          <w:b w:val="0"/>
          <w:bCs/>
          <w:sz w:val="30"/>
          <w:szCs w:val="30"/>
          <w:lang w:val="en-US" w:eastAsia="zh-CN"/>
        </w:rPr>
        <w:t>乙方向甲方</w:t>
      </w:r>
      <w:r>
        <w:rPr>
          <w:rFonts w:hint="eastAsia" w:ascii="方正仿宋_GBK" w:hAnsi="方正仿宋_GBK" w:eastAsia="方正仿宋_GBK" w:cs="方正仿宋_GBK"/>
          <w:b w:val="0"/>
          <w:bCs/>
          <w:sz w:val="30"/>
          <w:szCs w:val="30"/>
        </w:rPr>
        <w:t>提交结算申请，</w:t>
      </w:r>
      <w:r>
        <w:rPr>
          <w:rFonts w:hint="eastAsia" w:ascii="方正仿宋_GBK" w:hAnsi="方正仿宋_GBK" w:eastAsia="方正仿宋_GBK" w:cs="方正仿宋_GBK"/>
          <w:b w:val="0"/>
          <w:bCs/>
          <w:sz w:val="30"/>
          <w:szCs w:val="30"/>
          <w:lang w:val="en-US" w:eastAsia="zh-CN"/>
        </w:rPr>
        <w:t>甲方</w:t>
      </w:r>
      <w:r>
        <w:rPr>
          <w:rFonts w:hint="eastAsia" w:ascii="方正仿宋_GBK" w:hAnsi="方正仿宋_GBK" w:eastAsia="方正仿宋_GBK" w:cs="方正仿宋_GBK"/>
          <w:b w:val="0"/>
          <w:bCs/>
          <w:sz w:val="30"/>
          <w:szCs w:val="30"/>
        </w:rPr>
        <w:t>向</w:t>
      </w:r>
      <w:r>
        <w:rPr>
          <w:rFonts w:hint="eastAsia" w:ascii="方正仿宋_GBK" w:hAnsi="方正仿宋_GBK" w:eastAsia="方正仿宋_GBK" w:cs="方正仿宋_GBK"/>
          <w:b w:val="0"/>
          <w:bCs/>
          <w:sz w:val="30"/>
          <w:szCs w:val="30"/>
          <w:lang w:val="en-US" w:eastAsia="zh-CN"/>
        </w:rPr>
        <w:t>乙方</w:t>
      </w:r>
      <w:r>
        <w:rPr>
          <w:rFonts w:hint="eastAsia" w:ascii="方正仿宋_GBK" w:hAnsi="方正仿宋_GBK" w:eastAsia="方正仿宋_GBK" w:cs="方正仿宋_GBK"/>
          <w:b w:val="0"/>
          <w:bCs/>
          <w:sz w:val="30"/>
          <w:szCs w:val="30"/>
        </w:rPr>
        <w:t>支付</w:t>
      </w:r>
      <w:r>
        <w:rPr>
          <w:rFonts w:hint="eastAsia" w:ascii="方正仿宋_GBK" w:hAnsi="方正仿宋_GBK" w:eastAsia="方正仿宋_GBK" w:cs="方正仿宋_GBK"/>
          <w:b w:val="0"/>
          <w:bCs/>
          <w:sz w:val="30"/>
          <w:szCs w:val="30"/>
          <w:lang w:val="en-US" w:eastAsia="zh-CN"/>
        </w:rPr>
        <w:t>当次</w:t>
      </w:r>
      <w:r>
        <w:rPr>
          <w:rFonts w:hint="eastAsia" w:ascii="方正仿宋_GBK" w:hAnsi="方正仿宋_GBK" w:eastAsia="方正仿宋_GBK" w:cs="方正仿宋_GBK"/>
          <w:b w:val="0"/>
          <w:bCs/>
          <w:sz w:val="30"/>
          <w:szCs w:val="30"/>
        </w:rPr>
        <w:t>审定结算价的97%；保修期满后30日内，若无任何质量问题，</w:t>
      </w:r>
      <w:r>
        <w:rPr>
          <w:rFonts w:hint="eastAsia" w:ascii="方正仿宋_GBK" w:hAnsi="方正仿宋_GBK" w:eastAsia="方正仿宋_GBK" w:cs="方正仿宋_GBK"/>
          <w:b w:val="0"/>
          <w:bCs/>
          <w:sz w:val="30"/>
          <w:szCs w:val="30"/>
          <w:lang w:val="en-US" w:eastAsia="zh-CN"/>
        </w:rPr>
        <w:t>甲方</w:t>
      </w:r>
      <w:r>
        <w:rPr>
          <w:rFonts w:hint="eastAsia" w:ascii="方正仿宋_GBK" w:hAnsi="方正仿宋_GBK" w:eastAsia="方正仿宋_GBK" w:cs="方正仿宋_GBK"/>
          <w:b w:val="0"/>
          <w:bCs/>
          <w:sz w:val="30"/>
          <w:szCs w:val="30"/>
        </w:rPr>
        <w:t>向</w:t>
      </w:r>
      <w:r>
        <w:rPr>
          <w:rFonts w:hint="eastAsia" w:ascii="方正仿宋_GBK" w:hAnsi="方正仿宋_GBK" w:eastAsia="方正仿宋_GBK" w:cs="方正仿宋_GBK"/>
          <w:b w:val="0"/>
          <w:bCs/>
          <w:sz w:val="30"/>
          <w:szCs w:val="30"/>
          <w:lang w:val="en-US" w:eastAsia="zh-CN"/>
        </w:rPr>
        <w:t>乙方</w:t>
      </w:r>
      <w:r>
        <w:rPr>
          <w:rFonts w:hint="eastAsia" w:ascii="方正仿宋_GBK" w:hAnsi="方正仿宋_GBK" w:eastAsia="方正仿宋_GBK" w:cs="方正仿宋_GBK"/>
          <w:b w:val="0"/>
          <w:bCs/>
          <w:sz w:val="30"/>
          <w:szCs w:val="30"/>
        </w:rPr>
        <w:t>支付全部剩余尾款3%（不计利息）。</w:t>
      </w:r>
      <w:r>
        <w:rPr>
          <w:rFonts w:hint="eastAsia" w:ascii="方正仿宋_GBK" w:hAnsi="方正仿宋_GBK" w:eastAsia="方正仿宋_GBK" w:cs="方正仿宋_GBK"/>
          <w:b/>
          <w:sz w:val="30"/>
          <w:szCs w:val="30"/>
        </w:rPr>
        <w:t>累计支付金额不超过30万元。</w:t>
      </w:r>
      <w:r>
        <w:rPr>
          <w:rFonts w:hint="eastAsia" w:ascii="方正仿宋_GBK" w:hAnsi="方正仿宋_GBK" w:eastAsia="方正仿宋_GBK" w:cs="方正仿宋_GBK"/>
          <w:b/>
          <w:sz w:val="30"/>
          <w:szCs w:val="30"/>
          <w:lang w:val="en-US" w:eastAsia="zh-CN"/>
        </w:rPr>
        <w:t xml:space="preserve"> </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每次支付维修费前须经甲方同意后，乙方应提供付款申请和等额增值税专用发票，否则不予付款，且甲方不承担任何责任，甲方在确认付款资料后15个工作日内完成支付。</w:t>
      </w:r>
    </w:p>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乙方收款账户信息：户名：开户行：账号：</w:t>
      </w:r>
    </w:p>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乙方确认该账户为唯一收款账户，若有更改，需提前十五个工作日书面告知甲方。</w:t>
      </w:r>
    </w:p>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甲方开票信息：</w:t>
      </w:r>
    </w:p>
    <w:p>
      <w:pPr>
        <w:pStyle w:val="2"/>
        <w:rPr>
          <w:rFonts w:hint="eastAsia"/>
        </w:rPr>
      </w:pPr>
    </w:p>
    <w:p>
      <w:pPr>
        <w:spacing w:line="560" w:lineRule="exact"/>
        <w:ind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结算原则：结算价=经审核的建筑安装工程费×固定费率（认质核价材料和设备、安全文明施工费、规费、税金不参与浮动）。</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建筑安装工程费以</w:t>
      </w:r>
      <w:r>
        <w:rPr>
          <w:rFonts w:hint="eastAsia" w:ascii="方正仿宋_GBK" w:hAnsi="方正仿宋_GBK" w:eastAsia="方正仿宋_GBK" w:cs="方正仿宋_GBK"/>
          <w:b w:val="0"/>
          <w:bCs w:val="0"/>
          <w:sz w:val="30"/>
          <w:szCs w:val="30"/>
          <w:lang w:val="en-US" w:eastAsia="zh-CN"/>
        </w:rPr>
        <w:t>甲方</w:t>
      </w:r>
      <w:r>
        <w:rPr>
          <w:rFonts w:hint="eastAsia" w:ascii="方正仿宋_GBK" w:hAnsi="方正仿宋_GBK" w:eastAsia="方正仿宋_GBK" w:cs="方正仿宋_GBK"/>
          <w:b w:val="0"/>
          <w:bCs w:val="0"/>
          <w:sz w:val="30"/>
          <w:szCs w:val="30"/>
        </w:rPr>
        <w:t>认可的审定结果作为结算依据。</w:t>
      </w:r>
      <w:r>
        <w:rPr>
          <w:rFonts w:hint="eastAsia" w:ascii="方正仿宋_GBK" w:hAnsi="方正仿宋_GBK" w:eastAsia="方正仿宋_GBK" w:cs="方正仿宋_GBK"/>
          <w:b w:val="0"/>
          <w:bCs w:val="0"/>
          <w:sz w:val="30"/>
          <w:szCs w:val="30"/>
          <w:lang w:val="en-US" w:eastAsia="zh-CN"/>
        </w:rPr>
        <w:t>乙方</w:t>
      </w:r>
      <w:r>
        <w:rPr>
          <w:rFonts w:hint="eastAsia" w:ascii="方正仿宋_GBK" w:hAnsi="方正仿宋_GBK" w:eastAsia="方正仿宋_GBK" w:cs="方正仿宋_GBK"/>
          <w:b w:val="0"/>
          <w:bCs w:val="0"/>
          <w:sz w:val="30"/>
          <w:szCs w:val="30"/>
        </w:rPr>
        <w:t>必须接受，否则视为违约，具体原则如下：</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（1）计价原则：按《工程量清单项目计量规范（2013-重庆）》、《2018年重庆市房屋修缮定额》（缺项部分借用其他配套定额）及相关配套文件、定额进行计量计价按实计算。</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上述计价原则中无定额可套用的，由</w:t>
      </w:r>
      <w:r>
        <w:rPr>
          <w:rFonts w:hint="eastAsia" w:ascii="方正仿宋_GBK" w:hAnsi="方正仿宋_GBK" w:eastAsia="方正仿宋_GBK" w:cs="方正仿宋_GBK"/>
          <w:b w:val="0"/>
          <w:bCs w:val="0"/>
          <w:sz w:val="30"/>
          <w:szCs w:val="30"/>
          <w:lang w:val="en-US" w:eastAsia="zh-CN"/>
        </w:rPr>
        <w:t>乙方</w:t>
      </w:r>
      <w:r>
        <w:rPr>
          <w:rFonts w:hint="eastAsia" w:ascii="方正仿宋_GBK" w:hAnsi="方正仿宋_GBK" w:eastAsia="方正仿宋_GBK" w:cs="方正仿宋_GBK"/>
          <w:b w:val="0"/>
          <w:bCs w:val="0"/>
          <w:sz w:val="30"/>
          <w:szCs w:val="30"/>
        </w:rPr>
        <w:t>会同监理人、跟审单位（如有）、</w:t>
      </w:r>
      <w:r>
        <w:rPr>
          <w:rFonts w:hint="eastAsia" w:ascii="方正仿宋_GBK" w:hAnsi="方正仿宋_GBK" w:eastAsia="方正仿宋_GBK" w:cs="方正仿宋_GBK"/>
          <w:b w:val="0"/>
          <w:bCs w:val="0"/>
          <w:sz w:val="30"/>
          <w:szCs w:val="30"/>
          <w:lang w:val="en-US" w:eastAsia="zh-CN"/>
        </w:rPr>
        <w:t>甲方</w:t>
      </w:r>
      <w:r>
        <w:rPr>
          <w:rFonts w:hint="eastAsia" w:ascii="方正仿宋_GBK" w:hAnsi="方正仿宋_GBK" w:eastAsia="方正仿宋_GBK" w:cs="方正仿宋_GBK"/>
          <w:b w:val="0"/>
          <w:bCs w:val="0"/>
          <w:sz w:val="30"/>
          <w:szCs w:val="30"/>
        </w:rPr>
        <w:t>按相关原则、编制方法编制补充定额（人工、材料、机械基价执行2018年计价定额的基价，2018年计价定额没有的基价，按市场价计）；或参照重庆市场相同工作的市场价格上报监理人，最终价格按</w:t>
      </w:r>
      <w:r>
        <w:rPr>
          <w:rFonts w:hint="eastAsia" w:ascii="方正仿宋_GBK" w:hAnsi="方正仿宋_GBK" w:eastAsia="方正仿宋_GBK" w:cs="方正仿宋_GBK"/>
          <w:b w:val="0"/>
          <w:bCs w:val="0"/>
          <w:sz w:val="30"/>
          <w:szCs w:val="30"/>
          <w:lang w:val="en-US" w:eastAsia="zh-CN"/>
        </w:rPr>
        <w:t>乙方</w:t>
      </w:r>
      <w:r>
        <w:rPr>
          <w:rFonts w:hint="eastAsia" w:ascii="方正仿宋_GBK" w:hAnsi="方正仿宋_GBK" w:eastAsia="方正仿宋_GBK" w:cs="方正仿宋_GBK"/>
          <w:b w:val="0"/>
          <w:bCs w:val="0"/>
          <w:sz w:val="30"/>
          <w:szCs w:val="30"/>
        </w:rPr>
        <w:t>、监理人、跟审单位（如有）、</w:t>
      </w:r>
      <w:r>
        <w:rPr>
          <w:rFonts w:hint="eastAsia" w:ascii="方正仿宋_GBK" w:hAnsi="方正仿宋_GBK" w:eastAsia="方正仿宋_GBK" w:cs="方正仿宋_GBK"/>
          <w:b w:val="0"/>
          <w:bCs w:val="0"/>
          <w:sz w:val="30"/>
          <w:szCs w:val="30"/>
          <w:lang w:val="en-US" w:eastAsia="zh-CN"/>
        </w:rPr>
        <w:t>甲方</w:t>
      </w:r>
      <w:r>
        <w:rPr>
          <w:rFonts w:hint="eastAsia" w:ascii="方正仿宋_GBK" w:hAnsi="方正仿宋_GBK" w:eastAsia="方正仿宋_GBK" w:cs="方正仿宋_GBK"/>
          <w:b w:val="0"/>
          <w:bCs w:val="0"/>
          <w:sz w:val="30"/>
          <w:szCs w:val="30"/>
        </w:rPr>
        <w:t>共同询价确认的价格执行。</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计量原则：分部分项工程量清单计价表中的工程数量以施工设计图为依据，以设计变更图、监理工程师和发包人认可的尺寸、断面为参考依据，根据《房屋建筑与装饰工程工程量计算规范》（GB50854-2013）等各专业工程工程量计算规范规定的计算规则及比选文件约定的计算规则计量。</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（3）人工单价：按实施当期重庆市建设工程造价管理总站发布的《重庆工程造价信息》发布的项目所在地的人工单价执行。</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（4）设备材料单价：</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1）设备材料单价按照实施当期《重庆工程造价信息》发布的项目所在地的信息价执行；</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2）《重庆工程造价信息》没有的材料和设备，由</w:t>
      </w:r>
      <w:r>
        <w:rPr>
          <w:rFonts w:hint="eastAsia" w:ascii="方正仿宋_GBK" w:hAnsi="方正仿宋_GBK" w:eastAsia="方正仿宋_GBK" w:cs="方正仿宋_GBK"/>
          <w:b w:val="0"/>
          <w:bCs w:val="0"/>
          <w:sz w:val="30"/>
          <w:szCs w:val="30"/>
          <w:lang w:val="en-US" w:eastAsia="zh-CN"/>
        </w:rPr>
        <w:t>乙方</w:t>
      </w:r>
      <w:r>
        <w:rPr>
          <w:rFonts w:hint="eastAsia" w:ascii="方正仿宋_GBK" w:hAnsi="方正仿宋_GBK" w:eastAsia="方正仿宋_GBK" w:cs="方正仿宋_GBK"/>
          <w:b w:val="0"/>
          <w:bCs w:val="0"/>
          <w:sz w:val="30"/>
          <w:szCs w:val="30"/>
        </w:rPr>
        <w:t>申报，</w:t>
      </w:r>
      <w:r>
        <w:rPr>
          <w:rFonts w:hint="eastAsia" w:ascii="方正仿宋_GBK" w:hAnsi="方正仿宋_GBK" w:eastAsia="方正仿宋_GBK" w:cs="方正仿宋_GBK"/>
          <w:b w:val="0"/>
          <w:bCs w:val="0"/>
          <w:sz w:val="30"/>
          <w:szCs w:val="30"/>
          <w:lang w:val="en-US" w:eastAsia="zh-CN"/>
        </w:rPr>
        <w:t>甲方</w:t>
      </w:r>
      <w:r>
        <w:rPr>
          <w:rFonts w:hint="eastAsia" w:ascii="方正仿宋_GBK" w:hAnsi="方正仿宋_GBK" w:eastAsia="方正仿宋_GBK" w:cs="方正仿宋_GBK"/>
          <w:b w:val="0"/>
          <w:bCs w:val="0"/>
          <w:sz w:val="30"/>
          <w:szCs w:val="30"/>
        </w:rPr>
        <w:t>会同监理人、跟审单位（如有）按认质核价相关管理办法及程序，根据市场行情认质核价。但原则上不超过实施当期《重庆工程造价信息》公布的信息价；</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3）上述材料和设备价格均为不含税价格，包括材料原价、运杂费、运输损耗费、采购及保管费等所有费用，认质核价的材料和设备若</w:t>
      </w:r>
      <w:r>
        <w:rPr>
          <w:rFonts w:hint="eastAsia" w:ascii="方正仿宋_GBK" w:hAnsi="方正仿宋_GBK" w:eastAsia="方正仿宋_GBK" w:cs="方正仿宋_GBK"/>
          <w:b w:val="0"/>
          <w:bCs w:val="0"/>
          <w:sz w:val="30"/>
          <w:szCs w:val="30"/>
          <w:lang w:val="en-US" w:eastAsia="zh-CN"/>
        </w:rPr>
        <w:t>乙方</w:t>
      </w:r>
      <w:r>
        <w:rPr>
          <w:rFonts w:hint="eastAsia" w:ascii="方正仿宋_GBK" w:hAnsi="方正仿宋_GBK" w:eastAsia="方正仿宋_GBK" w:cs="方正仿宋_GBK"/>
          <w:b w:val="0"/>
          <w:bCs w:val="0"/>
          <w:sz w:val="30"/>
          <w:szCs w:val="30"/>
        </w:rPr>
        <w:t>在</w:t>
      </w:r>
      <w:r>
        <w:rPr>
          <w:rFonts w:hint="eastAsia" w:ascii="方正仿宋_GBK" w:hAnsi="方正仿宋_GBK" w:eastAsia="方正仿宋_GBK" w:cs="方正仿宋_GBK"/>
          <w:b w:val="0"/>
          <w:bCs w:val="0"/>
          <w:sz w:val="30"/>
          <w:szCs w:val="30"/>
          <w:lang w:val="en-US" w:eastAsia="zh-CN"/>
        </w:rPr>
        <w:t>甲方</w:t>
      </w:r>
      <w:r>
        <w:rPr>
          <w:rFonts w:hint="eastAsia" w:ascii="方正仿宋_GBK" w:hAnsi="方正仿宋_GBK" w:eastAsia="方正仿宋_GBK" w:cs="方正仿宋_GBK"/>
          <w:b w:val="0"/>
          <w:bCs w:val="0"/>
          <w:sz w:val="30"/>
          <w:szCs w:val="30"/>
        </w:rPr>
        <w:t>核价后5个工作日内，</w:t>
      </w:r>
      <w:r>
        <w:rPr>
          <w:rFonts w:hint="eastAsia" w:ascii="方正仿宋_GBK" w:hAnsi="方正仿宋_GBK" w:eastAsia="方正仿宋_GBK" w:cs="方正仿宋_GBK"/>
          <w:b w:val="0"/>
          <w:bCs w:val="0"/>
          <w:sz w:val="30"/>
          <w:szCs w:val="30"/>
          <w:lang w:val="en-US" w:eastAsia="zh-CN"/>
        </w:rPr>
        <w:t>乙方</w:t>
      </w:r>
      <w:r>
        <w:rPr>
          <w:rFonts w:hint="eastAsia" w:ascii="方正仿宋_GBK" w:hAnsi="方正仿宋_GBK" w:eastAsia="方正仿宋_GBK" w:cs="方正仿宋_GBK"/>
          <w:b w:val="0"/>
          <w:bCs w:val="0"/>
          <w:sz w:val="30"/>
          <w:szCs w:val="30"/>
        </w:rPr>
        <w:t>拒绝签字确认</w:t>
      </w:r>
      <w:r>
        <w:rPr>
          <w:rFonts w:hint="eastAsia" w:ascii="方正仿宋_GBK" w:hAnsi="方正仿宋_GBK" w:eastAsia="方正仿宋_GBK" w:cs="方正仿宋_GBK"/>
          <w:b w:val="0"/>
          <w:bCs w:val="0"/>
          <w:sz w:val="30"/>
          <w:szCs w:val="30"/>
          <w:lang w:val="en-US" w:eastAsia="zh-CN"/>
        </w:rPr>
        <w:t>甲方</w:t>
      </w:r>
      <w:r>
        <w:rPr>
          <w:rFonts w:hint="eastAsia" w:ascii="方正仿宋_GBK" w:hAnsi="方正仿宋_GBK" w:eastAsia="方正仿宋_GBK" w:cs="方正仿宋_GBK"/>
          <w:b w:val="0"/>
          <w:bCs w:val="0"/>
          <w:sz w:val="30"/>
          <w:szCs w:val="30"/>
        </w:rPr>
        <w:t>核定的价格或拒绝按</w:t>
      </w:r>
      <w:r>
        <w:rPr>
          <w:rFonts w:hint="eastAsia" w:ascii="方正仿宋_GBK" w:hAnsi="方正仿宋_GBK" w:eastAsia="方正仿宋_GBK" w:cs="方正仿宋_GBK"/>
          <w:b w:val="0"/>
          <w:bCs w:val="0"/>
          <w:sz w:val="30"/>
          <w:szCs w:val="30"/>
          <w:lang w:val="en-US" w:eastAsia="zh-CN"/>
        </w:rPr>
        <w:t>甲方</w:t>
      </w:r>
      <w:r>
        <w:rPr>
          <w:rFonts w:hint="eastAsia" w:ascii="方正仿宋_GBK" w:hAnsi="方正仿宋_GBK" w:eastAsia="方正仿宋_GBK" w:cs="方正仿宋_GBK"/>
          <w:b w:val="0"/>
          <w:bCs w:val="0"/>
          <w:sz w:val="30"/>
          <w:szCs w:val="30"/>
        </w:rPr>
        <w:t>核定的价格采购的，则该种材料或设备改为第三方供货，</w:t>
      </w:r>
      <w:r>
        <w:rPr>
          <w:rFonts w:hint="eastAsia" w:ascii="方正仿宋_GBK" w:hAnsi="方正仿宋_GBK" w:eastAsia="方正仿宋_GBK" w:cs="方正仿宋_GBK"/>
          <w:b w:val="0"/>
          <w:bCs w:val="0"/>
          <w:sz w:val="30"/>
          <w:szCs w:val="30"/>
          <w:lang w:val="en-US" w:eastAsia="zh-CN"/>
        </w:rPr>
        <w:t>甲方</w:t>
      </w:r>
      <w:r>
        <w:rPr>
          <w:rFonts w:hint="eastAsia" w:ascii="方正仿宋_GBK" w:hAnsi="方正仿宋_GBK" w:eastAsia="方正仿宋_GBK" w:cs="方正仿宋_GBK"/>
          <w:b w:val="0"/>
          <w:bCs w:val="0"/>
          <w:sz w:val="30"/>
          <w:szCs w:val="30"/>
        </w:rPr>
        <w:t>收取</w:t>
      </w:r>
      <w:r>
        <w:rPr>
          <w:rFonts w:hint="eastAsia" w:ascii="方正仿宋_GBK" w:hAnsi="方正仿宋_GBK" w:eastAsia="方正仿宋_GBK" w:cs="方正仿宋_GBK"/>
          <w:b w:val="0"/>
          <w:bCs w:val="0"/>
          <w:sz w:val="30"/>
          <w:szCs w:val="30"/>
          <w:lang w:val="en-US" w:eastAsia="zh-CN"/>
        </w:rPr>
        <w:t>乙方</w:t>
      </w:r>
      <w:r>
        <w:rPr>
          <w:rFonts w:hint="eastAsia" w:ascii="方正仿宋_GBK" w:hAnsi="方正仿宋_GBK" w:eastAsia="方正仿宋_GBK" w:cs="方正仿宋_GBK"/>
          <w:b w:val="0"/>
          <w:bCs w:val="0"/>
          <w:sz w:val="30"/>
          <w:szCs w:val="30"/>
        </w:rPr>
        <w:t>该类材料或设备费的20%作为违约金，并按</w:t>
      </w:r>
      <w:r>
        <w:rPr>
          <w:rFonts w:hint="eastAsia" w:ascii="方正仿宋_GBK" w:hAnsi="方正仿宋_GBK" w:eastAsia="方正仿宋_GBK" w:cs="方正仿宋_GBK"/>
          <w:b w:val="0"/>
          <w:bCs w:val="0"/>
          <w:sz w:val="30"/>
          <w:szCs w:val="30"/>
          <w:lang w:val="en-US" w:eastAsia="zh-CN"/>
        </w:rPr>
        <w:t>甲方</w:t>
      </w:r>
      <w:r>
        <w:rPr>
          <w:rFonts w:hint="eastAsia" w:ascii="方正仿宋_GBK" w:hAnsi="方正仿宋_GBK" w:eastAsia="方正仿宋_GBK" w:cs="方正仿宋_GBK"/>
          <w:b w:val="0"/>
          <w:bCs w:val="0"/>
          <w:sz w:val="30"/>
          <w:szCs w:val="30"/>
        </w:rPr>
        <w:t>实际支付的货款从</w:t>
      </w:r>
      <w:r>
        <w:rPr>
          <w:rFonts w:hint="eastAsia" w:ascii="方正仿宋_GBK" w:hAnsi="方正仿宋_GBK" w:eastAsia="方正仿宋_GBK" w:cs="方正仿宋_GBK"/>
          <w:b w:val="0"/>
          <w:bCs w:val="0"/>
          <w:sz w:val="30"/>
          <w:szCs w:val="30"/>
          <w:lang w:val="en-US" w:eastAsia="zh-CN"/>
        </w:rPr>
        <w:t>乙方</w:t>
      </w:r>
      <w:r>
        <w:rPr>
          <w:rFonts w:hint="eastAsia" w:ascii="方正仿宋_GBK" w:hAnsi="方正仿宋_GBK" w:eastAsia="方正仿宋_GBK" w:cs="方正仿宋_GBK"/>
          <w:b w:val="0"/>
          <w:bCs w:val="0"/>
          <w:sz w:val="30"/>
          <w:szCs w:val="30"/>
        </w:rPr>
        <w:t>的工程款中扣除，同时并不解除</w:t>
      </w:r>
      <w:r>
        <w:rPr>
          <w:rFonts w:hint="eastAsia" w:ascii="方正仿宋_GBK" w:hAnsi="方正仿宋_GBK" w:eastAsia="方正仿宋_GBK" w:cs="方正仿宋_GBK"/>
          <w:b w:val="0"/>
          <w:bCs w:val="0"/>
          <w:sz w:val="30"/>
          <w:szCs w:val="30"/>
          <w:lang w:val="en-US" w:eastAsia="zh-CN"/>
        </w:rPr>
        <w:t>乙方</w:t>
      </w:r>
      <w:r>
        <w:rPr>
          <w:rFonts w:hint="eastAsia" w:ascii="方正仿宋_GBK" w:hAnsi="方正仿宋_GBK" w:eastAsia="方正仿宋_GBK" w:cs="方正仿宋_GBK"/>
          <w:b w:val="0"/>
          <w:bCs w:val="0"/>
          <w:sz w:val="30"/>
          <w:szCs w:val="30"/>
        </w:rPr>
        <w:t>对工程质量保修责任。需认质核价的材料和设备，</w:t>
      </w:r>
      <w:r>
        <w:rPr>
          <w:rFonts w:hint="eastAsia" w:ascii="方正仿宋_GBK" w:hAnsi="方正仿宋_GBK" w:eastAsia="方正仿宋_GBK" w:cs="方正仿宋_GBK"/>
          <w:b w:val="0"/>
          <w:bCs w:val="0"/>
          <w:sz w:val="30"/>
          <w:szCs w:val="30"/>
          <w:lang w:val="en-US" w:eastAsia="zh-CN"/>
        </w:rPr>
        <w:t>乙方</w:t>
      </w:r>
      <w:r>
        <w:rPr>
          <w:rFonts w:hint="eastAsia" w:ascii="方正仿宋_GBK" w:hAnsi="方正仿宋_GBK" w:eastAsia="方正仿宋_GBK" w:cs="方正仿宋_GBK"/>
          <w:b w:val="0"/>
          <w:bCs w:val="0"/>
          <w:sz w:val="30"/>
          <w:szCs w:val="30"/>
        </w:rPr>
        <w:t>须在使用前书面报</w:t>
      </w:r>
      <w:r>
        <w:rPr>
          <w:rFonts w:hint="eastAsia" w:ascii="方正仿宋_GBK" w:hAnsi="方正仿宋_GBK" w:eastAsia="方正仿宋_GBK" w:cs="方正仿宋_GBK"/>
          <w:b w:val="0"/>
          <w:bCs w:val="0"/>
          <w:sz w:val="30"/>
          <w:szCs w:val="30"/>
          <w:lang w:val="en-US" w:eastAsia="zh-CN"/>
        </w:rPr>
        <w:t>甲方</w:t>
      </w:r>
      <w:r>
        <w:rPr>
          <w:rFonts w:hint="eastAsia" w:ascii="方正仿宋_GBK" w:hAnsi="方正仿宋_GBK" w:eastAsia="方正仿宋_GBK" w:cs="方正仿宋_GBK"/>
          <w:b w:val="0"/>
          <w:bCs w:val="0"/>
          <w:sz w:val="30"/>
          <w:szCs w:val="30"/>
        </w:rPr>
        <w:t>审核（至少提前一个月）。</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4）材料调差调整范围和计算方法：不采用。</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5）措施费：</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组织措施费：按《重庆市建设工程费用定额》（CQFYDE-2018）等相关文件规定执行。</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技术措施费：根据相关工程现行国家计量规范、《重庆市建设工程工程量清单计价规则》、《重庆市建设工程工程量计算规则》及经</w:t>
      </w:r>
      <w:r>
        <w:rPr>
          <w:rFonts w:hint="eastAsia" w:ascii="方正仿宋_GBK" w:hAnsi="方正仿宋_GBK" w:eastAsia="方正仿宋_GBK" w:cs="方正仿宋_GBK"/>
          <w:b w:val="0"/>
          <w:bCs w:val="0"/>
          <w:sz w:val="30"/>
          <w:szCs w:val="30"/>
          <w:lang w:val="en-US" w:eastAsia="zh-CN"/>
        </w:rPr>
        <w:t>甲方</w:t>
      </w:r>
      <w:r>
        <w:rPr>
          <w:rFonts w:hint="eastAsia" w:ascii="方正仿宋_GBK" w:hAnsi="方正仿宋_GBK" w:eastAsia="方正仿宋_GBK" w:cs="方正仿宋_GBK"/>
          <w:b w:val="0"/>
          <w:bCs w:val="0"/>
          <w:sz w:val="30"/>
          <w:szCs w:val="30"/>
        </w:rPr>
        <w:t>、监理人审定的施工组织设计或施工方案执行。</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6）安全文明施工费：按照《重庆市建设工程安全文明施工费计取及使用管理规定》（渝建管[2024]38号）规定的合格标准（若有创先创优成功的单项工程，结算时按渝建管[2024]38号标准计入安全文明施工费）执行。施工期间，若相关行政主管部门颁布了新的重庆市建设安全文明施工费计取及使用管理规定的，按新颁布的文件规定执行。</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7）规费：按《重庆市建设工程费用定额》（CQFYDE-2018）费用标准执行。</w:t>
      </w:r>
    </w:p>
    <w:p>
      <w:pPr>
        <w:spacing w:line="560" w:lineRule="exact"/>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8）税金：包含增值税、城市维护建设税、教育费附加、地方教育附加以及环境保护税。按《重庆市建设工程费用定额》（CQFYDE-2018）、《重庆市城乡建设委员会关于建筑业营业税改征增值税调整建设工程计价依据的通知》（渝建发（2016）35号）、《重庆城乡建设委员会关于适用增值税新税率调整建设工程计价依据的通知》（渝建【2018】195号）、渝建发〔2019〕143号文件及配套文件的规定计算。附加税按工程所在市区适用税率计算。</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七、 履约担保</w:t>
      </w:r>
    </w:p>
    <w:p>
      <w:pPr>
        <w:spacing w:line="560" w:lineRule="exact"/>
        <w:ind w:firstLine="600" w:firstLineChars="200"/>
        <w:rPr>
          <w:rFonts w:hint="eastAsia" w:ascii="方正仿宋_GBK" w:hAnsi="方正仿宋_GBK" w:eastAsia="方正仿宋_GBK" w:cs="方正仿宋_GBK"/>
          <w:b w:val="0"/>
          <w:bCs/>
          <w:sz w:val="30"/>
          <w:szCs w:val="30"/>
        </w:rPr>
      </w:pPr>
      <w:r>
        <w:rPr>
          <w:rFonts w:hint="eastAsia" w:ascii="方正仿宋_GBK" w:hAnsi="方正仿宋_GBK" w:eastAsia="方正仿宋_GBK" w:cs="方正仿宋_GBK"/>
          <w:b w:val="0"/>
          <w:bCs/>
          <w:sz w:val="30"/>
          <w:szCs w:val="30"/>
        </w:rPr>
        <w:t>1</w:t>
      </w:r>
      <w:r>
        <w:rPr>
          <w:rFonts w:hint="eastAsia" w:ascii="方正仿宋_GBK" w:hAnsi="方正仿宋_GBK" w:eastAsia="方正仿宋_GBK" w:cs="方正仿宋_GBK"/>
          <w:b w:val="0"/>
          <w:bCs/>
          <w:sz w:val="30"/>
          <w:szCs w:val="30"/>
          <w:lang w:val="en-US" w:eastAsia="zh-CN"/>
        </w:rPr>
        <w:t>乙方</w:t>
      </w:r>
      <w:r>
        <w:rPr>
          <w:rFonts w:hint="eastAsia" w:ascii="方正仿宋_GBK" w:hAnsi="方正仿宋_GBK" w:eastAsia="方正仿宋_GBK" w:cs="方正仿宋_GBK"/>
          <w:b w:val="0"/>
          <w:bCs/>
          <w:sz w:val="30"/>
          <w:szCs w:val="30"/>
        </w:rPr>
        <w:t>是否提供履约担保：提供。</w:t>
      </w:r>
    </w:p>
    <w:p>
      <w:pPr>
        <w:spacing w:line="560" w:lineRule="exact"/>
        <w:ind w:firstLine="600" w:firstLineChars="200"/>
        <w:rPr>
          <w:rFonts w:hint="eastAsia" w:ascii="方正仿宋_GBK" w:hAnsi="方正仿宋_GBK" w:eastAsia="方正仿宋_GBK" w:cs="方正仿宋_GBK"/>
          <w:b w:val="0"/>
          <w:bCs/>
          <w:sz w:val="30"/>
          <w:szCs w:val="30"/>
        </w:rPr>
      </w:pPr>
      <w:r>
        <w:rPr>
          <w:rFonts w:hint="eastAsia" w:ascii="方正仿宋_GBK" w:hAnsi="方正仿宋_GBK" w:eastAsia="方正仿宋_GBK" w:cs="方正仿宋_GBK"/>
          <w:b w:val="0"/>
          <w:bCs/>
          <w:sz w:val="30"/>
          <w:szCs w:val="30"/>
        </w:rPr>
        <w:t>2</w:t>
      </w:r>
      <w:r>
        <w:rPr>
          <w:rFonts w:hint="eastAsia" w:ascii="方正仿宋_GBK" w:hAnsi="方正仿宋_GBK" w:eastAsia="方正仿宋_GBK" w:cs="方正仿宋_GBK"/>
          <w:b w:val="0"/>
          <w:bCs/>
          <w:sz w:val="30"/>
          <w:szCs w:val="30"/>
          <w:lang w:val="en-US" w:eastAsia="zh-CN"/>
        </w:rPr>
        <w:t>乙方</w:t>
      </w:r>
      <w:r>
        <w:rPr>
          <w:rFonts w:hint="eastAsia" w:ascii="方正仿宋_GBK" w:hAnsi="方正仿宋_GBK" w:eastAsia="方正仿宋_GBK" w:cs="方正仿宋_GBK"/>
          <w:b w:val="0"/>
          <w:bCs/>
          <w:sz w:val="30"/>
          <w:szCs w:val="30"/>
        </w:rPr>
        <w:t>提供履约担保的形式、金额及期限：</w:t>
      </w:r>
    </w:p>
    <w:p>
      <w:pPr>
        <w:spacing w:line="560" w:lineRule="exact"/>
        <w:ind w:firstLine="600" w:firstLineChars="200"/>
        <w:rPr>
          <w:rFonts w:hint="eastAsia" w:ascii="方正仿宋_GBK" w:hAnsi="方正仿宋_GBK" w:eastAsia="方正仿宋_GBK" w:cs="方正仿宋_GBK"/>
          <w:b w:val="0"/>
          <w:bCs/>
          <w:sz w:val="30"/>
          <w:szCs w:val="30"/>
        </w:rPr>
      </w:pPr>
      <w:r>
        <w:rPr>
          <w:rFonts w:hint="eastAsia" w:ascii="方正仿宋_GBK" w:hAnsi="方正仿宋_GBK" w:eastAsia="方正仿宋_GBK" w:cs="方正仿宋_GBK"/>
          <w:b w:val="0"/>
          <w:bCs/>
          <w:sz w:val="30"/>
          <w:szCs w:val="30"/>
        </w:rPr>
        <w:t>（1）履约担保的形式：银行保函、现金、现金+保函；</w:t>
      </w:r>
    </w:p>
    <w:p>
      <w:pPr>
        <w:spacing w:line="560" w:lineRule="exact"/>
        <w:ind w:firstLine="600" w:firstLineChars="200"/>
        <w:rPr>
          <w:rFonts w:hint="eastAsia" w:ascii="方正仿宋_GBK" w:hAnsi="方正仿宋_GBK" w:eastAsia="方正仿宋_GBK" w:cs="方正仿宋_GBK"/>
          <w:b w:val="0"/>
          <w:bCs/>
          <w:sz w:val="30"/>
          <w:szCs w:val="30"/>
        </w:rPr>
      </w:pPr>
      <w:r>
        <w:rPr>
          <w:rFonts w:hint="eastAsia" w:ascii="方正仿宋_GBK" w:hAnsi="方正仿宋_GBK" w:eastAsia="方正仿宋_GBK" w:cs="方正仿宋_GBK"/>
          <w:b w:val="0"/>
          <w:bCs/>
          <w:sz w:val="30"/>
          <w:szCs w:val="30"/>
        </w:rPr>
        <w:t>（2）履约担保的金额：签约合同价的5%即        万元（计算方式：暂定金额30万元*全费用综合折扣*5%）；</w:t>
      </w:r>
    </w:p>
    <w:p>
      <w:pPr>
        <w:spacing w:line="560" w:lineRule="exact"/>
        <w:ind w:firstLine="600" w:firstLineChars="200"/>
        <w:rPr>
          <w:rFonts w:hint="eastAsia" w:ascii="方正仿宋_GBK" w:hAnsi="方正仿宋_GBK" w:eastAsia="方正仿宋_GBK" w:cs="方正仿宋_GBK"/>
          <w:b w:val="0"/>
          <w:bCs/>
          <w:sz w:val="30"/>
          <w:szCs w:val="30"/>
        </w:rPr>
      </w:pPr>
      <w:r>
        <w:rPr>
          <w:rFonts w:hint="eastAsia" w:ascii="方正仿宋_GBK" w:hAnsi="方正仿宋_GBK" w:eastAsia="方正仿宋_GBK" w:cs="方正仿宋_GBK"/>
          <w:b w:val="0"/>
          <w:bCs/>
          <w:sz w:val="30"/>
          <w:szCs w:val="30"/>
        </w:rPr>
        <w:t>（3）履约担保的提交时间：合同签订之前。</w:t>
      </w:r>
    </w:p>
    <w:p>
      <w:pPr>
        <w:spacing w:line="560" w:lineRule="exact"/>
        <w:ind w:firstLine="600" w:firstLineChars="200"/>
        <w:rPr>
          <w:rFonts w:hint="eastAsia" w:ascii="方正仿宋_GBK" w:hAnsi="方正仿宋_GBK" w:eastAsia="方正仿宋_GBK" w:cs="方正仿宋_GBK"/>
          <w:b w:val="0"/>
          <w:bCs/>
          <w:sz w:val="30"/>
          <w:szCs w:val="30"/>
        </w:rPr>
      </w:pPr>
      <w:r>
        <w:rPr>
          <w:rFonts w:hint="eastAsia" w:ascii="方正仿宋_GBK" w:hAnsi="方正仿宋_GBK" w:eastAsia="方正仿宋_GBK" w:cs="方正仿宋_GBK"/>
          <w:b w:val="0"/>
          <w:bCs/>
          <w:sz w:val="30"/>
          <w:szCs w:val="30"/>
        </w:rPr>
        <w:t>（4）履约担保的期限：自提交履约担保之日起至合同到期之日止。</w:t>
      </w:r>
    </w:p>
    <w:p>
      <w:pPr>
        <w:spacing w:line="560" w:lineRule="exact"/>
        <w:ind w:firstLine="600"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val="0"/>
          <w:bCs/>
          <w:sz w:val="30"/>
          <w:szCs w:val="30"/>
        </w:rPr>
        <w:t>（5）履约担保的退还时间：</w:t>
      </w:r>
      <w:r>
        <w:rPr>
          <w:rFonts w:hint="eastAsia" w:ascii="方正仿宋_GBK" w:hAnsi="方正仿宋_GBK" w:eastAsia="方正仿宋_GBK" w:cs="方正仿宋_GBK"/>
          <w:b w:val="0"/>
          <w:bCs/>
          <w:sz w:val="30"/>
          <w:szCs w:val="30"/>
          <w:lang w:val="en-US" w:eastAsia="zh-CN"/>
        </w:rPr>
        <w:t>乙方</w:t>
      </w:r>
      <w:r>
        <w:rPr>
          <w:rFonts w:hint="eastAsia" w:ascii="方正仿宋_GBK" w:hAnsi="方正仿宋_GBK" w:eastAsia="方正仿宋_GBK" w:cs="方正仿宋_GBK"/>
          <w:b w:val="0"/>
          <w:bCs/>
          <w:sz w:val="30"/>
          <w:szCs w:val="30"/>
        </w:rPr>
        <w:t>无违反合同或比选文件约定情形的，在合同履行完毕后无息退还。</w:t>
      </w:r>
    </w:p>
    <w:p>
      <w:pPr>
        <w:widowControl/>
        <w:spacing w:line="360" w:lineRule="auto"/>
        <w:ind w:firstLine="600" w:firstLineChars="200"/>
        <w:rPr>
          <w:rFonts w:hint="eastAsia" w:ascii="方正仿宋_GBK" w:hAnsi="方正仿宋_GBK" w:eastAsia="方正仿宋_GBK" w:cs="方正仿宋_GBK"/>
          <w:b w:val="0"/>
          <w:bCs/>
          <w:sz w:val="30"/>
          <w:szCs w:val="30"/>
        </w:rPr>
      </w:pPr>
      <w:r>
        <w:rPr>
          <w:rFonts w:hint="eastAsia" w:ascii="方正仿宋_GBK" w:hAnsi="方正仿宋_GBK" w:eastAsia="方正仿宋_GBK" w:cs="方正仿宋_GBK"/>
          <w:b w:val="0"/>
          <w:bCs/>
          <w:sz w:val="30"/>
          <w:szCs w:val="30"/>
        </w:rPr>
        <w:t>注：</w:t>
      </w:r>
      <w:r>
        <w:rPr>
          <w:rFonts w:hint="eastAsia" w:ascii="方正仿宋_GBK" w:hAnsi="方正仿宋_GBK" w:eastAsia="方正仿宋_GBK" w:cs="方正仿宋_GBK"/>
          <w:b w:val="0"/>
          <w:bCs/>
          <w:sz w:val="30"/>
          <w:szCs w:val="30"/>
          <w:lang w:val="en-US" w:eastAsia="zh-CN"/>
        </w:rPr>
        <w:t>中选人</w:t>
      </w:r>
      <w:r>
        <w:rPr>
          <w:rFonts w:hint="eastAsia" w:ascii="方正仿宋_GBK" w:hAnsi="方正仿宋_GBK" w:eastAsia="方正仿宋_GBK" w:cs="方正仿宋_GBK"/>
          <w:b w:val="0"/>
          <w:bCs/>
          <w:sz w:val="30"/>
          <w:szCs w:val="30"/>
        </w:rPr>
        <w:t>自中选通知书发出之日起5日内到</w:t>
      </w:r>
      <w:r>
        <w:rPr>
          <w:rFonts w:hint="eastAsia" w:ascii="方正仿宋_GBK" w:hAnsi="方正仿宋_GBK" w:eastAsia="方正仿宋_GBK" w:cs="方正仿宋_GBK"/>
          <w:b w:val="0"/>
          <w:bCs/>
          <w:sz w:val="30"/>
          <w:szCs w:val="30"/>
          <w:lang w:val="en-US" w:eastAsia="zh-CN"/>
        </w:rPr>
        <w:t>甲方</w:t>
      </w:r>
      <w:r>
        <w:rPr>
          <w:rFonts w:hint="eastAsia" w:ascii="方正仿宋_GBK" w:hAnsi="方正仿宋_GBK" w:eastAsia="方正仿宋_GBK" w:cs="方正仿宋_GBK"/>
          <w:b w:val="0"/>
          <w:bCs/>
          <w:sz w:val="30"/>
          <w:szCs w:val="30"/>
        </w:rPr>
        <w:t>洽谈签订承发包合同事宜，并在收到中选通知书30日历天内完成合同签订。如果中选人未能按要求或在法定时限内缴纳履约担保金并签订书面合同的，</w:t>
      </w:r>
      <w:r>
        <w:rPr>
          <w:rFonts w:hint="eastAsia" w:ascii="方正仿宋_GBK" w:hAnsi="方正仿宋_GBK" w:eastAsia="方正仿宋_GBK" w:cs="方正仿宋_GBK"/>
          <w:b w:val="0"/>
          <w:bCs/>
          <w:sz w:val="30"/>
          <w:szCs w:val="30"/>
          <w:lang w:val="en-US" w:eastAsia="zh-CN"/>
        </w:rPr>
        <w:t>甲方</w:t>
      </w:r>
      <w:r>
        <w:rPr>
          <w:rFonts w:hint="eastAsia" w:ascii="方正仿宋_GBK" w:hAnsi="方正仿宋_GBK" w:eastAsia="方正仿宋_GBK" w:cs="方正仿宋_GBK"/>
          <w:b w:val="0"/>
          <w:bCs/>
          <w:sz w:val="30"/>
          <w:szCs w:val="30"/>
        </w:rPr>
        <w:t>有权取消其中选资格。给甲方造成的损失超过所有已缴纳费用的，乙方还应当对超过部分予以赔偿，并按“渝建发〔2008〕165号”、“渝公管发〔2020〕22号”文件要求执行。</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八、时间要求</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1、除应急抢险外，对办公和会务有影响的维修工作，应避开工作时间。</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2、屋面防水处理、受天气季节因素影响的维修项目可视实际天气季节顺延工期。  </w:t>
      </w:r>
    </w:p>
    <w:p>
      <w:pPr>
        <w:spacing w:line="560" w:lineRule="exact"/>
        <w:ind w:firstLine="602"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九、双方权利与义务</w:t>
      </w:r>
      <w:r>
        <w:rPr>
          <w:rFonts w:hint="eastAsia" w:ascii="方正仿宋_GBK" w:hAnsi="方正仿宋_GBK" w:eastAsia="方正仿宋_GBK" w:cs="方正仿宋_GBK"/>
          <w:sz w:val="30"/>
          <w:szCs w:val="30"/>
        </w:rPr>
        <w:t>　　</w:t>
      </w:r>
    </w:p>
    <w:p>
      <w:pPr>
        <w:spacing w:line="560" w:lineRule="exact"/>
        <w:ind w:firstLine="452" w:firstLineChars="15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（一） 甲方权利与义务　　</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1.甲方的权利</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（1）甲方有权对工程质量、工程进度、安全环保工作、文明施工等的管理、监督、检查。</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（2）甲方有权对乙方在各项维修维护工程中所采用的材料进行检查（检验），不合格可要求乙方更换。</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（3）甲方有权要求乙方撤换不能胜任本职工作的管理人员及施工人员。</w:t>
      </w:r>
    </w:p>
    <w:p>
      <w:pPr>
        <w:spacing w:line="560" w:lineRule="exact"/>
        <w:ind w:firstLine="48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（4）甲方有权对乙方的工程质量等级、隐蔽工程和中间验收、维护、初验、检查和返工、终验进行检查和监督。　　</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（5）甲方有权对乙方施工工作面存在的安全隐患进行监督、检查，并督促乙方采取整改措施。</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2.甲方的义务</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（1）甲方指派</w:t>
      </w:r>
      <w:r>
        <w:rPr>
          <w:rFonts w:hint="eastAsia" w:ascii="方正仿宋_GBK" w:hAnsi="方正仿宋_GBK" w:eastAsia="方正仿宋_GBK" w:cs="方正仿宋_GBK"/>
          <w:sz w:val="28"/>
          <w:szCs w:val="28"/>
          <w:u w:val="single"/>
          <w:lang w:eastAsia="zh-CN"/>
        </w:rPr>
        <w:t>姓名：</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lang w:eastAsia="zh-CN"/>
        </w:rPr>
        <w:t>电话：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为现场代表，负责联系、沟通、协调、全程监督和组织验收、审记工作；当事部门（单位）、物管经办人为收方收量签证负责人。</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（2）甲方负责对各维修维护项目察看相片、报修填写、审批完善；完成事前、事中、事后同置相片采集对比，实行图文并茂。</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（3）甲方负责在各维修维护项目结束后组织相关人员进行收方、收量、签证、验收、核价确认。</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（二）乙方的权利与义务</w:t>
      </w:r>
    </w:p>
    <w:p>
      <w:pPr>
        <w:spacing w:line="560" w:lineRule="exact"/>
        <w:ind w:firstLine="602"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sz w:val="30"/>
          <w:szCs w:val="30"/>
        </w:rPr>
        <w:t>1.乙方的权利</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（1）对修缮方式存在明显安全隐患和使用功能问题的，乙方有权书面告知甲方。</w:t>
      </w:r>
    </w:p>
    <w:p>
      <w:pPr>
        <w:spacing w:line="560" w:lineRule="exact"/>
        <w:ind w:firstLine="600"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sz w:val="30"/>
          <w:szCs w:val="30"/>
        </w:rPr>
        <w:t>（2）工程完工并通过</w:t>
      </w:r>
      <w:r>
        <w:rPr>
          <w:rFonts w:hint="eastAsia" w:ascii="方正仿宋_GBK" w:hAnsi="方正仿宋_GBK" w:eastAsia="方正仿宋_GBK" w:cs="方正仿宋_GBK"/>
          <w:sz w:val="30"/>
          <w:szCs w:val="30"/>
          <w:lang w:val="en-US" w:eastAsia="zh-CN"/>
        </w:rPr>
        <w:t>甲方</w:t>
      </w:r>
      <w:r>
        <w:rPr>
          <w:rFonts w:hint="eastAsia" w:ascii="方正仿宋_GBK" w:hAnsi="方正仿宋_GBK" w:eastAsia="方正仿宋_GBK" w:cs="方正仿宋_GBK"/>
          <w:sz w:val="30"/>
          <w:szCs w:val="30"/>
        </w:rPr>
        <w:t>验收“合格”，乙方无任何违约责任</w:t>
      </w:r>
      <w:r>
        <w:rPr>
          <w:rFonts w:hint="eastAsia" w:ascii="方正仿宋_GBK" w:hAnsi="方正仿宋_GBK" w:eastAsia="方正仿宋_GBK" w:cs="方正仿宋_GBK"/>
          <w:sz w:val="30"/>
          <w:szCs w:val="30"/>
          <w:lang w:val="en-US" w:eastAsia="zh-CN"/>
        </w:rPr>
        <w:t>的</w:t>
      </w:r>
      <w:r>
        <w:rPr>
          <w:rFonts w:hint="eastAsia" w:ascii="方正仿宋_GBK" w:hAnsi="方正仿宋_GBK" w:eastAsia="方正仿宋_GBK" w:cs="方正仿宋_GBK"/>
          <w:sz w:val="30"/>
          <w:szCs w:val="30"/>
        </w:rPr>
        <w:t>，有权要求甲方按合同条款支付工程款。</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2.乙方的义务</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严格按照施工验收规范及有关技术要求组织施工，确保工程质量和进度满足要求；投入足够的人力、物力、资金，保证在甲方确定的工期内完工；严格遵守安全制度，确保施工安全；加强现场管理，严格执行建设主管部门及环保、消防、环卫等有关部门对施工现场的管理规定；工程完工退场时，清理施工场地的建筑垃圾，保障环境卫生干净、整洁；承担由于自身责任造成的损失及各种罚款。</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（2）乙方必须服从甲方的施工调度，做到及时派工。</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（3）乙方全权负责其施工人员的培训、安全教育、持证上岗、工资发放、各种社会保险、伤亡事故处理、劳动争议等事宜。</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乙方应严格遵守国家安全生产的法律法规、规程规范、标准，遵守甲方的安全规章制度和现场防护要求，确保施工安全，为从事危险作业的施工人员办理意外伤害等保险。乙方施工人员本人事故及因施工造成的第三方损害甲方概不负责，由乙方自行承担全部责任和费用。</w:t>
      </w:r>
      <w:r>
        <w:rPr>
          <w:rFonts w:hint="eastAsia" w:ascii="方正仿宋_GBK" w:hAnsi="方正仿宋_GBK" w:eastAsia="方正仿宋_GBK" w:cs="方正仿宋_GBK"/>
          <w:sz w:val="30"/>
          <w:szCs w:val="30"/>
          <w:lang w:eastAsia="zh-CN"/>
        </w:rPr>
        <w:t>甲方承担相关费用的有权向乙方追偿。</w:t>
      </w:r>
      <w:r>
        <w:rPr>
          <w:rFonts w:hint="eastAsia" w:ascii="方正仿宋_GBK" w:hAnsi="方正仿宋_GBK" w:eastAsia="方正仿宋_GBK" w:cs="方正仿宋_GBK"/>
          <w:sz w:val="30"/>
          <w:szCs w:val="30"/>
        </w:rPr>
        <w:t>　　</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（5）保证全部生活废水经沉淀池、化粪池相关井、沟处理。　</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（6）做好施工场地周围建筑物、构筑物、地下管线和已完工程部分的成品保护工作，因乙方责任发生损坏，乙方自行承担由此引起的一切经济损失及各种罚款。</w:t>
      </w:r>
    </w:p>
    <w:p>
      <w:pPr>
        <w:spacing w:line="560" w:lineRule="exact"/>
        <w:ind w:firstLine="450" w:firstLineChars="15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（7）施工场界噪声控制指标应符合《建筑施工场界噪声限值》GB12523-90标准。</w:t>
      </w:r>
    </w:p>
    <w:p>
      <w:pPr>
        <w:spacing w:line="560" w:lineRule="exact"/>
        <w:ind w:firstLine="450" w:firstLineChars="15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（8）施工前向甲方提供维修维护所用材料的质量合格证书。</w:t>
      </w:r>
    </w:p>
    <w:p>
      <w:pPr>
        <w:spacing w:line="560" w:lineRule="exact"/>
        <w:ind w:firstLine="450" w:firstLineChars="15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（9）地下管网改造工程须在施工前向甲方提供相应图纸。</w:t>
      </w:r>
    </w:p>
    <w:p>
      <w:pPr>
        <w:spacing w:line="560" w:lineRule="exact"/>
        <w:ind w:firstLine="450" w:firstLineChars="15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10）在施工过程中，乙方须做到安全施工、文明施工，并做好相应的施工安全公告及警戒标识，施工过程中发生的一切安全事故由乙方自行负责处理并承担全部责任及费用。乙方应当与其施工人员建立劳动关系，承担全部用人用工主体责任。</w:t>
      </w:r>
      <w:r>
        <w:rPr>
          <w:rFonts w:hint="eastAsia" w:ascii="方正仿宋_GBK" w:hAnsi="方正仿宋_GBK" w:eastAsia="方正仿宋_GBK" w:cs="方正仿宋_GBK"/>
          <w:sz w:val="30"/>
          <w:szCs w:val="30"/>
          <w:lang w:eastAsia="zh-CN"/>
        </w:rPr>
        <w:t>甲方承担相关费用的有权向乙方追偿。</w:t>
      </w:r>
    </w:p>
    <w:p>
      <w:pPr>
        <w:spacing w:line="560" w:lineRule="exact"/>
        <w:ind w:firstLine="450" w:firstLineChars="15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（11）本项目施工需符合国家、地方、行业各项安全规范。</w:t>
      </w:r>
    </w:p>
    <w:p>
      <w:pPr>
        <w:spacing w:line="560" w:lineRule="exact"/>
        <w:ind w:firstLine="450" w:firstLineChars="15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（12）乙方应进行安全检查及时清除不安全隐患，根据施工实际情况，提出安全生产措施，及时解决安全生产上存在的各种问题，协助解决安全生产中的疑难问题。</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十、违约责任        　</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（一）甲方违约责任</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1.因</w:t>
      </w:r>
      <w:r>
        <w:rPr>
          <w:rFonts w:hint="eastAsia" w:ascii="方正仿宋_GBK" w:hAnsi="方正仿宋_GBK" w:eastAsia="方正仿宋_GBK" w:cs="方正仿宋_GBK"/>
          <w:sz w:val="28"/>
          <w:szCs w:val="28"/>
          <w:lang w:eastAsia="zh-CN"/>
        </w:rPr>
        <w:t>非乙方原因，</w:t>
      </w:r>
      <w:r>
        <w:rPr>
          <w:rFonts w:hint="eastAsia" w:ascii="方正仿宋_GBK" w:hAnsi="方正仿宋_GBK" w:eastAsia="方正仿宋_GBK" w:cs="方正仿宋_GBK"/>
          <w:sz w:val="30"/>
          <w:szCs w:val="30"/>
        </w:rPr>
        <w:t>甲方延期支付委托价款导致工期延期的，乙方不承担任何责任。</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2.因甲方原因未能及时办理完毕合同约定的许可、批准或备案的。</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3.甲方无正当理由未按约定支付维修价款、退还履约担保、低价风险担保、预付款担保或质量保证金的。</w:t>
      </w:r>
    </w:p>
    <w:p>
      <w:pPr>
        <w:spacing w:line="560" w:lineRule="exact"/>
        <w:ind w:firstLine="602"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（二）乙方违约责任　　</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乙方应当遵守法律、法规及行业管理有关规定要求。</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1.有下列情形之一的，取消成交供应商资格，</w:t>
      </w:r>
      <w:r>
        <w:rPr>
          <w:rFonts w:hint="eastAsia" w:ascii="方正仿宋_GBK" w:hAnsi="方正仿宋_GBK" w:eastAsia="方正仿宋_GBK" w:cs="方正仿宋_GBK"/>
          <w:sz w:val="28"/>
          <w:szCs w:val="28"/>
          <w:lang w:eastAsia="zh-CN"/>
        </w:rPr>
        <w:t>甲方有权单方解除合同，乙方按本合同金额的</w:t>
      </w:r>
      <w:r>
        <w:rPr>
          <w:rFonts w:hint="eastAsia" w:ascii="方正仿宋_GBK" w:hAnsi="方正仿宋_GBK" w:eastAsia="方正仿宋_GBK" w:cs="方正仿宋_GBK"/>
          <w:sz w:val="28"/>
          <w:szCs w:val="28"/>
          <w:lang w:val="en-US" w:eastAsia="zh-CN"/>
        </w:rPr>
        <w:t xml:space="preserve">    %向甲方</w:t>
      </w:r>
      <w:r>
        <w:rPr>
          <w:rFonts w:hint="eastAsia" w:ascii="方正仿宋_GBK" w:hAnsi="方正仿宋_GBK" w:eastAsia="方正仿宋_GBK" w:cs="方正仿宋_GBK"/>
          <w:sz w:val="28"/>
          <w:szCs w:val="28"/>
          <w:lang w:eastAsia="zh-CN"/>
        </w:rPr>
        <w:t>承担违约责任，并赔偿因此造成的甲方损失</w:t>
      </w:r>
      <w:r>
        <w:rPr>
          <w:rFonts w:hint="eastAsia" w:ascii="方正仿宋_GBK" w:hAnsi="方正仿宋_GBK" w:eastAsia="方正仿宋_GBK" w:cs="方正仿宋_GBK"/>
          <w:sz w:val="30"/>
          <w:szCs w:val="30"/>
        </w:rPr>
        <w:t>：</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（1）同一项目返修三次（含本数）以上的。</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（2）转包、挂靠或违法分包项目的。</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（3）发生质量安全事故、拖欠工程款、民工工资等不良行为，受到有关部门处罚处理的。</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（4）引发群体性上访事件的。</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（5）自愿申请退出成交供应商的。</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（6）拒绝承担甲方安排任务的。</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（7）对审定工期延误三次（含本数）以上的。</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（8）对被服务对象和涉及单位有效投诉三次（含本数）以上的。</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（9）对经查实在施工中偷工减料、贿赂串通甲方、监理、结算和审计等单位人员、偷盗公私财物或性质恶劣、造成泌密事件的。</w:t>
      </w:r>
    </w:p>
    <w:p>
      <w:pPr>
        <w:adjustRightInd w:val="0"/>
        <w:snapToGrid w:val="0"/>
        <w:spacing w:line="560" w:lineRule="exact"/>
        <w:ind w:right="-420" w:rightChars="-20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（10）其他违法违规行为，经审查认为不宜保留成交供应商资格的。</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 乙方应服从甲方的管理，按照甲方指定的合同内容，不论合同金额大小，均应按质按量按期完成合同内容。　</w:t>
      </w:r>
    </w:p>
    <w:p>
      <w:pPr>
        <w:spacing w:line="560" w:lineRule="exact"/>
        <w:ind w:firstLine="57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3.乙方不得使用劣质管材等材料滥竽充数，一经发现处以违约金5000元。发现两次，甲方有权解除合同。</w:t>
      </w:r>
    </w:p>
    <w:p>
      <w:pPr>
        <w:spacing w:line="560" w:lineRule="exact"/>
        <w:ind w:firstLine="57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 乙方应严格要求现场施工人员和管理人员，不得吃拿卡要，若发生类似情况，一经查实，甲方有权解除合同。</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5．乙方应在接到甲方的维修通知后，在本合同约定期限内维修完工并通过验收合格，逾期，按200元/天计算违约金。超过3天，甲方有权解除本合同。</w:t>
      </w:r>
    </w:p>
    <w:p>
      <w:pPr>
        <w:spacing w:line="560" w:lineRule="exact"/>
        <w:ind w:firstLine="57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十一、其它约定事项</w:t>
      </w:r>
    </w:p>
    <w:p>
      <w:pPr>
        <w:spacing w:line="560" w:lineRule="exact"/>
        <w:ind w:firstLine="570"/>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（一）针对突发、应急、抢险与特别特殊特行、紧急个案处置：</w:t>
      </w:r>
    </w:p>
    <w:p>
      <w:pPr>
        <w:spacing w:line="560" w:lineRule="exact"/>
        <w:ind w:firstLine="600" w:firstLineChars="200"/>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乙方自觉做好应急响应、应急措施、应急处置并无条件协助、配合做好应急预案处置到位、落到实处。</w:t>
      </w:r>
    </w:p>
    <w:p>
      <w:pPr>
        <w:spacing w:line="560" w:lineRule="exact"/>
        <w:ind w:firstLine="600" w:firstLineChars="200"/>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（二）乙方指定</w:t>
      </w:r>
      <w:r>
        <w:rPr>
          <w:rFonts w:hint="eastAsia" w:ascii="方正仿宋_GBK" w:hAnsi="方正仿宋_GBK" w:eastAsia="方正仿宋_GBK" w:cs="方正仿宋_GBK"/>
          <w:bCs/>
          <w:sz w:val="30"/>
          <w:szCs w:val="30"/>
          <w:u w:val="single"/>
        </w:rPr>
        <w:t xml:space="preserve">        </w:t>
      </w:r>
      <w:r>
        <w:rPr>
          <w:rFonts w:hint="eastAsia" w:ascii="方正仿宋_GBK" w:hAnsi="方正仿宋_GBK" w:eastAsia="方正仿宋_GBK" w:cs="方正仿宋_GBK"/>
          <w:bCs/>
          <w:sz w:val="30"/>
          <w:szCs w:val="30"/>
        </w:rPr>
        <w:t>(身份证号：</w:t>
      </w:r>
      <w:r>
        <w:rPr>
          <w:rFonts w:hint="eastAsia" w:ascii="方正仿宋_GBK" w:hAnsi="方正仿宋_GBK" w:eastAsia="方正仿宋_GBK" w:cs="方正仿宋_GBK"/>
          <w:bCs/>
          <w:sz w:val="30"/>
          <w:szCs w:val="30"/>
          <w:u w:val="single"/>
        </w:rPr>
        <w:t xml:space="preserve">          </w:t>
      </w:r>
      <w:r>
        <w:rPr>
          <w:rFonts w:hint="eastAsia" w:ascii="方正仿宋_GBK" w:hAnsi="方正仿宋_GBK" w:eastAsia="方正仿宋_GBK" w:cs="方正仿宋_GBK"/>
          <w:bCs/>
          <w:sz w:val="30"/>
          <w:szCs w:val="30"/>
        </w:rPr>
        <w:t>电话：</w:t>
      </w:r>
      <w:r>
        <w:rPr>
          <w:rFonts w:hint="eastAsia" w:ascii="方正仿宋_GBK" w:hAnsi="方正仿宋_GBK" w:eastAsia="方正仿宋_GBK" w:cs="方正仿宋_GBK"/>
          <w:bCs/>
          <w:sz w:val="30"/>
          <w:szCs w:val="30"/>
          <w:u w:val="single"/>
        </w:rPr>
        <w:t xml:space="preserve">     </w:t>
      </w:r>
      <w:r>
        <w:rPr>
          <w:rFonts w:hint="eastAsia" w:ascii="方正仿宋_GBK" w:hAnsi="方正仿宋_GBK" w:eastAsia="方正仿宋_GBK" w:cs="方正仿宋_GBK"/>
          <w:bCs/>
          <w:sz w:val="30"/>
          <w:szCs w:val="30"/>
        </w:rPr>
        <w:t>、电子邮件：</w:t>
      </w:r>
      <w:r>
        <w:rPr>
          <w:rFonts w:hint="eastAsia" w:ascii="方正仿宋_GBK" w:hAnsi="方正仿宋_GBK" w:eastAsia="方正仿宋_GBK" w:cs="方正仿宋_GBK"/>
          <w:bCs/>
          <w:sz w:val="30"/>
          <w:szCs w:val="30"/>
          <w:u w:val="single"/>
        </w:rPr>
        <w:t xml:space="preserve">       </w:t>
      </w:r>
      <w:r>
        <w:rPr>
          <w:rFonts w:hint="eastAsia" w:ascii="方正仿宋_GBK" w:hAnsi="方正仿宋_GBK" w:eastAsia="方正仿宋_GBK" w:cs="方正仿宋_GBK"/>
          <w:bCs/>
          <w:sz w:val="30"/>
          <w:szCs w:val="30"/>
        </w:rPr>
        <w:t>)、</w:t>
      </w:r>
      <w:r>
        <w:rPr>
          <w:rFonts w:hint="eastAsia" w:ascii="方正仿宋_GBK" w:hAnsi="方正仿宋_GBK" w:eastAsia="方正仿宋_GBK" w:cs="方正仿宋_GBK"/>
          <w:bCs/>
          <w:sz w:val="30"/>
          <w:szCs w:val="30"/>
          <w:u w:val="single"/>
        </w:rPr>
        <w:t xml:space="preserve">        </w:t>
      </w:r>
      <w:r>
        <w:rPr>
          <w:rFonts w:hint="eastAsia" w:ascii="方正仿宋_GBK" w:hAnsi="方正仿宋_GBK" w:eastAsia="方正仿宋_GBK" w:cs="方正仿宋_GBK"/>
          <w:bCs/>
          <w:sz w:val="30"/>
          <w:szCs w:val="30"/>
        </w:rPr>
        <w:t>(身份证号：</w:t>
      </w:r>
      <w:r>
        <w:rPr>
          <w:rFonts w:hint="eastAsia" w:ascii="方正仿宋_GBK" w:hAnsi="方正仿宋_GBK" w:eastAsia="方正仿宋_GBK" w:cs="方正仿宋_GBK"/>
          <w:bCs/>
          <w:sz w:val="30"/>
          <w:szCs w:val="30"/>
          <w:u w:val="single"/>
        </w:rPr>
        <w:t xml:space="preserve">          </w:t>
      </w:r>
      <w:r>
        <w:rPr>
          <w:rFonts w:hint="eastAsia" w:ascii="方正仿宋_GBK" w:hAnsi="方正仿宋_GBK" w:eastAsia="方正仿宋_GBK" w:cs="方正仿宋_GBK"/>
          <w:bCs/>
          <w:sz w:val="30"/>
          <w:szCs w:val="30"/>
        </w:rPr>
        <w:t>电话：</w:t>
      </w:r>
      <w:r>
        <w:rPr>
          <w:rFonts w:hint="eastAsia" w:ascii="方正仿宋_GBK" w:hAnsi="方正仿宋_GBK" w:eastAsia="方正仿宋_GBK" w:cs="方正仿宋_GBK"/>
          <w:bCs/>
          <w:sz w:val="30"/>
          <w:szCs w:val="30"/>
          <w:u w:val="single"/>
        </w:rPr>
        <w:t xml:space="preserve">     </w:t>
      </w:r>
      <w:r>
        <w:rPr>
          <w:rFonts w:hint="eastAsia" w:ascii="方正仿宋_GBK" w:hAnsi="方正仿宋_GBK" w:eastAsia="方正仿宋_GBK" w:cs="方正仿宋_GBK"/>
          <w:bCs/>
          <w:sz w:val="30"/>
          <w:szCs w:val="30"/>
        </w:rPr>
        <w:t>、电子邮件：</w:t>
      </w:r>
      <w:r>
        <w:rPr>
          <w:rFonts w:hint="eastAsia" w:ascii="方正仿宋_GBK" w:hAnsi="方正仿宋_GBK" w:eastAsia="方正仿宋_GBK" w:cs="方正仿宋_GBK"/>
          <w:bCs/>
          <w:sz w:val="30"/>
          <w:szCs w:val="30"/>
          <w:u w:val="single"/>
        </w:rPr>
        <w:t xml:space="preserve">        </w:t>
      </w:r>
      <w:r>
        <w:rPr>
          <w:rFonts w:hint="eastAsia" w:ascii="方正仿宋_GBK" w:hAnsi="方正仿宋_GBK" w:eastAsia="方正仿宋_GBK" w:cs="方正仿宋_GBK"/>
          <w:bCs/>
          <w:sz w:val="30"/>
          <w:szCs w:val="30"/>
        </w:rPr>
        <w:t>)为现场代表联系人。</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bCs/>
          <w:sz w:val="30"/>
          <w:szCs w:val="30"/>
        </w:rPr>
        <w:t>（三）</w:t>
      </w:r>
      <w:r>
        <w:rPr>
          <w:rFonts w:hint="eastAsia" w:ascii="方正仿宋_GBK" w:hAnsi="方正仿宋_GBK" w:eastAsia="方正仿宋_GBK" w:cs="方正仿宋_GBK"/>
          <w:sz w:val="30"/>
          <w:szCs w:val="30"/>
        </w:rPr>
        <w:t>乙方在接到甲方的维修通知后，应第一时间安排与维修事项相适应的现场管理人员和施工作业人员进场施工，原则上24小时内完成维修，因乙方懈怠而引发安全事故或群体性事件等问题，由乙方全权承担相应责任及费用，若发生类似情况超过三次（含三次），甲方有权解除合同。</w:t>
      </w:r>
    </w:p>
    <w:p>
      <w:pPr>
        <w:spacing w:line="560" w:lineRule="exact"/>
        <w:ind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十二、通知与送达</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双方一致确认本合同尾部页载明的通信地址及联系方式为各方履行合同义务、解决合同争议时接收其他方文件信函或司法机关（法院、仲裁机构）诉讼、仲裁文书的唯一送达地址及联系方式。各方按照本合同尾部页载明的地址送达相关文件的，若系直接送达，则收件人本人签收或他人代签之日即视为送达之日；若以电子邮件方式送达，则自邮件到达对方邮件收件系统之日即视为送达之日；若以邮寄方式（包括EMS）送达，则自邮寄之日起第三个工作日即视为送达之日，因受送达人拒收等原因导致文书未能送达或退回的，不影响送达效力。任何一方变更送达地址的，应在变更后三个工作日内以书面形式将变更后的送达地址通知对方；未按前述约定方式变更的，前述送达地址仍为有效送达地址</w:t>
      </w:r>
    </w:p>
    <w:p>
      <w:pPr>
        <w:spacing w:line="560" w:lineRule="exact"/>
        <w:ind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十三、附则　</w:t>
      </w:r>
    </w:p>
    <w:p>
      <w:pPr>
        <w:spacing w:line="560" w:lineRule="exact"/>
        <w:ind w:firstLine="600" w:firstLineChars="200"/>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sz w:val="30"/>
          <w:szCs w:val="30"/>
        </w:rPr>
        <w:t>1、在本《合同》签定时，同时签定《工程质量保修书》、《廉洁从业协议》、《安全管理协议》，并严格执行自觉遵守。</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2</w:t>
      </w:r>
      <w:r>
        <w:rPr>
          <w:rFonts w:hint="eastAsia" w:ascii="方正仿宋_GBK" w:hAnsi="方正仿宋_GBK" w:eastAsia="方正仿宋_GBK" w:cs="方正仿宋_GBK"/>
          <w:sz w:val="30"/>
          <w:szCs w:val="30"/>
        </w:rPr>
        <w:t>、本合同在履行过程中所发生的任何争议，由当事双方协商解决；协商未果，任何一方均可依法向本合同签订地（南岸区）有管辖权的人民法院提起诉讼。</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、本合同经双方盖章后生效，合同期满，自动终止。</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、本合同壹式陆份，甲、乙双方各执叁份，具有同等法律效力。</w:t>
      </w:r>
    </w:p>
    <w:tbl>
      <w:tblPr>
        <w:tblStyle w:val="46"/>
        <w:tblW w:w="8868" w:type="dxa"/>
        <w:tblInd w:w="0" w:type="dxa"/>
        <w:tblLayout w:type="autofit"/>
        <w:tblCellMar>
          <w:top w:w="0" w:type="dxa"/>
          <w:left w:w="108" w:type="dxa"/>
          <w:bottom w:w="0" w:type="dxa"/>
          <w:right w:w="108" w:type="dxa"/>
        </w:tblCellMar>
      </w:tblPr>
      <w:tblGrid>
        <w:gridCol w:w="1839"/>
        <w:gridCol w:w="2889"/>
        <w:gridCol w:w="1671"/>
        <w:gridCol w:w="2469"/>
      </w:tblGrid>
      <w:tr>
        <w:tblPrEx>
          <w:tblCellMar>
            <w:top w:w="0" w:type="dxa"/>
            <w:left w:w="108" w:type="dxa"/>
            <w:bottom w:w="0" w:type="dxa"/>
            <w:right w:w="108" w:type="dxa"/>
          </w:tblCellMar>
        </w:tblPrEx>
        <w:tc>
          <w:tcPr>
            <w:tcW w:w="1839" w:type="dxa"/>
            <w:noWrap w:val="0"/>
            <w:vAlign w:val="top"/>
          </w:tcPr>
          <w:p>
            <w:pPr>
              <w:spacing w:line="560" w:lineRule="exact"/>
              <w:jc w:val="lef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甲方</w:t>
            </w:r>
            <w:r>
              <w:rPr>
                <w:rFonts w:hint="eastAsia" w:ascii="方正仿宋_GBK" w:hAnsi="方正仿宋_GBK" w:eastAsia="方正仿宋_GBK" w:cs="方正仿宋_GBK"/>
                <w:sz w:val="30"/>
                <w:szCs w:val="30"/>
              </w:rPr>
              <w:t xml:space="preserve">：    </w:t>
            </w:r>
          </w:p>
        </w:tc>
        <w:tc>
          <w:tcPr>
            <w:tcW w:w="2889" w:type="dxa"/>
            <w:noWrap w:val="0"/>
            <w:vAlign w:val="top"/>
          </w:tcPr>
          <w:p>
            <w:pPr>
              <w:spacing w:line="560" w:lineRule="exact"/>
              <w:rPr>
                <w:rFonts w:hint="eastAsia" w:ascii="方正仿宋_GBK" w:hAnsi="方正仿宋_GBK" w:eastAsia="方正仿宋_GBK" w:cs="方正仿宋_GBK"/>
                <w:b/>
                <w:sz w:val="30"/>
                <w:szCs w:val="30"/>
              </w:rPr>
            </w:pPr>
          </w:p>
          <w:p>
            <w:pPr>
              <w:spacing w:line="560" w:lineRule="exact"/>
              <w:rPr>
                <w:rFonts w:hint="eastAsia" w:ascii="方正仿宋_GBK" w:hAnsi="方正仿宋_GBK" w:eastAsia="方正仿宋_GBK" w:cs="方正仿宋_GBK"/>
                <w:b/>
                <w:sz w:val="30"/>
                <w:szCs w:val="30"/>
              </w:rPr>
            </w:pPr>
          </w:p>
        </w:tc>
        <w:tc>
          <w:tcPr>
            <w:tcW w:w="1671" w:type="dxa"/>
            <w:noWrap w:val="0"/>
            <w:vAlign w:val="top"/>
          </w:tcPr>
          <w:p>
            <w:pPr>
              <w:spacing w:line="56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乙方</w:t>
            </w:r>
            <w:r>
              <w:rPr>
                <w:rFonts w:hint="eastAsia" w:ascii="方正仿宋_GBK" w:hAnsi="方正仿宋_GBK" w:eastAsia="方正仿宋_GBK" w:cs="方正仿宋_GBK"/>
                <w:sz w:val="30"/>
                <w:szCs w:val="30"/>
              </w:rPr>
              <w:t xml:space="preserve">：　  </w:t>
            </w:r>
          </w:p>
        </w:tc>
        <w:tc>
          <w:tcPr>
            <w:tcW w:w="2469" w:type="dxa"/>
            <w:noWrap w:val="0"/>
            <w:vAlign w:val="top"/>
          </w:tcPr>
          <w:p>
            <w:pPr>
              <w:spacing w:line="560" w:lineRule="exact"/>
              <w:rPr>
                <w:rFonts w:hint="eastAsia" w:ascii="方正仿宋_GBK" w:hAnsi="方正仿宋_GBK" w:eastAsia="方正仿宋_GBK" w:cs="方正仿宋_GBK"/>
                <w:b/>
                <w:sz w:val="30"/>
                <w:szCs w:val="30"/>
              </w:rPr>
            </w:pPr>
          </w:p>
        </w:tc>
      </w:tr>
      <w:tr>
        <w:tblPrEx>
          <w:tblCellMar>
            <w:top w:w="0" w:type="dxa"/>
            <w:left w:w="108" w:type="dxa"/>
            <w:bottom w:w="0" w:type="dxa"/>
            <w:right w:w="108" w:type="dxa"/>
          </w:tblCellMar>
        </w:tblPrEx>
        <w:tc>
          <w:tcPr>
            <w:tcW w:w="1839" w:type="dxa"/>
            <w:noWrap w:val="0"/>
            <w:vAlign w:val="top"/>
          </w:tcPr>
          <w:p>
            <w:pPr>
              <w:spacing w:line="56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sz w:val="30"/>
                <w:szCs w:val="30"/>
              </w:rPr>
              <w:t xml:space="preserve">经办人：  </w:t>
            </w:r>
          </w:p>
        </w:tc>
        <w:tc>
          <w:tcPr>
            <w:tcW w:w="2889" w:type="dxa"/>
            <w:noWrap w:val="0"/>
            <w:vAlign w:val="top"/>
          </w:tcPr>
          <w:p>
            <w:pPr>
              <w:spacing w:line="560" w:lineRule="exact"/>
              <w:rPr>
                <w:rFonts w:hint="eastAsia" w:ascii="方正仿宋_GBK" w:hAnsi="方正仿宋_GBK" w:eastAsia="方正仿宋_GBK" w:cs="方正仿宋_GBK"/>
                <w:b/>
                <w:sz w:val="30"/>
                <w:szCs w:val="30"/>
              </w:rPr>
            </w:pPr>
          </w:p>
        </w:tc>
        <w:tc>
          <w:tcPr>
            <w:tcW w:w="1671" w:type="dxa"/>
            <w:noWrap w:val="0"/>
            <w:vAlign w:val="top"/>
          </w:tcPr>
          <w:p>
            <w:pPr>
              <w:spacing w:line="56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sz w:val="30"/>
                <w:szCs w:val="30"/>
              </w:rPr>
              <w:t>经办人：</w:t>
            </w:r>
          </w:p>
        </w:tc>
        <w:tc>
          <w:tcPr>
            <w:tcW w:w="2469" w:type="dxa"/>
            <w:noWrap w:val="0"/>
            <w:vAlign w:val="top"/>
          </w:tcPr>
          <w:p>
            <w:pPr>
              <w:spacing w:line="560" w:lineRule="exact"/>
              <w:rPr>
                <w:rFonts w:hint="eastAsia" w:ascii="方正仿宋_GBK" w:hAnsi="方正仿宋_GBK" w:eastAsia="方正仿宋_GBK" w:cs="方正仿宋_GBK"/>
                <w:b/>
                <w:sz w:val="30"/>
                <w:szCs w:val="30"/>
              </w:rPr>
            </w:pPr>
          </w:p>
        </w:tc>
      </w:tr>
      <w:tr>
        <w:tblPrEx>
          <w:tblCellMar>
            <w:top w:w="0" w:type="dxa"/>
            <w:left w:w="108" w:type="dxa"/>
            <w:bottom w:w="0" w:type="dxa"/>
            <w:right w:w="108" w:type="dxa"/>
          </w:tblCellMar>
        </w:tblPrEx>
        <w:tc>
          <w:tcPr>
            <w:tcW w:w="1839" w:type="dxa"/>
            <w:noWrap w:val="0"/>
            <w:vAlign w:val="top"/>
          </w:tcPr>
          <w:p>
            <w:pPr>
              <w:spacing w:line="56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sz w:val="30"/>
                <w:szCs w:val="30"/>
              </w:rPr>
              <w:t>联系电话：</w:t>
            </w:r>
          </w:p>
        </w:tc>
        <w:tc>
          <w:tcPr>
            <w:tcW w:w="2889" w:type="dxa"/>
            <w:noWrap w:val="0"/>
            <w:vAlign w:val="top"/>
          </w:tcPr>
          <w:p>
            <w:pPr>
              <w:spacing w:line="560" w:lineRule="exact"/>
              <w:rPr>
                <w:rFonts w:hint="eastAsia" w:ascii="方正仿宋_GBK" w:hAnsi="方正仿宋_GBK" w:eastAsia="方正仿宋_GBK" w:cs="方正仿宋_GBK"/>
                <w:b/>
                <w:sz w:val="30"/>
                <w:szCs w:val="30"/>
              </w:rPr>
            </w:pPr>
          </w:p>
        </w:tc>
        <w:tc>
          <w:tcPr>
            <w:tcW w:w="1671" w:type="dxa"/>
            <w:noWrap w:val="0"/>
            <w:vAlign w:val="top"/>
          </w:tcPr>
          <w:p>
            <w:pPr>
              <w:spacing w:line="56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sz w:val="30"/>
                <w:szCs w:val="30"/>
              </w:rPr>
              <w:t>联系电话：</w:t>
            </w:r>
          </w:p>
        </w:tc>
        <w:tc>
          <w:tcPr>
            <w:tcW w:w="2469" w:type="dxa"/>
            <w:noWrap w:val="0"/>
            <w:vAlign w:val="top"/>
          </w:tcPr>
          <w:p>
            <w:pPr>
              <w:spacing w:line="560" w:lineRule="exact"/>
              <w:rPr>
                <w:rFonts w:hint="eastAsia" w:ascii="方正仿宋_GBK" w:hAnsi="方正仿宋_GBK" w:eastAsia="方正仿宋_GBK" w:cs="方正仿宋_GBK"/>
                <w:b/>
                <w:sz w:val="30"/>
                <w:szCs w:val="30"/>
              </w:rPr>
            </w:pPr>
          </w:p>
        </w:tc>
      </w:tr>
      <w:tr>
        <w:tblPrEx>
          <w:tblCellMar>
            <w:top w:w="0" w:type="dxa"/>
            <w:left w:w="108" w:type="dxa"/>
            <w:bottom w:w="0" w:type="dxa"/>
            <w:right w:w="108" w:type="dxa"/>
          </w:tblCellMar>
        </w:tblPrEx>
        <w:trPr>
          <w:trHeight w:val="990" w:hRule="atLeast"/>
        </w:trPr>
        <w:tc>
          <w:tcPr>
            <w:tcW w:w="1839" w:type="dxa"/>
            <w:noWrap w:val="0"/>
            <w:vAlign w:val="top"/>
          </w:tcPr>
          <w:p>
            <w:pPr>
              <w:spacing w:line="56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sz w:val="30"/>
                <w:szCs w:val="30"/>
              </w:rPr>
              <w:t>联系地址：</w:t>
            </w:r>
          </w:p>
        </w:tc>
        <w:tc>
          <w:tcPr>
            <w:tcW w:w="2889" w:type="dxa"/>
            <w:noWrap w:val="0"/>
            <w:vAlign w:val="top"/>
          </w:tcPr>
          <w:p>
            <w:pPr>
              <w:spacing w:line="560" w:lineRule="exact"/>
              <w:rPr>
                <w:rFonts w:hint="eastAsia" w:ascii="方正仿宋_GBK" w:hAnsi="方正仿宋_GBK" w:eastAsia="方正仿宋_GBK" w:cs="方正仿宋_GBK"/>
                <w:b/>
                <w:sz w:val="30"/>
                <w:szCs w:val="30"/>
              </w:rPr>
            </w:pPr>
          </w:p>
          <w:p>
            <w:pPr>
              <w:spacing w:line="560" w:lineRule="exact"/>
              <w:rPr>
                <w:rFonts w:hint="eastAsia" w:ascii="方正仿宋_GBK" w:hAnsi="方正仿宋_GBK" w:eastAsia="方正仿宋_GBK" w:cs="方正仿宋_GBK"/>
                <w:b/>
                <w:sz w:val="30"/>
                <w:szCs w:val="30"/>
              </w:rPr>
            </w:pPr>
          </w:p>
          <w:p>
            <w:pPr>
              <w:spacing w:line="560" w:lineRule="exact"/>
              <w:rPr>
                <w:rFonts w:hint="eastAsia" w:ascii="方正仿宋_GBK" w:hAnsi="方正仿宋_GBK" w:eastAsia="方正仿宋_GBK" w:cs="方正仿宋_GBK"/>
                <w:b/>
                <w:sz w:val="30"/>
                <w:szCs w:val="30"/>
              </w:rPr>
            </w:pPr>
          </w:p>
        </w:tc>
        <w:tc>
          <w:tcPr>
            <w:tcW w:w="1671" w:type="dxa"/>
            <w:noWrap w:val="0"/>
            <w:vAlign w:val="top"/>
          </w:tcPr>
          <w:p>
            <w:pPr>
              <w:spacing w:line="56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sz w:val="30"/>
                <w:szCs w:val="30"/>
              </w:rPr>
              <w:t>联系地址：</w:t>
            </w:r>
          </w:p>
        </w:tc>
        <w:tc>
          <w:tcPr>
            <w:tcW w:w="2469" w:type="dxa"/>
            <w:noWrap w:val="0"/>
            <w:vAlign w:val="top"/>
          </w:tcPr>
          <w:p>
            <w:pPr>
              <w:spacing w:line="560" w:lineRule="exact"/>
              <w:rPr>
                <w:rFonts w:hint="eastAsia" w:ascii="方正仿宋_GBK" w:hAnsi="方正仿宋_GBK" w:eastAsia="方正仿宋_GBK" w:cs="方正仿宋_GBK"/>
                <w:b/>
                <w:sz w:val="30"/>
                <w:szCs w:val="30"/>
              </w:rPr>
            </w:pPr>
          </w:p>
        </w:tc>
      </w:tr>
    </w:tbl>
    <w:p>
      <w:pPr>
        <w:jc w:val="both"/>
        <w:rPr>
          <w:rFonts w:hint="eastAsia"/>
        </w:rPr>
        <w:sectPr>
          <w:footerReference r:id="rId6" w:type="default"/>
          <w:pgSz w:w="11906" w:h="16838"/>
          <w:pgMar w:top="1304" w:right="1134" w:bottom="1304" w:left="1304" w:header="851" w:footer="992" w:gutter="0"/>
          <w:cols w:space="720" w:num="1"/>
          <w:docGrid w:type="lines" w:linePitch="312" w:charSpace="0"/>
        </w:sectPr>
      </w:pPr>
      <w:r>
        <w:rPr>
          <w:rFonts w:hint="eastAsia" w:ascii="方正仿宋_GBK" w:hAnsi="方正仿宋_GBK" w:eastAsia="方正仿宋_GBK" w:cs="方正仿宋_GBK"/>
          <w:sz w:val="30"/>
          <w:szCs w:val="30"/>
        </w:rPr>
        <w:t xml:space="preserve"> 年    月    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年    月    日</w:t>
      </w:r>
    </w:p>
    <w:p>
      <w:pPr>
        <w:spacing w:line="360" w:lineRule="auto"/>
        <w:rPr>
          <w:rFonts w:ascii="宋体" w:hAnsi="宋体"/>
          <w:szCs w:val="20"/>
          <w:highlight w:val="none"/>
        </w:rPr>
      </w:pPr>
    </w:p>
    <w:p>
      <w:pPr>
        <w:pStyle w:val="3"/>
        <w:spacing w:line="360" w:lineRule="auto"/>
        <w:jc w:val="center"/>
        <w:rPr>
          <w:rFonts w:hint="eastAsia" w:ascii="宋体" w:hAnsi="宋体" w:eastAsia="宋体"/>
          <w:highlight w:val="none"/>
          <w:lang w:eastAsia="zh-CN"/>
        </w:rPr>
      </w:pPr>
      <w:bookmarkStart w:id="355" w:name="招标文件06章图纸"/>
      <w:bookmarkEnd w:id="355"/>
      <w:bookmarkStart w:id="356" w:name="_Toc8087"/>
      <w:bookmarkStart w:id="357" w:name="_Toc509218846"/>
      <w:bookmarkStart w:id="358" w:name="_Toc22154"/>
      <w:bookmarkStart w:id="359" w:name="_Toc534185825"/>
      <w:bookmarkStart w:id="360" w:name="_Toc430530519"/>
      <w:bookmarkStart w:id="361" w:name="_Toc287607861"/>
      <w:bookmarkStart w:id="362" w:name="_Toc30298"/>
      <w:bookmarkStart w:id="363" w:name="_Toc287620803"/>
      <w:r>
        <w:rPr>
          <w:rFonts w:hint="eastAsia" w:ascii="宋体" w:hAnsi="宋体"/>
          <w:highlight w:val="none"/>
        </w:rPr>
        <w:t>第六章  图纸</w:t>
      </w:r>
      <w:bookmarkEnd w:id="356"/>
      <w:bookmarkEnd w:id="357"/>
      <w:bookmarkEnd w:id="358"/>
      <w:bookmarkEnd w:id="359"/>
      <w:bookmarkEnd w:id="360"/>
      <w:bookmarkEnd w:id="361"/>
      <w:bookmarkEnd w:id="362"/>
      <w:bookmarkEnd w:id="363"/>
      <w:r>
        <w:rPr>
          <w:rFonts w:hint="eastAsia" w:ascii="宋体" w:hAnsi="宋体"/>
          <w:highlight w:val="none"/>
          <w:lang w:eastAsia="zh-CN"/>
        </w:rPr>
        <w:t>（</w:t>
      </w:r>
      <w:r>
        <w:rPr>
          <w:rFonts w:hint="eastAsia" w:ascii="宋体" w:hAnsi="宋体"/>
          <w:highlight w:val="none"/>
          <w:lang w:val="en-US" w:eastAsia="zh-CN"/>
        </w:rPr>
        <w:t>如有</w:t>
      </w:r>
      <w:r>
        <w:rPr>
          <w:rFonts w:hint="eastAsia" w:ascii="宋体" w:hAnsi="宋体"/>
          <w:highlight w:val="none"/>
          <w:lang w:eastAsia="zh-CN"/>
        </w:rPr>
        <w:t>）</w:t>
      </w:r>
    </w:p>
    <w:p>
      <w:pPr>
        <w:snapToGrid w:val="0"/>
        <w:spacing w:line="360" w:lineRule="auto"/>
        <w:jc w:val="center"/>
        <w:rPr>
          <w:rFonts w:ascii="宋体" w:hAnsi="宋体"/>
          <w:szCs w:val="21"/>
          <w:highlight w:val="none"/>
        </w:rPr>
      </w:pPr>
      <w:r>
        <w:rPr>
          <w:rFonts w:hint="eastAsia" w:ascii="宋体" w:hAnsi="宋体"/>
          <w:szCs w:val="20"/>
          <w:highlight w:val="none"/>
          <w:lang w:val="en-US" w:eastAsia="zh-CN"/>
        </w:rPr>
        <w:t>同比选文件一并发布</w:t>
      </w:r>
      <w:r>
        <w:rPr>
          <w:rFonts w:hint="eastAsia" w:ascii="宋体" w:hAnsi="宋体"/>
          <w:szCs w:val="20"/>
          <w:highlight w:val="none"/>
        </w:rPr>
        <w:t>。</w:t>
      </w:r>
    </w:p>
    <w:p>
      <w:pPr>
        <w:spacing w:line="360" w:lineRule="auto"/>
        <w:jc w:val="center"/>
        <w:rPr>
          <w:rFonts w:ascii="宋体" w:hAnsi="宋体"/>
          <w:szCs w:val="20"/>
          <w:highlight w:val="none"/>
        </w:rPr>
      </w:pPr>
    </w:p>
    <w:p>
      <w:pPr>
        <w:spacing w:line="360" w:lineRule="auto"/>
        <w:rPr>
          <w:rFonts w:ascii="宋体" w:hAnsi="宋体"/>
          <w:szCs w:val="20"/>
          <w:highlight w:val="none"/>
        </w:rPr>
      </w:pPr>
      <w:bookmarkStart w:id="364" w:name="招标文件06章图纸01"/>
      <w:bookmarkEnd w:id="364"/>
      <w:bookmarkStart w:id="365" w:name="_Toc430530520"/>
      <w:bookmarkStart w:id="366" w:name="_Toc287620804"/>
    </w:p>
    <w:bookmarkEnd w:id="365"/>
    <w:bookmarkEnd w:id="366"/>
    <w:p>
      <w:pPr>
        <w:spacing w:line="360" w:lineRule="auto"/>
        <w:rPr>
          <w:rFonts w:ascii="宋体" w:hAnsi="宋体"/>
          <w:highlight w:val="none"/>
        </w:rPr>
      </w:pPr>
      <w:r>
        <w:rPr>
          <w:rFonts w:ascii="宋体" w:hAnsi="宋体"/>
          <w:szCs w:val="20"/>
          <w:highlight w:val="none"/>
        </w:rPr>
        <w:br w:type="page"/>
      </w:r>
    </w:p>
    <w:p>
      <w:pPr>
        <w:pStyle w:val="3"/>
        <w:spacing w:line="360" w:lineRule="auto"/>
        <w:jc w:val="center"/>
        <w:rPr>
          <w:rFonts w:ascii="宋体" w:hAnsi="宋体"/>
          <w:highlight w:val="none"/>
        </w:rPr>
      </w:pPr>
      <w:bookmarkStart w:id="367" w:name="招标文件07章技术标准和要求"/>
      <w:bookmarkEnd w:id="367"/>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Start w:id="368" w:name="招标文件07章技术标准和要求01"/>
      <w:bookmarkEnd w:id="368"/>
      <w:bookmarkStart w:id="369" w:name="_Toc430530524"/>
      <w:bookmarkStart w:id="370" w:name="_Toc287620808"/>
    </w:p>
    <w:bookmarkEnd w:id="369"/>
    <w:bookmarkEnd w:id="370"/>
    <w:p>
      <w:pPr>
        <w:spacing w:line="360" w:lineRule="auto"/>
        <w:jc w:val="center"/>
        <w:rPr>
          <w:rFonts w:ascii="宋体" w:hAnsi="宋体"/>
          <w:szCs w:val="21"/>
          <w:highlight w:val="none"/>
        </w:rPr>
      </w:pPr>
      <w:r>
        <w:rPr>
          <w:rFonts w:ascii="宋体" w:hAnsi="宋体"/>
          <w:szCs w:val="21"/>
          <w:highlight w:val="none"/>
        </w:rPr>
        <w:t>由</w:t>
      </w:r>
      <w:r>
        <w:rPr>
          <w:rFonts w:hint="eastAsia" w:ascii="宋体" w:hAnsi="宋体"/>
          <w:szCs w:val="21"/>
          <w:highlight w:val="none"/>
          <w:lang w:eastAsia="zh-CN"/>
        </w:rPr>
        <w:t>比选人</w:t>
      </w:r>
      <w:r>
        <w:rPr>
          <w:rFonts w:ascii="宋体" w:hAnsi="宋体"/>
          <w:szCs w:val="21"/>
          <w:highlight w:val="none"/>
        </w:rPr>
        <w:t>根据招标项目的实际情况编写</w:t>
      </w:r>
      <w:r>
        <w:rPr>
          <w:rFonts w:hint="eastAsia" w:ascii="宋体" w:hAnsi="宋体"/>
          <w:szCs w:val="21"/>
          <w:highlight w:val="none"/>
        </w:rPr>
        <w:t>（如有）。</w:t>
      </w:r>
    </w:p>
    <w:p>
      <w:pPr>
        <w:spacing w:line="360" w:lineRule="auto"/>
        <w:rPr>
          <w:rFonts w:ascii="宋体" w:hAnsi="宋体"/>
          <w:highlight w:val="none"/>
        </w:rPr>
      </w:pPr>
      <w:r>
        <w:rPr>
          <w:rFonts w:ascii="宋体" w:hAnsi="宋体"/>
          <w:highlight w:val="none"/>
        </w:rPr>
        <w:br w:type="page"/>
      </w:r>
    </w:p>
    <w:p>
      <w:pPr>
        <w:pStyle w:val="3"/>
        <w:spacing w:line="360" w:lineRule="auto"/>
        <w:jc w:val="center"/>
        <w:rPr>
          <w:rFonts w:ascii="宋体" w:hAnsi="宋体"/>
          <w:highlight w:val="none"/>
        </w:rPr>
      </w:pPr>
      <w:r>
        <w:rPr>
          <w:rFonts w:hint="eastAsia" w:ascii="宋体" w:hAnsi="宋体"/>
          <w:highlight w:val="none"/>
        </w:rPr>
        <w:t xml:space="preserve">第八章  </w:t>
      </w:r>
      <w:r>
        <w:rPr>
          <w:rFonts w:hint="eastAsia" w:ascii="宋体" w:hAnsi="宋体"/>
          <w:highlight w:val="none"/>
          <w:lang w:eastAsia="zh-CN"/>
        </w:rPr>
        <w:t>竞选文件</w:t>
      </w:r>
      <w:r>
        <w:rPr>
          <w:rFonts w:hint="eastAsia" w:ascii="宋体" w:hAnsi="宋体"/>
          <w:highlight w:val="none"/>
        </w:rPr>
        <w:t>格式</w:t>
      </w:r>
    </w:p>
    <w:bookmarkEnd w:id="344"/>
    <w:bookmarkEnd w:id="345"/>
    <w:bookmarkEnd w:id="346"/>
    <w:bookmarkEnd w:id="347"/>
    <w:bookmarkEnd w:id="348"/>
    <w:bookmarkEnd w:id="349"/>
    <w:bookmarkEnd w:id="350"/>
    <w:bookmarkEnd w:id="351"/>
    <w:p>
      <w:pPr>
        <w:spacing w:line="360" w:lineRule="auto"/>
        <w:rPr>
          <w:rFonts w:ascii="宋体" w:hAnsi="宋体"/>
          <w:sz w:val="32"/>
          <w:szCs w:val="32"/>
          <w:highlight w:val="none"/>
        </w:rPr>
      </w:pPr>
    </w:p>
    <w:p>
      <w:pPr>
        <w:spacing w:line="360" w:lineRule="auto"/>
        <w:jc w:val="center"/>
        <w:rPr>
          <w:rFonts w:ascii="宋体" w:hAnsi="宋体"/>
          <w:sz w:val="36"/>
          <w:szCs w:val="36"/>
          <w:highlight w:val="none"/>
        </w:rPr>
      </w:pPr>
      <w:bookmarkStart w:id="371" w:name="_Toc224103493"/>
      <w:r>
        <w:rPr>
          <w:rFonts w:hint="eastAsia" w:ascii="宋体" w:hAnsi="宋体"/>
          <w:sz w:val="36"/>
          <w:szCs w:val="36"/>
          <w:highlight w:val="none"/>
        </w:rPr>
        <w:t>目  录</w:t>
      </w:r>
      <w:bookmarkEnd w:id="371"/>
    </w:p>
    <w:p>
      <w:pPr>
        <w:spacing w:line="360" w:lineRule="auto"/>
        <w:jc w:val="center"/>
        <w:rPr>
          <w:rFonts w:ascii="宋体" w:hAnsi="宋体"/>
          <w:szCs w:val="20"/>
          <w:highlight w:val="none"/>
        </w:rPr>
      </w:pPr>
    </w:p>
    <w:p>
      <w:pPr>
        <w:spacing w:line="360" w:lineRule="auto"/>
        <w:rPr>
          <w:rFonts w:ascii="宋体" w:hAnsi="宋体"/>
          <w:b/>
          <w:highlight w:val="none"/>
        </w:rPr>
      </w:pPr>
      <w:r>
        <w:rPr>
          <w:rFonts w:hint="eastAsia" w:ascii="宋体" w:hAnsi="宋体"/>
          <w:b/>
          <w:highlight w:val="none"/>
          <w:lang w:val="en-US" w:eastAsia="zh-CN"/>
        </w:rPr>
        <w:t>一</w:t>
      </w:r>
      <w:r>
        <w:rPr>
          <w:rFonts w:ascii="宋体" w:hAnsi="宋体"/>
          <w:b/>
          <w:highlight w:val="none"/>
        </w:rPr>
        <w:t>、</w:t>
      </w:r>
      <w:r>
        <w:rPr>
          <w:rFonts w:hint="eastAsia" w:ascii="宋体" w:hAnsi="宋体"/>
          <w:b/>
          <w:highlight w:val="none"/>
          <w:lang w:eastAsia="zh-CN"/>
        </w:rPr>
        <w:t>竞选函</w:t>
      </w:r>
      <w:r>
        <w:rPr>
          <w:rFonts w:ascii="宋体" w:hAnsi="宋体"/>
          <w:b/>
          <w:highlight w:val="none"/>
        </w:rPr>
        <w:t>部分</w:t>
      </w:r>
    </w:p>
    <w:p>
      <w:pPr>
        <w:spacing w:line="360" w:lineRule="auto"/>
        <w:ind w:firstLine="420" w:firstLineChars="200"/>
        <w:rPr>
          <w:rFonts w:hint="eastAsia" w:ascii="宋体" w:hAnsi="宋体" w:eastAsia="宋体"/>
          <w:highlight w:val="none"/>
          <w:lang w:eastAsia="zh-CN"/>
        </w:rPr>
      </w:pPr>
      <w:r>
        <w:rPr>
          <w:rFonts w:ascii="宋体" w:hAnsi="宋体"/>
          <w:highlight w:val="none"/>
        </w:rPr>
        <w:t>（一）</w:t>
      </w:r>
      <w:r>
        <w:rPr>
          <w:rFonts w:hint="eastAsia" w:ascii="宋体" w:hAnsi="宋体"/>
          <w:highlight w:val="none"/>
          <w:lang w:eastAsia="zh-CN"/>
        </w:rPr>
        <w:t>竞选函</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竞选函</w:t>
      </w:r>
      <w:r>
        <w:rPr>
          <w:rFonts w:ascii="宋体" w:hAnsi="宋体"/>
          <w:highlight w:val="none"/>
        </w:rPr>
        <w:t>附录</w:t>
      </w:r>
    </w:p>
    <w:p>
      <w:pPr>
        <w:spacing w:line="360" w:lineRule="auto"/>
        <w:ind w:firstLine="420" w:firstLineChars="200"/>
        <w:rPr>
          <w:rFonts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p>
    <w:p>
      <w:pPr>
        <w:spacing w:line="360" w:lineRule="auto"/>
        <w:rPr>
          <w:rFonts w:ascii="宋体" w:hAnsi="宋体"/>
          <w:b/>
          <w:highlight w:val="none"/>
        </w:rPr>
      </w:pPr>
      <w:r>
        <w:rPr>
          <w:rFonts w:hint="eastAsia" w:ascii="宋体" w:hAnsi="宋体"/>
          <w:b/>
          <w:highlight w:val="none"/>
          <w:lang w:val="en-US" w:eastAsia="zh-CN"/>
        </w:rPr>
        <w:t>二</w:t>
      </w:r>
      <w:r>
        <w:rPr>
          <w:rFonts w:ascii="宋体" w:hAnsi="宋体"/>
          <w:b/>
          <w:highlight w:val="none"/>
        </w:rPr>
        <w:t>、</w:t>
      </w:r>
      <w:r>
        <w:rPr>
          <w:rFonts w:hint="eastAsia" w:ascii="宋体" w:hAnsi="宋体"/>
          <w:b/>
          <w:highlight w:val="none"/>
        </w:rPr>
        <w:t>资格审查部分</w:t>
      </w:r>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w:t>
      </w:r>
      <w:r>
        <w:rPr>
          <w:rFonts w:hint="eastAsia" w:ascii="宋体" w:hAnsi="宋体"/>
          <w:highlight w:val="none"/>
        </w:rPr>
        <w:t>承诺</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）其他资料</w:t>
      </w:r>
    </w:p>
    <w:p>
      <w:pPr>
        <w:spacing w:line="360" w:lineRule="auto"/>
        <w:rPr>
          <w:rFonts w:ascii="宋体" w:hAnsi="宋体"/>
          <w:highlight w:val="none"/>
        </w:rPr>
      </w:pPr>
    </w:p>
    <w:p>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372" w:name="_Toc287620813"/>
      <w:bookmarkStart w:id="373" w:name="_Toc277082642"/>
      <w:bookmarkStart w:id="374" w:name="_Toc224103494"/>
      <w:bookmarkStart w:id="375" w:name="_Toc430530529"/>
      <w:bookmarkStart w:id="376" w:name="_Toc287607866"/>
    </w:p>
    <w:p>
      <w:pPr>
        <w:pStyle w:val="4"/>
        <w:spacing w:line="360" w:lineRule="auto"/>
        <w:jc w:val="center"/>
        <w:rPr>
          <w:rFonts w:ascii="宋体" w:hAnsi="宋体"/>
          <w:b w:val="0"/>
          <w:bCs w:val="0"/>
          <w:sz w:val="44"/>
          <w:szCs w:val="44"/>
          <w:highlight w:val="none"/>
        </w:rPr>
      </w:pPr>
      <w:bookmarkStart w:id="377" w:name="_Toc27035"/>
      <w:bookmarkStart w:id="378" w:name="_Toc19476"/>
      <w:r>
        <w:rPr>
          <w:rFonts w:hint="eastAsia" w:ascii="宋体" w:hAnsi="宋体"/>
          <w:b w:val="0"/>
          <w:bCs w:val="0"/>
          <w:sz w:val="44"/>
          <w:szCs w:val="44"/>
          <w:highlight w:val="none"/>
          <w:lang w:val="en-US" w:eastAsia="zh-CN"/>
        </w:rPr>
        <w:t>一</w:t>
      </w:r>
      <w:r>
        <w:rPr>
          <w:rFonts w:hint="eastAsia" w:ascii="宋体" w:hAnsi="宋体"/>
          <w:b w:val="0"/>
          <w:bCs w:val="0"/>
          <w:sz w:val="44"/>
          <w:szCs w:val="44"/>
          <w:highlight w:val="none"/>
        </w:rPr>
        <w:t>、</w:t>
      </w:r>
      <w:r>
        <w:rPr>
          <w:rFonts w:hint="eastAsia" w:ascii="宋体" w:hAnsi="宋体"/>
          <w:b w:val="0"/>
          <w:bCs w:val="0"/>
          <w:sz w:val="44"/>
          <w:szCs w:val="44"/>
          <w:highlight w:val="none"/>
          <w:lang w:eastAsia="zh-CN"/>
        </w:rPr>
        <w:t>竞选函</w:t>
      </w:r>
      <w:r>
        <w:rPr>
          <w:rFonts w:hint="eastAsia" w:ascii="宋体" w:hAnsi="宋体"/>
          <w:b w:val="0"/>
          <w:bCs w:val="0"/>
          <w:sz w:val="44"/>
          <w:szCs w:val="44"/>
          <w:highlight w:val="none"/>
        </w:rPr>
        <w:t>部分</w:t>
      </w:r>
      <w:bookmarkEnd w:id="372"/>
      <w:bookmarkEnd w:id="373"/>
      <w:bookmarkEnd w:id="374"/>
      <w:bookmarkEnd w:id="375"/>
      <w:bookmarkEnd w:id="376"/>
      <w:bookmarkEnd w:id="377"/>
      <w:bookmarkEnd w:id="378"/>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 xml:space="preserve">                      </w:t>
      </w:r>
      <w:r>
        <w:rPr>
          <w:rFonts w:hint="eastAsia" w:ascii="宋体" w:hAnsi="宋体"/>
          <w:kern w:val="0"/>
          <w:sz w:val="32"/>
          <w:szCs w:val="32"/>
          <w:highlight w:val="none"/>
          <w:u w:val="single"/>
        </w:rPr>
        <w:t>（项目名称）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lang w:eastAsia="zh-CN"/>
        </w:rPr>
        <w:t>竞选函</w:t>
      </w:r>
      <w:r>
        <w:rPr>
          <w:rFonts w:hint="eastAsia" w:ascii="宋体" w:hAnsi="宋体"/>
          <w:kern w:val="0"/>
          <w:sz w:val="36"/>
          <w:szCs w:val="36"/>
          <w:highlight w:val="none"/>
        </w:rPr>
        <w:t>部分</w:t>
      </w: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pPr>
        <w:autoSpaceDE w:val="0"/>
        <w:autoSpaceDN w:val="0"/>
        <w:adjustRightInd w:val="0"/>
        <w:snapToGrid w:val="0"/>
        <w:spacing w:line="360" w:lineRule="auto"/>
        <w:jc w:val="left"/>
        <w:rPr>
          <w:rFonts w:ascii="宋体" w:hAnsi="宋体"/>
          <w:kern w:val="0"/>
          <w:sz w:val="24"/>
          <w:szCs w:val="21"/>
          <w:highlight w:val="none"/>
        </w:rPr>
      </w:pPr>
    </w:p>
    <w:p>
      <w:pPr>
        <w:autoSpaceDE w:val="0"/>
        <w:autoSpaceDN w:val="0"/>
        <w:adjustRightInd w:val="0"/>
        <w:spacing w:line="360" w:lineRule="auto"/>
        <w:ind w:firstLine="480" w:firstLineChars="200"/>
        <w:jc w:val="left"/>
        <w:rPr>
          <w:rFonts w:hint="eastAsia" w:ascii="宋体" w:hAnsi="宋体" w:eastAsia="宋体"/>
          <w:kern w:val="0"/>
          <w:sz w:val="24"/>
          <w:highlight w:val="none"/>
          <w:lang w:eastAsia="zh-CN"/>
        </w:rPr>
      </w:pPr>
      <w:r>
        <w:rPr>
          <w:rFonts w:ascii="宋体" w:hAnsi="宋体"/>
          <w:kern w:val="0"/>
          <w:sz w:val="24"/>
          <w:highlight w:val="none"/>
        </w:rPr>
        <w:t>（一）</w:t>
      </w:r>
      <w:r>
        <w:rPr>
          <w:rFonts w:hint="eastAsia" w:ascii="宋体" w:hAnsi="宋体"/>
          <w:kern w:val="0"/>
          <w:sz w:val="24"/>
          <w:highlight w:val="none"/>
          <w:lang w:eastAsia="zh-CN"/>
        </w:rPr>
        <w:t>竞选函</w:t>
      </w:r>
    </w:p>
    <w:p>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w:t>
      </w:r>
      <w:r>
        <w:rPr>
          <w:rFonts w:hint="eastAsia" w:ascii="宋体" w:hAnsi="宋体"/>
          <w:kern w:val="0"/>
          <w:sz w:val="24"/>
          <w:highlight w:val="none"/>
          <w:lang w:eastAsia="zh-CN"/>
        </w:rPr>
        <w:t>竞选函</w:t>
      </w:r>
      <w:r>
        <w:rPr>
          <w:rFonts w:ascii="宋体" w:hAnsi="宋体"/>
          <w:kern w:val="0"/>
          <w:sz w:val="24"/>
          <w:highlight w:val="none"/>
        </w:rPr>
        <w:t>附录</w:t>
      </w:r>
    </w:p>
    <w:p>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pPr>
        <w:autoSpaceDE w:val="0"/>
        <w:autoSpaceDN w:val="0"/>
        <w:adjustRightInd w:val="0"/>
        <w:snapToGrid w:val="0"/>
        <w:spacing w:line="360" w:lineRule="auto"/>
        <w:jc w:val="left"/>
        <w:rPr>
          <w:rFonts w:ascii="宋体" w:hAnsi="宋体"/>
          <w:w w:val="99"/>
          <w:kern w:val="0"/>
          <w:sz w:val="28"/>
          <w:szCs w:val="28"/>
          <w:highlight w:val="none"/>
        </w:rPr>
      </w:pPr>
    </w:p>
    <w:p>
      <w:pPr>
        <w:pStyle w:val="5"/>
        <w:spacing w:before="0" w:after="0" w:line="400" w:lineRule="exact"/>
        <w:jc w:val="center"/>
        <w:rPr>
          <w:rFonts w:hint="eastAsia" w:ascii="宋体" w:hAnsi="宋体" w:eastAsia="宋体"/>
          <w:b w:val="0"/>
          <w:highlight w:val="none"/>
          <w:lang w:eastAsia="zh-CN"/>
        </w:rPr>
      </w:pPr>
      <w:bookmarkStart w:id="379" w:name="_Toc534185831"/>
      <w:bookmarkStart w:id="380" w:name="_Toc224103495"/>
      <w:bookmarkStart w:id="381" w:name="_Toc509218854"/>
      <w:bookmarkStart w:id="382" w:name="_Toc277082643"/>
      <w:bookmarkStart w:id="383" w:name="_Toc287607867"/>
      <w:bookmarkStart w:id="384" w:name="_Toc287620814"/>
      <w:bookmarkStart w:id="385" w:name="_Toc430530530"/>
      <w:r>
        <w:rPr>
          <w:rFonts w:ascii="宋体" w:hAnsi="宋体"/>
          <w:highlight w:val="none"/>
        </w:rPr>
        <w:br w:type="page"/>
      </w:r>
      <w:bookmarkStart w:id="386" w:name="_Toc26071"/>
      <w:bookmarkStart w:id="387" w:name="_Toc882"/>
      <w:r>
        <w:rPr>
          <w:rFonts w:hint="eastAsia"/>
          <w:highlight w:val="none"/>
        </w:rPr>
        <w:t>（一）</w:t>
      </w:r>
      <w:bookmarkEnd w:id="379"/>
      <w:bookmarkEnd w:id="380"/>
      <w:bookmarkEnd w:id="381"/>
      <w:bookmarkEnd w:id="382"/>
      <w:bookmarkEnd w:id="383"/>
      <w:bookmarkEnd w:id="384"/>
      <w:bookmarkEnd w:id="385"/>
      <w:bookmarkEnd w:id="386"/>
      <w:r>
        <w:rPr>
          <w:rFonts w:hint="eastAsia"/>
          <w:highlight w:val="none"/>
          <w:lang w:eastAsia="zh-CN"/>
        </w:rPr>
        <w:t>竞选函</w:t>
      </w:r>
      <w:bookmarkEnd w:id="387"/>
    </w:p>
    <w:p>
      <w:pPr>
        <w:tabs>
          <w:tab w:val="left" w:pos="2640"/>
        </w:tabs>
        <w:autoSpaceDE w:val="0"/>
        <w:autoSpaceDN w:val="0"/>
        <w:adjustRightInd w:val="0"/>
        <w:spacing w:line="400" w:lineRule="exact"/>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w:t>
      </w:r>
      <w:r>
        <w:rPr>
          <w:rFonts w:hint="eastAsia" w:ascii="宋体" w:hAnsi="宋体"/>
          <w:snapToGrid w:val="0"/>
          <w:kern w:val="0"/>
          <w:szCs w:val="21"/>
          <w:highlight w:val="none"/>
          <w:u w:val="single"/>
          <w:lang w:eastAsia="zh-CN"/>
        </w:rPr>
        <w:t>比选人</w:t>
      </w:r>
      <w:r>
        <w:rPr>
          <w:rFonts w:ascii="宋体" w:hAnsi="宋体"/>
          <w:snapToGrid w:val="0"/>
          <w:kern w:val="0"/>
          <w:szCs w:val="21"/>
          <w:highlight w:val="none"/>
          <w:u w:val="single"/>
        </w:rPr>
        <w:t>名称）</w:t>
      </w:r>
      <w:r>
        <w:rPr>
          <w:rFonts w:ascii="宋体" w:hAnsi="宋体"/>
          <w:snapToGrid w:val="0"/>
          <w:kern w:val="0"/>
          <w:szCs w:val="21"/>
          <w:highlight w:val="none"/>
        </w:rPr>
        <w:t>：</w:t>
      </w:r>
    </w:p>
    <w:p>
      <w:pPr>
        <w:tabs>
          <w:tab w:val="left" w:pos="546"/>
          <w:tab w:val="left" w:pos="711"/>
        </w:tabs>
        <w:snapToGri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w:t>
      </w:r>
      <w:r>
        <w:rPr>
          <w:rFonts w:hint="eastAsia" w:ascii="宋体" w:hAnsi="宋体"/>
          <w:snapToGrid w:val="0"/>
          <w:kern w:val="0"/>
          <w:szCs w:val="21"/>
          <w:highlight w:val="none"/>
          <w:lang w:val="en-US" w:eastAsia="zh-CN"/>
        </w:rPr>
        <w:t>固定费率</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rPr>
        <w:t>进行报价</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。工期</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按合同约定实施和完成承包工程，修补工程中的任何缺陷，工程质量达到</w:t>
      </w:r>
      <w:r>
        <w:rPr>
          <w:rFonts w:hint="eastAsia" w:ascii="宋体" w:hAnsi="宋体"/>
          <w:snapToGrid w:val="0"/>
          <w:kern w:val="0"/>
          <w:szCs w:val="21"/>
          <w:highlight w:val="none"/>
        </w:rPr>
        <w:t>招标文件的要求</w:t>
      </w:r>
      <w:r>
        <w:rPr>
          <w:rFonts w:ascii="宋体" w:hAnsi="宋体"/>
          <w:snapToGrid w:val="0"/>
          <w:kern w:val="0"/>
          <w:szCs w:val="21"/>
          <w:highlight w:val="none"/>
        </w:rPr>
        <w:t>。</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p>
    <w:p>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递交的</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w:t>
      </w:r>
      <w:r>
        <w:rPr>
          <w:rFonts w:hint="eastAsia" w:ascii="宋体" w:hAnsi="宋体"/>
          <w:snapToGrid w:val="0"/>
          <w:spacing w:val="-2"/>
          <w:kern w:val="0"/>
          <w:szCs w:val="21"/>
          <w:highlight w:val="none"/>
          <w:lang w:eastAsia="zh-CN"/>
        </w:rPr>
        <w:t>竞选文件</w:t>
      </w:r>
      <w:r>
        <w:rPr>
          <w:rFonts w:ascii="宋体" w:hAnsi="宋体"/>
          <w:snapToGrid w:val="0"/>
          <w:spacing w:val="-2"/>
          <w:kern w:val="0"/>
          <w:szCs w:val="21"/>
          <w:highlight w:val="none"/>
        </w:rPr>
        <w:t>及有关资料内容完整、真实和准确，且不存在第二章“</w:t>
      </w:r>
      <w:r>
        <w:rPr>
          <w:rFonts w:hint="eastAsia" w:ascii="宋体" w:hAnsi="宋体"/>
          <w:snapToGrid w:val="0"/>
          <w:spacing w:val="-2"/>
          <w:kern w:val="0"/>
          <w:szCs w:val="21"/>
          <w:highlight w:val="none"/>
          <w:lang w:eastAsia="zh-CN"/>
        </w:rPr>
        <w:t>竞选人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pPr>
        <w:pStyle w:val="5"/>
        <w:jc w:val="center"/>
        <w:rPr>
          <w:rFonts w:ascii="宋体" w:hAnsi="宋体"/>
          <w:snapToGrid w:val="0"/>
          <w:kern w:val="0"/>
          <w:szCs w:val="21"/>
          <w:highlight w:val="none"/>
        </w:rPr>
      </w:pPr>
      <w:bookmarkStart w:id="388" w:name="_Toc287607868"/>
      <w:bookmarkStart w:id="389" w:name="_Toc277082644"/>
      <w:bookmarkStart w:id="390" w:name="_Toc287620815"/>
      <w:bookmarkStart w:id="391" w:name="_Toc430530531"/>
      <w:bookmarkStart w:id="392" w:name="_Toc224103496"/>
      <w:r>
        <w:rPr>
          <w:rFonts w:ascii="宋体" w:hAnsi="宋体"/>
          <w:sz w:val="28"/>
          <w:highlight w:val="none"/>
        </w:rPr>
        <w:br w:type="page"/>
      </w:r>
      <w:bookmarkStart w:id="393" w:name="_Toc30967"/>
      <w:bookmarkStart w:id="394" w:name="_Toc509218855"/>
      <w:bookmarkStart w:id="395" w:name="_Toc6045"/>
      <w:bookmarkStart w:id="396" w:name="_Toc534185832"/>
      <w:r>
        <w:rPr>
          <w:highlight w:val="none"/>
        </w:rPr>
        <w:t>（二）</w:t>
      </w:r>
      <w:r>
        <w:rPr>
          <w:rFonts w:hint="eastAsia"/>
          <w:highlight w:val="none"/>
          <w:lang w:eastAsia="zh-CN"/>
        </w:rPr>
        <w:t>竞选函</w:t>
      </w:r>
      <w:r>
        <w:rPr>
          <w:highlight w:val="none"/>
        </w:rPr>
        <w:t>附录</w:t>
      </w:r>
      <w:bookmarkEnd w:id="388"/>
      <w:bookmarkEnd w:id="389"/>
      <w:bookmarkEnd w:id="390"/>
      <w:bookmarkEnd w:id="391"/>
      <w:bookmarkEnd w:id="392"/>
      <w:bookmarkEnd w:id="393"/>
      <w:bookmarkEnd w:id="394"/>
      <w:bookmarkEnd w:id="395"/>
      <w:bookmarkEnd w:id="396"/>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条款名称</w:t>
            </w:r>
          </w:p>
        </w:tc>
        <w:tc>
          <w:tcPr>
            <w:tcW w:w="2388"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合同条款号</w:t>
            </w:r>
          </w:p>
        </w:tc>
        <w:tc>
          <w:tcPr>
            <w:tcW w:w="2987"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约定内容</w:t>
            </w:r>
          </w:p>
        </w:tc>
        <w:tc>
          <w:tcPr>
            <w:tcW w:w="79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项目经理</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1.1.2.8</w:t>
            </w:r>
          </w:p>
        </w:tc>
        <w:tc>
          <w:tcPr>
            <w:tcW w:w="2987" w:type="dxa"/>
            <w:vAlign w:val="center"/>
          </w:tcPr>
          <w:p>
            <w:pPr>
              <w:tabs>
                <w:tab w:val="left" w:pos="2190"/>
              </w:tabs>
              <w:autoSpaceDE w:val="0"/>
              <w:autoSpaceDN w:val="0"/>
              <w:adjustRightInd w:val="0"/>
              <w:ind w:firstLine="420" w:firstLineChars="200"/>
              <w:jc w:val="left"/>
              <w:rPr>
                <w:rFonts w:hint="eastAsia" w:ascii="宋体" w:hAnsi="宋体" w:eastAsia="宋体"/>
                <w:snapToGrid w:val="0"/>
                <w:kern w:val="0"/>
                <w:szCs w:val="21"/>
                <w:highlight w:val="none"/>
                <w:lang w:val="en-US" w:eastAsia="zh-CN"/>
              </w:rPr>
            </w:pPr>
            <w:r>
              <w:rPr>
                <w:rFonts w:ascii="宋体" w:hAnsi="宋体"/>
                <w:snapToGrid w:val="0"/>
                <w:kern w:val="0"/>
                <w:sz w:val="21"/>
                <w:szCs w:val="21"/>
              </w:rPr>
              <w:t>姓名：</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hint="eastAsia"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2</w:t>
            </w:r>
          </w:p>
        </w:tc>
        <w:tc>
          <w:tcPr>
            <w:tcW w:w="2582" w:type="dxa"/>
            <w:vAlign w:val="center"/>
          </w:tcPr>
          <w:p>
            <w:pPr>
              <w:autoSpaceDE w:val="0"/>
              <w:autoSpaceDN w:val="0"/>
              <w:adjustRightIn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工期</w:t>
            </w:r>
          </w:p>
        </w:tc>
        <w:tc>
          <w:tcPr>
            <w:tcW w:w="2388" w:type="dxa"/>
            <w:vAlign w:val="center"/>
          </w:tcPr>
          <w:p>
            <w:pPr>
              <w:tabs>
                <w:tab w:val="left" w:pos="2051"/>
              </w:tabs>
              <w:autoSpaceDE w:val="0"/>
              <w:autoSpaceDN w:val="0"/>
              <w:adjustRightIn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1.1.4.3</w:t>
            </w:r>
          </w:p>
        </w:tc>
        <w:tc>
          <w:tcPr>
            <w:tcW w:w="2987" w:type="dxa"/>
            <w:vAlign w:val="center"/>
          </w:tcPr>
          <w:p>
            <w:pPr>
              <w:tabs>
                <w:tab w:val="left" w:pos="1560"/>
              </w:tabs>
              <w:autoSpaceDE w:val="0"/>
              <w:autoSpaceDN w:val="0"/>
              <w:adjustRightInd w:val="0"/>
              <w:jc w:val="center"/>
              <w:rPr>
                <w:rFonts w:hint="eastAsia"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天数：</w:t>
            </w:r>
            <w:r>
              <w:rPr>
                <w:rFonts w:ascii="宋体" w:hAnsi="宋体"/>
                <w:snapToGrid w:val="0"/>
                <w:kern w:val="0"/>
                <w:sz w:val="21"/>
                <w:szCs w:val="21"/>
                <w:u w:val="single"/>
              </w:rPr>
              <w:tab/>
            </w:r>
            <w:r>
              <w:rPr>
                <w:rFonts w:ascii="宋体" w:hAnsi="宋体"/>
                <w:snapToGrid w:val="0"/>
                <w:kern w:val="0"/>
                <w:sz w:val="21"/>
                <w:szCs w:val="21"/>
              </w:rPr>
              <w:t>日历天</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hint="eastAsia" w:ascii="宋体" w:hAnsi="宋体"/>
                <w:snapToGrid w:val="0"/>
                <w:kern w:val="0"/>
                <w:szCs w:val="21"/>
                <w:highlight w:val="none"/>
              </w:rPr>
            </w:pPr>
            <w:r>
              <w:rPr>
                <w:rFonts w:ascii="宋体" w:hAnsi="宋体"/>
                <w:snapToGrid w:val="0"/>
                <w:kern w:val="0"/>
                <w:sz w:val="21"/>
                <w:szCs w:val="21"/>
              </w:rPr>
              <w:t>3</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缺陷责任期</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1.1.4.4</w:t>
            </w:r>
          </w:p>
        </w:tc>
        <w:tc>
          <w:tcPr>
            <w:tcW w:w="2987" w:type="dxa"/>
            <w:vAlign w:val="center"/>
          </w:tcPr>
          <w:p>
            <w:pPr>
              <w:autoSpaceDE w:val="0"/>
              <w:autoSpaceDN w:val="0"/>
              <w:adjustRightInd w:val="0"/>
              <w:jc w:val="center"/>
              <w:rPr>
                <w:rFonts w:hint="eastAsia" w:ascii="宋体" w:hAnsi="宋体"/>
                <w:snapToGrid w:val="0"/>
                <w:kern w:val="0"/>
                <w:szCs w:val="21"/>
                <w:highlight w:val="none"/>
                <w:lang w:val="en-US" w:eastAsia="zh-CN"/>
              </w:rPr>
            </w:pP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2</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3.5</w:t>
            </w:r>
          </w:p>
        </w:tc>
        <w:tc>
          <w:tcPr>
            <w:tcW w:w="2987" w:type="dxa"/>
            <w:vAlign w:val="center"/>
          </w:tcPr>
          <w:p>
            <w:pPr>
              <w:autoSpaceDE w:val="0"/>
              <w:autoSpaceDN w:val="0"/>
              <w:adjustRightInd w:val="0"/>
              <w:jc w:val="center"/>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不允许</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3</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5.1</w:t>
            </w:r>
          </w:p>
        </w:tc>
        <w:tc>
          <w:tcPr>
            <w:tcW w:w="2987" w:type="dxa"/>
            <w:vAlign w:val="center"/>
          </w:tcPr>
          <w:p>
            <w:pPr>
              <w:autoSpaceDE w:val="0"/>
              <w:autoSpaceDN w:val="0"/>
              <w:adjustRightInd w:val="0"/>
              <w:jc w:val="center"/>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合格</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pPr>
              <w:autoSpaceDE w:val="0"/>
              <w:autoSpaceDN w:val="0"/>
              <w:adjustRightInd w:val="0"/>
              <w:jc w:val="center"/>
              <w:rPr>
                <w:rFonts w:ascii="宋体" w:hAnsi="宋体"/>
                <w:snapToGrid w:val="0"/>
                <w:kern w:val="0"/>
                <w:szCs w:val="21"/>
                <w:highlight w:val="none"/>
              </w:rPr>
            </w:pPr>
          </w:p>
        </w:tc>
      </w:tr>
    </w:tbl>
    <w:p>
      <w:pPr>
        <w:spacing w:line="360" w:lineRule="auto"/>
        <w:rPr>
          <w:rFonts w:ascii="宋体" w:hAnsi="宋体"/>
          <w:snapToGrid w:val="0"/>
          <w:w w:val="99"/>
          <w:highlight w:val="none"/>
        </w:rPr>
      </w:pPr>
    </w:p>
    <w:p>
      <w:pPr>
        <w:spacing w:line="360" w:lineRule="auto"/>
        <w:rPr>
          <w:rFonts w:ascii="宋体" w:hAnsi="宋体"/>
          <w:snapToGrid w:val="0"/>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pPr>
        <w:pStyle w:val="5"/>
        <w:jc w:val="center"/>
        <w:rPr>
          <w:rFonts w:ascii="宋体" w:hAnsi="宋体"/>
          <w:b w:val="0"/>
          <w:snapToGrid w:val="0"/>
          <w:kern w:val="0"/>
          <w:sz w:val="30"/>
          <w:szCs w:val="30"/>
          <w:highlight w:val="none"/>
        </w:rPr>
      </w:pPr>
      <w:r>
        <w:rPr>
          <w:rFonts w:ascii="宋体" w:hAnsi="宋体"/>
          <w:snapToGrid w:val="0"/>
          <w:highlight w:val="none"/>
        </w:rPr>
        <w:br w:type="page"/>
      </w:r>
      <w:bookmarkStart w:id="397" w:name="_Toc430530532"/>
      <w:bookmarkStart w:id="398" w:name="_Toc8650"/>
      <w:bookmarkStart w:id="399" w:name="_Toc277082645"/>
      <w:bookmarkStart w:id="400" w:name="_Toc287620816"/>
      <w:bookmarkStart w:id="401" w:name="_Toc20860"/>
      <w:bookmarkStart w:id="402" w:name="_Toc287607869"/>
      <w:bookmarkStart w:id="403" w:name="_Toc224103497"/>
      <w:r>
        <w:rPr>
          <w:sz w:val="30"/>
          <w:szCs w:val="30"/>
          <w:highlight w:val="none"/>
        </w:rPr>
        <w:t>（三）</w:t>
      </w:r>
      <w:r>
        <w:rPr>
          <w:rFonts w:hint="eastAsia"/>
          <w:sz w:val="30"/>
          <w:szCs w:val="30"/>
          <w:highlight w:val="none"/>
        </w:rPr>
        <w:t>法定代表人身份证明或附有法定代表人身份证明的授权委托书</w:t>
      </w:r>
      <w:bookmarkEnd w:id="397"/>
      <w:bookmarkEnd w:id="398"/>
      <w:bookmarkEnd w:id="399"/>
      <w:bookmarkEnd w:id="400"/>
      <w:bookmarkEnd w:id="401"/>
      <w:bookmarkEnd w:id="402"/>
      <w:bookmarkEnd w:id="403"/>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autoSpaceDE w:val="0"/>
        <w:autoSpaceDN w:val="0"/>
        <w:adjustRightInd w:val="0"/>
        <w:snapToGrid w:val="0"/>
        <w:spacing w:line="480" w:lineRule="auto"/>
        <w:ind w:firstLine="420" w:firstLineChars="200"/>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pPr>
        <w:spacing w:line="360" w:lineRule="auto"/>
        <w:ind w:firstLine="420" w:firstLineChars="200"/>
        <w:jc w:val="left"/>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spacing w:line="360" w:lineRule="auto"/>
        <w:ind w:firstLine="420" w:firstLineChars="200"/>
        <w:rPr>
          <w:rFonts w:ascii="宋体" w:hAnsi="宋体"/>
          <w:highlight w:val="none"/>
        </w:rPr>
      </w:pPr>
      <w:r>
        <w:rPr>
          <w:rFonts w:ascii="宋体" w:hAnsi="宋体"/>
          <w:highlight w:val="none"/>
        </w:rPr>
        <w:br w:type="page"/>
      </w:r>
      <w:bookmarkStart w:id="404" w:name="_Toc224103500"/>
      <w:bookmarkStart w:id="405" w:name="_Toc287607872"/>
      <w:bookmarkStart w:id="406" w:name="_Toc430530534"/>
      <w:bookmarkStart w:id="407" w:name="_Toc287620819"/>
    </w:p>
    <w:bookmarkEnd w:id="404"/>
    <w:bookmarkEnd w:id="405"/>
    <w:bookmarkEnd w:id="406"/>
    <w:bookmarkEnd w:id="407"/>
    <w:p>
      <w:pPr>
        <w:pStyle w:val="4"/>
        <w:spacing w:line="360" w:lineRule="auto"/>
        <w:jc w:val="center"/>
        <w:rPr>
          <w:rFonts w:ascii="宋体" w:hAnsi="宋体"/>
          <w:b w:val="0"/>
          <w:bCs w:val="0"/>
          <w:sz w:val="44"/>
          <w:szCs w:val="44"/>
          <w:highlight w:val="none"/>
        </w:rPr>
      </w:pPr>
      <w:bookmarkStart w:id="408" w:name="_Toc277082656"/>
      <w:bookmarkStart w:id="409" w:name="_Toc287620829"/>
      <w:bookmarkStart w:id="410" w:name="_Toc430530545"/>
      <w:bookmarkStart w:id="411" w:name="_Toc224103510"/>
      <w:bookmarkStart w:id="412" w:name="_Toc287607882"/>
      <w:bookmarkStart w:id="413" w:name="_Toc27141"/>
      <w:bookmarkStart w:id="414" w:name="_Toc19372"/>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rPr>
        <w:t>、</w:t>
      </w:r>
      <w:bookmarkEnd w:id="408"/>
      <w:bookmarkEnd w:id="409"/>
      <w:bookmarkEnd w:id="410"/>
      <w:bookmarkEnd w:id="411"/>
      <w:bookmarkEnd w:id="412"/>
      <w:r>
        <w:rPr>
          <w:rFonts w:hint="eastAsia" w:ascii="宋体" w:hAnsi="宋体"/>
          <w:b w:val="0"/>
          <w:bCs w:val="0"/>
          <w:sz w:val="44"/>
          <w:szCs w:val="44"/>
          <w:highlight w:val="none"/>
        </w:rPr>
        <w:t>资格审查部分</w:t>
      </w:r>
      <w:bookmarkEnd w:id="413"/>
      <w:bookmarkEnd w:id="414"/>
    </w:p>
    <w:p>
      <w:pPr>
        <w:spacing w:line="360" w:lineRule="auto"/>
        <w:rPr>
          <w:rFonts w:ascii="宋体" w:hAnsi="宋体"/>
          <w:sz w:val="32"/>
          <w:szCs w:val="32"/>
          <w:highlight w:val="none"/>
        </w:rPr>
      </w:pPr>
    </w:p>
    <w:p>
      <w:pPr>
        <w:spacing w:line="360" w:lineRule="auto"/>
        <w:ind w:firstLine="2560" w:firstLineChars="80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pPr>
        <w:autoSpaceDE w:val="0"/>
        <w:autoSpaceDN w:val="0"/>
        <w:adjustRightInd w:val="0"/>
        <w:snapToGrid w:val="0"/>
        <w:spacing w:line="360" w:lineRule="auto"/>
        <w:jc w:val="left"/>
        <w:rPr>
          <w:rFonts w:ascii="宋体" w:hAnsi="宋体" w:cs="MingLiU"/>
          <w:kern w:val="0"/>
          <w:sz w:val="20"/>
          <w:szCs w:val="20"/>
          <w:highlight w:val="none"/>
        </w:rPr>
      </w:pPr>
    </w:p>
    <w:p>
      <w:pPr>
        <w:adjustRightInd w:val="0"/>
        <w:snapToGrid w:val="0"/>
        <w:spacing w:line="264" w:lineRule="auto"/>
        <w:rPr>
          <w:rFonts w:ascii="宋体" w:hAnsi="宋体"/>
          <w:szCs w:val="21"/>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pPr>
        <w:autoSpaceDE w:val="0"/>
        <w:autoSpaceDN w:val="0"/>
        <w:adjustRightInd w:val="0"/>
        <w:snapToGrid w:val="0"/>
        <w:jc w:val="center"/>
        <w:rPr>
          <w:rFonts w:hint="eastAsia" w:ascii="宋体" w:hAnsi="宋体"/>
          <w:kern w:val="0"/>
          <w:sz w:val="36"/>
          <w:szCs w:val="36"/>
          <w:highlight w:val="none"/>
        </w:rPr>
      </w:pPr>
    </w:p>
    <w:p>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pPr>
        <w:spacing w:line="360" w:lineRule="auto"/>
        <w:jc w:val="center"/>
        <w:rPr>
          <w:rFonts w:ascii="宋体" w:hAnsi="宋体"/>
          <w:b/>
          <w:kern w:val="0"/>
          <w:sz w:val="32"/>
          <w:szCs w:val="32"/>
          <w:highlight w:val="none"/>
        </w:rPr>
      </w:pPr>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）类似项目情况表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w:t>
      </w:r>
      <w:r>
        <w:rPr>
          <w:rFonts w:hint="eastAsia" w:ascii="宋体" w:hAnsi="宋体"/>
          <w:highlight w:val="none"/>
        </w:rPr>
        <w:t>承诺</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六</w:t>
      </w:r>
      <w:r>
        <w:rPr>
          <w:rFonts w:ascii="宋体" w:hAnsi="宋体"/>
          <w:highlight w:val="none"/>
        </w:rPr>
        <w:t>）其他资料</w:t>
      </w:r>
    </w:p>
    <w:p>
      <w:pPr>
        <w:spacing w:line="360" w:lineRule="auto"/>
        <w:jc w:val="center"/>
        <w:rPr>
          <w:rFonts w:ascii="宋体" w:hAnsi="宋体"/>
          <w:b/>
          <w:kern w:val="0"/>
          <w:sz w:val="32"/>
          <w:szCs w:val="32"/>
          <w:highlight w:val="none"/>
        </w:rPr>
      </w:pPr>
    </w:p>
    <w:p>
      <w:pPr>
        <w:spacing w:line="360" w:lineRule="auto"/>
        <w:jc w:val="center"/>
        <w:rPr>
          <w:rFonts w:ascii="宋体" w:hAnsi="宋体"/>
          <w:b/>
          <w:kern w:val="0"/>
          <w:sz w:val="32"/>
          <w:szCs w:val="32"/>
          <w:highlight w:val="none"/>
        </w:rPr>
      </w:pPr>
    </w:p>
    <w:p>
      <w:pPr>
        <w:pStyle w:val="5"/>
        <w:jc w:val="center"/>
        <w:rPr>
          <w:rFonts w:ascii="宋体" w:hAnsi="宋体"/>
          <w:snapToGrid w:val="0"/>
          <w:kern w:val="0"/>
          <w:sz w:val="30"/>
          <w:szCs w:val="30"/>
          <w:highlight w:val="none"/>
        </w:rPr>
      </w:pPr>
      <w:r>
        <w:rPr>
          <w:rFonts w:ascii="宋体" w:hAnsi="宋体"/>
          <w:highlight w:val="none"/>
        </w:rPr>
        <w:br w:type="page"/>
      </w:r>
      <w:bookmarkStart w:id="415" w:name="_Toc5633"/>
      <w:bookmarkStart w:id="416" w:name="_Toc26444"/>
      <w:bookmarkStart w:id="417" w:name="_Toc277082657"/>
      <w:bookmarkStart w:id="418" w:name="_Toc287620830"/>
      <w:bookmarkStart w:id="419" w:name="_Toc287607883"/>
      <w:bookmarkStart w:id="420" w:name="_Toc430530546"/>
      <w:bookmarkStart w:id="421" w:name="_Toc224103511"/>
      <w:r>
        <w:rPr>
          <w:sz w:val="30"/>
          <w:szCs w:val="30"/>
          <w:highlight w:val="none"/>
        </w:rPr>
        <w:t>（一）</w:t>
      </w:r>
      <w:r>
        <w:rPr>
          <w:rFonts w:hint="eastAsia"/>
          <w:sz w:val="30"/>
          <w:szCs w:val="30"/>
          <w:highlight w:val="none"/>
        </w:rPr>
        <w:t>法定代表人身份证明或附有法定代表人身份证明的授权委托书</w:t>
      </w:r>
      <w:bookmarkEnd w:id="415"/>
      <w:bookmarkEnd w:id="416"/>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autoSpaceDE w:val="0"/>
        <w:autoSpaceDN w:val="0"/>
        <w:adjustRightInd w:val="0"/>
        <w:snapToGrid w:val="0"/>
        <w:spacing w:line="360" w:lineRule="auto"/>
        <w:jc w:val="left"/>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autoSpaceDE w:val="0"/>
        <w:autoSpaceDN w:val="0"/>
        <w:adjustRightInd w:val="0"/>
        <w:snapToGrid w:val="0"/>
        <w:spacing w:line="480" w:lineRule="auto"/>
        <w:ind w:firstLine="810" w:firstLineChars="386"/>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417"/>
      <w:bookmarkEnd w:id="418"/>
      <w:bookmarkEnd w:id="419"/>
      <w:bookmarkEnd w:id="420"/>
      <w:bookmarkEnd w:id="421"/>
      <w:r>
        <w:rPr>
          <w:rFonts w:hint="eastAsia" w:ascii="宋体" w:hAnsi="宋体"/>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竞选</w:t>
      </w:r>
      <w:r>
        <w:rPr>
          <w:rFonts w:ascii="宋体" w:hAnsi="宋体"/>
          <w:kern w:val="0"/>
          <w:szCs w:val="21"/>
          <w:highlight w:val="none"/>
        </w:rPr>
        <w:t>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pStyle w:val="5"/>
        <w:spacing w:before="0" w:after="0" w:line="240" w:lineRule="auto"/>
        <w:jc w:val="center"/>
        <w:rPr>
          <w:rFonts w:ascii="宋体" w:hAnsi="宋体"/>
          <w:highlight w:val="none"/>
        </w:rPr>
      </w:pPr>
      <w:bookmarkStart w:id="422" w:name="_Toc287607884"/>
      <w:bookmarkStart w:id="423" w:name="_Toc287620831"/>
      <w:bookmarkStart w:id="424" w:name="_Toc430530547"/>
      <w:bookmarkStart w:id="425" w:name="_Toc277082658"/>
      <w:bookmarkStart w:id="426" w:name="_Toc224103512"/>
      <w:bookmarkStart w:id="427" w:name="_Toc2153"/>
      <w:r>
        <w:rPr>
          <w:highlight w:val="none"/>
        </w:rPr>
        <w:t>（二）</w:t>
      </w:r>
      <w:bookmarkEnd w:id="422"/>
      <w:bookmarkEnd w:id="423"/>
      <w:bookmarkEnd w:id="424"/>
      <w:bookmarkEnd w:id="425"/>
      <w:bookmarkEnd w:id="426"/>
      <w:bookmarkStart w:id="428" w:name="_Toc287607887"/>
      <w:bookmarkStart w:id="429" w:name="_Toc277082659"/>
      <w:r>
        <w:rPr>
          <w:rFonts w:hint="eastAsia" w:ascii="宋体" w:hAnsi="宋体"/>
          <w:b w:val="0"/>
          <w:bCs w:val="0"/>
          <w:highlight w:val="none"/>
          <w:lang w:eastAsia="zh-CN"/>
        </w:rPr>
        <w:t>竞选人</w:t>
      </w:r>
      <w:r>
        <w:rPr>
          <w:rFonts w:hint="eastAsia" w:ascii="宋体" w:hAnsi="宋体"/>
          <w:b w:val="0"/>
          <w:bCs w:val="0"/>
          <w:highlight w:val="none"/>
        </w:rPr>
        <w:t>基本情况表</w:t>
      </w:r>
      <w:bookmarkEnd w:id="427"/>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lang w:eastAsia="zh-CN"/>
              </w:rPr>
              <w:t>竞选人</w:t>
            </w:r>
            <w:r>
              <w:rPr>
                <w:rFonts w:hint="eastAsia" w:ascii="宋体" w:hAnsi="宋体" w:cs="MingLiU"/>
                <w:kern w:val="0"/>
                <w:szCs w:val="21"/>
                <w:highlight w:val="none"/>
              </w:rPr>
              <w:t>名称</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highlight w:val="none"/>
              </w:rPr>
            </w:pPr>
          </w:p>
        </w:tc>
        <w:tc>
          <w:tcPr>
            <w:tcW w:w="967" w:type="dxa"/>
            <w:vAlign w:val="center"/>
          </w:tcPr>
          <w:p>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pPr>
              <w:autoSpaceDE w:val="0"/>
              <w:autoSpaceDN w:val="0"/>
              <w:adjustRightInd w:val="0"/>
              <w:snapToGrid w:val="0"/>
              <w:jc w:val="center"/>
              <w:rPr>
                <w:rFonts w:ascii="宋体" w:hAnsi="宋体"/>
                <w:kern w:val="0"/>
                <w:szCs w:val="21"/>
                <w:highlight w:val="none"/>
              </w:rPr>
            </w:pPr>
          </w:p>
        </w:tc>
        <w:tc>
          <w:tcPr>
            <w:tcW w:w="1356" w:type="dxa"/>
            <w:gridSpan w:val="2"/>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kern w:val="0"/>
                <w:szCs w:val="21"/>
                <w:highlight w:val="none"/>
              </w:rPr>
            </w:pPr>
          </w:p>
        </w:tc>
        <w:tc>
          <w:tcPr>
            <w:tcW w:w="925"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pPr>
              <w:autoSpaceDE w:val="0"/>
              <w:autoSpaceDN w:val="0"/>
              <w:adjustRightInd w:val="0"/>
              <w:snapToGrid w:val="0"/>
              <w:jc w:val="center"/>
              <w:rPr>
                <w:rFonts w:ascii="宋体" w:hAnsi="宋体"/>
                <w:kern w:val="0"/>
                <w:szCs w:val="21"/>
                <w:highlight w:val="none"/>
              </w:rPr>
            </w:pPr>
          </w:p>
        </w:tc>
        <w:tc>
          <w:tcPr>
            <w:tcW w:w="1356" w:type="dxa"/>
            <w:gridSpan w:val="2"/>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kern w:val="0"/>
                <w:szCs w:val="21"/>
                <w:highlight w:val="none"/>
              </w:rPr>
            </w:pPr>
          </w:p>
        </w:tc>
        <w:tc>
          <w:tcPr>
            <w:tcW w:w="925"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5616" w:type="dxa"/>
            <w:gridSpan w:val="7"/>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bl>
    <w:p>
      <w:pPr>
        <w:spacing w:line="360" w:lineRule="auto"/>
        <w:jc w:val="center"/>
        <w:rPr>
          <w:rFonts w:ascii="宋体" w:hAnsi="宋体"/>
          <w:szCs w:val="21"/>
          <w:highlight w:val="none"/>
        </w:rPr>
      </w:pPr>
    </w:p>
    <w:p>
      <w:pPr>
        <w:pStyle w:val="5"/>
        <w:spacing w:before="0" w:after="0" w:line="240" w:lineRule="auto"/>
        <w:jc w:val="center"/>
        <w:rPr>
          <w:rFonts w:ascii="宋体" w:hAnsi="宋体"/>
          <w:b w:val="0"/>
          <w:bCs w:val="0"/>
          <w:highlight w:val="none"/>
        </w:rPr>
      </w:pPr>
      <w:r>
        <w:rPr>
          <w:rFonts w:ascii="宋体" w:hAnsi="宋体"/>
          <w:szCs w:val="21"/>
          <w:highlight w:val="none"/>
        </w:rPr>
        <w:br w:type="page"/>
      </w:r>
      <w:bookmarkEnd w:id="428"/>
      <w:bookmarkEnd w:id="429"/>
      <w:bookmarkStart w:id="430" w:name="_Toc509218863"/>
      <w:bookmarkStart w:id="431" w:name="_Toc534185840"/>
      <w:bookmarkStart w:id="432" w:name="_Toc31370"/>
      <w:bookmarkStart w:id="433" w:name="_Toc287620839"/>
      <w:bookmarkStart w:id="434" w:name="_Toc430530552"/>
      <w:bookmarkStart w:id="435" w:name="_Toc277082663"/>
      <w:bookmarkStart w:id="436" w:name="_Toc224103520"/>
      <w:bookmarkStart w:id="437" w:name="_Toc287607893"/>
      <w:bookmarkStart w:id="438" w:name="_Toc534185843"/>
      <w:bookmarkStart w:id="439" w:name="_Toc509218866"/>
      <w:r>
        <w:rPr>
          <w:rFonts w:hint="eastAsia" w:ascii="宋体" w:hAnsi="宋体"/>
          <w:b w:val="0"/>
          <w:bCs w:val="0"/>
          <w:highlight w:val="none"/>
        </w:rPr>
        <w:t>（</w:t>
      </w:r>
      <w:r>
        <w:rPr>
          <w:rFonts w:hint="eastAsia" w:ascii="宋体" w:hAnsi="宋体"/>
          <w:b w:val="0"/>
          <w:bCs w:val="0"/>
          <w:highlight w:val="none"/>
          <w:lang w:val="en-US" w:eastAsia="zh-CN"/>
        </w:rPr>
        <w:t>三</w:t>
      </w:r>
      <w:r>
        <w:rPr>
          <w:rFonts w:hint="eastAsia" w:ascii="宋体" w:hAnsi="宋体"/>
          <w:b w:val="0"/>
          <w:bCs w:val="0"/>
          <w:highlight w:val="none"/>
        </w:rPr>
        <w:t>）项目管理机构</w:t>
      </w:r>
      <w:bookmarkEnd w:id="430"/>
      <w:bookmarkEnd w:id="431"/>
      <w:bookmarkEnd w:id="432"/>
    </w:p>
    <w:p>
      <w:pPr>
        <w:spacing w:line="360" w:lineRule="auto"/>
        <w:rPr>
          <w:rFonts w:ascii="宋体" w:hAnsi="宋体"/>
          <w:highlight w:val="none"/>
        </w:rPr>
      </w:pPr>
    </w:p>
    <w:p>
      <w:pPr>
        <w:autoSpaceDE w:val="0"/>
        <w:autoSpaceDN w:val="0"/>
        <w:adjustRightInd w:val="0"/>
        <w:snapToGrid w:val="0"/>
        <w:spacing w:line="360" w:lineRule="auto"/>
        <w:jc w:val="center"/>
        <w:rPr>
          <w:rFonts w:ascii="宋体" w:hAnsi="宋体" w:cs="MingLiU"/>
          <w:kern w:val="0"/>
          <w:sz w:val="28"/>
          <w:szCs w:val="28"/>
          <w:highlight w:val="none"/>
        </w:rPr>
      </w:pPr>
      <w:r>
        <w:rPr>
          <w:rFonts w:hint="eastAsia" w:ascii="宋体" w:hAnsi="宋体" w:cs="MingLiU"/>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职务</w:t>
            </w:r>
          </w:p>
        </w:tc>
        <w:tc>
          <w:tcPr>
            <w:tcW w:w="734"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姓名</w:t>
            </w:r>
          </w:p>
        </w:tc>
        <w:tc>
          <w:tcPr>
            <w:tcW w:w="776"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职称</w:t>
            </w:r>
          </w:p>
        </w:tc>
        <w:tc>
          <w:tcPr>
            <w:tcW w:w="6220" w:type="dxa"/>
            <w:gridSpan w:val="5"/>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执业或职业资格证明</w:t>
            </w:r>
          </w:p>
        </w:tc>
        <w:tc>
          <w:tcPr>
            <w:tcW w:w="89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highlight w:val="none"/>
              </w:rPr>
            </w:pPr>
          </w:p>
        </w:tc>
        <w:tc>
          <w:tcPr>
            <w:tcW w:w="734" w:type="dxa"/>
            <w:vMerge w:val="continue"/>
          </w:tcPr>
          <w:p>
            <w:pPr>
              <w:autoSpaceDE w:val="0"/>
              <w:autoSpaceDN w:val="0"/>
              <w:adjustRightInd w:val="0"/>
              <w:snapToGrid w:val="0"/>
              <w:jc w:val="left"/>
              <w:rPr>
                <w:rFonts w:ascii="宋体" w:hAnsi="宋体"/>
                <w:kern w:val="0"/>
                <w:szCs w:val="21"/>
                <w:highlight w:val="none"/>
              </w:rPr>
            </w:pPr>
          </w:p>
        </w:tc>
        <w:tc>
          <w:tcPr>
            <w:tcW w:w="776" w:type="dxa"/>
            <w:vMerge w:val="continue"/>
          </w:tcPr>
          <w:p>
            <w:pPr>
              <w:autoSpaceDE w:val="0"/>
              <w:autoSpaceDN w:val="0"/>
              <w:adjustRightInd w:val="0"/>
              <w:snapToGrid w:val="0"/>
              <w:jc w:val="left"/>
              <w:rPr>
                <w:rFonts w:ascii="宋体" w:hAnsi="宋体"/>
                <w:kern w:val="0"/>
                <w:szCs w:val="21"/>
                <w:highlight w:val="none"/>
              </w:rPr>
            </w:pPr>
          </w:p>
        </w:tc>
        <w:tc>
          <w:tcPr>
            <w:tcW w:w="11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证书名称</w:t>
            </w:r>
          </w:p>
        </w:tc>
        <w:tc>
          <w:tcPr>
            <w:tcW w:w="77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级别</w:t>
            </w:r>
          </w:p>
        </w:tc>
        <w:tc>
          <w:tcPr>
            <w:tcW w:w="778"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证号</w:t>
            </w:r>
          </w:p>
        </w:tc>
        <w:tc>
          <w:tcPr>
            <w:tcW w:w="77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专业</w:t>
            </w:r>
          </w:p>
        </w:tc>
        <w:tc>
          <w:tcPr>
            <w:tcW w:w="2723"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养老保险</w:t>
            </w: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项目经理</w:t>
            </w: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bl>
    <w:p>
      <w:pPr>
        <w:spacing w:line="20" w:lineRule="exact"/>
        <w:jc w:val="center"/>
        <w:rPr>
          <w:rFonts w:ascii="宋体" w:hAnsi="宋体"/>
          <w:szCs w:val="21"/>
          <w:highlight w:val="none"/>
        </w:rPr>
      </w:pPr>
    </w:p>
    <w:p>
      <w:pPr>
        <w:spacing w:line="360" w:lineRule="auto"/>
        <w:ind w:firstLine="420" w:firstLineChars="200"/>
        <w:jc w:val="center"/>
        <w:rPr>
          <w:rFonts w:ascii="宋体" w:hAnsi="宋体"/>
          <w:sz w:val="32"/>
          <w:szCs w:val="32"/>
          <w:highlight w:val="none"/>
        </w:rPr>
      </w:pPr>
      <w:r>
        <w:rPr>
          <w:rFonts w:hint="eastAsia" w:ascii="宋体" w:hAnsi="宋体"/>
          <w:szCs w:val="21"/>
          <w:highlight w:val="none"/>
        </w:rPr>
        <w:t>备注：本表仅填项目经理、</w:t>
      </w:r>
      <w:r>
        <w:rPr>
          <w:rFonts w:hint="eastAsia" w:ascii="宋体" w:hAnsi="宋体"/>
          <w:szCs w:val="21"/>
          <w:highlight w:val="none"/>
          <w:lang w:val="en-US" w:eastAsia="zh-CN"/>
        </w:rPr>
        <w:t>主要管理人员</w:t>
      </w:r>
      <w:r>
        <w:rPr>
          <w:rFonts w:hint="eastAsia" w:ascii="宋体" w:hAnsi="宋体"/>
          <w:szCs w:val="21"/>
          <w:highlight w:val="none"/>
        </w:rPr>
        <w:t>相关信息</w:t>
      </w:r>
      <w:r>
        <w:rPr>
          <w:rFonts w:ascii="宋体" w:hAnsi="宋体"/>
          <w:sz w:val="32"/>
          <w:szCs w:val="32"/>
          <w:highlight w:val="none"/>
        </w:rPr>
        <w:br w:type="page"/>
      </w:r>
      <w:r>
        <w:rPr>
          <w:rFonts w:hint="eastAsia" w:ascii="宋体" w:hAnsi="宋体"/>
          <w:sz w:val="32"/>
          <w:szCs w:val="32"/>
          <w:highlight w:val="none"/>
        </w:rPr>
        <w:t>项目经理简历表</w:t>
      </w:r>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姓名</w:t>
            </w:r>
          </w:p>
        </w:tc>
        <w:tc>
          <w:tcPr>
            <w:tcW w:w="1190" w:type="dxa"/>
            <w:gridSpan w:val="2"/>
            <w:vAlign w:val="center"/>
          </w:tcPr>
          <w:p>
            <w:pPr>
              <w:autoSpaceDE w:val="0"/>
              <w:autoSpaceDN w:val="0"/>
              <w:adjustRightInd w:val="0"/>
              <w:snapToGrid w:val="0"/>
              <w:jc w:val="center"/>
              <w:rPr>
                <w:rFonts w:ascii="宋体" w:hAnsi="宋体"/>
                <w:kern w:val="0"/>
                <w:szCs w:val="21"/>
                <w:highlight w:val="none"/>
              </w:rPr>
            </w:pPr>
          </w:p>
        </w:tc>
        <w:tc>
          <w:tcPr>
            <w:tcW w:w="1020"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年龄</w:t>
            </w:r>
          </w:p>
        </w:tc>
        <w:tc>
          <w:tcPr>
            <w:tcW w:w="1175" w:type="dxa"/>
            <w:vAlign w:val="center"/>
          </w:tcPr>
          <w:p>
            <w:pPr>
              <w:autoSpaceDE w:val="0"/>
              <w:autoSpaceDN w:val="0"/>
              <w:adjustRightInd w:val="0"/>
              <w:snapToGrid w:val="0"/>
              <w:jc w:val="center"/>
              <w:rPr>
                <w:rFonts w:ascii="宋体" w:hAnsi="宋体"/>
                <w:kern w:val="0"/>
                <w:szCs w:val="21"/>
                <w:highlight w:val="none"/>
              </w:rPr>
            </w:pPr>
          </w:p>
        </w:tc>
        <w:tc>
          <w:tcPr>
            <w:tcW w:w="2346" w:type="dxa"/>
            <w:gridSpan w:val="3"/>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学历</w:t>
            </w:r>
          </w:p>
        </w:tc>
        <w:tc>
          <w:tcPr>
            <w:tcW w:w="2528"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职称</w:t>
            </w:r>
          </w:p>
        </w:tc>
        <w:tc>
          <w:tcPr>
            <w:tcW w:w="1190" w:type="dxa"/>
            <w:gridSpan w:val="2"/>
            <w:vAlign w:val="center"/>
          </w:tcPr>
          <w:p>
            <w:pPr>
              <w:autoSpaceDE w:val="0"/>
              <w:autoSpaceDN w:val="0"/>
              <w:adjustRightInd w:val="0"/>
              <w:snapToGrid w:val="0"/>
              <w:jc w:val="center"/>
              <w:rPr>
                <w:rFonts w:ascii="宋体" w:hAnsi="宋体"/>
                <w:kern w:val="0"/>
                <w:szCs w:val="21"/>
                <w:highlight w:val="none"/>
              </w:rPr>
            </w:pPr>
          </w:p>
        </w:tc>
        <w:tc>
          <w:tcPr>
            <w:tcW w:w="1020"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职务</w:t>
            </w:r>
          </w:p>
        </w:tc>
        <w:tc>
          <w:tcPr>
            <w:tcW w:w="1175" w:type="dxa"/>
            <w:vAlign w:val="center"/>
          </w:tcPr>
          <w:p>
            <w:pPr>
              <w:autoSpaceDE w:val="0"/>
              <w:autoSpaceDN w:val="0"/>
              <w:adjustRightInd w:val="0"/>
              <w:snapToGrid w:val="0"/>
              <w:jc w:val="center"/>
              <w:rPr>
                <w:rFonts w:ascii="宋体" w:hAnsi="宋体"/>
                <w:kern w:val="0"/>
                <w:szCs w:val="21"/>
                <w:highlight w:val="none"/>
              </w:rPr>
            </w:pPr>
          </w:p>
        </w:tc>
        <w:tc>
          <w:tcPr>
            <w:tcW w:w="2346" w:type="dxa"/>
            <w:gridSpan w:val="3"/>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拟在本合同任职</w:t>
            </w:r>
          </w:p>
        </w:tc>
        <w:tc>
          <w:tcPr>
            <w:tcW w:w="2528"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w:t>
            </w:r>
            <w:r>
              <w:rPr>
                <w:rFonts w:ascii="宋体" w:hAnsi="宋体"/>
                <w:spacing w:val="-1"/>
                <w:kern w:val="0"/>
                <w:szCs w:val="21"/>
                <w:highlight w:val="none"/>
              </w:rPr>
              <w:t>毕</w:t>
            </w:r>
            <w:r>
              <w:rPr>
                <w:rFonts w:ascii="宋体" w:hAnsi="宋体"/>
                <w:kern w:val="0"/>
                <w:szCs w:val="21"/>
                <w:highlight w:val="none"/>
              </w:rPr>
              <w:t>业于</w:t>
            </w:r>
            <w:r>
              <w:rPr>
                <w:rFonts w:ascii="宋体" w:hAnsi="宋体"/>
                <w:kern w:val="0"/>
                <w:szCs w:val="21"/>
                <w:highlight w:val="none"/>
              </w:rPr>
              <w:tab/>
            </w:r>
            <w:r>
              <w:rPr>
                <w:rFonts w:ascii="宋体" w:hAnsi="宋体"/>
                <w:kern w:val="0"/>
                <w:szCs w:val="21"/>
                <w:highlight w:val="none"/>
              </w:rPr>
              <w:t>学校</w:t>
            </w:r>
            <w:r>
              <w:rPr>
                <w:rFonts w:ascii="宋体" w:hAnsi="宋体"/>
                <w:kern w:val="0"/>
                <w:szCs w:val="21"/>
                <w:highlight w:val="none"/>
              </w:rPr>
              <w:tab/>
            </w:r>
            <w:r>
              <w:rPr>
                <w:rFonts w:ascii="宋体" w:hAnsi="宋体"/>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时间</w:t>
            </w:r>
          </w:p>
        </w:tc>
        <w:tc>
          <w:tcPr>
            <w:tcW w:w="3768" w:type="dxa"/>
            <w:gridSpan w:val="4"/>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参加过的类似项目</w:t>
            </w:r>
          </w:p>
        </w:tc>
        <w:tc>
          <w:tcPr>
            <w:tcW w:w="1388"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担任职务</w:t>
            </w:r>
          </w:p>
        </w:tc>
        <w:tc>
          <w:tcPr>
            <w:tcW w:w="2706" w:type="dxa"/>
            <w:gridSpan w:val="2"/>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bl>
    <w:p>
      <w:pPr>
        <w:spacing w:line="360" w:lineRule="auto"/>
        <w:rPr>
          <w:rFonts w:ascii="宋体" w:hAnsi="宋体"/>
          <w:highlight w:val="none"/>
        </w:rPr>
      </w:pPr>
      <w:bookmarkStart w:id="440" w:name="_Toc224103515"/>
    </w:p>
    <w:bookmarkEnd w:id="440"/>
    <w:p>
      <w:pPr>
        <w:adjustRightInd w:val="0"/>
        <w:snapToGrid w:val="0"/>
        <w:spacing w:line="360" w:lineRule="auto"/>
        <w:rPr>
          <w:rFonts w:ascii="宋体" w:hAnsi="宋体"/>
          <w:highlight w:val="none"/>
        </w:rPr>
      </w:pPr>
    </w:p>
    <w:bookmarkEnd w:id="433"/>
    <w:bookmarkEnd w:id="434"/>
    <w:bookmarkEnd w:id="435"/>
    <w:bookmarkEnd w:id="436"/>
    <w:bookmarkEnd w:id="437"/>
    <w:p>
      <w:pPr>
        <w:pStyle w:val="5"/>
        <w:spacing w:before="0" w:after="0" w:line="360" w:lineRule="auto"/>
        <w:jc w:val="center"/>
        <w:rPr>
          <w:rFonts w:ascii="宋体" w:hAnsi="宋体"/>
          <w:b w:val="0"/>
          <w:highlight w:val="none"/>
        </w:rPr>
      </w:pPr>
      <w:bookmarkStart w:id="441" w:name="_Toc11964"/>
      <w:r>
        <w:rPr>
          <w:rFonts w:ascii="宋体" w:hAnsi="宋体"/>
          <w:b w:val="0"/>
          <w:highlight w:val="none"/>
        </w:rPr>
        <w:t>（</w:t>
      </w:r>
      <w:r>
        <w:rPr>
          <w:rFonts w:hint="eastAsia" w:ascii="宋体" w:hAnsi="宋体"/>
          <w:b w:val="0"/>
          <w:highlight w:val="none"/>
          <w:lang w:val="en-US" w:eastAsia="zh-CN"/>
        </w:rPr>
        <w:t>四</w:t>
      </w:r>
      <w:r>
        <w:rPr>
          <w:rFonts w:ascii="宋体" w:hAnsi="宋体"/>
          <w:b w:val="0"/>
          <w:highlight w:val="none"/>
        </w:rPr>
        <w:t>）</w:t>
      </w:r>
      <w:r>
        <w:rPr>
          <w:rFonts w:hint="eastAsia" w:ascii="宋体" w:hAnsi="宋体"/>
          <w:b w:val="0"/>
          <w:highlight w:val="none"/>
        </w:rPr>
        <w:t>承诺</w:t>
      </w:r>
      <w:bookmarkEnd w:id="441"/>
    </w:p>
    <w:p>
      <w:pPr>
        <w:snapToGrid w:val="0"/>
        <w:spacing w:line="380" w:lineRule="exact"/>
        <w:rPr>
          <w:rFonts w:ascii="宋体" w:hAnsi="宋体"/>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u w:val="single"/>
          <w:lang w:eastAsia="zh-CN"/>
        </w:rPr>
        <w:t>比选人</w:t>
      </w:r>
      <w:r>
        <w:rPr>
          <w:rFonts w:hint="eastAsia" w:ascii="宋体" w:hAnsi="宋体"/>
          <w:szCs w:val="21"/>
          <w:highlight w:val="none"/>
          <w:u w:val="single"/>
        </w:rPr>
        <w:t>名称）</w:t>
      </w:r>
      <w:r>
        <w:rPr>
          <w:rFonts w:hint="eastAsia" w:ascii="宋体" w:hAnsi="宋体"/>
          <w:szCs w:val="21"/>
          <w:highlight w:val="none"/>
        </w:rPr>
        <w:t>：</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w:t>
      </w:r>
      <w:r>
        <w:rPr>
          <w:rFonts w:hint="eastAsia" w:ascii="宋体" w:hAnsi="宋体"/>
          <w:szCs w:val="21"/>
          <w:highlight w:val="none"/>
          <w:u w:val="single"/>
          <w:lang w:val="en-US" w:eastAsia="zh-CN"/>
        </w:rPr>
        <w:t>竞选</w:t>
      </w:r>
      <w:r>
        <w:rPr>
          <w:rFonts w:hint="eastAsia" w:ascii="宋体" w:hAnsi="宋体"/>
          <w:szCs w:val="21"/>
          <w:highlight w:val="none"/>
          <w:u w:val="single"/>
        </w:rPr>
        <w:t>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1、我公司投标截止日投标资格情况不存在下列情形之一：</w:t>
      </w:r>
    </w:p>
    <w:p>
      <w:pPr>
        <w:snapToGrid w:val="0"/>
        <w:spacing w:line="38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（3）被列入《重庆市工程建设领域招标投标信用管理暂行办法》规定的黑名单且在记分有效期内；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主管部门暂停在渝承揽新业务且在暂停期内。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2、我公司拟派的项目经理按注册建造师的相关规定到岗履职和未被禁止参与投标。</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2.2拟派的项目经理未被重庆市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2.3为保证我公司拟派的项目经理到本项目到岗履职，我公司还承诺：</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若我公司拟派本项目的项目经理有在其他项目任职的情形的（或有在其他项目中标或拟中标的情形的），应在收到中标通知书后</w:t>
      </w:r>
      <w:r>
        <w:rPr>
          <w:rFonts w:hint="eastAsia" w:ascii="宋体" w:hAnsi="宋体"/>
          <w:szCs w:val="21"/>
          <w:highlight w:val="none"/>
          <w:u w:val="single"/>
        </w:rPr>
        <w:t xml:space="preserve"> 14 </w:t>
      </w:r>
      <w:r>
        <w:rPr>
          <w:rFonts w:hint="eastAsia" w:ascii="宋体" w:hAnsi="宋体"/>
          <w:szCs w:val="21"/>
          <w:highlight w:val="none"/>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若我公司拟派项目经理放弃在其他项目中标或拟中标的将提供：①经中标或拟中标的其他项目建设单位同意的放弃中标函。</w:t>
      </w:r>
    </w:p>
    <w:p>
      <w:pPr>
        <w:numPr>
          <w:ilvl w:val="0"/>
          <w:numId w:val="3"/>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val="en-US" w:eastAsia="zh-CN"/>
        </w:rPr>
        <w:t>贵单位</w:t>
      </w:r>
      <w:r>
        <w:rPr>
          <w:rFonts w:hint="eastAsia" w:ascii="宋体" w:hAnsi="宋体"/>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highlight w:val="none"/>
          <w:lang w:val="en-US" w:eastAsia="zh-CN"/>
        </w:rPr>
        <w:t>贵单位</w:t>
      </w:r>
      <w:r>
        <w:rPr>
          <w:rFonts w:hint="eastAsia" w:ascii="宋体" w:hAnsi="宋体"/>
          <w:szCs w:val="21"/>
          <w:highlight w:val="none"/>
        </w:rPr>
        <w:t>造成损失的，我公司依法承担违约赔偿责任。</w:t>
      </w:r>
    </w:p>
    <w:p>
      <w:pPr>
        <w:numPr>
          <w:ilvl w:val="0"/>
          <w:numId w:val="3"/>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我公司承诺：</w:t>
      </w:r>
      <w:r>
        <w:rPr>
          <w:rFonts w:hint="eastAsia" w:ascii="宋体" w:hAnsi="宋体"/>
          <w:szCs w:val="21"/>
          <w:highlight w:val="none"/>
          <w:lang w:val="en-US" w:eastAsia="zh-CN"/>
        </w:rPr>
        <w:t>技术标准</w:t>
      </w:r>
      <w:r>
        <w:rPr>
          <w:rFonts w:hint="eastAsia" w:ascii="宋体" w:hAnsi="宋体"/>
          <w:szCs w:val="21"/>
          <w:highlight w:val="none"/>
        </w:rPr>
        <w:t>给出的范围及数量内容不得修改，每项综合单价报价不得高于对应综合单价最高限价。</w:t>
      </w:r>
      <w:r>
        <w:rPr>
          <w:rFonts w:hint="eastAsia" w:ascii="宋体" w:hAnsi="宋体"/>
          <w:szCs w:val="21"/>
          <w:highlight w:val="none"/>
          <w:lang w:val="en-US" w:eastAsia="zh-CN"/>
        </w:rPr>
        <w:t>贵单位</w:t>
      </w:r>
      <w:r>
        <w:rPr>
          <w:rFonts w:hint="eastAsia" w:ascii="宋体" w:hAnsi="宋体"/>
          <w:szCs w:val="21"/>
          <w:highlight w:val="none"/>
        </w:rPr>
        <w:t>可在合同签订前对我公司已标价</w:t>
      </w:r>
      <w:r>
        <w:rPr>
          <w:rFonts w:hint="eastAsia" w:ascii="宋体" w:hAnsi="宋体"/>
          <w:szCs w:val="21"/>
          <w:highlight w:val="none"/>
          <w:lang w:val="en-US" w:eastAsia="zh-CN"/>
        </w:rPr>
        <w:t>综合单价</w:t>
      </w:r>
      <w:r>
        <w:rPr>
          <w:rFonts w:hint="eastAsia" w:ascii="宋体" w:hAnsi="宋体"/>
          <w:szCs w:val="21"/>
          <w:highlight w:val="none"/>
        </w:rPr>
        <w:t>进行清标。若发现我公司的综合单价报价超过</w:t>
      </w:r>
      <w:r>
        <w:rPr>
          <w:rFonts w:hint="eastAsia" w:ascii="宋体" w:hAnsi="宋体"/>
          <w:szCs w:val="21"/>
          <w:highlight w:val="none"/>
          <w:lang w:val="en-US" w:eastAsia="zh-CN"/>
        </w:rPr>
        <w:t>比选</w:t>
      </w:r>
      <w:r>
        <w:rPr>
          <w:rFonts w:hint="eastAsia" w:ascii="宋体" w:hAnsi="宋体"/>
          <w:szCs w:val="21"/>
          <w:highlight w:val="none"/>
        </w:rPr>
        <w:t>时给出的综合单价最高限价的，在工程结算时</w:t>
      </w:r>
      <w:r>
        <w:rPr>
          <w:rFonts w:hint="eastAsia" w:ascii="宋体" w:hAnsi="宋体"/>
          <w:szCs w:val="21"/>
          <w:highlight w:val="none"/>
          <w:lang w:val="en-US" w:eastAsia="zh-CN"/>
        </w:rPr>
        <w:t>贵单位</w:t>
      </w:r>
      <w:r>
        <w:rPr>
          <w:rFonts w:hint="eastAsia" w:ascii="宋体" w:hAnsi="宋体"/>
          <w:szCs w:val="21"/>
          <w:highlight w:val="none"/>
        </w:rPr>
        <w:t>以发出的综合单价最高限价为基础，按照我公司的中标总报价与本工程的总价最高限价的下浮比例进行同比例下调，我公司无条件接受，否则按我公司违约处理。</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5、我公司在资格审查部分中提供的相关证明材料真实有效，不存在弄虚作假情形。</w:t>
      </w:r>
      <w:r>
        <w:rPr>
          <w:rFonts w:hint="eastAsia" w:ascii="宋体" w:hAnsi="宋体"/>
          <w:szCs w:val="21"/>
          <w:highlight w:val="none"/>
          <w:u w:val="single"/>
          <w:lang w:val="en-US" w:eastAsia="zh-CN"/>
        </w:rPr>
        <w:t>贵单位</w:t>
      </w:r>
      <w:r>
        <w:rPr>
          <w:rFonts w:hint="eastAsia" w:ascii="宋体" w:hAnsi="宋体"/>
          <w:szCs w:val="21"/>
          <w:highlight w:val="none"/>
          <w:u w:val="single"/>
        </w:rPr>
        <w:t>在合同签订前均有权对我</w:t>
      </w:r>
      <w:r>
        <w:rPr>
          <w:rFonts w:hint="eastAsia" w:ascii="宋体" w:hAnsi="宋体"/>
          <w:szCs w:val="21"/>
          <w:highlight w:val="none"/>
          <w:u w:val="single"/>
          <w:lang w:val="en-US" w:eastAsia="zh-CN"/>
        </w:rPr>
        <w:t>公</w:t>
      </w:r>
      <w:r>
        <w:rPr>
          <w:rFonts w:hint="eastAsia" w:ascii="宋体" w:hAnsi="宋体"/>
          <w:szCs w:val="21"/>
          <w:highlight w:val="none"/>
          <w:u w:val="single"/>
        </w:rPr>
        <w:t>司提供的资料进行核实，若发现弄虚作假，</w:t>
      </w:r>
      <w:r>
        <w:rPr>
          <w:rFonts w:hint="eastAsia" w:ascii="宋体" w:hAnsi="宋体"/>
          <w:szCs w:val="21"/>
          <w:highlight w:val="none"/>
          <w:u w:val="single"/>
          <w:lang w:val="en-US" w:eastAsia="zh-CN"/>
        </w:rPr>
        <w:t>按相关规定</w:t>
      </w:r>
      <w:r>
        <w:rPr>
          <w:rFonts w:hint="eastAsia" w:ascii="宋体" w:hAnsi="宋体"/>
          <w:szCs w:val="21"/>
          <w:highlight w:val="none"/>
          <w:u w:val="single"/>
        </w:rPr>
        <w:t>取消</w:t>
      </w:r>
      <w:r>
        <w:rPr>
          <w:rFonts w:hint="eastAsia" w:ascii="宋体" w:hAnsi="宋体"/>
          <w:szCs w:val="21"/>
          <w:highlight w:val="none"/>
          <w:u w:val="single"/>
          <w:lang w:val="en-US" w:eastAsia="zh-CN"/>
        </w:rPr>
        <w:t>我公司</w:t>
      </w:r>
      <w:r>
        <w:rPr>
          <w:rFonts w:hint="eastAsia" w:ascii="宋体" w:hAnsi="宋体"/>
          <w:szCs w:val="21"/>
          <w:highlight w:val="none"/>
          <w:u w:val="single"/>
        </w:rPr>
        <w:t>中标资格，并按相关法律法规报招标投标监督部门，投标保证金不予退还，我</w:t>
      </w:r>
      <w:r>
        <w:rPr>
          <w:rFonts w:hint="eastAsia" w:ascii="宋体" w:hAnsi="宋体"/>
          <w:szCs w:val="21"/>
          <w:highlight w:val="none"/>
          <w:u w:val="single"/>
          <w:lang w:val="en-US" w:eastAsia="zh-CN"/>
        </w:rPr>
        <w:t>公</w:t>
      </w:r>
      <w:r>
        <w:rPr>
          <w:rFonts w:hint="eastAsia" w:ascii="宋体" w:hAnsi="宋体"/>
          <w:szCs w:val="21"/>
          <w:highlight w:val="none"/>
          <w:u w:val="single"/>
        </w:rPr>
        <w:t>司自愿承担因此造成的相关责任并赔偿相应损失</w:t>
      </w:r>
      <w:r>
        <w:rPr>
          <w:rFonts w:hint="eastAsia" w:ascii="宋体" w:hAnsi="宋体"/>
          <w:szCs w:val="21"/>
          <w:highlight w:val="none"/>
        </w:rPr>
        <w:t>。</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6、我公司不存在第二章 投标人须知第 1.4.3 项规定的任何一种情形。</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7、我公司的投标文件符合第二章 投标人须知第 1.3.1 项的规定。</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8、我公司的投标文件符合第四章 合同条款及格式规定，投标文件中没有</w:t>
      </w:r>
      <w:r>
        <w:rPr>
          <w:rFonts w:hint="eastAsia" w:ascii="宋体" w:hAnsi="宋体"/>
          <w:szCs w:val="21"/>
          <w:highlight w:val="none"/>
          <w:lang w:val="en-US" w:eastAsia="zh-CN"/>
        </w:rPr>
        <w:t>贵单位</w:t>
      </w:r>
      <w:r>
        <w:rPr>
          <w:rFonts w:hint="eastAsia" w:ascii="宋体" w:hAnsi="宋体"/>
          <w:szCs w:val="21"/>
          <w:highlight w:val="none"/>
        </w:rPr>
        <w:t>不能接受的条件。</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9、我公司的投标文件符合第七章 技术标准和要求（如有）。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10、我公司接受招标文件中关于“不平衡报价”的相关约定（如有）。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11、我公司接受招标文件中关于“不允许负数报价”的相关要求（如有）</w:t>
      </w:r>
      <w:r>
        <w:rPr>
          <w:rFonts w:hint="eastAsia" w:ascii="宋体" w:hAnsi="宋体"/>
          <w:szCs w:val="21"/>
          <w:highlight w:val="none"/>
        </w:rPr>
        <w:t>。</w:t>
      </w:r>
    </w:p>
    <w:p>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bookmarkEnd w:id="438"/>
    <w:bookmarkEnd w:id="439"/>
    <w:p>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pPr>
        <w:rPr>
          <w:highlight w:val="none"/>
        </w:rPr>
      </w:pPr>
      <w:r>
        <w:rPr>
          <w:highlight w:val="none"/>
        </w:rPr>
        <w:br w:type="page"/>
      </w:r>
    </w:p>
    <w:p>
      <w:pPr>
        <w:pStyle w:val="5"/>
        <w:spacing w:before="0" w:line="360" w:lineRule="auto"/>
        <w:jc w:val="center"/>
        <w:rPr>
          <w:rFonts w:ascii="宋体" w:hAnsi="宋体"/>
          <w:b w:val="0"/>
          <w:highlight w:val="none"/>
        </w:rPr>
      </w:pPr>
      <w:bookmarkStart w:id="442" w:name="_Toc25182"/>
      <w:r>
        <w:rPr>
          <w:rFonts w:hint="eastAsia" w:ascii="宋体" w:hAnsi="宋体"/>
          <w:b w:val="0"/>
          <w:highlight w:val="none"/>
        </w:rPr>
        <w:t>（</w:t>
      </w:r>
      <w:r>
        <w:rPr>
          <w:rFonts w:hint="eastAsia" w:ascii="宋体" w:hAnsi="宋体"/>
          <w:b w:val="0"/>
          <w:highlight w:val="none"/>
          <w:lang w:val="en-US" w:eastAsia="zh-CN"/>
        </w:rPr>
        <w:t>五</w:t>
      </w:r>
      <w:r>
        <w:rPr>
          <w:rFonts w:hint="eastAsia" w:ascii="宋体" w:hAnsi="宋体"/>
          <w:b w:val="0"/>
          <w:highlight w:val="none"/>
        </w:rPr>
        <w:t>）其他资料</w:t>
      </w:r>
      <w:bookmarkEnd w:id="442"/>
    </w:p>
    <w:bookmarkEnd w:id="352"/>
    <w:bookmarkEnd w:id="353"/>
    <w:bookmarkEnd w:id="354"/>
    <w:p>
      <w:pPr>
        <w:rPr>
          <w:rFonts w:hint="eastAsia"/>
          <w:sz w:val="32"/>
          <w:szCs w:val="32"/>
          <w:highlight w:val="none"/>
          <w:lang w:val="en-US" w:eastAsia="zh-CN"/>
        </w:rPr>
      </w:pPr>
    </w:p>
    <w:p>
      <w:pPr>
        <w:pStyle w:val="31"/>
        <w:rPr>
          <w:rFonts w:hint="default"/>
          <w:sz w:val="32"/>
          <w:szCs w:val="32"/>
          <w:lang w:val="en-US" w:eastAsia="zh-CN"/>
        </w:rPr>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F4765"/>
    <w:multiLevelType w:val="singleLevel"/>
    <w:tmpl w:val="2A0F4765"/>
    <w:lvl w:ilvl="0" w:tentative="0">
      <w:start w:val="1"/>
      <w:numFmt w:val="decimal"/>
      <w:suff w:val="nothing"/>
      <w:lvlText w:val="（%1）"/>
      <w:lvlJc w:val="left"/>
    </w:lvl>
  </w:abstractNum>
  <w:abstractNum w:abstractNumId="1">
    <w:nsid w:val="3F415704"/>
    <w:multiLevelType w:val="singleLevel"/>
    <w:tmpl w:val="3F415704"/>
    <w:lvl w:ilvl="0" w:tentative="0">
      <w:start w:val="1"/>
      <w:numFmt w:val="decimal"/>
      <w:suff w:val="nothing"/>
      <w:lvlText w:val="%1、"/>
      <w:lvlJc w:val="left"/>
    </w:lvl>
  </w:abstractNum>
  <w:abstractNum w:abstractNumId="2">
    <w:nsid w:val="5F471D00"/>
    <w:multiLevelType w:val="singleLevel"/>
    <w:tmpl w:val="5F471D00"/>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Yjg1YTkyOWU5NzI0OTgyZDU1M2Q5NWZiOTE0M2QifQ=="/>
  </w:docVars>
  <w:rsids>
    <w:rsidRoot w:val="00000000"/>
    <w:rsid w:val="01750EDE"/>
    <w:rsid w:val="01F26009"/>
    <w:rsid w:val="02497534"/>
    <w:rsid w:val="029A7643"/>
    <w:rsid w:val="02CB3070"/>
    <w:rsid w:val="03712D21"/>
    <w:rsid w:val="043C1EA8"/>
    <w:rsid w:val="057364D8"/>
    <w:rsid w:val="059D388C"/>
    <w:rsid w:val="0650605B"/>
    <w:rsid w:val="067018B8"/>
    <w:rsid w:val="07146850"/>
    <w:rsid w:val="0747316B"/>
    <w:rsid w:val="08D852DC"/>
    <w:rsid w:val="093046DF"/>
    <w:rsid w:val="09D667D3"/>
    <w:rsid w:val="0AC34A23"/>
    <w:rsid w:val="0B374AB7"/>
    <w:rsid w:val="0B8A12CF"/>
    <w:rsid w:val="0F3118B1"/>
    <w:rsid w:val="0FED2443"/>
    <w:rsid w:val="102C328E"/>
    <w:rsid w:val="10662E20"/>
    <w:rsid w:val="13CA799C"/>
    <w:rsid w:val="13DD62E6"/>
    <w:rsid w:val="155F0AA1"/>
    <w:rsid w:val="17072F54"/>
    <w:rsid w:val="185276F3"/>
    <w:rsid w:val="18E152D3"/>
    <w:rsid w:val="1BFF6A6B"/>
    <w:rsid w:val="1D9E2B66"/>
    <w:rsid w:val="1EB93EB5"/>
    <w:rsid w:val="1F996596"/>
    <w:rsid w:val="202820DF"/>
    <w:rsid w:val="210618F0"/>
    <w:rsid w:val="21270CC2"/>
    <w:rsid w:val="24266EC9"/>
    <w:rsid w:val="248F3D0B"/>
    <w:rsid w:val="26D36140"/>
    <w:rsid w:val="28AF528E"/>
    <w:rsid w:val="29BC2B47"/>
    <w:rsid w:val="2B24412B"/>
    <w:rsid w:val="2D316018"/>
    <w:rsid w:val="2D397AFE"/>
    <w:rsid w:val="2EBF07A0"/>
    <w:rsid w:val="2F3F0791"/>
    <w:rsid w:val="2FE62A0A"/>
    <w:rsid w:val="30BF31A0"/>
    <w:rsid w:val="316600C5"/>
    <w:rsid w:val="317353D0"/>
    <w:rsid w:val="3300448E"/>
    <w:rsid w:val="33CB0DB0"/>
    <w:rsid w:val="344A7EB3"/>
    <w:rsid w:val="39D637AE"/>
    <w:rsid w:val="3D3F248B"/>
    <w:rsid w:val="3E485474"/>
    <w:rsid w:val="424A2B87"/>
    <w:rsid w:val="43BE2B8A"/>
    <w:rsid w:val="46277859"/>
    <w:rsid w:val="46884147"/>
    <w:rsid w:val="48093C71"/>
    <w:rsid w:val="49CE7107"/>
    <w:rsid w:val="4B3F6D5D"/>
    <w:rsid w:val="4D864ED8"/>
    <w:rsid w:val="4D920C64"/>
    <w:rsid w:val="4E185430"/>
    <w:rsid w:val="4F305D57"/>
    <w:rsid w:val="4F79447E"/>
    <w:rsid w:val="522A6FE1"/>
    <w:rsid w:val="53394028"/>
    <w:rsid w:val="53B03160"/>
    <w:rsid w:val="566209E7"/>
    <w:rsid w:val="56CC3E96"/>
    <w:rsid w:val="570263B4"/>
    <w:rsid w:val="59101798"/>
    <w:rsid w:val="591F4667"/>
    <w:rsid w:val="59952F94"/>
    <w:rsid w:val="5ACA7162"/>
    <w:rsid w:val="5CBC4428"/>
    <w:rsid w:val="5F370970"/>
    <w:rsid w:val="618D4BBE"/>
    <w:rsid w:val="63091321"/>
    <w:rsid w:val="64087B99"/>
    <w:rsid w:val="6534707B"/>
    <w:rsid w:val="66707909"/>
    <w:rsid w:val="671764AB"/>
    <w:rsid w:val="68233E92"/>
    <w:rsid w:val="6A9774F1"/>
    <w:rsid w:val="6B9D26D7"/>
    <w:rsid w:val="6BA64352"/>
    <w:rsid w:val="6D6C1709"/>
    <w:rsid w:val="6DFC5F6C"/>
    <w:rsid w:val="6F00293A"/>
    <w:rsid w:val="6F0D49D1"/>
    <w:rsid w:val="760A6969"/>
    <w:rsid w:val="78BB630B"/>
    <w:rsid w:val="7A4160FC"/>
    <w:rsid w:val="7AFE0EDA"/>
    <w:rsid w:val="7B5A49FB"/>
    <w:rsid w:val="7D271CAE"/>
    <w:rsid w:val="7F4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5"/>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80"/>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3"/>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6"/>
    <w:autoRedefine/>
    <w:qFormat/>
    <w:uiPriority w:val="0"/>
    <w:pPr>
      <w:keepNext/>
      <w:keepLines/>
      <w:ind w:firstLine="200" w:firstLineChars="200"/>
      <w:outlineLvl w:val="5"/>
    </w:pPr>
    <w:rPr>
      <w:rFonts w:hAnsi="Arial"/>
    </w:rPr>
  </w:style>
  <w:style w:type="paragraph" w:styleId="10">
    <w:name w:val="heading 7"/>
    <w:basedOn w:val="1"/>
    <w:next w:val="1"/>
    <w:link w:val="27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8"/>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9"/>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autoRedefine/>
    <w:qFormat/>
    <w:uiPriority w:val="1"/>
  </w:style>
  <w:style w:type="table" w:default="1" w:styleId="46">
    <w:name w:val="Normal Table"/>
    <w:autoRedefine/>
    <w:qFormat/>
    <w:uiPriority w:val="99"/>
    <w:tblPr>
      <w:tblCellMar>
        <w:top w:w="0" w:type="dxa"/>
        <w:left w:w="108" w:type="dxa"/>
        <w:bottom w:w="0" w:type="dxa"/>
        <w:right w:w="108" w:type="dxa"/>
      </w:tblCellMar>
    </w:tblPr>
  </w:style>
  <w:style w:type="paragraph" w:styleId="2">
    <w:name w:val="Plain Text"/>
    <w:basedOn w:val="1"/>
    <w:link w:val="305"/>
    <w:autoRedefine/>
    <w:qFormat/>
    <w:uiPriority w:val="0"/>
    <w:rPr>
      <w:rFonts w:ascii="宋体" w:hAnsi="Courier New" w:cs="Courier New"/>
      <w:szCs w:val="21"/>
    </w:r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5"/>
    <w:autoRedefine/>
    <w:qFormat/>
    <w:uiPriority w:val="0"/>
    <w:pPr>
      <w:shd w:val="clear" w:color="auto" w:fill="000080"/>
    </w:pPr>
  </w:style>
  <w:style w:type="paragraph" w:styleId="16">
    <w:name w:val="annotation text"/>
    <w:basedOn w:val="1"/>
    <w:link w:val="290"/>
    <w:autoRedefine/>
    <w:qFormat/>
    <w:uiPriority w:val="99"/>
    <w:pPr>
      <w:jc w:val="left"/>
    </w:pPr>
  </w:style>
  <w:style w:type="paragraph" w:styleId="17">
    <w:name w:val="Body Text 3"/>
    <w:basedOn w:val="1"/>
    <w:link w:val="309"/>
    <w:autoRedefine/>
    <w:qFormat/>
    <w:uiPriority w:val="0"/>
    <w:pPr>
      <w:spacing w:after="120"/>
    </w:pPr>
    <w:rPr>
      <w:sz w:val="16"/>
      <w:szCs w:val="16"/>
    </w:rPr>
  </w:style>
  <w:style w:type="paragraph" w:styleId="18">
    <w:name w:val="Body Text"/>
    <w:basedOn w:val="1"/>
    <w:link w:val="215"/>
    <w:autoRedefine/>
    <w:qFormat/>
    <w:uiPriority w:val="0"/>
    <w:pPr>
      <w:spacing w:after="120"/>
    </w:pPr>
  </w:style>
  <w:style w:type="paragraph" w:styleId="19">
    <w:name w:val="Body Text Indent"/>
    <w:basedOn w:val="1"/>
    <w:link w:val="270"/>
    <w:autoRedefine/>
    <w:qFormat/>
    <w:uiPriority w:val="0"/>
    <w:pPr>
      <w:ind w:firstLine="407" w:firstLineChars="200"/>
    </w:pPr>
  </w:style>
  <w:style w:type="paragraph" w:styleId="2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autoRedefine/>
    <w:qFormat/>
    <w:uiPriority w:val="0"/>
    <w:pPr>
      <w:ind w:left="600" w:leftChars="600"/>
    </w:pPr>
  </w:style>
  <w:style w:type="paragraph" w:styleId="22">
    <w:name w:val="toc 5"/>
    <w:basedOn w:val="1"/>
    <w:next w:val="1"/>
    <w:autoRedefine/>
    <w:qFormat/>
    <w:uiPriority w:val="39"/>
    <w:pPr>
      <w:ind w:left="840"/>
      <w:jc w:val="left"/>
    </w:pPr>
    <w:rPr>
      <w:sz w:val="18"/>
      <w:szCs w:val="18"/>
    </w:rPr>
  </w:style>
  <w:style w:type="paragraph" w:styleId="23">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8"/>
    <w:autoRedefine/>
    <w:qFormat/>
    <w:uiPriority w:val="0"/>
    <w:pPr>
      <w:ind w:left="100" w:leftChars="2500"/>
    </w:pPr>
  </w:style>
  <w:style w:type="paragraph" w:styleId="26">
    <w:name w:val="Body Text Indent 2"/>
    <w:basedOn w:val="1"/>
    <w:link w:val="272"/>
    <w:autoRedefine/>
    <w:qFormat/>
    <w:uiPriority w:val="0"/>
    <w:pPr>
      <w:widowControl/>
      <w:spacing w:line="480" w:lineRule="auto"/>
      <w:ind w:firstLine="560"/>
      <w:jc w:val="left"/>
    </w:pPr>
    <w:rPr>
      <w:kern w:val="0"/>
      <w:sz w:val="28"/>
    </w:rPr>
  </w:style>
  <w:style w:type="paragraph" w:styleId="27">
    <w:name w:val="endnote text"/>
    <w:basedOn w:val="1"/>
    <w:link w:val="182"/>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9"/>
    <w:autoRedefine/>
    <w:qFormat/>
    <w:uiPriority w:val="0"/>
    <w:rPr>
      <w:sz w:val="18"/>
      <w:szCs w:val="18"/>
    </w:rPr>
  </w:style>
  <w:style w:type="paragraph" w:styleId="29">
    <w:name w:val="footer"/>
    <w:basedOn w:val="1"/>
    <w:link w:val="197"/>
    <w:autoRedefine/>
    <w:qFormat/>
    <w:uiPriority w:val="0"/>
    <w:pPr>
      <w:tabs>
        <w:tab w:val="center" w:pos="4153"/>
        <w:tab w:val="right" w:pos="8306"/>
      </w:tabs>
      <w:snapToGrid w:val="0"/>
      <w:jc w:val="left"/>
    </w:pPr>
    <w:rPr>
      <w:sz w:val="18"/>
      <w:szCs w:val="18"/>
    </w:rPr>
  </w:style>
  <w:style w:type="paragraph" w:styleId="30">
    <w:name w:val="header"/>
    <w:basedOn w:val="1"/>
    <w:link w:val="237"/>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2"/>
    <w:autoRedefine/>
    <w:qFormat/>
    <w:uiPriority w:val="0"/>
    <w:pPr>
      <w:widowControl/>
      <w:jc w:val="center"/>
    </w:pPr>
    <w:rPr>
      <w:kern w:val="0"/>
      <w:sz w:val="20"/>
      <w:u w:val="single"/>
      <w:lang w:eastAsia="en-US"/>
    </w:rPr>
  </w:style>
  <w:style w:type="paragraph" w:styleId="34">
    <w:name w:val="footnote text"/>
    <w:basedOn w:val="1"/>
    <w:link w:val="217"/>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9"/>
    <w:autoRedefine/>
    <w:qFormat/>
    <w:uiPriority w:val="0"/>
    <w:pPr>
      <w:spacing w:line="360" w:lineRule="auto"/>
      <w:ind w:firstLine="280" w:firstLineChars="100"/>
    </w:pPr>
    <w:rPr>
      <w:rFonts w:ascii="宋体" w:hAnsi="宋体"/>
      <w:sz w:val="28"/>
      <w:szCs w:val="28"/>
    </w:rPr>
  </w:style>
  <w:style w:type="paragraph" w:styleId="37">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5"/>
    <w:autoRedefine/>
    <w:qFormat/>
    <w:uiPriority w:val="0"/>
    <w:rPr>
      <w:i/>
      <w:iCs/>
      <w:sz w:val="26"/>
    </w:rPr>
  </w:style>
  <w:style w:type="paragraph" w:styleId="40">
    <w:name w:val="HTML Preformatted"/>
    <w:basedOn w:val="1"/>
    <w:link w:val="1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link w:val="212"/>
    <w:autoRedefine/>
    <w:qFormat/>
    <w:uiPriority w:val="0"/>
    <w:pPr>
      <w:widowControl/>
      <w:jc w:val="center"/>
    </w:pPr>
    <w:rPr>
      <w:kern w:val="0"/>
      <w:sz w:val="20"/>
      <w:u w:val="single"/>
      <w:lang w:eastAsia="en-US"/>
    </w:rPr>
  </w:style>
  <w:style w:type="paragraph" w:styleId="44">
    <w:name w:val="annotation subject"/>
    <w:basedOn w:val="16"/>
    <w:next w:val="16"/>
    <w:link w:val="264"/>
    <w:autoRedefine/>
    <w:qFormat/>
    <w:uiPriority w:val="0"/>
    <w:rPr>
      <w:b/>
      <w:bCs/>
    </w:rPr>
  </w:style>
  <w:style w:type="paragraph" w:styleId="45">
    <w:name w:val="Body Text First Indent"/>
    <w:basedOn w:val="18"/>
    <w:autoRedefine/>
    <w:qFormat/>
    <w:uiPriority w:val="99"/>
    <w:pPr>
      <w:spacing w:line="360" w:lineRule="auto"/>
      <w:ind w:firstLine="420"/>
    </w:pPr>
    <w:rPr>
      <w:rFonts w:ascii="宋体" w:hAnsi="宋体"/>
      <w:sz w:val="24"/>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0"/>
    <w:rPr>
      <w:b/>
      <w:bCs/>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autoRedefine/>
    <w:qFormat/>
    <w:uiPriority w:val="0"/>
    <w:rPr>
      <w:vertAlign w:val="superscript"/>
    </w:rPr>
  </w:style>
  <w:style w:type="paragraph" w:customStyle="1" w:styleId="57">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58">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autoRedefine/>
    <w:qFormat/>
    <w:uiPriority w:val="99"/>
    <w:pPr>
      <w:ind w:firstLine="420" w:firstLineChars="200"/>
    </w:pPr>
    <w:rPr>
      <w:sz w:val="28"/>
      <w:szCs w:val="28"/>
    </w:rPr>
  </w:style>
  <w:style w:type="paragraph" w:customStyle="1" w:styleId="60">
    <w:name w:val="表格标题"/>
    <w:basedOn w:val="61"/>
    <w:autoRedefine/>
    <w:qFormat/>
    <w:uiPriority w:val="0"/>
  </w:style>
  <w:style w:type="paragraph" w:customStyle="1" w:styleId="61">
    <w:name w:val="表格内容"/>
    <w:basedOn w:val="1"/>
    <w:autoRedefine/>
    <w:qFormat/>
    <w:uiPriority w:val="0"/>
    <w:pPr>
      <w:suppressLineNumbers/>
      <w:suppressAutoHyphens/>
    </w:pPr>
  </w:style>
  <w:style w:type="paragraph" w:customStyle="1" w:styleId="62">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autoRedefine/>
    <w:qFormat/>
    <w:uiPriority w:val="0"/>
    <w:pPr>
      <w:spacing w:line="600" w:lineRule="exact"/>
      <w:ind w:firstLine="567"/>
    </w:pPr>
    <w:rPr>
      <w:rFonts w:ascii="Calibri" w:hAnsi="Calibri"/>
      <w:sz w:val="28"/>
    </w:rPr>
  </w:style>
  <w:style w:type="paragraph" w:customStyle="1" w:styleId="66">
    <w:name w:val="列出段落11"/>
    <w:basedOn w:val="1"/>
    <w:autoRedefine/>
    <w:qFormat/>
    <w:uiPriority w:val="0"/>
    <w:pPr>
      <w:ind w:firstLine="420" w:firstLineChars="200"/>
    </w:pPr>
    <w:rPr>
      <w:sz w:val="28"/>
      <w:szCs w:val="28"/>
    </w:rPr>
  </w:style>
  <w:style w:type="paragraph" w:customStyle="1" w:styleId="67">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autoRedefine/>
    <w:qFormat/>
    <w:uiPriority w:val="0"/>
  </w:style>
  <w:style w:type="paragraph" w:customStyle="1" w:styleId="69">
    <w:name w:val="WW-表格内容"/>
    <w:basedOn w:val="1"/>
    <w:autoRedefine/>
    <w:qFormat/>
    <w:uiPriority w:val="0"/>
    <w:pPr>
      <w:suppressLineNumbers/>
      <w:suppressAutoHyphens/>
    </w:pPr>
  </w:style>
  <w:style w:type="paragraph" w:customStyle="1" w:styleId="70">
    <w:name w:val="引用2"/>
    <w:basedOn w:val="1"/>
    <w:next w:val="1"/>
    <w:link w:val="301"/>
    <w:autoRedefine/>
    <w:qFormat/>
    <w:uiPriority w:val="0"/>
    <w:rPr>
      <w:i/>
      <w:iCs/>
      <w:color w:val="000000"/>
    </w:rPr>
  </w:style>
  <w:style w:type="paragraph" w:customStyle="1" w:styleId="71">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autoRedefine/>
    <w:qFormat/>
    <w:uiPriority w:val="0"/>
    <w:pPr>
      <w:spacing w:line="360" w:lineRule="auto"/>
      <w:ind w:firstLine="200" w:firstLineChars="200"/>
    </w:pPr>
    <w:rPr>
      <w:rFonts w:ascii="Tahoma" w:hAnsi="Tahoma"/>
      <w:sz w:val="24"/>
    </w:rPr>
  </w:style>
  <w:style w:type="paragraph" w:customStyle="1" w:styleId="74">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autoRedefine/>
    <w:qFormat/>
    <w:uiPriority w:val="0"/>
    <w:pPr>
      <w:widowControl/>
    </w:pPr>
    <w:rPr>
      <w:rFonts w:ascii="Calibri" w:hAnsi="Calibri" w:cs="宋体"/>
      <w:kern w:val="0"/>
      <w:szCs w:val="21"/>
    </w:rPr>
  </w:style>
  <w:style w:type="paragraph" w:customStyle="1" w:styleId="77">
    <w:name w:val="列出段落1"/>
    <w:basedOn w:val="1"/>
    <w:autoRedefine/>
    <w:qFormat/>
    <w:uiPriority w:val="0"/>
    <w:pPr>
      <w:ind w:firstLine="420" w:firstLineChars="200"/>
    </w:pPr>
    <w:rPr>
      <w:sz w:val="28"/>
      <w:szCs w:val="28"/>
    </w:rPr>
  </w:style>
  <w:style w:type="paragraph" w:customStyle="1" w:styleId="78">
    <w:name w:val="样式1"/>
    <w:basedOn w:val="1"/>
    <w:next w:val="6"/>
    <w:autoRedefine/>
    <w:qFormat/>
    <w:uiPriority w:val="0"/>
    <w:pPr>
      <w:spacing w:line="360" w:lineRule="auto"/>
      <w:ind w:firstLine="420" w:firstLineChars="200"/>
    </w:pPr>
    <w:rPr>
      <w:rFonts w:ascii="宋体" w:hAnsi="宋体"/>
      <w:szCs w:val="21"/>
    </w:rPr>
  </w:style>
  <w:style w:type="paragraph" w:customStyle="1" w:styleId="79">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81">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1"/>
    <w:autoRedefine/>
    <w:qFormat/>
    <w:uiPriority w:val="29"/>
    <w:rPr>
      <w:i/>
      <w:iCs/>
      <w:color w:val="000000"/>
      <w:szCs w:val="20"/>
    </w:rPr>
  </w:style>
  <w:style w:type="paragraph" w:customStyle="1" w:styleId="83">
    <w:name w:val="表格文字"/>
    <w:basedOn w:val="1"/>
    <w:autoRedefine/>
    <w:qFormat/>
    <w:uiPriority w:val="0"/>
    <w:pPr>
      <w:adjustRightInd w:val="0"/>
      <w:spacing w:line="420" w:lineRule="atLeast"/>
      <w:jc w:val="left"/>
      <w:textAlignment w:val="baseline"/>
    </w:pPr>
    <w:rPr>
      <w:kern w:val="0"/>
      <w:szCs w:val="20"/>
    </w:rPr>
  </w:style>
  <w:style w:type="paragraph" w:customStyle="1" w:styleId="84">
    <w:name w:val="_Style 96"/>
    <w:autoRedefine/>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autoRedefine/>
    <w:qFormat/>
    <w:uiPriority w:val="0"/>
    <w:pPr>
      <w:spacing w:line="360" w:lineRule="auto"/>
      <w:ind w:firstLine="200" w:firstLineChars="200"/>
    </w:pPr>
    <w:rPr>
      <w:rFonts w:ascii="宋体" w:hAnsi="Calibri"/>
      <w:sz w:val="24"/>
    </w:rPr>
  </w:style>
  <w:style w:type="paragraph" w:customStyle="1" w:styleId="88">
    <w:name w:val="标题4"/>
    <w:basedOn w:val="4"/>
    <w:next w:val="21"/>
    <w:link w:val="244"/>
    <w:autoRedefine/>
    <w:qFormat/>
    <w:uiPriority w:val="0"/>
    <w:pPr>
      <w:spacing w:line="413" w:lineRule="auto"/>
    </w:pPr>
    <w:rPr>
      <w:rFonts w:ascii="Arial" w:hAnsi="Arial"/>
      <w:kern w:val="0"/>
      <w:sz w:val="24"/>
    </w:rPr>
  </w:style>
  <w:style w:type="paragraph" w:customStyle="1" w:styleId="89">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autoRedefine/>
    <w:qFormat/>
    <w:uiPriority w:val="0"/>
    <w:pPr>
      <w:widowControl/>
      <w:spacing w:after="160" w:line="240" w:lineRule="exact"/>
      <w:jc w:val="left"/>
    </w:pPr>
    <w:rPr>
      <w:rFonts w:ascii="Calibri" w:hAnsi="Calibri"/>
      <w:szCs w:val="20"/>
    </w:rPr>
  </w:style>
  <w:style w:type="paragraph" w:customStyle="1" w:styleId="97">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autoRedefine/>
    <w:qFormat/>
    <w:uiPriority w:val="0"/>
    <w:pPr>
      <w:widowControl/>
      <w:spacing w:after="120"/>
    </w:pPr>
    <w:rPr>
      <w:kern w:val="0"/>
      <w:szCs w:val="21"/>
    </w:rPr>
  </w:style>
  <w:style w:type="paragraph" w:customStyle="1" w:styleId="10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autoRedefine/>
    <w:qFormat/>
    <w:uiPriority w:val="0"/>
    <w:rPr>
      <w:i/>
      <w:iCs/>
      <w:color w:val="000000"/>
      <w:szCs w:val="22"/>
    </w:rPr>
  </w:style>
  <w:style w:type="paragraph" w:customStyle="1" w:styleId="104">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9">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autoRedefine/>
    <w:qFormat/>
    <w:uiPriority w:val="0"/>
    <w:pPr>
      <w:jc w:val="center"/>
      <w:textAlignment w:val="center"/>
    </w:pPr>
    <w:rPr>
      <w:rFonts w:ascii="华文细黑" w:hAnsi="华文细黑"/>
      <w:kern w:val="0"/>
      <w:szCs w:val="20"/>
    </w:rPr>
  </w:style>
  <w:style w:type="paragraph" w:customStyle="1" w:styleId="112">
    <w:name w:val="明显引用1"/>
    <w:basedOn w:val="1"/>
    <w:next w:val="1"/>
    <w:link w:val="299"/>
    <w:autoRedefine/>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autoRedefine/>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66"/>
    <w:autoRedefine/>
    <w:qFormat/>
    <w:uiPriority w:val="0"/>
    <w:pPr>
      <w:spacing w:line="413" w:lineRule="auto"/>
    </w:pPr>
    <w:rPr>
      <w:rFonts w:ascii="Arial" w:hAnsi="Arial"/>
      <w:kern w:val="0"/>
      <w:sz w:val="24"/>
    </w:rPr>
  </w:style>
  <w:style w:type="paragraph" w:customStyle="1" w:styleId="118">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8"/>
    <w:autoRedefine/>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autoRedefine/>
    <w:qFormat/>
    <w:uiPriority w:val="0"/>
    <w:rPr>
      <w:rFonts w:ascii="Calibri" w:hAnsi="Calibri"/>
    </w:rPr>
  </w:style>
  <w:style w:type="paragraph" w:customStyle="1" w:styleId="122">
    <w:name w:val="_Style 87"/>
    <w:basedOn w:val="1"/>
    <w:autoRedefine/>
    <w:qFormat/>
    <w:uiPriority w:val="99"/>
    <w:pPr>
      <w:ind w:firstLine="420" w:firstLineChars="200"/>
    </w:pPr>
    <w:rPr>
      <w:rFonts w:ascii="Calibri" w:hAnsi="Calibri"/>
      <w:sz w:val="28"/>
      <w:szCs w:val="28"/>
    </w:rPr>
  </w:style>
  <w:style w:type="paragraph" w:customStyle="1" w:styleId="123">
    <w:name w:val="自定样式1"/>
    <w:basedOn w:val="1"/>
    <w:autoRedefine/>
    <w:qFormat/>
    <w:uiPriority w:val="0"/>
    <w:pPr>
      <w:suppressAutoHyphens/>
      <w:jc w:val="center"/>
    </w:pPr>
    <w:rPr>
      <w:rFonts w:ascii="宋体" w:hAnsi="宋体"/>
      <w:color w:val="000000"/>
      <w:sz w:val="18"/>
    </w:rPr>
  </w:style>
  <w:style w:type="paragraph" w:customStyle="1" w:styleId="124">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autoRedefine/>
    <w:qFormat/>
    <w:uiPriority w:val="0"/>
  </w:style>
  <w:style w:type="paragraph" w:customStyle="1" w:styleId="126">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autoRedefine/>
    <w:qFormat/>
    <w:uiPriority w:val="34"/>
    <w:pPr>
      <w:ind w:firstLine="420" w:firstLineChars="200"/>
    </w:pPr>
    <w:rPr>
      <w:rFonts w:ascii="Calibri" w:hAnsi="Calibri"/>
    </w:rPr>
  </w:style>
  <w:style w:type="paragraph" w:customStyle="1" w:styleId="128">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autoRedefine/>
    <w:qFormat/>
    <w:uiPriority w:val="0"/>
    <w:pPr>
      <w:spacing w:line="0" w:lineRule="atLeast"/>
    </w:pPr>
    <w:rPr>
      <w:rFonts w:ascii="Calibri" w:hAnsi="Calibri"/>
      <w:b/>
      <w:snapToGrid w:val="0"/>
      <w:szCs w:val="20"/>
    </w:rPr>
  </w:style>
  <w:style w:type="paragraph" w:customStyle="1" w:styleId="130">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autoRedefine/>
    <w:qFormat/>
    <w:uiPriority w:val="0"/>
  </w:style>
  <w:style w:type="paragraph" w:customStyle="1" w:styleId="134">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6">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autoRedefine/>
    <w:qFormat/>
    <w:uiPriority w:val="0"/>
  </w:style>
  <w:style w:type="paragraph" w:customStyle="1" w:styleId="138">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autoRedefine/>
    <w:qFormat/>
    <w:uiPriority w:val="99"/>
    <w:rPr>
      <w:kern w:val="2"/>
      <w:sz w:val="21"/>
      <w:szCs w:val="24"/>
    </w:rPr>
  </w:style>
  <w:style w:type="character" w:customStyle="1" w:styleId="144">
    <w:name w:val="尾注文本 Char1"/>
    <w:autoRedefine/>
    <w:qFormat/>
    <w:uiPriority w:val="0"/>
    <w:rPr>
      <w:rFonts w:ascii="Arial" w:hAnsi="Arial" w:cs="Arial"/>
      <w:szCs w:val="24"/>
      <w:lang w:eastAsia="en-US"/>
    </w:rPr>
  </w:style>
  <w:style w:type="character" w:customStyle="1" w:styleId="145">
    <w:name w:val="脚注文本 Char"/>
    <w:autoRedefine/>
    <w:qFormat/>
    <w:uiPriority w:val="0"/>
    <w:rPr>
      <w:rFonts w:ascii="Arial" w:hAnsi="Arial" w:eastAsia="宋体" w:cs="Arial"/>
      <w:sz w:val="18"/>
      <w:szCs w:val="18"/>
      <w:lang w:eastAsia="en-US"/>
    </w:rPr>
  </w:style>
  <w:style w:type="character" w:customStyle="1" w:styleId="146">
    <w:name w:val="Char Char17"/>
    <w:autoRedefine/>
    <w:qFormat/>
    <w:uiPriority w:val="0"/>
    <w:rPr>
      <w:kern w:val="2"/>
      <w:sz w:val="26"/>
      <w:szCs w:val="24"/>
    </w:rPr>
  </w:style>
  <w:style w:type="character" w:customStyle="1" w:styleId="147">
    <w:name w:val="副标题 Char1"/>
    <w:autoRedefine/>
    <w:qFormat/>
    <w:uiPriority w:val="0"/>
    <w:rPr>
      <w:szCs w:val="24"/>
      <w:u w:val="single"/>
      <w:lang w:eastAsia="en-US"/>
    </w:rPr>
  </w:style>
  <w:style w:type="character" w:customStyle="1" w:styleId="148">
    <w:name w:val="标题 Char1"/>
    <w:autoRedefine/>
    <w:qFormat/>
    <w:uiPriority w:val="10"/>
    <w:rPr>
      <w:szCs w:val="24"/>
      <w:u w:val="single"/>
      <w:lang w:eastAsia="en-US"/>
    </w:rPr>
  </w:style>
  <w:style w:type="character" w:customStyle="1" w:styleId="149">
    <w:name w:val="Char Char24"/>
    <w:autoRedefine/>
    <w:qFormat/>
    <w:uiPriority w:val="0"/>
    <w:rPr>
      <w:b/>
      <w:bCs/>
      <w:kern w:val="44"/>
      <w:sz w:val="44"/>
      <w:szCs w:val="44"/>
    </w:rPr>
  </w:style>
  <w:style w:type="character" w:customStyle="1" w:styleId="150">
    <w:name w:val="批注主题 Char"/>
    <w:autoRedefine/>
    <w:qFormat/>
    <w:uiPriority w:val="0"/>
    <w:rPr>
      <w:rFonts w:ascii="宋体" w:hAnsi="宋体" w:eastAsia="宋体"/>
      <w:kern w:val="2"/>
      <w:sz w:val="24"/>
      <w:szCs w:val="28"/>
      <w:lang w:val="en-US" w:eastAsia="zh-CN" w:bidi="ar-SA"/>
    </w:rPr>
  </w:style>
  <w:style w:type="character" w:customStyle="1" w:styleId="151">
    <w:name w:val="引用 Char1"/>
    <w:link w:val="82"/>
    <w:autoRedefine/>
    <w:qFormat/>
    <w:uiPriority w:val="29"/>
    <w:rPr>
      <w:i/>
      <w:iCs/>
      <w:color w:val="000000"/>
      <w:kern w:val="2"/>
      <w:sz w:val="21"/>
    </w:rPr>
  </w:style>
  <w:style w:type="character" w:customStyle="1" w:styleId="152">
    <w:name w:val="Char Char23"/>
    <w:autoRedefine/>
    <w:qFormat/>
    <w:uiPriority w:val="0"/>
    <w:rPr>
      <w:rFonts w:ascii="Cambria" w:hAnsi="Cambria" w:eastAsia="宋体" w:cs="Times New Roman"/>
      <w:b/>
      <w:bCs/>
      <w:kern w:val="2"/>
      <w:sz w:val="32"/>
      <w:szCs w:val="32"/>
    </w:rPr>
  </w:style>
  <w:style w:type="character" w:customStyle="1" w:styleId="153">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4">
    <w:name w:val="标题 9 Char1"/>
    <w:autoRedefine/>
    <w:qFormat/>
    <w:uiPriority w:val="0"/>
    <w:rPr>
      <w:rFonts w:ascii="Times New Roman" w:hAnsi="Times New Roman" w:eastAsia="仿宋_GB2312" w:cs="Times New Roman"/>
      <w:sz w:val="30"/>
      <w:szCs w:val="20"/>
    </w:rPr>
  </w:style>
  <w:style w:type="character" w:customStyle="1" w:styleId="155">
    <w:name w:val="正文文本 Char1"/>
    <w:autoRedefine/>
    <w:qFormat/>
    <w:uiPriority w:val="0"/>
    <w:rPr>
      <w:kern w:val="2"/>
      <w:sz w:val="21"/>
      <w:szCs w:val="22"/>
    </w:rPr>
  </w:style>
  <w:style w:type="character" w:customStyle="1" w:styleId="156">
    <w:name w:val="引用 Char2"/>
    <w:autoRedefine/>
    <w:qFormat/>
    <w:uiPriority w:val="99"/>
    <w:rPr>
      <w:i/>
      <w:iCs/>
      <w:color w:val="000000"/>
      <w:kern w:val="2"/>
      <w:sz w:val="21"/>
      <w:szCs w:val="24"/>
    </w:rPr>
  </w:style>
  <w:style w:type="character" w:customStyle="1" w:styleId="157">
    <w:name w:val="正文文本 Char3"/>
    <w:autoRedefine/>
    <w:qFormat/>
    <w:uiPriority w:val="99"/>
    <w:rPr>
      <w:rFonts w:ascii="Calibri" w:hAnsi="Calibri" w:eastAsia="宋体" w:cs="Times New Roman"/>
      <w:szCs w:val="24"/>
    </w:rPr>
  </w:style>
  <w:style w:type="character" w:customStyle="1" w:styleId="158">
    <w:name w:val="日期 字符"/>
    <w:link w:val="25"/>
    <w:autoRedefine/>
    <w:qFormat/>
    <w:uiPriority w:val="0"/>
    <w:rPr>
      <w:rFonts w:eastAsia="宋体"/>
      <w:kern w:val="2"/>
      <w:sz w:val="21"/>
      <w:szCs w:val="24"/>
      <w:lang w:val="en-US" w:eastAsia="zh-CN" w:bidi="ar-SA"/>
    </w:rPr>
  </w:style>
  <w:style w:type="character" w:customStyle="1" w:styleId="159">
    <w:name w:val="标题 2 Char"/>
    <w:autoRedefine/>
    <w:qFormat/>
    <w:uiPriority w:val="0"/>
    <w:rPr>
      <w:rFonts w:ascii="仿宋_GB2312" w:hAnsi="Calibri" w:eastAsia="仿宋_GB2312" w:cs="Times New Roman"/>
      <w:b/>
      <w:spacing w:val="1"/>
      <w:w w:val="99"/>
      <w:kern w:val="0"/>
      <w:sz w:val="28"/>
      <w:szCs w:val="32"/>
    </w:rPr>
  </w:style>
  <w:style w:type="character" w:customStyle="1" w:styleId="160">
    <w:name w:val="标题 7 Char"/>
    <w:autoRedefine/>
    <w:qFormat/>
    <w:uiPriority w:val="0"/>
    <w:rPr>
      <w:rFonts w:ascii="Calibri" w:hAnsi="Calibri" w:eastAsia="宋体" w:cs="Times New Roman"/>
      <w:b/>
      <w:bCs/>
      <w:sz w:val="24"/>
      <w:szCs w:val="24"/>
    </w:rPr>
  </w:style>
  <w:style w:type="character" w:customStyle="1" w:styleId="161">
    <w:name w:val="批注框文本 Char1"/>
    <w:autoRedefine/>
    <w:qFormat/>
    <w:uiPriority w:val="0"/>
    <w:rPr>
      <w:kern w:val="2"/>
      <w:sz w:val="18"/>
      <w:szCs w:val="18"/>
    </w:rPr>
  </w:style>
  <w:style w:type="character" w:customStyle="1" w:styleId="162">
    <w:name w:val="日期 Char1"/>
    <w:autoRedefine/>
    <w:qFormat/>
    <w:uiPriority w:val="0"/>
    <w:rPr>
      <w:kern w:val="2"/>
      <w:sz w:val="21"/>
      <w:szCs w:val="22"/>
    </w:rPr>
  </w:style>
  <w:style w:type="character" w:customStyle="1" w:styleId="163">
    <w:name w:val="_Style 171"/>
    <w:autoRedefine/>
    <w:qFormat/>
    <w:uiPriority w:val="0"/>
    <w:rPr>
      <w:b/>
      <w:bCs/>
      <w:i/>
      <w:iCs/>
      <w:color w:val="4F81BD"/>
    </w:rPr>
  </w:style>
  <w:style w:type="character" w:customStyle="1" w:styleId="164">
    <w:name w:val="Char Char22"/>
    <w:autoRedefine/>
    <w:qFormat/>
    <w:uiPriority w:val="0"/>
    <w:rPr>
      <w:b/>
      <w:bCs/>
      <w:kern w:val="2"/>
      <w:sz w:val="32"/>
      <w:szCs w:val="32"/>
    </w:rPr>
  </w:style>
  <w:style w:type="character" w:customStyle="1" w:styleId="165">
    <w:name w:val="标题 6 Char1"/>
    <w:autoRedefine/>
    <w:qFormat/>
    <w:uiPriority w:val="0"/>
    <w:rPr>
      <w:rFonts w:ascii="Times New Roman" w:hAnsi="Arial" w:eastAsia="仿宋_GB2312" w:cs="Times New Roman"/>
      <w:sz w:val="30"/>
      <w:szCs w:val="20"/>
    </w:rPr>
  </w:style>
  <w:style w:type="character" w:customStyle="1" w:styleId="166">
    <w:name w:val="标题5 Char Char"/>
    <w:link w:val="117"/>
    <w:autoRedefine/>
    <w:qFormat/>
    <w:uiPriority w:val="0"/>
    <w:rPr>
      <w:rFonts w:ascii="Arial" w:hAnsi="Arial"/>
      <w:b/>
      <w:bCs/>
      <w:sz w:val="24"/>
      <w:szCs w:val="32"/>
      <w:lang w:bidi="ar-SA"/>
    </w:rPr>
  </w:style>
  <w:style w:type="character" w:customStyle="1" w:styleId="167">
    <w:name w:val="正文文本缩进 Char1"/>
    <w:autoRedefine/>
    <w:qFormat/>
    <w:uiPriority w:val="0"/>
    <w:rPr>
      <w:kern w:val="2"/>
      <w:sz w:val="21"/>
      <w:szCs w:val="24"/>
    </w:rPr>
  </w:style>
  <w:style w:type="character" w:customStyle="1" w:styleId="168">
    <w:name w:val="标题 4 Char1"/>
    <w:autoRedefine/>
    <w:qFormat/>
    <w:uiPriority w:val="0"/>
    <w:rPr>
      <w:rFonts w:ascii="宋体" w:hAnsi="宋体" w:eastAsia="宋体" w:cs="宋体"/>
      <w:b/>
      <w:bCs/>
      <w:sz w:val="24"/>
      <w:szCs w:val="24"/>
    </w:rPr>
  </w:style>
  <w:style w:type="character" w:customStyle="1" w:styleId="169">
    <w:name w:val="尾注文本 Char"/>
    <w:autoRedefine/>
    <w:qFormat/>
    <w:uiPriority w:val="0"/>
    <w:rPr>
      <w:kern w:val="2"/>
      <w:sz w:val="21"/>
      <w:szCs w:val="24"/>
    </w:rPr>
  </w:style>
  <w:style w:type="character" w:customStyle="1" w:styleId="170">
    <w:name w:val="HTML 预设格式 字符"/>
    <w:link w:val="40"/>
    <w:autoRedefine/>
    <w:qFormat/>
    <w:uiPriority w:val="0"/>
    <w:rPr>
      <w:rFonts w:ascii="宋体" w:hAnsi="宋体" w:eastAsia="宋体" w:cs="宋体"/>
      <w:color w:val="000000"/>
      <w:sz w:val="24"/>
      <w:szCs w:val="24"/>
      <w:lang w:val="en-US" w:eastAsia="zh-CN" w:bidi="ar-SA"/>
    </w:rPr>
  </w:style>
  <w:style w:type="character" w:customStyle="1" w:styleId="171">
    <w:name w:val="尾注文本 Char2"/>
    <w:autoRedefine/>
    <w:qFormat/>
    <w:uiPriority w:val="99"/>
    <w:rPr>
      <w:rFonts w:ascii="Calibri" w:hAnsi="Calibri" w:eastAsia="宋体" w:cs="Times New Roman"/>
      <w:szCs w:val="24"/>
    </w:rPr>
  </w:style>
  <w:style w:type="character" w:customStyle="1" w:styleId="172">
    <w:name w:val="明显强调1"/>
    <w:autoRedefine/>
    <w:qFormat/>
    <w:uiPriority w:val="0"/>
    <w:rPr>
      <w:b/>
      <w:bCs/>
      <w:i/>
      <w:iCs/>
      <w:color w:val="4F81BD"/>
    </w:rPr>
  </w:style>
  <w:style w:type="character" w:customStyle="1" w:styleId="173">
    <w:name w:val="正文文本 Char"/>
    <w:autoRedefine/>
    <w:qFormat/>
    <w:uiPriority w:val="0"/>
    <w:rPr>
      <w:sz w:val="26"/>
      <w:szCs w:val="24"/>
    </w:rPr>
  </w:style>
  <w:style w:type="character" w:customStyle="1" w:styleId="174">
    <w:name w:val="脚注文本 Char2"/>
    <w:autoRedefine/>
    <w:qFormat/>
    <w:uiPriority w:val="99"/>
    <w:rPr>
      <w:rFonts w:ascii="Calibri" w:hAnsi="Calibri" w:eastAsia="宋体" w:cs="Times New Roman"/>
      <w:sz w:val="18"/>
      <w:szCs w:val="18"/>
    </w:rPr>
  </w:style>
  <w:style w:type="character" w:customStyle="1" w:styleId="175">
    <w:name w:val="正文文本 2 Char1"/>
    <w:autoRedefine/>
    <w:qFormat/>
    <w:uiPriority w:val="99"/>
    <w:rPr>
      <w:rFonts w:ascii="Calibri" w:hAnsi="Calibri" w:eastAsia="宋体" w:cs="Times New Roman"/>
      <w:szCs w:val="24"/>
    </w:rPr>
  </w:style>
  <w:style w:type="character" w:customStyle="1" w:styleId="176">
    <w:name w:val="_Style 248"/>
    <w:autoRedefine/>
    <w:qFormat/>
    <w:uiPriority w:val="0"/>
    <w:rPr>
      <w:b/>
      <w:bCs/>
      <w:smallCaps/>
      <w:spacing w:val="5"/>
    </w:rPr>
  </w:style>
  <w:style w:type="character" w:customStyle="1" w:styleId="177">
    <w:name w:val="明显引用 Char3"/>
    <w:autoRedefine/>
    <w:qFormat/>
    <w:uiPriority w:val="30"/>
    <w:rPr>
      <w:rFonts w:ascii="Calibri" w:hAnsi="Calibri" w:eastAsia="宋体" w:cs="Times New Roman"/>
      <w:b/>
      <w:bCs/>
      <w:i/>
      <w:iCs/>
      <w:color w:val="4F81BD"/>
      <w:szCs w:val="24"/>
    </w:rPr>
  </w:style>
  <w:style w:type="character" w:customStyle="1" w:styleId="178">
    <w:name w:val="_Style 254"/>
    <w:autoRedefine/>
    <w:qFormat/>
    <w:uiPriority w:val="0"/>
    <w:rPr>
      <w:b/>
      <w:bCs/>
      <w:smallCaps/>
      <w:color w:val="C0504D"/>
      <w:spacing w:val="5"/>
      <w:u w:val="single"/>
    </w:rPr>
  </w:style>
  <w:style w:type="character" w:customStyle="1" w:styleId="179">
    <w:name w:val="正文文本缩进 Char2"/>
    <w:autoRedefine/>
    <w:qFormat/>
    <w:uiPriority w:val="99"/>
    <w:rPr>
      <w:rFonts w:ascii="Calibri" w:hAnsi="Calibri" w:eastAsia="宋体" w:cs="Times New Roman"/>
      <w:szCs w:val="24"/>
    </w:rPr>
  </w:style>
  <w:style w:type="character" w:customStyle="1" w:styleId="180">
    <w:name w:val="标题 4 字符"/>
    <w:link w:val="6"/>
    <w:autoRedefine/>
    <w:qFormat/>
    <w:uiPriority w:val="0"/>
    <w:rPr>
      <w:rFonts w:ascii="宋体" w:hAnsi="宋体" w:eastAsia="宋体" w:cs="宋体"/>
      <w:b/>
      <w:bCs/>
      <w:sz w:val="24"/>
      <w:szCs w:val="24"/>
      <w:lang w:val="en-US" w:eastAsia="zh-CN" w:bidi="ar-SA"/>
    </w:rPr>
  </w:style>
  <w:style w:type="character" w:customStyle="1" w:styleId="181">
    <w:name w:val="正文文本缩进 3 Char"/>
    <w:autoRedefine/>
    <w:qFormat/>
    <w:uiPriority w:val="0"/>
    <w:rPr>
      <w:kern w:val="2"/>
      <w:sz w:val="16"/>
      <w:szCs w:val="16"/>
    </w:rPr>
  </w:style>
  <w:style w:type="character" w:customStyle="1" w:styleId="182">
    <w:name w:val="尾注文本 字符"/>
    <w:link w:val="27"/>
    <w:autoRedefine/>
    <w:qFormat/>
    <w:uiPriority w:val="0"/>
    <w:rPr>
      <w:rFonts w:ascii="Arial" w:hAnsi="Arial" w:eastAsia="宋体" w:cs="Arial"/>
      <w:szCs w:val="24"/>
      <w:lang w:val="en-US" w:eastAsia="en-US" w:bidi="ar-SA"/>
    </w:rPr>
  </w:style>
  <w:style w:type="character" w:customStyle="1" w:styleId="183">
    <w:name w:val="引用 Char3"/>
    <w:autoRedefine/>
    <w:qFormat/>
    <w:uiPriority w:val="29"/>
    <w:rPr>
      <w:rFonts w:ascii="Calibri" w:hAnsi="Calibri" w:eastAsia="宋体" w:cs="Times New Roman"/>
      <w:i/>
      <w:iCs/>
      <w:color w:val="000000"/>
      <w:szCs w:val="24"/>
    </w:rPr>
  </w:style>
  <w:style w:type="character" w:customStyle="1" w:styleId="184">
    <w:name w:val="Char Char32"/>
    <w:autoRedefine/>
    <w:qFormat/>
    <w:uiPriority w:val="0"/>
    <w:rPr>
      <w:rFonts w:ascii="仿宋_GB2312" w:eastAsia="仿宋_GB2312" w:cs="MingLiU"/>
      <w:b/>
      <w:spacing w:val="1"/>
      <w:w w:val="99"/>
      <w:sz w:val="28"/>
      <w:szCs w:val="32"/>
    </w:rPr>
  </w:style>
  <w:style w:type="character" w:customStyle="1" w:styleId="185">
    <w:name w:val="日期 Char"/>
    <w:autoRedefine/>
    <w:qFormat/>
    <w:uiPriority w:val="0"/>
    <w:rPr>
      <w:rFonts w:eastAsia="宋体"/>
      <w:szCs w:val="24"/>
    </w:rPr>
  </w:style>
  <w:style w:type="character" w:customStyle="1" w:styleId="186">
    <w:name w:val="页脚 Char"/>
    <w:autoRedefine/>
    <w:qFormat/>
    <w:uiPriority w:val="0"/>
    <w:rPr>
      <w:sz w:val="18"/>
      <w:szCs w:val="18"/>
    </w:rPr>
  </w:style>
  <w:style w:type="character" w:customStyle="1" w:styleId="187">
    <w:name w:val="style121"/>
    <w:autoRedefine/>
    <w:qFormat/>
    <w:uiPriority w:val="0"/>
    <w:rPr>
      <w:rFonts w:hint="eastAsia" w:ascii="宋体" w:hAnsi="宋体" w:eastAsia="宋体"/>
      <w:sz w:val="18"/>
      <w:szCs w:val="18"/>
    </w:rPr>
  </w:style>
  <w:style w:type="character" w:customStyle="1" w:styleId="188">
    <w:name w:val="ss16"/>
    <w:autoRedefine/>
    <w:qFormat/>
    <w:uiPriority w:val="0"/>
    <w:rPr>
      <w:rFonts w:hint="eastAsia" w:ascii="宋体" w:hAnsi="宋体" w:eastAsia="宋体"/>
      <w:color w:val="000000"/>
      <w:sz w:val="9"/>
      <w:szCs w:val="9"/>
    </w:rPr>
  </w:style>
  <w:style w:type="character" w:customStyle="1" w:styleId="189">
    <w:name w:val="textcontents"/>
    <w:autoRedefine/>
    <w:qFormat/>
    <w:uiPriority w:val="0"/>
    <w:rPr>
      <w:rFonts w:cs="Times New Roman"/>
    </w:rPr>
  </w:style>
  <w:style w:type="character" w:customStyle="1" w:styleId="190">
    <w:name w:val="14t1"/>
    <w:autoRedefine/>
    <w:qFormat/>
    <w:uiPriority w:val="0"/>
    <w:rPr>
      <w:rFonts w:hint="eastAsia" w:ascii="宋体" w:hAnsi="宋体" w:eastAsia="宋体"/>
      <w:sz w:val="11"/>
      <w:szCs w:val="11"/>
    </w:rPr>
  </w:style>
  <w:style w:type="character" w:customStyle="1" w:styleId="191">
    <w:name w:val="不明显参考1"/>
    <w:autoRedefine/>
    <w:qFormat/>
    <w:uiPriority w:val="0"/>
    <w:rPr>
      <w:smallCaps/>
      <w:color w:val="C0504D"/>
      <w:u w:val="single"/>
    </w:rPr>
  </w:style>
  <w:style w:type="character" w:customStyle="1" w:styleId="192">
    <w:name w:val="unnamed1"/>
    <w:basedOn w:val="48"/>
    <w:autoRedefine/>
    <w:qFormat/>
    <w:uiPriority w:val="0"/>
  </w:style>
  <w:style w:type="character" w:customStyle="1" w:styleId="193">
    <w:name w:val="批注主题 Char3"/>
    <w:autoRedefine/>
    <w:qFormat/>
    <w:uiPriority w:val="99"/>
    <w:rPr>
      <w:rFonts w:ascii="Calibri" w:hAnsi="Calibri" w:eastAsia="宋体" w:cs="Times New Roman"/>
      <w:b/>
      <w:bCs/>
      <w:szCs w:val="24"/>
    </w:rPr>
  </w:style>
  <w:style w:type="character" w:customStyle="1" w:styleId="194">
    <w:name w:val="标题 3 字符"/>
    <w:link w:val="5"/>
    <w:autoRedefine/>
    <w:qFormat/>
    <w:uiPriority w:val="0"/>
    <w:rPr>
      <w:rFonts w:eastAsia="宋体"/>
      <w:b/>
      <w:bCs/>
      <w:kern w:val="2"/>
      <w:sz w:val="32"/>
      <w:szCs w:val="32"/>
      <w:lang w:val="en-US" w:eastAsia="zh-CN" w:bidi="ar-SA"/>
    </w:rPr>
  </w:style>
  <w:style w:type="character" w:customStyle="1" w:styleId="195">
    <w:name w:val="标题 2 字符"/>
    <w:link w:val="4"/>
    <w:autoRedefine/>
    <w:qFormat/>
    <w:uiPriority w:val="0"/>
    <w:rPr>
      <w:rFonts w:ascii="Cambria" w:hAnsi="Cambria" w:eastAsia="宋体"/>
      <w:b/>
      <w:bCs/>
      <w:kern w:val="2"/>
      <w:sz w:val="32"/>
      <w:szCs w:val="32"/>
      <w:lang w:val="en-US" w:eastAsia="zh-CN" w:bidi="ar-SA"/>
    </w:rPr>
  </w:style>
  <w:style w:type="character" w:customStyle="1" w:styleId="196">
    <w:name w:val="标题 6 字符"/>
    <w:link w:val="8"/>
    <w:autoRedefine/>
    <w:qFormat/>
    <w:uiPriority w:val="0"/>
    <w:rPr>
      <w:rFonts w:hAnsi="Arial" w:eastAsia="仿宋_GB2312"/>
      <w:sz w:val="30"/>
      <w:lang w:val="en-US" w:eastAsia="zh-CN" w:bidi="ar-SA"/>
    </w:rPr>
  </w:style>
  <w:style w:type="character" w:customStyle="1" w:styleId="197">
    <w:name w:val="页脚 字符"/>
    <w:link w:val="29"/>
    <w:autoRedefine/>
    <w:qFormat/>
    <w:uiPriority w:val="0"/>
    <w:rPr>
      <w:rFonts w:eastAsia="宋体"/>
      <w:kern w:val="2"/>
      <w:sz w:val="18"/>
      <w:szCs w:val="18"/>
      <w:lang w:val="en-US" w:eastAsia="zh-CN" w:bidi="ar-SA"/>
    </w:rPr>
  </w:style>
  <w:style w:type="character" w:customStyle="1" w:styleId="198">
    <w:name w:val="引用 Char4"/>
    <w:link w:val="103"/>
    <w:autoRedefine/>
    <w:qFormat/>
    <w:uiPriority w:val="0"/>
    <w:rPr>
      <w:i/>
      <w:iCs/>
      <w:color w:val="000000"/>
      <w:kern w:val="2"/>
      <w:sz w:val="21"/>
      <w:szCs w:val="22"/>
      <w:lang w:bidi="ar-SA"/>
    </w:rPr>
  </w:style>
  <w:style w:type="character" w:customStyle="1" w:styleId="199">
    <w:name w:val="标题 9 字符"/>
    <w:link w:val="12"/>
    <w:autoRedefine/>
    <w:qFormat/>
    <w:uiPriority w:val="0"/>
    <w:rPr>
      <w:rFonts w:eastAsia="仿宋_GB2312"/>
      <w:sz w:val="30"/>
      <w:lang w:val="en-US" w:eastAsia="zh-CN" w:bidi="ar-SA"/>
    </w:rPr>
  </w:style>
  <w:style w:type="character" w:customStyle="1" w:styleId="200">
    <w:name w:val="标题 3 Char"/>
    <w:autoRedefine/>
    <w:qFormat/>
    <w:uiPriority w:val="0"/>
    <w:rPr>
      <w:rFonts w:ascii="仿宋_GB2312" w:hAnsi="Calibri" w:eastAsia="仿宋_GB2312" w:cs="Times New Roman"/>
      <w:b/>
      <w:kern w:val="0"/>
      <w:sz w:val="24"/>
      <w:szCs w:val="28"/>
    </w:rPr>
  </w:style>
  <w:style w:type="character" w:customStyle="1" w:styleId="201">
    <w:name w:val="批注文字 Char2"/>
    <w:autoRedefine/>
    <w:qFormat/>
    <w:uiPriority w:val="0"/>
    <w:rPr>
      <w:rFonts w:ascii="Calibri" w:hAnsi="Calibri" w:eastAsia="宋体" w:cs="Times New Roman"/>
      <w:szCs w:val="24"/>
    </w:rPr>
  </w:style>
  <w:style w:type="character" w:customStyle="1" w:styleId="202">
    <w:name w:val="normaltext1"/>
    <w:autoRedefine/>
    <w:qFormat/>
    <w:uiPriority w:val="0"/>
    <w:rPr>
      <w:rFonts w:hint="default" w:ascii="ˎ̥" w:hAnsi="ˎ̥"/>
      <w:sz w:val="9"/>
      <w:szCs w:val="9"/>
    </w:rPr>
  </w:style>
  <w:style w:type="character" w:customStyle="1" w:styleId="203">
    <w:name w:val="ca-141"/>
    <w:autoRedefine/>
    <w:qFormat/>
    <w:uiPriority w:val="0"/>
    <w:rPr>
      <w:rFonts w:hint="eastAsia" w:ascii="仿宋_GB2312" w:eastAsia="仿宋_GB2312"/>
      <w:sz w:val="21"/>
      <w:szCs w:val="21"/>
    </w:rPr>
  </w:style>
  <w:style w:type="character" w:customStyle="1" w:styleId="204">
    <w:name w:val="main_tdbg_7601"/>
    <w:autoRedefine/>
    <w:qFormat/>
    <w:uiPriority w:val="0"/>
    <w:rPr>
      <w:sz w:val="14"/>
      <w:szCs w:val="14"/>
    </w:rPr>
  </w:style>
  <w:style w:type="character" w:customStyle="1" w:styleId="205">
    <w:name w:val="文档结构图 字符"/>
    <w:link w:val="15"/>
    <w:autoRedefine/>
    <w:qFormat/>
    <w:uiPriority w:val="0"/>
    <w:rPr>
      <w:rFonts w:eastAsia="宋体"/>
      <w:kern w:val="2"/>
      <w:sz w:val="21"/>
      <w:szCs w:val="24"/>
      <w:lang w:val="en-US" w:eastAsia="zh-CN" w:bidi="ar-SA"/>
    </w:rPr>
  </w:style>
  <w:style w:type="character" w:customStyle="1" w:styleId="206">
    <w:name w:val="批注框文本 Char3"/>
    <w:autoRedefine/>
    <w:qFormat/>
    <w:uiPriority w:val="99"/>
    <w:rPr>
      <w:rFonts w:ascii="Calibri" w:hAnsi="Calibri" w:eastAsia="宋体" w:cs="Times New Roman"/>
      <w:sz w:val="18"/>
      <w:szCs w:val="18"/>
    </w:rPr>
  </w:style>
  <w:style w:type="character" w:customStyle="1" w:styleId="207">
    <w:name w:val="Char Char9"/>
    <w:autoRedefine/>
    <w:qFormat/>
    <w:uiPriority w:val="0"/>
    <w:rPr>
      <w:rFonts w:ascii="仿宋_GB2312" w:eastAsia="仿宋_GB2312" w:cs="MingLiU"/>
      <w:b/>
      <w:sz w:val="24"/>
      <w:szCs w:val="28"/>
      <w:lang w:val="en-US" w:eastAsia="zh-CN" w:bidi="ar-SA"/>
    </w:rPr>
  </w:style>
  <w:style w:type="character" w:customStyle="1" w:styleId="208">
    <w:name w:val="title11"/>
    <w:autoRedefine/>
    <w:qFormat/>
    <w:uiPriority w:val="0"/>
    <w:rPr>
      <w:b/>
      <w:bCs/>
      <w:color w:val="FFFFFF"/>
      <w:sz w:val="11"/>
      <w:szCs w:val="11"/>
    </w:rPr>
  </w:style>
  <w:style w:type="character" w:customStyle="1" w:styleId="209">
    <w:name w:val="批注框文本 字符"/>
    <w:link w:val="28"/>
    <w:autoRedefine/>
    <w:qFormat/>
    <w:uiPriority w:val="0"/>
    <w:rPr>
      <w:rFonts w:eastAsia="宋体"/>
      <w:kern w:val="2"/>
      <w:sz w:val="18"/>
      <w:szCs w:val="18"/>
      <w:lang w:val="en-US" w:eastAsia="zh-CN" w:bidi="ar-SA"/>
    </w:rPr>
  </w:style>
  <w:style w:type="character" w:customStyle="1" w:styleId="210">
    <w:name w:val="标题 8 Char1"/>
    <w:autoRedefine/>
    <w:qFormat/>
    <w:uiPriority w:val="0"/>
    <w:rPr>
      <w:rFonts w:ascii="Times New Roman" w:hAnsi="Arial" w:eastAsia="仿宋_GB2312" w:cs="Times New Roman"/>
      <w:sz w:val="30"/>
      <w:szCs w:val="20"/>
    </w:rPr>
  </w:style>
  <w:style w:type="character" w:customStyle="1" w:styleId="211">
    <w:name w:val="标题 Char2"/>
    <w:autoRedefine/>
    <w:qFormat/>
    <w:uiPriority w:val="10"/>
    <w:rPr>
      <w:rFonts w:ascii="Cambria" w:hAnsi="Cambria" w:eastAsia="宋体" w:cs="Times New Roman"/>
      <w:b/>
      <w:bCs/>
      <w:sz w:val="32"/>
      <w:szCs w:val="32"/>
    </w:rPr>
  </w:style>
  <w:style w:type="character" w:customStyle="1" w:styleId="212">
    <w:name w:val="标题 字符"/>
    <w:link w:val="43"/>
    <w:autoRedefine/>
    <w:qFormat/>
    <w:uiPriority w:val="0"/>
    <w:rPr>
      <w:rFonts w:eastAsia="宋体"/>
      <w:szCs w:val="24"/>
      <w:u w:val="single"/>
      <w:lang w:val="en-US" w:eastAsia="en-US" w:bidi="ar-SA"/>
    </w:rPr>
  </w:style>
  <w:style w:type="character" w:customStyle="1" w:styleId="213">
    <w:name w:val="批注主题 Char1"/>
    <w:autoRedefine/>
    <w:qFormat/>
    <w:uiPriority w:val="0"/>
    <w:rPr>
      <w:b/>
      <w:bCs/>
      <w:kern w:val="2"/>
      <w:sz w:val="21"/>
      <w:szCs w:val="22"/>
    </w:rPr>
  </w:style>
  <w:style w:type="character" w:customStyle="1" w:styleId="214">
    <w:name w:val="副标题 Char"/>
    <w:autoRedefine/>
    <w:qFormat/>
    <w:uiPriority w:val="0"/>
    <w:rPr>
      <w:rFonts w:ascii="Cambria" w:hAnsi="Cambria" w:eastAsia="宋体" w:cs="Times New Roman"/>
      <w:b/>
      <w:bCs/>
      <w:kern w:val="28"/>
      <w:sz w:val="32"/>
      <w:szCs w:val="32"/>
    </w:rPr>
  </w:style>
  <w:style w:type="character" w:customStyle="1" w:styleId="215">
    <w:name w:val="正文文本 字符"/>
    <w:link w:val="18"/>
    <w:autoRedefine/>
    <w:qFormat/>
    <w:uiPriority w:val="0"/>
    <w:rPr>
      <w:rFonts w:eastAsia="宋体"/>
      <w:kern w:val="2"/>
      <w:sz w:val="21"/>
      <w:szCs w:val="24"/>
      <w:lang w:val="en-US" w:eastAsia="zh-CN" w:bidi="ar-SA"/>
    </w:rPr>
  </w:style>
  <w:style w:type="character" w:customStyle="1" w:styleId="216">
    <w:name w:val="纯文本 Char1"/>
    <w:autoRedefine/>
    <w:qFormat/>
    <w:uiPriority w:val="0"/>
    <w:rPr>
      <w:rFonts w:ascii="宋体" w:hAnsi="Courier New" w:cs="Courier New"/>
      <w:kern w:val="2"/>
      <w:sz w:val="21"/>
      <w:szCs w:val="21"/>
    </w:rPr>
  </w:style>
  <w:style w:type="character" w:customStyle="1" w:styleId="217">
    <w:name w:val="脚注文本 字符"/>
    <w:link w:val="34"/>
    <w:autoRedefine/>
    <w:qFormat/>
    <w:uiPriority w:val="0"/>
    <w:rPr>
      <w:rFonts w:ascii="Arial" w:hAnsi="Arial" w:eastAsia="宋体" w:cs="Arial"/>
      <w:sz w:val="18"/>
      <w:szCs w:val="18"/>
      <w:lang w:val="en-US" w:eastAsia="en-US" w:bidi="ar-SA"/>
    </w:rPr>
  </w:style>
  <w:style w:type="character" w:customStyle="1" w:styleId="218">
    <w:name w:val="标题 2 Char1"/>
    <w:autoRedefine/>
    <w:qFormat/>
    <w:uiPriority w:val="0"/>
    <w:rPr>
      <w:rFonts w:ascii="Cambria" w:hAnsi="Cambria" w:eastAsia="宋体" w:cs="Times New Roman"/>
      <w:b/>
      <w:bCs/>
      <w:kern w:val="2"/>
      <w:sz w:val="32"/>
      <w:szCs w:val="32"/>
    </w:rPr>
  </w:style>
  <w:style w:type="character" w:customStyle="1" w:styleId="219">
    <w:name w:val="脚注文本 Char1"/>
    <w:autoRedefine/>
    <w:qFormat/>
    <w:uiPriority w:val="0"/>
    <w:rPr>
      <w:rFonts w:ascii="Arial" w:hAnsi="Arial" w:cs="Arial"/>
      <w:sz w:val="18"/>
      <w:szCs w:val="18"/>
      <w:lang w:eastAsia="en-US"/>
    </w:rPr>
  </w:style>
  <w:style w:type="character" w:customStyle="1" w:styleId="220">
    <w:name w:val="HTML 预设格式 Char2"/>
    <w:autoRedefine/>
    <w:qFormat/>
    <w:uiPriority w:val="99"/>
    <w:rPr>
      <w:rFonts w:ascii="Courier New" w:hAnsi="Courier New" w:eastAsia="宋体" w:cs="Courier New"/>
      <w:sz w:val="20"/>
      <w:szCs w:val="20"/>
    </w:rPr>
  </w:style>
  <w:style w:type="character" w:customStyle="1" w:styleId="221">
    <w:name w:val="标题 8 Char"/>
    <w:autoRedefine/>
    <w:qFormat/>
    <w:uiPriority w:val="0"/>
    <w:rPr>
      <w:rFonts w:ascii="Arial" w:hAnsi="Arial" w:eastAsia="黑体" w:cs="Times New Roman"/>
      <w:sz w:val="24"/>
      <w:szCs w:val="24"/>
    </w:rPr>
  </w:style>
  <w:style w:type="character" w:customStyle="1" w:styleId="222">
    <w:name w:val="s3"/>
    <w:autoRedefine/>
    <w:qFormat/>
    <w:uiPriority w:val="0"/>
  </w:style>
  <w:style w:type="character" w:customStyle="1" w:styleId="223">
    <w:name w:val="标题 4 Char"/>
    <w:autoRedefine/>
    <w:qFormat/>
    <w:uiPriority w:val="0"/>
    <w:rPr>
      <w:rFonts w:ascii="仿宋_GB2312" w:hAnsi="Calibri" w:eastAsia="仿宋_GB2312" w:cs="Times New Roman"/>
      <w:b/>
      <w:kern w:val="0"/>
      <w:sz w:val="24"/>
      <w:szCs w:val="28"/>
    </w:rPr>
  </w:style>
  <w:style w:type="character" w:customStyle="1" w:styleId="224">
    <w:name w:val="正文文本缩进 2 Char"/>
    <w:autoRedefine/>
    <w:qFormat/>
    <w:uiPriority w:val="0"/>
    <w:rPr>
      <w:kern w:val="2"/>
      <w:sz w:val="21"/>
      <w:szCs w:val="24"/>
    </w:rPr>
  </w:style>
  <w:style w:type="character" w:customStyle="1" w:styleId="225">
    <w:name w:val="style21"/>
    <w:autoRedefine/>
    <w:qFormat/>
    <w:uiPriority w:val="0"/>
    <w:rPr>
      <w:b/>
      <w:bCs/>
      <w:sz w:val="28"/>
      <w:szCs w:val="28"/>
    </w:rPr>
  </w:style>
  <w:style w:type="character" w:customStyle="1" w:styleId="226">
    <w:name w:val="正文文本缩进 2 Char2"/>
    <w:autoRedefine/>
    <w:qFormat/>
    <w:uiPriority w:val="99"/>
    <w:rPr>
      <w:rFonts w:ascii="Calibri" w:hAnsi="Calibri" w:eastAsia="宋体" w:cs="Times New Roman"/>
      <w:szCs w:val="24"/>
    </w:rPr>
  </w:style>
  <w:style w:type="character" w:customStyle="1" w:styleId="227">
    <w:name w:val="ht1"/>
    <w:autoRedefine/>
    <w:qFormat/>
    <w:uiPriority w:val="0"/>
    <w:rPr>
      <w:rFonts w:ascii="黑体" w:eastAsia="黑体"/>
      <w:b/>
      <w:bCs/>
    </w:rPr>
  </w:style>
  <w:style w:type="character" w:customStyle="1" w:styleId="228">
    <w:name w:val="文档结构图 Char3"/>
    <w:autoRedefine/>
    <w:qFormat/>
    <w:uiPriority w:val="99"/>
    <w:rPr>
      <w:rFonts w:ascii="宋体" w:hAnsi="Calibri" w:eastAsia="宋体" w:cs="Times New Roman"/>
      <w:sz w:val="18"/>
      <w:szCs w:val="18"/>
    </w:rPr>
  </w:style>
  <w:style w:type="character" w:customStyle="1" w:styleId="229">
    <w:name w:val="书籍标题1"/>
    <w:autoRedefine/>
    <w:qFormat/>
    <w:uiPriority w:val="0"/>
    <w:rPr>
      <w:b/>
      <w:bCs/>
      <w:smallCaps/>
      <w:spacing w:val="5"/>
    </w:rPr>
  </w:style>
  <w:style w:type="character" w:customStyle="1" w:styleId="230">
    <w:name w:val="标题 7 Char1"/>
    <w:autoRedefine/>
    <w:qFormat/>
    <w:uiPriority w:val="0"/>
    <w:rPr>
      <w:rFonts w:ascii="Times New Roman" w:hAnsi="Times New Roman" w:eastAsia="仿宋_GB2312" w:cs="Times New Roman"/>
      <w:sz w:val="30"/>
      <w:szCs w:val="20"/>
    </w:rPr>
  </w:style>
  <w:style w:type="character" w:customStyle="1" w:styleId="231">
    <w:name w:val="明显引用 Char2"/>
    <w:autoRedefine/>
    <w:qFormat/>
    <w:uiPriority w:val="99"/>
    <w:rPr>
      <w:b/>
      <w:bCs/>
      <w:i/>
      <w:iCs/>
      <w:color w:val="4F81BD"/>
      <w:kern w:val="2"/>
      <w:sz w:val="21"/>
      <w:szCs w:val="24"/>
    </w:rPr>
  </w:style>
  <w:style w:type="character" w:customStyle="1" w:styleId="232">
    <w:name w:val="不明显强调1"/>
    <w:autoRedefine/>
    <w:qFormat/>
    <w:uiPriority w:val="0"/>
    <w:rPr>
      <w:i/>
      <w:iCs/>
      <w:color w:val="808080"/>
    </w:rPr>
  </w:style>
  <w:style w:type="character" w:customStyle="1" w:styleId="233">
    <w:name w:val="普通文字 Char Char2"/>
    <w:autoRedefine/>
    <w:qFormat/>
    <w:uiPriority w:val="0"/>
    <w:rPr>
      <w:rFonts w:ascii="宋体" w:hAnsi="Courier New"/>
      <w:kern w:val="2"/>
      <w:sz w:val="28"/>
      <w:szCs w:val="28"/>
    </w:rPr>
  </w:style>
  <w:style w:type="character" w:customStyle="1" w:styleId="234">
    <w:name w:val="标题 6 Char"/>
    <w:autoRedefine/>
    <w:qFormat/>
    <w:uiPriority w:val="0"/>
    <w:rPr>
      <w:rFonts w:ascii="Arial" w:hAnsi="Arial" w:eastAsia="黑体" w:cs="Times New Roman"/>
      <w:b/>
      <w:bCs/>
      <w:sz w:val="24"/>
      <w:szCs w:val="24"/>
    </w:rPr>
  </w:style>
  <w:style w:type="character" w:customStyle="1" w:styleId="235">
    <w:name w:val="l1"/>
    <w:basedOn w:val="48"/>
    <w:autoRedefine/>
    <w:qFormat/>
    <w:uiPriority w:val="0"/>
  </w:style>
  <w:style w:type="character" w:customStyle="1" w:styleId="236">
    <w:name w:val="未处理的提及1"/>
    <w:autoRedefine/>
    <w:qFormat/>
    <w:uiPriority w:val="99"/>
    <w:rPr>
      <w:color w:val="808080"/>
      <w:shd w:val="clear" w:color="auto" w:fill="E6E6E6"/>
    </w:rPr>
  </w:style>
  <w:style w:type="character" w:customStyle="1" w:styleId="237">
    <w:name w:val="页眉 字符"/>
    <w:link w:val="30"/>
    <w:autoRedefine/>
    <w:qFormat/>
    <w:uiPriority w:val="0"/>
    <w:rPr>
      <w:rFonts w:eastAsia="宋体"/>
      <w:kern w:val="2"/>
      <w:sz w:val="18"/>
      <w:szCs w:val="18"/>
      <w:lang w:val="en-US" w:eastAsia="zh-CN" w:bidi="ar-SA"/>
    </w:rPr>
  </w:style>
  <w:style w:type="character" w:customStyle="1" w:styleId="238">
    <w:name w:val="Char Char35"/>
    <w:autoRedefine/>
    <w:qFormat/>
    <w:uiPriority w:val="0"/>
    <w:rPr>
      <w:rFonts w:ascii="仿宋_GB2312" w:eastAsia="仿宋_GB2312" w:cs="MingLiU"/>
      <w:b/>
      <w:sz w:val="24"/>
      <w:szCs w:val="28"/>
    </w:rPr>
  </w:style>
  <w:style w:type="character" w:customStyle="1" w:styleId="239">
    <w:name w:val="Char Char11"/>
    <w:autoRedefine/>
    <w:qFormat/>
    <w:uiPriority w:val="0"/>
    <w:rPr>
      <w:rFonts w:eastAsia="黑体"/>
      <w:kern w:val="2"/>
      <w:sz w:val="44"/>
      <w:szCs w:val="44"/>
      <w:lang w:val="en-US" w:eastAsia="zh-CN" w:bidi="ar-SA"/>
    </w:rPr>
  </w:style>
  <w:style w:type="character" w:customStyle="1" w:styleId="240">
    <w:name w:val="style31"/>
    <w:autoRedefine/>
    <w:qFormat/>
    <w:uiPriority w:val="0"/>
    <w:rPr>
      <w:sz w:val="10"/>
      <w:szCs w:val="10"/>
    </w:rPr>
  </w:style>
  <w:style w:type="character" w:customStyle="1" w:styleId="241">
    <w:name w:val="0d1471"/>
    <w:autoRedefine/>
    <w:qFormat/>
    <w:uiPriority w:val="0"/>
    <w:rPr>
      <w:color w:val="000000"/>
      <w:sz w:val="11"/>
      <w:szCs w:val="11"/>
      <w:u w:val="none"/>
    </w:rPr>
  </w:style>
  <w:style w:type="character" w:customStyle="1" w:styleId="242">
    <w:name w:val="标题 9 Char"/>
    <w:autoRedefine/>
    <w:qFormat/>
    <w:uiPriority w:val="0"/>
    <w:rPr>
      <w:rFonts w:ascii="Arial" w:hAnsi="Arial" w:eastAsia="黑体" w:cs="Times New Roman"/>
      <w:szCs w:val="21"/>
    </w:rPr>
  </w:style>
  <w:style w:type="character" w:customStyle="1" w:styleId="243">
    <w:name w:val="标题 3 Char1"/>
    <w:autoRedefine/>
    <w:qFormat/>
    <w:uiPriority w:val="0"/>
    <w:rPr>
      <w:rFonts w:ascii="Times New Roman" w:hAnsi="Times New Roman" w:eastAsia="宋体" w:cs="Times New Roman"/>
      <w:b/>
      <w:bCs/>
      <w:kern w:val="2"/>
      <w:sz w:val="32"/>
      <w:szCs w:val="32"/>
    </w:rPr>
  </w:style>
  <w:style w:type="character" w:customStyle="1" w:styleId="244">
    <w:name w:val="标题4 Char Char"/>
    <w:link w:val="88"/>
    <w:autoRedefine/>
    <w:qFormat/>
    <w:uiPriority w:val="0"/>
    <w:rPr>
      <w:rFonts w:ascii="Arial" w:hAnsi="Arial"/>
      <w:b/>
      <w:bCs/>
      <w:sz w:val="24"/>
      <w:szCs w:val="32"/>
      <w:lang w:bidi="ar-SA"/>
    </w:rPr>
  </w:style>
  <w:style w:type="character" w:customStyle="1" w:styleId="245">
    <w:name w:val="标题 5 Char1"/>
    <w:autoRedefine/>
    <w:qFormat/>
    <w:uiPriority w:val="0"/>
    <w:rPr>
      <w:rFonts w:ascii="宋体" w:hAnsi="宋体" w:eastAsia="宋体" w:cs="宋体"/>
      <w:b/>
      <w:bCs/>
      <w:sz w:val="20"/>
      <w:szCs w:val="20"/>
    </w:rPr>
  </w:style>
  <w:style w:type="character" w:customStyle="1" w:styleId="246">
    <w:name w:val="正文文本缩进 3 Char1"/>
    <w:autoRedefine/>
    <w:qFormat/>
    <w:uiPriority w:val="0"/>
    <w:rPr>
      <w:rFonts w:ascii="宋体" w:hAnsi="宋体"/>
      <w:kern w:val="2"/>
      <w:sz w:val="28"/>
      <w:szCs w:val="28"/>
    </w:rPr>
  </w:style>
  <w:style w:type="character" w:customStyle="1" w:styleId="247">
    <w:name w:val="Char Char33"/>
    <w:autoRedefine/>
    <w:qFormat/>
    <w:uiPriority w:val="0"/>
    <w:rPr>
      <w:rFonts w:ascii="仿宋_GB2312" w:eastAsia="仿宋_GB2312" w:cs="MingLiU"/>
      <w:b/>
      <w:sz w:val="24"/>
      <w:szCs w:val="28"/>
    </w:rPr>
  </w:style>
  <w:style w:type="character" w:customStyle="1" w:styleId="248">
    <w:name w:val="批注文字 Char1"/>
    <w:autoRedefine/>
    <w:qFormat/>
    <w:uiPriority w:val="99"/>
    <w:rPr>
      <w:rFonts w:ascii="Times New Roman" w:hAnsi="Times New Roman" w:eastAsia="宋体" w:cs="Times New Roman"/>
      <w:szCs w:val="24"/>
    </w:rPr>
  </w:style>
  <w:style w:type="character" w:customStyle="1" w:styleId="249">
    <w:name w:val="正文文本 3 Char1"/>
    <w:autoRedefine/>
    <w:qFormat/>
    <w:uiPriority w:val="0"/>
    <w:rPr>
      <w:kern w:val="2"/>
      <w:sz w:val="16"/>
      <w:szCs w:val="16"/>
    </w:rPr>
  </w:style>
  <w:style w:type="character" w:customStyle="1" w:styleId="250">
    <w:name w:val="页眉 Char"/>
    <w:autoRedefine/>
    <w:qFormat/>
    <w:uiPriority w:val="0"/>
    <w:rPr>
      <w:sz w:val="18"/>
      <w:szCs w:val="18"/>
    </w:rPr>
  </w:style>
  <w:style w:type="character" w:customStyle="1" w:styleId="251">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2">
    <w:name w:val="color_red1"/>
    <w:autoRedefine/>
    <w:qFormat/>
    <w:uiPriority w:val="0"/>
    <w:rPr>
      <w:color w:val="FA0004"/>
    </w:rPr>
  </w:style>
  <w:style w:type="character" w:customStyle="1" w:styleId="253">
    <w:name w:val="批注主题 Char2"/>
    <w:autoRedefine/>
    <w:qFormat/>
    <w:uiPriority w:val="99"/>
    <w:rPr>
      <w:b/>
      <w:bCs/>
      <w:kern w:val="2"/>
      <w:sz w:val="21"/>
      <w:szCs w:val="24"/>
    </w:rPr>
  </w:style>
  <w:style w:type="character" w:customStyle="1" w:styleId="254">
    <w:name w:val="Char Char34"/>
    <w:autoRedefine/>
    <w:qFormat/>
    <w:uiPriority w:val="0"/>
    <w:rPr>
      <w:rFonts w:ascii="仿宋_GB2312" w:eastAsia="仿宋_GB2312" w:cs="MingLiU"/>
      <w:b/>
      <w:spacing w:val="1"/>
      <w:w w:val="99"/>
      <w:sz w:val="28"/>
      <w:szCs w:val="32"/>
    </w:rPr>
  </w:style>
  <w:style w:type="character" w:customStyle="1" w:styleId="255">
    <w:name w:val="标题 1 Char"/>
    <w:autoRedefine/>
    <w:qFormat/>
    <w:uiPriority w:val="0"/>
    <w:rPr>
      <w:rFonts w:ascii="Times New Roman" w:hAnsi="Times New Roman" w:eastAsia="宋体" w:cs="Times New Roman"/>
      <w:b/>
      <w:bCs/>
      <w:kern w:val="44"/>
      <w:sz w:val="44"/>
      <w:szCs w:val="44"/>
    </w:rPr>
  </w:style>
  <w:style w:type="character" w:customStyle="1" w:styleId="256">
    <w:name w:val="docpro"/>
    <w:basedOn w:val="48"/>
    <w:autoRedefine/>
    <w:qFormat/>
    <w:uiPriority w:val="0"/>
  </w:style>
  <w:style w:type="character" w:customStyle="1" w:styleId="257">
    <w:name w:val="正文文本 3 Char"/>
    <w:autoRedefine/>
    <w:qFormat/>
    <w:uiPriority w:val="0"/>
    <w:rPr>
      <w:kern w:val="2"/>
      <w:sz w:val="16"/>
      <w:szCs w:val="16"/>
    </w:rPr>
  </w:style>
  <w:style w:type="character" w:customStyle="1" w:styleId="258">
    <w:name w:val="标题 5 Char"/>
    <w:autoRedefine/>
    <w:qFormat/>
    <w:uiPriority w:val="0"/>
    <w:rPr>
      <w:rFonts w:ascii="Calibri" w:hAnsi="Calibri" w:eastAsia="宋体" w:cs="Times New Roman"/>
      <w:b/>
      <w:bCs/>
      <w:sz w:val="28"/>
      <w:szCs w:val="28"/>
    </w:rPr>
  </w:style>
  <w:style w:type="character" w:customStyle="1" w:styleId="259">
    <w:name w:val="style161"/>
    <w:autoRedefine/>
    <w:qFormat/>
    <w:uiPriority w:val="0"/>
    <w:rPr>
      <w:b/>
      <w:bCs/>
      <w:color w:val="333333"/>
    </w:rPr>
  </w:style>
  <w:style w:type="character" w:customStyle="1" w:styleId="260">
    <w:name w:val="文档结构图 Char2"/>
    <w:autoRedefine/>
    <w:qFormat/>
    <w:uiPriority w:val="99"/>
    <w:rPr>
      <w:kern w:val="2"/>
      <w:sz w:val="21"/>
      <w:szCs w:val="24"/>
      <w:shd w:val="clear" w:color="auto" w:fill="000080"/>
    </w:rPr>
  </w:style>
  <w:style w:type="character" w:customStyle="1" w:styleId="261">
    <w:name w:val="页脚 Char1"/>
    <w:autoRedefine/>
    <w:qFormat/>
    <w:uiPriority w:val="99"/>
    <w:rPr>
      <w:kern w:val="2"/>
      <w:sz w:val="18"/>
      <w:szCs w:val="18"/>
    </w:rPr>
  </w:style>
  <w:style w:type="character" w:customStyle="1" w:styleId="262">
    <w:name w:val="日期 Char2"/>
    <w:autoRedefine/>
    <w:qFormat/>
    <w:uiPriority w:val="99"/>
    <w:rPr>
      <w:kern w:val="2"/>
      <w:sz w:val="21"/>
      <w:szCs w:val="24"/>
    </w:rPr>
  </w:style>
  <w:style w:type="character" w:customStyle="1" w:styleId="263">
    <w:name w:val="HTML 预设格式 Char"/>
    <w:autoRedefine/>
    <w:qFormat/>
    <w:uiPriority w:val="0"/>
    <w:rPr>
      <w:rFonts w:ascii="宋体" w:hAnsi="宋体" w:eastAsia="宋体" w:cs="宋体"/>
      <w:color w:val="000000"/>
      <w:sz w:val="24"/>
      <w:szCs w:val="24"/>
    </w:rPr>
  </w:style>
  <w:style w:type="character" w:customStyle="1" w:styleId="264">
    <w:name w:val="批注主题 字符"/>
    <w:link w:val="44"/>
    <w:autoRedefine/>
    <w:qFormat/>
    <w:uiPriority w:val="0"/>
    <w:rPr>
      <w:rFonts w:eastAsia="宋体"/>
      <w:b/>
      <w:bCs/>
      <w:kern w:val="2"/>
      <w:sz w:val="21"/>
      <w:szCs w:val="24"/>
      <w:lang w:val="en-US" w:eastAsia="zh-CN" w:bidi="ar-SA"/>
    </w:rPr>
  </w:style>
  <w:style w:type="character" w:customStyle="1" w:styleId="265">
    <w:name w:val="正文文本 2 字符"/>
    <w:link w:val="39"/>
    <w:autoRedefine/>
    <w:qFormat/>
    <w:uiPriority w:val="0"/>
    <w:rPr>
      <w:i/>
      <w:iCs/>
      <w:kern w:val="2"/>
      <w:sz w:val="26"/>
      <w:szCs w:val="24"/>
    </w:rPr>
  </w:style>
  <w:style w:type="character" w:customStyle="1" w:styleId="266">
    <w:name w:val="批注框文本 Char"/>
    <w:autoRedefine/>
    <w:qFormat/>
    <w:uiPriority w:val="0"/>
    <w:rPr>
      <w:sz w:val="18"/>
      <w:szCs w:val="18"/>
    </w:rPr>
  </w:style>
  <w:style w:type="character" w:customStyle="1" w:styleId="267">
    <w:name w:val="文档结构图 Char"/>
    <w:autoRedefine/>
    <w:qFormat/>
    <w:uiPriority w:val="0"/>
    <w:rPr>
      <w:rFonts w:ascii="宋体"/>
      <w:kern w:val="2"/>
      <w:sz w:val="18"/>
      <w:szCs w:val="18"/>
    </w:rPr>
  </w:style>
  <w:style w:type="character" w:customStyle="1" w:styleId="268">
    <w:name w:val="标题 8 字符"/>
    <w:link w:val="11"/>
    <w:autoRedefine/>
    <w:qFormat/>
    <w:uiPriority w:val="0"/>
    <w:rPr>
      <w:rFonts w:hAnsi="Arial" w:eastAsia="仿宋_GB2312"/>
      <w:sz w:val="30"/>
      <w:lang w:val="en-US" w:eastAsia="zh-CN" w:bidi="ar-SA"/>
    </w:rPr>
  </w:style>
  <w:style w:type="character" w:customStyle="1" w:styleId="269">
    <w:name w:val="正文文本缩进 3 字符"/>
    <w:link w:val="36"/>
    <w:autoRedefine/>
    <w:qFormat/>
    <w:uiPriority w:val="0"/>
    <w:rPr>
      <w:rFonts w:ascii="宋体" w:hAnsi="宋体" w:eastAsia="宋体"/>
      <w:kern w:val="2"/>
      <w:sz w:val="28"/>
      <w:szCs w:val="28"/>
      <w:lang w:val="en-US" w:eastAsia="zh-CN" w:bidi="ar-SA"/>
    </w:rPr>
  </w:style>
  <w:style w:type="character" w:customStyle="1" w:styleId="270">
    <w:name w:val="正文文本缩进 字符"/>
    <w:link w:val="19"/>
    <w:autoRedefine/>
    <w:qFormat/>
    <w:uiPriority w:val="0"/>
    <w:rPr>
      <w:rFonts w:eastAsia="宋体"/>
      <w:kern w:val="2"/>
      <w:sz w:val="21"/>
      <w:szCs w:val="24"/>
      <w:lang w:val="en-US" w:eastAsia="zh-CN" w:bidi="ar-SA"/>
    </w:rPr>
  </w:style>
  <w:style w:type="character" w:customStyle="1" w:styleId="271">
    <w:name w:val="_Style 196"/>
    <w:autoRedefine/>
    <w:qFormat/>
    <w:uiPriority w:val="0"/>
    <w:rPr>
      <w:i/>
      <w:iCs/>
      <w:color w:val="808080"/>
    </w:rPr>
  </w:style>
  <w:style w:type="character" w:customStyle="1" w:styleId="272">
    <w:name w:val="正文文本缩进 2 字符"/>
    <w:link w:val="26"/>
    <w:autoRedefine/>
    <w:qFormat/>
    <w:uiPriority w:val="0"/>
    <w:rPr>
      <w:rFonts w:eastAsia="宋体"/>
      <w:sz w:val="28"/>
      <w:szCs w:val="24"/>
      <w:lang w:val="en-US" w:eastAsia="zh-CN" w:bidi="ar-SA"/>
    </w:rPr>
  </w:style>
  <w:style w:type="character" w:customStyle="1" w:styleId="273">
    <w:name w:val="标题 7 字符"/>
    <w:link w:val="10"/>
    <w:autoRedefine/>
    <w:qFormat/>
    <w:uiPriority w:val="0"/>
    <w:rPr>
      <w:rFonts w:eastAsia="仿宋_GB2312"/>
      <w:sz w:val="30"/>
      <w:lang w:val="en-US" w:eastAsia="zh-CN" w:bidi="ar-SA"/>
    </w:rPr>
  </w:style>
  <w:style w:type="character" w:customStyle="1" w:styleId="274">
    <w:name w:val="Char Char13"/>
    <w:autoRedefine/>
    <w:qFormat/>
    <w:uiPriority w:val="0"/>
    <w:rPr>
      <w:kern w:val="2"/>
      <w:sz w:val="18"/>
      <w:szCs w:val="18"/>
    </w:rPr>
  </w:style>
  <w:style w:type="character" w:customStyle="1" w:styleId="275">
    <w:name w:val="正文文本缩进 2 Char1"/>
    <w:autoRedefine/>
    <w:qFormat/>
    <w:uiPriority w:val="0"/>
    <w:rPr>
      <w:sz w:val="28"/>
      <w:szCs w:val="24"/>
    </w:rPr>
  </w:style>
  <w:style w:type="character" w:customStyle="1" w:styleId="276">
    <w:name w:val="Char Char21"/>
    <w:autoRedefine/>
    <w:qFormat/>
    <w:uiPriority w:val="0"/>
    <w:rPr>
      <w:rFonts w:ascii="宋体" w:hAnsi="宋体" w:cs="宋体"/>
      <w:b/>
      <w:bCs/>
      <w:sz w:val="24"/>
      <w:szCs w:val="24"/>
    </w:rPr>
  </w:style>
  <w:style w:type="character" w:customStyle="1" w:styleId="277">
    <w:name w:val="文档结构图 Char1"/>
    <w:autoRedefine/>
    <w:qFormat/>
    <w:uiPriority w:val="0"/>
    <w:rPr>
      <w:rFonts w:ascii="宋体"/>
      <w:kern w:val="2"/>
      <w:sz w:val="18"/>
      <w:szCs w:val="18"/>
    </w:rPr>
  </w:style>
  <w:style w:type="character" w:customStyle="1" w:styleId="278">
    <w:name w:val="标题 Char"/>
    <w:autoRedefine/>
    <w:qFormat/>
    <w:uiPriority w:val="0"/>
    <w:rPr>
      <w:rFonts w:ascii="Cambria" w:hAnsi="Cambria" w:eastAsia="宋体" w:cs="Times New Roman"/>
      <w:b/>
      <w:bCs/>
      <w:kern w:val="2"/>
      <w:sz w:val="32"/>
      <w:szCs w:val="32"/>
    </w:rPr>
  </w:style>
  <w:style w:type="character" w:customStyle="1" w:styleId="279">
    <w:name w:val="_Style 275"/>
    <w:autoRedefine/>
    <w:qFormat/>
    <w:uiPriority w:val="0"/>
    <w:rPr>
      <w:smallCaps/>
      <w:color w:val="C0504D"/>
      <w:u w:val="single"/>
    </w:rPr>
  </w:style>
  <w:style w:type="character" w:customStyle="1" w:styleId="280">
    <w:name w:val="Char Char12"/>
    <w:autoRedefine/>
    <w:qFormat/>
    <w:uiPriority w:val="0"/>
    <w:rPr>
      <w:rFonts w:eastAsia="黑体"/>
      <w:kern w:val="2"/>
      <w:sz w:val="44"/>
      <w:szCs w:val="44"/>
      <w:lang w:val="en-US" w:eastAsia="zh-CN" w:bidi="ar-SA"/>
    </w:rPr>
  </w:style>
  <w:style w:type="character" w:customStyle="1" w:styleId="281">
    <w:name w:val="明显参考1"/>
    <w:autoRedefine/>
    <w:qFormat/>
    <w:uiPriority w:val="0"/>
    <w:rPr>
      <w:b/>
      <w:bCs/>
      <w:smallCaps/>
      <w:color w:val="C0504D"/>
      <w:spacing w:val="5"/>
      <w:u w:val="single"/>
    </w:rPr>
  </w:style>
  <w:style w:type="character" w:customStyle="1" w:styleId="282">
    <w:name w:val="Char Char36"/>
    <w:autoRedefine/>
    <w:qFormat/>
    <w:uiPriority w:val="0"/>
    <w:rPr>
      <w:rFonts w:ascii="仿宋_GB2312" w:eastAsia="仿宋_GB2312" w:cs="MingLiU"/>
      <w:b/>
      <w:sz w:val="24"/>
      <w:szCs w:val="28"/>
    </w:rPr>
  </w:style>
  <w:style w:type="character" w:customStyle="1" w:styleId="283">
    <w:name w:val="批注框文本 Char2"/>
    <w:autoRedefine/>
    <w:qFormat/>
    <w:uiPriority w:val="99"/>
    <w:rPr>
      <w:kern w:val="2"/>
      <w:sz w:val="18"/>
      <w:szCs w:val="18"/>
    </w:rPr>
  </w:style>
  <w:style w:type="character" w:customStyle="1" w:styleId="284">
    <w:name w:val="subhead1"/>
    <w:autoRedefine/>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autoRedefine/>
    <w:qFormat/>
    <w:uiPriority w:val="99"/>
    <w:rPr>
      <w:rFonts w:ascii="Calibri" w:hAnsi="Calibri" w:eastAsia="宋体" w:cs="Times New Roman"/>
      <w:sz w:val="16"/>
      <w:szCs w:val="16"/>
    </w:rPr>
  </w:style>
  <w:style w:type="character" w:customStyle="1" w:styleId="286">
    <w:name w:val="纯文本 Char"/>
    <w:autoRedefine/>
    <w:qFormat/>
    <w:uiPriority w:val="0"/>
    <w:rPr>
      <w:rFonts w:ascii="宋体" w:hAnsi="Courier New"/>
      <w:sz w:val="28"/>
      <w:szCs w:val="28"/>
    </w:rPr>
  </w:style>
  <w:style w:type="character" w:customStyle="1" w:styleId="287">
    <w:name w:val="纯文本 Char2"/>
    <w:autoRedefine/>
    <w:qFormat/>
    <w:uiPriority w:val="99"/>
    <w:rPr>
      <w:rFonts w:ascii="宋体" w:hAnsi="Courier New" w:eastAsia="宋体" w:cs="Courier New"/>
      <w:szCs w:val="21"/>
    </w:rPr>
  </w:style>
  <w:style w:type="character" w:customStyle="1" w:styleId="288">
    <w:name w:val="页眉 Char1"/>
    <w:autoRedefine/>
    <w:qFormat/>
    <w:uiPriority w:val="99"/>
    <w:rPr>
      <w:kern w:val="2"/>
      <w:sz w:val="18"/>
      <w:szCs w:val="18"/>
    </w:rPr>
  </w:style>
  <w:style w:type="character" w:customStyle="1" w:styleId="289">
    <w:name w:val="Char Char14"/>
    <w:autoRedefine/>
    <w:qFormat/>
    <w:uiPriority w:val="0"/>
    <w:rPr>
      <w:kern w:val="2"/>
      <w:sz w:val="18"/>
      <w:szCs w:val="18"/>
    </w:rPr>
  </w:style>
  <w:style w:type="character" w:customStyle="1" w:styleId="290">
    <w:name w:val="批注文字 字符"/>
    <w:link w:val="16"/>
    <w:autoRedefine/>
    <w:qFormat/>
    <w:uiPriority w:val="99"/>
    <w:rPr>
      <w:rFonts w:eastAsia="宋体"/>
      <w:kern w:val="2"/>
      <w:sz w:val="21"/>
      <w:szCs w:val="24"/>
      <w:lang w:val="en-US" w:eastAsia="zh-CN" w:bidi="ar-SA"/>
    </w:rPr>
  </w:style>
  <w:style w:type="character" w:customStyle="1" w:styleId="291">
    <w:name w:val="批注文字 Char Char"/>
    <w:autoRedefine/>
    <w:qFormat/>
    <w:uiPriority w:val="0"/>
    <w:rPr>
      <w:rFonts w:ascii="宋体" w:hAnsi="Times New Roman" w:eastAsia="宋体" w:cs="Times New Roman"/>
      <w:sz w:val="28"/>
      <w:szCs w:val="20"/>
    </w:rPr>
  </w:style>
  <w:style w:type="character" w:customStyle="1" w:styleId="292">
    <w:name w:val="标题 1 Char1"/>
    <w:autoRedefine/>
    <w:qFormat/>
    <w:uiPriority w:val="0"/>
    <w:rPr>
      <w:rFonts w:ascii="Times New Roman" w:hAnsi="Times New Roman" w:eastAsia="宋体" w:cs="Times New Roman"/>
      <w:b/>
      <w:bCs/>
      <w:kern w:val="44"/>
      <w:sz w:val="44"/>
      <w:szCs w:val="44"/>
    </w:rPr>
  </w:style>
  <w:style w:type="character" w:customStyle="1" w:styleId="293">
    <w:name w:val="标题 5 字符"/>
    <w:link w:val="7"/>
    <w:autoRedefine/>
    <w:qFormat/>
    <w:uiPriority w:val="0"/>
    <w:rPr>
      <w:rFonts w:ascii="宋体" w:hAnsi="宋体" w:eastAsia="宋体" w:cs="宋体"/>
      <w:b/>
      <w:bCs/>
      <w:lang w:val="en-US" w:eastAsia="zh-CN" w:bidi="ar-SA"/>
    </w:rPr>
  </w:style>
  <w:style w:type="character" w:customStyle="1" w:styleId="294">
    <w:name w:val="手改 Char Char"/>
    <w:autoRedefine/>
    <w:qFormat/>
    <w:uiPriority w:val="0"/>
    <w:rPr>
      <w:kern w:val="2"/>
      <w:sz w:val="21"/>
      <w:szCs w:val="24"/>
    </w:rPr>
  </w:style>
  <w:style w:type="character" w:customStyle="1" w:styleId="295">
    <w:name w:val="标题 1 字符"/>
    <w:link w:val="3"/>
    <w:autoRedefine/>
    <w:qFormat/>
    <w:uiPriority w:val="0"/>
    <w:rPr>
      <w:rFonts w:eastAsia="宋体"/>
      <w:b/>
      <w:bCs/>
      <w:kern w:val="44"/>
      <w:sz w:val="44"/>
      <w:szCs w:val="44"/>
      <w:lang w:val="en-US" w:eastAsia="zh-CN" w:bidi="ar-SA"/>
    </w:rPr>
  </w:style>
  <w:style w:type="character" w:customStyle="1" w:styleId="296">
    <w:name w:val="intel3"/>
    <w:basedOn w:val="48"/>
    <w:autoRedefine/>
    <w:qFormat/>
    <w:uiPriority w:val="0"/>
  </w:style>
  <w:style w:type="character" w:customStyle="1" w:styleId="297">
    <w:name w:val="副标题 Char2"/>
    <w:autoRedefine/>
    <w:qFormat/>
    <w:uiPriority w:val="11"/>
    <w:rPr>
      <w:rFonts w:ascii="Cambria" w:hAnsi="Cambria" w:eastAsia="宋体" w:cs="Times New Roman"/>
      <w:b/>
      <w:bCs/>
      <w:kern w:val="28"/>
      <w:sz w:val="32"/>
      <w:szCs w:val="32"/>
    </w:rPr>
  </w:style>
  <w:style w:type="character" w:customStyle="1" w:styleId="298">
    <w:name w:val="明显引用 Char4"/>
    <w:link w:val="119"/>
    <w:autoRedefine/>
    <w:qFormat/>
    <w:uiPriority w:val="0"/>
    <w:rPr>
      <w:b/>
      <w:bCs/>
      <w:i/>
      <w:iCs/>
      <w:color w:val="4F81BD"/>
      <w:kern w:val="2"/>
      <w:sz w:val="21"/>
      <w:szCs w:val="22"/>
      <w:lang w:bidi="ar-SA"/>
    </w:rPr>
  </w:style>
  <w:style w:type="character" w:customStyle="1" w:styleId="299">
    <w:name w:val="明显引用 Char1"/>
    <w:link w:val="112"/>
    <w:autoRedefine/>
    <w:qFormat/>
    <w:uiPriority w:val="30"/>
    <w:rPr>
      <w:b/>
      <w:bCs/>
      <w:i/>
      <w:iCs/>
      <w:color w:val="4F81BD"/>
      <w:kern w:val="2"/>
      <w:sz w:val="21"/>
    </w:rPr>
  </w:style>
  <w:style w:type="character" w:customStyle="1" w:styleId="300">
    <w:name w:val="HTML 预设格式 Char1"/>
    <w:autoRedefine/>
    <w:qFormat/>
    <w:uiPriority w:val="0"/>
    <w:rPr>
      <w:rFonts w:ascii="宋体" w:hAnsi="宋体" w:cs="宋体"/>
      <w:color w:val="000000"/>
      <w:sz w:val="24"/>
      <w:szCs w:val="24"/>
    </w:rPr>
  </w:style>
  <w:style w:type="character" w:customStyle="1" w:styleId="301">
    <w:name w:val="引用 Char"/>
    <w:link w:val="70"/>
    <w:autoRedefine/>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3"/>
    <w:autoRedefine/>
    <w:qFormat/>
    <w:uiPriority w:val="0"/>
    <w:rPr>
      <w:rFonts w:eastAsia="宋体"/>
      <w:szCs w:val="24"/>
      <w:u w:val="single"/>
      <w:lang w:val="en-US" w:eastAsia="en-US" w:bidi="ar-SA"/>
    </w:rPr>
  </w:style>
  <w:style w:type="character" w:customStyle="1" w:styleId="303">
    <w:name w:val="ITTHEADER1 Char"/>
    <w:autoRedefine/>
    <w:qFormat/>
    <w:uiPriority w:val="0"/>
    <w:rPr>
      <w:rFonts w:eastAsia="黑体"/>
      <w:kern w:val="2"/>
      <w:sz w:val="44"/>
      <w:szCs w:val="44"/>
      <w:lang w:val="en-US" w:eastAsia="zh-CN" w:bidi="ar-SA"/>
    </w:rPr>
  </w:style>
  <w:style w:type="character" w:customStyle="1" w:styleId="304">
    <w:name w:val="日期 Char3"/>
    <w:autoRedefine/>
    <w:qFormat/>
    <w:uiPriority w:val="99"/>
    <w:rPr>
      <w:rFonts w:ascii="Calibri" w:hAnsi="Calibri" w:eastAsia="宋体" w:cs="Times New Roman"/>
      <w:szCs w:val="24"/>
    </w:rPr>
  </w:style>
  <w:style w:type="character" w:customStyle="1" w:styleId="305">
    <w:name w:val="纯文本 字符"/>
    <w:link w:val="2"/>
    <w:autoRedefine/>
    <w:qFormat/>
    <w:uiPriority w:val="0"/>
    <w:rPr>
      <w:rFonts w:ascii="宋体" w:hAnsi="Courier New" w:eastAsia="宋体" w:cs="Courier New"/>
      <w:kern w:val="2"/>
      <w:sz w:val="21"/>
      <w:szCs w:val="21"/>
      <w:lang w:val="en-US" w:eastAsia="zh-CN" w:bidi="ar-SA"/>
    </w:rPr>
  </w:style>
  <w:style w:type="character" w:customStyle="1" w:styleId="306">
    <w:name w:val="批注文字 Char"/>
    <w:autoRedefine/>
    <w:qFormat/>
    <w:uiPriority w:val="0"/>
    <w:rPr>
      <w:rFonts w:ascii="Times New Roman" w:hAnsi="Times New Roman" w:eastAsia="宋体" w:cs="Times New Roman"/>
      <w:kern w:val="2"/>
      <w:sz w:val="21"/>
      <w:szCs w:val="24"/>
    </w:rPr>
  </w:style>
  <w:style w:type="character" w:customStyle="1" w:styleId="307">
    <w:name w:val="Section Char"/>
    <w:autoRedefine/>
    <w:qFormat/>
    <w:uiPriority w:val="0"/>
    <w:rPr>
      <w:rFonts w:ascii="仿宋_GB2312" w:eastAsia="仿宋_GB2312" w:cs="MingLiU"/>
      <w:b/>
      <w:sz w:val="24"/>
      <w:szCs w:val="28"/>
      <w:lang w:val="en-US" w:eastAsia="zh-CN" w:bidi="ar-SA"/>
    </w:rPr>
  </w:style>
  <w:style w:type="character" w:customStyle="1" w:styleId="308">
    <w:name w:val="正文文本 3 Char2"/>
    <w:autoRedefine/>
    <w:qFormat/>
    <w:uiPriority w:val="99"/>
    <w:rPr>
      <w:rFonts w:ascii="Calibri" w:hAnsi="Calibri" w:eastAsia="宋体" w:cs="Times New Roman"/>
      <w:sz w:val="16"/>
      <w:szCs w:val="16"/>
    </w:rPr>
  </w:style>
  <w:style w:type="character" w:customStyle="1" w:styleId="309">
    <w:name w:val="正文文本 3 字符"/>
    <w:link w:val="17"/>
    <w:autoRedefine/>
    <w:qFormat/>
    <w:uiPriority w:val="0"/>
    <w:rPr>
      <w:rFonts w:eastAsia="宋体"/>
      <w:kern w:val="2"/>
      <w:sz w:val="16"/>
      <w:szCs w:val="16"/>
      <w:lang w:val="en-US" w:eastAsia="zh-CN" w:bidi="ar-SA"/>
    </w:rPr>
  </w:style>
  <w:style w:type="character" w:customStyle="1" w:styleId="310">
    <w:name w:val="普通文字 Char Char1"/>
    <w:autoRedefine/>
    <w:qFormat/>
    <w:uiPriority w:val="0"/>
    <w:rPr>
      <w:rFonts w:ascii="宋体" w:hAnsi="Courier New"/>
      <w:kern w:val="2"/>
      <w:sz w:val="28"/>
      <w:szCs w:val="28"/>
    </w:rPr>
  </w:style>
  <w:style w:type="character" w:customStyle="1" w:styleId="311">
    <w:name w:val="正文文本缩进 Char"/>
    <w:autoRedefine/>
    <w:qFormat/>
    <w:uiPriority w:val="0"/>
    <w:rPr>
      <w:rFonts w:ascii="黑体" w:hAnsi="宋体" w:eastAsia="黑体"/>
      <w:color w:val="000000"/>
      <w:sz w:val="28"/>
      <w:szCs w:val="32"/>
    </w:rPr>
  </w:style>
  <w:style w:type="character" w:customStyle="1" w:styleId="312">
    <w:name w:val="font161"/>
    <w:autoRedefine/>
    <w:qFormat/>
    <w:uiPriority w:val="0"/>
    <w:rPr>
      <w:b/>
      <w:bCs/>
      <w:sz w:val="32"/>
      <w:szCs w:val="32"/>
    </w:rPr>
  </w:style>
  <w:style w:type="paragraph" w:customStyle="1" w:styleId="313">
    <w:name w:val="List Paragraph_2053445d-0ea7-4fc6-805c-24e9551bff14"/>
    <w:basedOn w:val="1"/>
    <w:autoRedefine/>
    <w:qFormat/>
    <w:uiPriority w:val="99"/>
    <w:pPr>
      <w:ind w:firstLine="420" w:firstLineChars="200"/>
    </w:pPr>
    <w:rPr>
      <w:sz w:val="28"/>
      <w:szCs w:val="28"/>
    </w:rPr>
  </w:style>
  <w:style w:type="paragraph" w:customStyle="1" w:styleId="314">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5">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68</Pages>
  <Words>81330</Words>
  <Characters>85666</Characters>
  <Paragraphs>4432</Paragraphs>
  <TotalTime>15</TotalTime>
  <ScaleCrop>false</ScaleCrop>
  <LinksUpToDate>false</LinksUpToDate>
  <CharactersWithSpaces>93476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2024-03-13T01:11:00Z</cp:lastPrinted>
  <dcterms:modified xsi:type="dcterms:W3CDTF">2024-05-10T01:30:25Z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FDEAA9FE4E604F8B8783D62997FB36E7_13</vt:lpwstr>
  </property>
</Properties>
</file>