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经开.博睿庭（人才公寓）项目广告</w:t>
      </w:r>
      <w:r>
        <w:rPr>
          <w:rFonts w:hint="eastAsia" w:ascii="宋体" w:hAnsi="宋体"/>
          <w:color w:val="0000FF"/>
          <w:kern w:val="0"/>
          <w:sz w:val="32"/>
          <w:szCs w:val="32"/>
          <w:highlight w:val="none"/>
          <w:u w:val="single"/>
          <w:lang w:val="en-US" w:eastAsia="zh-CN"/>
        </w:rPr>
        <w:t>媒体（2024年5月）（第二次）</w:t>
      </w:r>
      <w:r>
        <w:rPr>
          <w:rFonts w:hint="eastAsia" w:ascii="宋体" w:hAnsi="宋体"/>
          <w:kern w:val="0"/>
          <w:sz w:val="32"/>
          <w:szCs w:val="32"/>
          <w:highlight w:val="none"/>
          <w:u w:val="single"/>
        </w:rPr>
        <w:t>（项目名称）</w:t>
      </w: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13180"/>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pPr>
        <w:autoSpaceDE w:val="0"/>
        <w:autoSpaceDN w:val="0"/>
        <w:adjustRightInd w:val="0"/>
        <w:snapToGrid w:val="0"/>
        <w:spacing w:line="360" w:lineRule="auto"/>
        <w:jc w:val="left"/>
        <w:rPr>
          <w:rFonts w:ascii="宋体" w:hAnsi="宋体"/>
          <w:kern w:val="0"/>
          <w:sz w:val="10"/>
          <w:szCs w:val="1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lang w:val="en-US" w:eastAsia="zh-CN"/>
        </w:rPr>
        <w:t>重庆新汇商实业有限公司</w:t>
      </w:r>
      <w:r>
        <w:rPr>
          <w:rFonts w:ascii="宋体" w:hAnsi="宋体"/>
          <w:b/>
          <w:w w:val="99"/>
          <w:kern w:val="0"/>
          <w:sz w:val="28"/>
          <w:szCs w:val="28"/>
          <w:highlight w:val="none"/>
        </w:rPr>
        <w:t>（盖单位法人章）</w:t>
      </w:r>
      <w:bookmarkEnd w:id="1"/>
    </w:p>
    <w:p>
      <w:pPr>
        <w:autoSpaceDE w:val="0"/>
        <w:autoSpaceDN w:val="0"/>
        <w:adjustRightInd w:val="0"/>
        <w:snapToGrid w:val="0"/>
        <w:spacing w:line="360" w:lineRule="auto"/>
        <w:jc w:val="center"/>
        <w:rPr>
          <w:rFonts w:ascii="宋体" w:hAnsi="宋体"/>
          <w:b/>
          <w:kern w:val="0"/>
          <w:sz w:val="20"/>
          <w:szCs w:val="20"/>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rPr>
          <w:rFonts w:ascii="宋体" w:hAnsi="宋体"/>
          <w:b/>
          <w:kern w:val="0"/>
          <w:sz w:val="20"/>
          <w:szCs w:val="20"/>
          <w:highlight w:val="none"/>
        </w:rPr>
      </w:pPr>
    </w:p>
    <w:p>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2" w:name="_Toc13210649"/>
      <w:bookmarkStart w:id="3" w:name="_Toc509218549"/>
      <w:bookmarkStart w:id="4" w:name="_Toc536621766"/>
      <w:bookmarkStart w:id="5" w:name="_Toc536796736"/>
      <w:bookmarkStart w:id="6" w:name="_Toc536797277"/>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4</w:t>
      </w:r>
      <w:r>
        <w:rPr>
          <w:rFonts w:ascii="宋体" w:hAnsi="宋体"/>
          <w:b/>
          <w:spacing w:val="8"/>
          <w:kern w:val="0"/>
          <w:sz w:val="28"/>
          <w:szCs w:val="28"/>
          <w:highlight w:val="none"/>
        </w:rPr>
        <w:t>月</w:t>
      </w:r>
      <w:bookmarkEnd w:id="2"/>
      <w:bookmarkEnd w:id="3"/>
      <w:bookmarkEnd w:id="4"/>
      <w:bookmarkEnd w:id="5"/>
      <w:bookmarkEnd w:id="6"/>
    </w:p>
    <w:p>
      <w:pPr>
        <w:pStyle w:val="3"/>
        <w:spacing w:line="360" w:lineRule="auto"/>
        <w:jc w:val="center"/>
        <w:outlineLvl w:val="9"/>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120"/>
        <w:jc w:val="center"/>
        <w:rPr>
          <w:rFonts w:ascii="宋体" w:hAnsi="宋体"/>
          <w:color w:val="auto"/>
          <w:sz w:val="44"/>
          <w:szCs w:val="44"/>
          <w:highlight w:val="none"/>
          <w:lang w:val="zh-CN"/>
        </w:rPr>
      </w:pPr>
      <w:bookmarkStart w:id="7" w:name="_Toc5767"/>
      <w:bookmarkStart w:id="8"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7"/>
      <w:bookmarkEnd w:id="8"/>
    </w:p>
    <w:sdt>
      <w:sdtPr>
        <w:rPr>
          <w:rFonts w:ascii="宋体" w:hAnsi="宋体" w:eastAsia="宋体" w:cs="Times New Roman"/>
          <w:kern w:val="2"/>
          <w:sz w:val="21"/>
          <w:szCs w:val="24"/>
          <w:lang w:val="en-US" w:eastAsia="zh-CN" w:bidi="ar-SA"/>
        </w:rPr>
        <w:id w:val="14746035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9" w:name="_Toc12819"/>
          <w:bookmarkStart w:id="10" w:name="_Toc509218691"/>
          <w:bookmarkStart w:id="11" w:name="_Toc224103298"/>
          <w:bookmarkStart w:id="12" w:name="_Toc287620666"/>
          <w:bookmarkStart w:id="13" w:name="_Toc277082535"/>
          <w:bookmarkStart w:id="14" w:name="_Toc430530415"/>
          <w:bookmarkStart w:id="15" w:name="_Toc7997"/>
          <w:bookmarkStart w:id="16" w:name="_Toc287607727"/>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_Toc13180 </w:instrText>
          </w:r>
          <w:r>
            <w:rPr>
              <w:sz w:val="24"/>
              <w:szCs w:val="24"/>
            </w:rPr>
            <w:fldChar w:fldCharType="separate"/>
          </w:r>
          <w:r>
            <w:rPr>
              <w:rFonts w:hint="eastAsia" w:ascii="宋体" w:hAnsi="宋体"/>
              <w:kern w:val="0"/>
              <w:sz w:val="24"/>
              <w:szCs w:val="24"/>
              <w:highlight w:val="none"/>
              <w:lang w:val="en-US" w:eastAsia="zh-CN"/>
            </w:rPr>
            <w:t>竞争性比选</w:t>
          </w:r>
          <w:r>
            <w:rPr>
              <w:rFonts w:ascii="宋体" w:hAnsi="宋体"/>
              <w:kern w:val="0"/>
              <w:sz w:val="24"/>
              <w:szCs w:val="24"/>
              <w:highlight w:val="none"/>
            </w:rPr>
            <w:t>文件</w:t>
          </w:r>
          <w:r>
            <w:rPr>
              <w:sz w:val="24"/>
              <w:szCs w:val="24"/>
            </w:rPr>
            <w:tab/>
          </w:r>
          <w:r>
            <w:rPr>
              <w:sz w:val="24"/>
              <w:szCs w:val="24"/>
            </w:rPr>
            <w:fldChar w:fldCharType="begin"/>
          </w:r>
          <w:r>
            <w:rPr>
              <w:sz w:val="24"/>
              <w:szCs w:val="24"/>
            </w:rPr>
            <w:instrText xml:space="preserve"> PAGEREF _Toc13180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_Toc21307 </w:instrText>
          </w:r>
          <w:r>
            <w:rPr>
              <w:sz w:val="24"/>
              <w:szCs w:val="24"/>
            </w:rPr>
            <w:fldChar w:fldCharType="separate"/>
          </w:r>
          <w:r>
            <w:rPr>
              <w:rFonts w:ascii="宋体" w:hAnsi="宋体"/>
              <w:snapToGrid w:val="0"/>
              <w:kern w:val="0"/>
              <w:sz w:val="24"/>
              <w:szCs w:val="24"/>
              <w:highlight w:val="none"/>
            </w:rPr>
            <w:t xml:space="preserve">第一章  </w:t>
          </w:r>
          <w:r>
            <w:rPr>
              <w:rFonts w:hint="eastAsia" w:ascii="宋体" w:hAnsi="宋体"/>
              <w:snapToGrid w:val="0"/>
              <w:kern w:val="0"/>
              <w:sz w:val="24"/>
              <w:szCs w:val="24"/>
              <w:highlight w:val="none"/>
              <w:lang w:eastAsia="zh-CN"/>
            </w:rPr>
            <w:t>比选公告</w:t>
          </w:r>
          <w:r>
            <w:rPr>
              <w:sz w:val="24"/>
              <w:szCs w:val="24"/>
            </w:rPr>
            <w:tab/>
          </w:r>
          <w:r>
            <w:rPr>
              <w:sz w:val="24"/>
              <w:szCs w:val="24"/>
            </w:rPr>
            <w:fldChar w:fldCharType="begin"/>
          </w:r>
          <w:r>
            <w:rPr>
              <w:sz w:val="24"/>
              <w:szCs w:val="24"/>
            </w:rPr>
            <w:instrText xml:space="preserve"> PAGEREF _Toc21307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_Toc22622 </w:instrText>
          </w:r>
          <w:r>
            <w:rPr>
              <w:sz w:val="24"/>
              <w:szCs w:val="24"/>
            </w:rPr>
            <w:fldChar w:fldCharType="separate"/>
          </w:r>
          <w:r>
            <w:rPr>
              <w:rFonts w:ascii="宋体" w:hAnsi="宋体"/>
              <w:snapToGrid w:val="0"/>
              <w:kern w:val="0"/>
              <w:sz w:val="24"/>
              <w:szCs w:val="24"/>
              <w:highlight w:val="none"/>
            </w:rPr>
            <w:t xml:space="preserve">第二章  </w:t>
          </w:r>
          <w:r>
            <w:rPr>
              <w:rFonts w:hint="eastAsia" w:ascii="宋体" w:hAnsi="宋体"/>
              <w:snapToGrid w:val="0"/>
              <w:kern w:val="0"/>
              <w:sz w:val="24"/>
              <w:szCs w:val="24"/>
              <w:highlight w:val="none"/>
              <w:lang w:eastAsia="zh-CN"/>
            </w:rPr>
            <w:t>竞选人</w:t>
          </w:r>
          <w:r>
            <w:rPr>
              <w:rFonts w:ascii="宋体" w:hAnsi="宋体"/>
              <w:snapToGrid w:val="0"/>
              <w:kern w:val="0"/>
              <w:sz w:val="24"/>
              <w:szCs w:val="24"/>
              <w:highlight w:val="none"/>
            </w:rPr>
            <w:t>须知</w:t>
          </w:r>
          <w:r>
            <w:rPr>
              <w:sz w:val="24"/>
              <w:szCs w:val="24"/>
            </w:rPr>
            <w:tab/>
          </w:r>
          <w:r>
            <w:rPr>
              <w:sz w:val="24"/>
              <w:szCs w:val="24"/>
            </w:rPr>
            <w:fldChar w:fldCharType="begin"/>
          </w:r>
          <w:r>
            <w:rPr>
              <w:sz w:val="24"/>
              <w:szCs w:val="24"/>
            </w:rPr>
            <w:instrText xml:space="preserve"> PAGEREF _Toc22622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_Toc4335 </w:instrText>
          </w:r>
          <w:r>
            <w:rPr>
              <w:sz w:val="24"/>
              <w:szCs w:val="24"/>
            </w:rPr>
            <w:fldChar w:fldCharType="separate"/>
          </w:r>
          <w:r>
            <w:rPr>
              <w:rFonts w:ascii="宋体" w:hAnsi="宋体"/>
              <w:sz w:val="24"/>
              <w:szCs w:val="24"/>
              <w:highlight w:val="none"/>
            </w:rPr>
            <w:t xml:space="preserve">第三章 </w:t>
          </w:r>
          <w:r>
            <w:rPr>
              <w:rFonts w:hint="eastAsia" w:ascii="宋体" w:hAnsi="宋体"/>
              <w:sz w:val="24"/>
              <w:szCs w:val="24"/>
              <w:highlight w:val="none"/>
            </w:rPr>
            <w:t xml:space="preserve"> </w:t>
          </w:r>
          <w:r>
            <w:rPr>
              <w:rFonts w:ascii="宋体" w:hAnsi="宋体"/>
              <w:sz w:val="24"/>
              <w:szCs w:val="24"/>
              <w:highlight w:val="none"/>
            </w:rPr>
            <w:t>评标办法（综合评估法）</w:t>
          </w:r>
          <w:r>
            <w:rPr>
              <w:sz w:val="24"/>
              <w:szCs w:val="24"/>
            </w:rPr>
            <w:tab/>
          </w:r>
          <w:r>
            <w:rPr>
              <w:sz w:val="24"/>
              <w:szCs w:val="24"/>
            </w:rPr>
            <w:fldChar w:fldCharType="begin"/>
          </w:r>
          <w:r>
            <w:rPr>
              <w:sz w:val="24"/>
              <w:szCs w:val="24"/>
            </w:rPr>
            <w:instrText xml:space="preserve"> PAGEREF _Toc4335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_Toc29884 </w:instrText>
          </w:r>
          <w:r>
            <w:rPr>
              <w:sz w:val="24"/>
              <w:szCs w:val="24"/>
            </w:rPr>
            <w:fldChar w:fldCharType="separate"/>
          </w:r>
          <w:r>
            <w:rPr>
              <w:rFonts w:ascii="宋体" w:hAnsi="宋体"/>
              <w:sz w:val="24"/>
              <w:szCs w:val="24"/>
              <w:highlight w:val="none"/>
              <w:lang w:eastAsia="zh-CN"/>
            </w:rPr>
            <w:t>附件A：综合评估法否决投标情况一览表</w:t>
          </w:r>
          <w:r>
            <w:rPr>
              <w:sz w:val="24"/>
              <w:szCs w:val="24"/>
            </w:rPr>
            <w:tab/>
          </w:r>
          <w:r>
            <w:rPr>
              <w:sz w:val="24"/>
              <w:szCs w:val="24"/>
            </w:rPr>
            <w:fldChar w:fldCharType="begin"/>
          </w:r>
          <w:r>
            <w:rPr>
              <w:sz w:val="24"/>
              <w:szCs w:val="24"/>
            </w:rPr>
            <w:instrText xml:space="preserve"> PAGEREF _Toc29884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_Toc12421 </w:instrText>
          </w:r>
          <w:r>
            <w:rPr>
              <w:sz w:val="24"/>
              <w:szCs w:val="24"/>
            </w:rPr>
            <w:fldChar w:fldCharType="separate"/>
          </w:r>
          <w:r>
            <w:rPr>
              <w:rFonts w:hint="eastAsia" w:ascii="宋体" w:hAnsi="宋体"/>
              <w:kern w:val="0"/>
              <w:sz w:val="24"/>
              <w:szCs w:val="24"/>
              <w:highlight w:val="none"/>
            </w:rPr>
            <w:t>第四章  合同条款及格式</w:t>
          </w:r>
          <w:r>
            <w:rPr>
              <w:sz w:val="24"/>
              <w:szCs w:val="24"/>
            </w:rPr>
            <w:tab/>
          </w:r>
          <w:r>
            <w:rPr>
              <w:sz w:val="24"/>
              <w:szCs w:val="24"/>
            </w:rPr>
            <w:fldChar w:fldCharType="begin"/>
          </w:r>
          <w:r>
            <w:rPr>
              <w:sz w:val="24"/>
              <w:szCs w:val="24"/>
            </w:rPr>
            <w:instrText xml:space="preserve"> PAGEREF _Toc12421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_Toc23430 </w:instrText>
          </w:r>
          <w:r>
            <w:rPr>
              <w:sz w:val="24"/>
              <w:szCs w:val="24"/>
            </w:rPr>
            <w:fldChar w:fldCharType="separate"/>
          </w:r>
          <w:r>
            <w:rPr>
              <w:rFonts w:hint="eastAsia" w:ascii="宋体" w:hAnsi="宋体"/>
              <w:sz w:val="24"/>
              <w:szCs w:val="24"/>
              <w:highlight w:val="none"/>
            </w:rPr>
            <w:t>第五章  工程量清单</w:t>
          </w:r>
          <w:r>
            <w:rPr>
              <w:sz w:val="24"/>
              <w:szCs w:val="24"/>
            </w:rPr>
            <w:tab/>
          </w:r>
          <w:r>
            <w:rPr>
              <w:sz w:val="24"/>
              <w:szCs w:val="24"/>
            </w:rPr>
            <w:fldChar w:fldCharType="begin"/>
          </w:r>
          <w:r>
            <w:rPr>
              <w:sz w:val="24"/>
              <w:szCs w:val="24"/>
            </w:rPr>
            <w:instrText xml:space="preserve"> PAGEREF _Toc23430 \h </w:instrText>
          </w:r>
          <w:r>
            <w:rPr>
              <w:sz w:val="24"/>
              <w:szCs w:val="24"/>
            </w:rPr>
            <w:fldChar w:fldCharType="separate"/>
          </w:r>
          <w:r>
            <w:rPr>
              <w:sz w:val="24"/>
              <w:szCs w:val="24"/>
            </w:rPr>
            <w:t>107</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_Toc8087 </w:instrText>
          </w:r>
          <w:r>
            <w:rPr>
              <w:sz w:val="24"/>
              <w:szCs w:val="24"/>
            </w:rPr>
            <w:fldChar w:fldCharType="separate"/>
          </w:r>
          <w:r>
            <w:rPr>
              <w:rFonts w:hint="eastAsia" w:ascii="宋体" w:hAnsi="宋体"/>
              <w:sz w:val="24"/>
              <w:szCs w:val="24"/>
              <w:highlight w:val="none"/>
            </w:rPr>
            <w:t>第六章  图纸</w:t>
          </w:r>
          <w:r>
            <w:rPr>
              <w:sz w:val="24"/>
              <w:szCs w:val="24"/>
            </w:rPr>
            <w:tab/>
          </w:r>
          <w:r>
            <w:rPr>
              <w:sz w:val="24"/>
              <w:szCs w:val="24"/>
            </w:rPr>
            <w:fldChar w:fldCharType="begin"/>
          </w:r>
          <w:r>
            <w:rPr>
              <w:sz w:val="24"/>
              <w:szCs w:val="24"/>
            </w:rPr>
            <w:instrText xml:space="preserve"> PAGEREF _Toc8087 \h </w:instrText>
          </w:r>
          <w:r>
            <w:rPr>
              <w:sz w:val="24"/>
              <w:szCs w:val="24"/>
            </w:rPr>
            <w:fldChar w:fldCharType="separate"/>
          </w:r>
          <w:r>
            <w:rPr>
              <w:sz w:val="24"/>
              <w:szCs w:val="24"/>
            </w:rPr>
            <w:t>108</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_Toc28155 </w:instrText>
          </w:r>
          <w:r>
            <w:rPr>
              <w:sz w:val="24"/>
              <w:szCs w:val="24"/>
            </w:rPr>
            <w:fldChar w:fldCharType="separate"/>
          </w:r>
          <w:r>
            <w:rPr>
              <w:rFonts w:ascii="宋体" w:hAnsi="宋体"/>
              <w:sz w:val="24"/>
              <w:szCs w:val="24"/>
              <w:highlight w:val="none"/>
            </w:rPr>
            <w:t>第七章</w:t>
          </w:r>
          <w:r>
            <w:rPr>
              <w:rFonts w:hint="eastAsia" w:ascii="宋体" w:hAnsi="宋体"/>
              <w:sz w:val="24"/>
              <w:szCs w:val="24"/>
              <w:highlight w:val="none"/>
            </w:rPr>
            <w:t xml:space="preserve">  </w:t>
          </w:r>
          <w:r>
            <w:rPr>
              <w:rFonts w:ascii="宋体" w:hAnsi="宋体"/>
              <w:sz w:val="24"/>
              <w:szCs w:val="24"/>
              <w:highlight w:val="none"/>
            </w:rPr>
            <w:t>技术标准和要求</w:t>
          </w:r>
          <w:r>
            <w:rPr>
              <w:sz w:val="24"/>
              <w:szCs w:val="24"/>
            </w:rPr>
            <w:tab/>
          </w:r>
          <w:r>
            <w:rPr>
              <w:sz w:val="24"/>
              <w:szCs w:val="24"/>
            </w:rPr>
            <w:fldChar w:fldCharType="begin"/>
          </w:r>
          <w:r>
            <w:rPr>
              <w:sz w:val="24"/>
              <w:szCs w:val="24"/>
            </w:rPr>
            <w:instrText xml:space="preserve"> PAGEREF _Toc28155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_Toc3098 </w:instrText>
          </w:r>
          <w:r>
            <w:rPr>
              <w:sz w:val="24"/>
              <w:szCs w:val="24"/>
            </w:rPr>
            <w:fldChar w:fldCharType="separate"/>
          </w:r>
          <w:r>
            <w:rPr>
              <w:rFonts w:hint="eastAsia" w:ascii="宋体" w:hAnsi="宋体"/>
              <w:sz w:val="24"/>
              <w:szCs w:val="24"/>
              <w:highlight w:val="none"/>
            </w:rPr>
            <w:t xml:space="preserve">第八章  </w:t>
          </w:r>
          <w:r>
            <w:rPr>
              <w:rFonts w:hint="eastAsia" w:ascii="宋体" w:hAnsi="宋体"/>
              <w:sz w:val="24"/>
              <w:szCs w:val="24"/>
              <w:highlight w:val="none"/>
              <w:lang w:eastAsia="zh-CN"/>
            </w:rPr>
            <w:t>竞选文件</w:t>
          </w:r>
          <w:r>
            <w:rPr>
              <w:rFonts w:hint="eastAsia" w:ascii="宋体" w:hAnsi="宋体"/>
              <w:sz w:val="24"/>
              <w:szCs w:val="24"/>
              <w:highlight w:val="none"/>
            </w:rPr>
            <w:t>格式</w:t>
          </w:r>
          <w:r>
            <w:rPr>
              <w:sz w:val="24"/>
              <w:szCs w:val="24"/>
            </w:rPr>
            <w:tab/>
          </w:r>
          <w:r>
            <w:rPr>
              <w:sz w:val="24"/>
              <w:szCs w:val="24"/>
            </w:rPr>
            <w:fldChar w:fldCharType="begin"/>
          </w:r>
          <w:r>
            <w:rPr>
              <w:sz w:val="24"/>
              <w:szCs w:val="24"/>
            </w:rPr>
            <w:instrText xml:space="preserve"> PAGEREF _Toc3098 \h </w:instrText>
          </w:r>
          <w:r>
            <w:rPr>
              <w:sz w:val="24"/>
              <w:szCs w:val="24"/>
            </w:rPr>
            <w:fldChar w:fldCharType="separate"/>
          </w:r>
          <w:r>
            <w:rPr>
              <w:sz w:val="24"/>
              <w:szCs w:val="24"/>
            </w:rPr>
            <w:t>110</w:t>
          </w:r>
          <w:r>
            <w:rPr>
              <w:sz w:val="24"/>
              <w:szCs w:val="24"/>
            </w:rPr>
            <w:fldChar w:fldCharType="end"/>
          </w:r>
          <w:r>
            <w:rPr>
              <w:sz w:val="24"/>
              <w:szCs w:val="24"/>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napToGrid w:val="0"/>
              <w:kern w:val="0"/>
              <w:highlight w:val="none"/>
            </w:rPr>
            <w:sectPr>
              <w:footerReference r:id="rId5" w:type="default"/>
              <w:pgSz w:w="11906" w:h="16838"/>
              <w:pgMar w:top="1134" w:right="1418" w:bottom="1134" w:left="1418" w:header="851" w:footer="992" w:gutter="0"/>
              <w:cols w:space="720" w:num="1"/>
              <w:docGrid w:type="lines" w:linePitch="312" w:charSpace="0"/>
            </w:sectPr>
          </w:pPr>
          <w:r>
            <w:rPr>
              <w:sz w:val="24"/>
              <w:szCs w:val="24"/>
            </w:rPr>
            <w:fldChar w:fldCharType="end"/>
          </w:r>
          <w:bookmarkStart w:id="17" w:name="_Toc21307"/>
        </w:p>
      </w:sdtContent>
    </w:sdt>
    <w:p>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9"/>
      <w:bookmarkEnd w:id="10"/>
      <w:bookmarkEnd w:id="11"/>
      <w:bookmarkEnd w:id="12"/>
      <w:bookmarkEnd w:id="13"/>
      <w:bookmarkEnd w:id="14"/>
      <w:bookmarkEnd w:id="15"/>
      <w:bookmarkEnd w:id="16"/>
      <w:bookmarkEnd w:id="17"/>
    </w:p>
    <w:p>
      <w:pPr>
        <w:pStyle w:val="4"/>
        <w:spacing w:before="100" w:after="100" w:line="460" w:lineRule="exact"/>
        <w:jc w:val="center"/>
        <w:rPr>
          <w:rFonts w:hint="eastAsia" w:ascii="宋体" w:hAnsi="宋体"/>
          <w:color w:val="0000FF"/>
          <w:kern w:val="0"/>
          <w:sz w:val="32"/>
          <w:szCs w:val="32"/>
          <w:highlight w:val="none"/>
          <w:u w:val="single"/>
          <w:lang w:val="en-US" w:eastAsia="zh-CN"/>
        </w:rPr>
      </w:pPr>
      <w:bookmarkStart w:id="18" w:name="_Toc430530416"/>
      <w:bookmarkStart w:id="19" w:name="_Toc224103299"/>
      <w:bookmarkStart w:id="20" w:name="_Toc200359427"/>
      <w:bookmarkStart w:id="21" w:name="_Toc200359238"/>
      <w:bookmarkStart w:id="22" w:name="_Toc509218692"/>
      <w:bookmarkStart w:id="23" w:name="_Toc26523"/>
      <w:bookmarkStart w:id="24" w:name="_Toc27491"/>
      <w:bookmarkStart w:id="25" w:name="_Toc287620667"/>
      <w:bookmarkStart w:id="26" w:name="_Toc287607728"/>
      <w:bookmarkStart w:id="27" w:name="_Toc277082536"/>
      <w:r>
        <w:rPr>
          <w:rFonts w:hint="eastAsia" w:ascii="宋体" w:hAnsi="宋体"/>
          <w:color w:val="0000FF"/>
          <w:kern w:val="0"/>
          <w:sz w:val="32"/>
          <w:szCs w:val="32"/>
          <w:highlight w:val="none"/>
          <w:u w:val="single"/>
          <w:lang w:eastAsia="zh-CN"/>
        </w:rPr>
        <w:t>经开.博睿庭（人才公寓）项目广告</w:t>
      </w:r>
      <w:r>
        <w:rPr>
          <w:rFonts w:hint="eastAsia" w:ascii="宋体" w:hAnsi="宋体"/>
          <w:color w:val="0000FF"/>
          <w:kern w:val="0"/>
          <w:sz w:val="32"/>
          <w:szCs w:val="32"/>
          <w:highlight w:val="none"/>
          <w:u w:val="single"/>
          <w:lang w:val="en-US" w:eastAsia="zh-CN"/>
        </w:rPr>
        <w:t>媒体（2024年5月）</w:t>
      </w:r>
    </w:p>
    <w:p>
      <w:pPr>
        <w:pStyle w:val="4"/>
        <w:spacing w:before="100" w:after="100" w:line="460" w:lineRule="exact"/>
        <w:jc w:val="center"/>
        <w:rPr>
          <w:rFonts w:hint="eastAsia" w:ascii="宋体" w:hAnsi="宋体"/>
          <w:color w:val="0000FF"/>
          <w:kern w:val="0"/>
          <w:sz w:val="32"/>
          <w:szCs w:val="32"/>
          <w:highlight w:val="none"/>
          <w:u w:val="single"/>
          <w:lang w:val="en-US" w:eastAsia="zh-CN"/>
        </w:rPr>
      </w:pPr>
      <w:r>
        <w:rPr>
          <w:rFonts w:hint="eastAsia" w:ascii="宋体" w:hAnsi="宋体"/>
          <w:color w:val="0000FF"/>
          <w:kern w:val="0"/>
          <w:sz w:val="32"/>
          <w:szCs w:val="32"/>
          <w:highlight w:val="none"/>
          <w:u w:val="single"/>
          <w:lang w:val="en-US" w:eastAsia="zh-CN"/>
        </w:rPr>
        <w:t>（第二次）</w:t>
      </w:r>
    </w:p>
    <w:p>
      <w:pPr>
        <w:pStyle w:val="4"/>
        <w:spacing w:before="100" w:after="100" w:line="460" w:lineRule="exact"/>
        <w:jc w:val="both"/>
        <w:rPr>
          <w:rFonts w:ascii="宋体" w:hAnsi="宋体"/>
          <w:snapToGrid w:val="0"/>
          <w:color w:val="auto"/>
          <w:sz w:val="28"/>
          <w:szCs w:val="28"/>
          <w:highlight w:val="none"/>
        </w:rPr>
      </w:pPr>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8"/>
      <w:bookmarkEnd w:id="19"/>
      <w:bookmarkEnd w:id="20"/>
      <w:bookmarkEnd w:id="21"/>
      <w:bookmarkEnd w:id="22"/>
      <w:bookmarkEnd w:id="23"/>
      <w:bookmarkEnd w:id="24"/>
      <w:bookmarkEnd w:id="25"/>
      <w:bookmarkEnd w:id="26"/>
      <w:bookmarkEnd w:id="27"/>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经开.博睿庭（人才公寓）项目广告</w:t>
      </w:r>
      <w:r>
        <w:rPr>
          <w:rFonts w:hint="eastAsia" w:ascii="宋体" w:hAnsi="宋体"/>
          <w:snapToGrid w:val="0"/>
          <w:color w:val="auto"/>
          <w:kern w:val="0"/>
          <w:szCs w:val="21"/>
          <w:highlight w:val="none"/>
          <w:u w:val="single"/>
          <w:lang w:val="en-US" w:eastAsia="zh-CN"/>
        </w:rPr>
        <w:t>媒体（2024年5月）（第二次）</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pPr>
        <w:pStyle w:val="4"/>
        <w:spacing w:before="100" w:after="100" w:line="460" w:lineRule="exact"/>
        <w:rPr>
          <w:rFonts w:ascii="宋体" w:hAnsi="宋体"/>
          <w:snapToGrid w:val="0"/>
          <w:color w:val="auto"/>
          <w:sz w:val="28"/>
          <w:szCs w:val="28"/>
          <w:highlight w:val="none"/>
        </w:rPr>
      </w:pPr>
      <w:bookmarkStart w:id="28" w:name="_Toc430530417"/>
      <w:bookmarkStart w:id="29" w:name="_Toc277082537"/>
      <w:bookmarkStart w:id="30" w:name="_Toc224103300"/>
      <w:bookmarkStart w:id="31" w:name="_Toc16344"/>
      <w:bookmarkStart w:id="32" w:name="_Toc200359239"/>
      <w:bookmarkStart w:id="33" w:name="_Toc22556"/>
      <w:bookmarkStart w:id="34" w:name="_Toc509218693"/>
      <w:bookmarkStart w:id="35" w:name="_Toc287607729"/>
      <w:bookmarkStart w:id="36" w:name="_Toc200359428"/>
      <w:bookmarkStart w:id="37" w:name="_Toc28762066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8"/>
      <w:bookmarkEnd w:id="29"/>
      <w:bookmarkEnd w:id="30"/>
      <w:bookmarkEnd w:id="31"/>
      <w:bookmarkEnd w:id="32"/>
      <w:bookmarkEnd w:id="33"/>
      <w:bookmarkEnd w:id="34"/>
      <w:bookmarkEnd w:id="35"/>
      <w:bookmarkEnd w:id="36"/>
      <w:bookmarkEnd w:id="37"/>
    </w:p>
    <w:p>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 xml:space="preserve">2.1 </w:t>
      </w:r>
      <w:r>
        <w:rPr>
          <w:rFonts w:hint="eastAsia" w:ascii="宋体" w:hAnsi="宋体"/>
          <w:snapToGrid w:val="0"/>
          <w:color w:val="auto"/>
          <w:kern w:val="0"/>
          <w:szCs w:val="21"/>
          <w:highlight w:val="none"/>
          <w:u w:val="single"/>
          <w:lang w:val="en-US" w:eastAsia="zh-CN"/>
        </w:rPr>
        <w:t>项目</w:t>
      </w:r>
      <w:r>
        <w:rPr>
          <w:rFonts w:hint="eastAsia" w:ascii="宋体" w:hAnsi="宋体"/>
          <w:snapToGrid w:val="0"/>
          <w:color w:val="auto"/>
          <w:kern w:val="0"/>
          <w:szCs w:val="21"/>
          <w:highlight w:val="none"/>
          <w:u w:val="single"/>
        </w:rPr>
        <w:t>地点：重庆</w:t>
      </w:r>
      <w:r>
        <w:rPr>
          <w:rFonts w:hint="eastAsia" w:ascii="宋体" w:hAnsi="宋体"/>
          <w:snapToGrid w:val="0"/>
          <w:color w:val="auto"/>
          <w:kern w:val="0"/>
          <w:szCs w:val="21"/>
          <w:highlight w:val="none"/>
          <w:u w:val="single"/>
          <w:lang w:eastAsia="zh-CN"/>
        </w:rPr>
        <w:t>经开区</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w:t>
      </w:r>
      <w:r>
        <w:rPr>
          <w:rFonts w:hint="eastAsia" w:ascii="宋体" w:hAnsi="宋体"/>
          <w:snapToGrid w:val="0"/>
          <w:color w:val="auto"/>
          <w:kern w:val="0"/>
          <w:szCs w:val="21"/>
          <w:highlight w:val="none"/>
          <w:u w:val="single"/>
          <w:lang w:val="en-US" w:eastAsia="zh-CN"/>
        </w:rPr>
        <w:t>工作内容</w:t>
      </w:r>
      <w:r>
        <w:rPr>
          <w:rFonts w:hint="eastAsia" w:ascii="宋体" w:hAnsi="宋体"/>
          <w:snapToGrid w:val="0"/>
          <w:color w:val="auto"/>
          <w:kern w:val="0"/>
          <w:szCs w:val="21"/>
          <w:highlight w:val="none"/>
          <w:u w:val="single"/>
        </w:rPr>
        <w:t>：</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b w:val="0"/>
          <w:bCs w:val="0"/>
          <w:snapToGrid w:val="0"/>
          <w:color w:val="auto"/>
          <w:kern w:val="0"/>
          <w:szCs w:val="21"/>
          <w:highlight w:val="none"/>
          <w:u w:val="none"/>
          <w:lang w:val="en-US" w:eastAsia="zh-CN"/>
        </w:rPr>
      </w:pPr>
      <w:r>
        <w:rPr>
          <w:rFonts w:hint="eastAsia" w:ascii="宋体" w:hAnsi="宋体"/>
          <w:b w:val="0"/>
          <w:bCs w:val="0"/>
          <w:snapToGrid w:val="0"/>
          <w:color w:val="auto"/>
          <w:kern w:val="0"/>
          <w:szCs w:val="21"/>
          <w:highlight w:val="none"/>
          <w:u w:val="single"/>
        </w:rPr>
        <w:t>1.网络媒体广告：APP房产首页焦点图(第1-4帧之内），投放时间为2天；APP房产首页（信息流30常规-重庆），投放时间为2天；APP房产重庆首页热盘推荐，投放时间为2天；APP开机屏3天；APP重磅推荐3天；APP原创稿件1篇；品质好房榜单1次。</w:t>
      </w:r>
      <w:r>
        <w:rPr>
          <w:rFonts w:hint="eastAsia" w:ascii="宋体" w:hAnsi="宋体"/>
          <w:b w:val="0"/>
          <w:bCs w:val="0"/>
          <w:snapToGrid w:val="0"/>
          <w:color w:val="auto"/>
          <w:kern w:val="0"/>
          <w:szCs w:val="21"/>
          <w:highlight w:val="none"/>
          <w:u w:val="single"/>
        </w:rPr>
        <w:br w:type="textWrapping"/>
      </w:r>
      <w:r>
        <w:rPr>
          <w:rFonts w:hint="eastAsia" w:ascii="宋体" w:hAnsi="宋体"/>
          <w:b w:val="0"/>
          <w:bCs w:val="0"/>
          <w:snapToGrid w:val="0"/>
          <w:color w:val="auto"/>
          <w:kern w:val="0"/>
          <w:szCs w:val="21"/>
          <w:highlight w:val="none"/>
          <w:u w:val="none"/>
          <w:lang w:val="en-US" w:eastAsia="zh-CN"/>
        </w:rPr>
        <w:t xml:space="preserve">    </w:t>
      </w:r>
      <w:r>
        <w:rPr>
          <w:rFonts w:hint="eastAsia" w:ascii="宋体" w:hAnsi="宋体"/>
          <w:b w:val="0"/>
          <w:bCs w:val="0"/>
          <w:snapToGrid w:val="0"/>
          <w:color w:val="auto"/>
          <w:kern w:val="0"/>
          <w:szCs w:val="21"/>
          <w:highlight w:val="none"/>
          <w:u w:val="single"/>
        </w:rPr>
        <w:t>2.朋友圈广告：图文或视频</w:t>
      </w:r>
      <w:r>
        <w:rPr>
          <w:rFonts w:hint="eastAsia" w:ascii="宋体" w:hAnsi="宋体"/>
          <w:b w:val="0"/>
          <w:bCs w:val="0"/>
          <w:snapToGrid w:val="0"/>
          <w:color w:val="auto"/>
          <w:kern w:val="0"/>
          <w:szCs w:val="21"/>
          <w:highlight w:val="none"/>
          <w:u w:val="single"/>
          <w:lang w:eastAsia="zh-CN"/>
        </w:rPr>
        <w:t>，</w:t>
      </w:r>
      <w:r>
        <w:rPr>
          <w:rFonts w:hint="eastAsia" w:ascii="宋体" w:hAnsi="宋体"/>
          <w:b w:val="0"/>
          <w:bCs w:val="0"/>
          <w:snapToGrid w:val="0"/>
          <w:color w:val="auto"/>
          <w:kern w:val="0"/>
          <w:szCs w:val="21"/>
          <w:highlight w:val="none"/>
          <w:u w:val="single"/>
        </w:rPr>
        <w:t>曝光量不低于62.5万次（以实际投放天数为准）</w:t>
      </w:r>
      <w:r>
        <w:rPr>
          <w:rFonts w:hint="eastAsia" w:ascii="宋体" w:hAnsi="宋体"/>
          <w:b w:val="0"/>
          <w:bCs w:val="0"/>
          <w:snapToGrid w:val="0"/>
          <w:color w:val="auto"/>
          <w:kern w:val="0"/>
          <w:szCs w:val="21"/>
          <w:highlight w:val="none"/>
          <w:u w:val="single"/>
          <w:lang w:eastAsia="zh-CN"/>
        </w:rPr>
        <w:t>。</w:t>
      </w:r>
      <w:r>
        <w:rPr>
          <w:rFonts w:hint="eastAsia" w:ascii="宋体" w:hAnsi="宋体"/>
          <w:b w:val="0"/>
          <w:bCs w:val="0"/>
          <w:snapToGrid w:val="0"/>
          <w:color w:val="auto"/>
          <w:kern w:val="0"/>
          <w:szCs w:val="21"/>
          <w:highlight w:val="none"/>
          <w:u w:val="single"/>
        </w:rPr>
        <w:br w:type="textWrapping"/>
      </w:r>
      <w:r>
        <w:rPr>
          <w:rFonts w:hint="eastAsia" w:ascii="宋体" w:hAnsi="宋体"/>
          <w:b w:val="0"/>
          <w:bCs w:val="0"/>
          <w:snapToGrid w:val="0"/>
          <w:color w:val="auto"/>
          <w:kern w:val="0"/>
          <w:szCs w:val="21"/>
          <w:highlight w:val="none"/>
          <w:u w:val="none"/>
          <w:lang w:val="en-US" w:eastAsia="zh-CN"/>
        </w:rPr>
        <w:t xml:space="preserve">    </w:t>
      </w:r>
      <w:r>
        <w:rPr>
          <w:rFonts w:hint="eastAsia" w:ascii="宋体" w:hAnsi="宋体"/>
          <w:b w:val="0"/>
          <w:bCs w:val="0"/>
          <w:snapToGrid w:val="0"/>
          <w:color w:val="auto"/>
          <w:kern w:val="0"/>
          <w:szCs w:val="21"/>
          <w:highlight w:val="none"/>
          <w:u w:val="single"/>
        </w:rPr>
        <w:t>3.户外广告：投放时间为4个月，含项目辖区核心地段户外T牌广告2块（面积 18米x6米x2面）</w:t>
      </w:r>
      <w:r>
        <w:rPr>
          <w:rFonts w:hint="eastAsia" w:ascii="宋体" w:hAnsi="宋体"/>
          <w:b w:val="0"/>
          <w:bCs w:val="0"/>
          <w:snapToGrid w:val="0"/>
          <w:color w:val="auto"/>
          <w:kern w:val="0"/>
          <w:szCs w:val="21"/>
          <w:highlight w:val="none"/>
          <w:u w:val="single"/>
          <w:lang w:eastAsia="zh-CN"/>
        </w:rPr>
        <w:t>。</w:t>
      </w:r>
      <w:r>
        <w:rPr>
          <w:rFonts w:hint="eastAsia" w:ascii="宋体" w:hAnsi="宋体"/>
          <w:b w:val="0"/>
          <w:bCs w:val="0"/>
          <w:snapToGrid w:val="0"/>
          <w:color w:val="auto"/>
          <w:kern w:val="0"/>
          <w:szCs w:val="21"/>
          <w:highlight w:val="none"/>
          <w:u w:val="none"/>
          <w:lang w:val="en-US" w:eastAsia="zh-CN"/>
        </w:rPr>
        <w:t xml:space="preserve">        </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4.物业广告：投放时间为12个月，含项目辖区1家物业公司所属物业电梯、道闸、海报、桁架、墙体喷绘、展架、停车小票和宣传栏、城市展厅等广告。</w:t>
      </w:r>
    </w:p>
    <w:p>
      <w:pPr>
        <w:pStyle w:val="2"/>
        <w:ind w:firstLine="422" w:firstLineChars="200"/>
        <w:jc w:val="both"/>
        <w:rPr>
          <w:rFonts w:hint="eastAsia"/>
          <w:b/>
          <w:bCs/>
          <w:color w:val="auto"/>
          <w:lang w:eastAsia="zh-CN"/>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32万</w:t>
      </w:r>
      <w:r>
        <w:rPr>
          <w:rFonts w:hint="eastAsia" w:ascii="宋体" w:hAnsi="宋体"/>
          <w:snapToGrid w:val="0"/>
          <w:color w:val="auto"/>
          <w:kern w:val="0"/>
          <w:szCs w:val="21"/>
          <w:highlight w:val="none"/>
          <w:u w:val="single"/>
        </w:rPr>
        <w:t>元</w:t>
      </w:r>
    </w:p>
    <w:p>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u w:val="non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服务期</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val="en-US" w:eastAsia="zh-CN"/>
        </w:rPr>
        <w:t>媒</w:t>
      </w:r>
      <w:r>
        <w:rPr>
          <w:rFonts w:hint="eastAsia" w:ascii="宋体" w:hAnsi="宋体"/>
          <w:snapToGrid w:val="0"/>
          <w:color w:val="auto"/>
          <w:kern w:val="0"/>
          <w:szCs w:val="21"/>
          <w:highlight w:val="none"/>
          <w:u w:val="none"/>
          <w:lang w:val="en-US" w:eastAsia="zh-CN"/>
        </w:rPr>
        <w:t>体广告1个月内（以实际投放天数为准）</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户外广告4个月，物业广告12个月。以广告实际发布日期为准。最迟应在合同约定广告发布期限之后的6个月内确定并完成发布。</w:t>
      </w:r>
    </w:p>
    <w:p>
      <w:pPr>
        <w:pStyle w:val="4"/>
        <w:spacing w:before="100" w:after="100" w:line="460" w:lineRule="exact"/>
        <w:rPr>
          <w:rFonts w:ascii="宋体" w:hAnsi="宋体"/>
          <w:snapToGrid w:val="0"/>
          <w:sz w:val="28"/>
          <w:szCs w:val="28"/>
          <w:highlight w:val="none"/>
        </w:rPr>
      </w:pPr>
      <w:bookmarkStart w:id="38" w:name="_Toc200359240"/>
      <w:bookmarkStart w:id="39" w:name="_Toc277082538"/>
      <w:bookmarkStart w:id="40" w:name="_Toc5240"/>
      <w:bookmarkStart w:id="41" w:name="_Toc509218694"/>
      <w:bookmarkStart w:id="42" w:name="_Toc200359429"/>
      <w:bookmarkStart w:id="43" w:name="_Toc224103301"/>
      <w:bookmarkStart w:id="44" w:name="_Toc287620669"/>
      <w:bookmarkStart w:id="45" w:name="_Toc430530418"/>
      <w:bookmarkStart w:id="46" w:name="_Toc19513"/>
      <w:bookmarkStart w:id="47" w:name="_Toc287607730"/>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8"/>
      <w:bookmarkEnd w:id="39"/>
      <w:bookmarkEnd w:id="40"/>
      <w:bookmarkEnd w:id="41"/>
      <w:bookmarkEnd w:id="42"/>
      <w:bookmarkEnd w:id="43"/>
      <w:bookmarkEnd w:id="44"/>
      <w:bookmarkEnd w:id="45"/>
      <w:bookmarkEnd w:id="46"/>
      <w:bookmarkEnd w:id="47"/>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pPr>
        <w:spacing w:line="360" w:lineRule="auto"/>
        <w:ind w:firstLine="420" w:firstLineChars="200"/>
        <w:rPr>
          <w:rFonts w:hint="eastAsia" w:ascii="宋体" w:hAnsi="宋体" w:eastAsia="宋体"/>
          <w:snapToGrid w:val="0"/>
          <w:color w:val="auto"/>
          <w:kern w:val="0"/>
          <w:szCs w:val="21"/>
          <w:highlight w:val="none"/>
          <w:u w:val="single"/>
          <w:lang w:eastAsia="zh-CN"/>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 xml:space="preserve"> 具备有效营业执照。</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w:t>
      </w:r>
      <w:bookmarkStart w:id="433" w:name="_GoBack"/>
      <w:bookmarkEnd w:id="433"/>
      <w:r>
        <w:rPr>
          <w:rFonts w:ascii="宋体" w:hAnsi="宋体"/>
          <w:snapToGrid w:val="0"/>
          <w:kern w:val="0"/>
          <w:szCs w:val="21"/>
          <w:highlight w:val="none"/>
        </w:rPr>
        <w:t>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pPr>
        <w:pStyle w:val="4"/>
        <w:spacing w:before="100" w:after="100" w:line="460" w:lineRule="exact"/>
        <w:rPr>
          <w:rFonts w:ascii="宋体" w:hAnsi="宋体"/>
          <w:snapToGrid w:val="0"/>
          <w:sz w:val="28"/>
          <w:szCs w:val="28"/>
          <w:highlight w:val="none"/>
        </w:rPr>
      </w:pPr>
      <w:bookmarkStart w:id="48" w:name="_Toc13751"/>
      <w:bookmarkStart w:id="49" w:name="_Toc287607731"/>
      <w:bookmarkStart w:id="50" w:name="_Toc287620670"/>
      <w:bookmarkStart w:id="51" w:name="_Toc200359430"/>
      <w:bookmarkStart w:id="52" w:name="_Toc200359241"/>
      <w:bookmarkStart w:id="53" w:name="_Toc10508"/>
      <w:bookmarkStart w:id="54" w:name="_Toc277082539"/>
      <w:bookmarkStart w:id="55" w:name="_Toc430530419"/>
      <w:bookmarkStart w:id="56" w:name="_Toc224103302"/>
      <w:bookmarkStart w:id="57" w:name="_Toc509218695"/>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8"/>
      <w:bookmarkEnd w:id="49"/>
      <w:bookmarkEnd w:id="50"/>
      <w:bookmarkEnd w:id="51"/>
      <w:bookmarkEnd w:id="52"/>
      <w:bookmarkEnd w:id="53"/>
      <w:bookmarkEnd w:id="54"/>
      <w:bookmarkEnd w:id="55"/>
      <w:bookmarkEnd w:id="56"/>
      <w:bookmarkEnd w:id="57"/>
    </w:p>
    <w:p>
      <w:pPr>
        <w:widowControl/>
        <w:spacing w:line="360" w:lineRule="auto"/>
        <w:ind w:firstLine="420" w:firstLineChars="200"/>
        <w:rPr>
          <w:rFonts w:cs="宋体" w:asciiTheme="minorEastAsia" w:hAnsiTheme="minorEastAsia" w:eastAsiaTheme="minorEastAsia"/>
          <w:kern w:val="0"/>
          <w:sz w:val="21"/>
          <w:szCs w:val="21"/>
        </w:rPr>
      </w:pPr>
      <w:bookmarkStart w:id="58" w:name="_Toc287620671"/>
      <w:bookmarkStart w:id="59" w:name="_Toc3893"/>
      <w:bookmarkStart w:id="60" w:name="_Toc200359431"/>
      <w:bookmarkStart w:id="61" w:name="_Toc28449"/>
      <w:bookmarkStart w:id="62" w:name="_Toc277082540"/>
      <w:bookmarkStart w:id="63" w:name="_Toc224103303"/>
      <w:bookmarkStart w:id="64" w:name="_Toc509218696"/>
      <w:bookmarkStart w:id="65" w:name="_Toc200359242"/>
      <w:bookmarkStart w:id="66" w:name="_Toc287607732"/>
      <w:bookmarkStart w:id="67" w:name="_Toc430530420"/>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8"/>
      <w:bookmarkEnd w:id="59"/>
      <w:bookmarkEnd w:id="60"/>
      <w:bookmarkEnd w:id="61"/>
      <w:bookmarkEnd w:id="62"/>
      <w:bookmarkEnd w:id="63"/>
      <w:bookmarkEnd w:id="64"/>
      <w:bookmarkEnd w:id="65"/>
      <w:bookmarkEnd w:id="66"/>
      <w:bookmarkEnd w:id="67"/>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5</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27</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pPr>
        <w:pStyle w:val="4"/>
        <w:spacing w:before="100" w:after="100" w:line="460" w:lineRule="exact"/>
        <w:rPr>
          <w:rFonts w:ascii="宋体" w:hAnsi="宋体"/>
          <w:snapToGrid w:val="0"/>
          <w:sz w:val="28"/>
          <w:szCs w:val="28"/>
          <w:highlight w:val="none"/>
        </w:rPr>
      </w:pPr>
      <w:bookmarkStart w:id="68" w:name="_Toc287620672"/>
      <w:bookmarkStart w:id="69" w:name="_Toc200359432"/>
      <w:bookmarkStart w:id="70" w:name="_Toc224103304"/>
      <w:bookmarkStart w:id="71" w:name="_Toc277082541"/>
      <w:bookmarkStart w:id="72" w:name="_Toc509218697"/>
      <w:bookmarkStart w:id="73" w:name="_Toc8166"/>
      <w:bookmarkStart w:id="74" w:name="_Toc19071"/>
      <w:bookmarkStart w:id="75" w:name="_Toc200359243"/>
      <w:bookmarkStart w:id="76" w:name="_Toc287607733"/>
      <w:bookmarkStart w:id="77" w:name="_Toc430530421"/>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8"/>
      <w:bookmarkEnd w:id="69"/>
      <w:bookmarkEnd w:id="70"/>
      <w:bookmarkEnd w:id="71"/>
      <w:bookmarkEnd w:id="72"/>
      <w:bookmarkEnd w:id="73"/>
      <w:bookmarkEnd w:id="74"/>
      <w:bookmarkEnd w:id="75"/>
      <w:bookmarkEnd w:id="76"/>
      <w:bookmarkEnd w:id="77"/>
    </w:p>
    <w:p>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pPr>
        <w:pStyle w:val="4"/>
        <w:spacing w:before="100" w:after="100" w:line="460" w:lineRule="exact"/>
        <w:rPr>
          <w:rFonts w:ascii="宋体" w:hAnsi="宋体"/>
          <w:snapToGrid w:val="0"/>
          <w:sz w:val="28"/>
          <w:szCs w:val="28"/>
          <w:highlight w:val="none"/>
        </w:rPr>
      </w:pPr>
      <w:bookmarkStart w:id="78" w:name="_Toc14240"/>
      <w:bookmarkStart w:id="79" w:name="_Toc31352"/>
      <w:bookmarkStart w:id="80" w:name="_Toc224103305"/>
      <w:bookmarkStart w:id="81" w:name="_Toc430530422"/>
      <w:bookmarkStart w:id="82" w:name="_Toc769"/>
      <w:bookmarkStart w:id="83" w:name="_Toc509218698"/>
      <w:bookmarkStart w:id="84" w:name="_Toc277082542"/>
      <w:bookmarkStart w:id="85" w:name="_Toc287607734"/>
      <w:bookmarkStart w:id="86" w:name="_Toc287620673"/>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7"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p>
    <w:p>
      <w:pPr>
        <w:spacing w:line="360" w:lineRule="auto"/>
        <w:ind w:firstLine="420" w:firstLineChars="200"/>
        <w:rPr>
          <w:rFonts w:cs="宋体" w:asciiTheme="minorEastAsia" w:hAnsiTheme="minorEastAsia" w:eastAsiaTheme="minorEastAsia"/>
          <w:kern w:val="0"/>
          <w:sz w:val="21"/>
          <w:szCs w:val="21"/>
        </w:rPr>
      </w:pPr>
      <w:bookmarkStart w:id="88" w:name="_Toc32148"/>
      <w:bookmarkStart w:id="89" w:name="_Toc430530432"/>
      <w:bookmarkStart w:id="90" w:name="_Toc287607744"/>
      <w:bookmarkStart w:id="91" w:name="_Toc224103315"/>
      <w:bookmarkStart w:id="92" w:name="_Toc287620683"/>
      <w:r>
        <w:rPr>
          <w:rFonts w:hint="eastAsia" w:cs="宋体" w:asciiTheme="minorEastAsia" w:hAnsiTheme="minorEastAsia" w:eastAsiaTheme="minorEastAsia"/>
          <w:kern w:val="0"/>
          <w:sz w:val="21"/>
          <w:szCs w:val="21"/>
        </w:rPr>
        <w:t>比选人：重庆经开区投资集团有限公司</w:t>
      </w:r>
    </w:p>
    <w:p>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pPr>
        <w:spacing w:line="360" w:lineRule="auto"/>
        <w:ind w:firstLine="420" w:firstLineChars="200"/>
        <w:rPr>
          <w:rFonts w:cs="宋体" w:asciiTheme="minorEastAsia" w:hAnsiTheme="minorEastAsia" w:eastAsiaTheme="minorEastAsia"/>
          <w:kern w:val="0"/>
          <w:sz w:val="21"/>
          <w:szCs w:val="21"/>
          <w:lang w:val="zh-CN"/>
        </w:rPr>
      </w:pPr>
      <w:r>
        <w:rPr>
          <w:rFonts w:hint="eastAsia" w:cs="宋体" w:asciiTheme="minorEastAsia" w:hAnsiTheme="minorEastAsia" w:eastAsiaTheme="minorEastAsia"/>
          <w:kern w:val="0"/>
          <w:sz w:val="21"/>
          <w:szCs w:val="21"/>
        </w:rPr>
        <w:t>电  话：</w:t>
      </w:r>
      <w:r>
        <w:rPr>
          <w:rFonts w:hint="eastAsia" w:ascii="宋体" w:hAnsi="宋体" w:cs="宋体"/>
          <w:kern w:val="0"/>
          <w:sz w:val="21"/>
          <w:szCs w:val="21"/>
        </w:rPr>
        <w:t>13883283726</w:t>
      </w:r>
    </w:p>
    <w:p>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pPr>
        <w:pStyle w:val="18"/>
        <w:rPr>
          <w:rFonts w:hint="default" w:eastAsia="宋体"/>
          <w:lang w:val="en-US" w:eastAsia="zh-CN"/>
        </w:rPr>
      </w:pPr>
      <w:r>
        <w:rPr>
          <w:rFonts w:hint="eastAsia"/>
          <w:lang w:val="en-US" w:eastAsia="zh-CN"/>
        </w:rPr>
        <w:t xml:space="preserve">    邮  箱：50417679@qq.com</w:t>
      </w: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17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pPr>
        <w:pStyle w:val="3"/>
        <w:spacing w:line="360" w:lineRule="auto"/>
        <w:jc w:val="center"/>
        <w:rPr>
          <w:rFonts w:ascii="宋体" w:hAnsi="宋体"/>
          <w:bCs w:val="0"/>
          <w:snapToGrid w:val="0"/>
          <w:kern w:val="0"/>
          <w:highlight w:val="none"/>
        </w:rPr>
      </w:pPr>
      <w:bookmarkStart w:id="93" w:name="_Toc22622"/>
      <w:bookmarkStart w:id="94" w:name="_Toc5447"/>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8"/>
      <w:bookmarkEnd w:id="89"/>
      <w:bookmarkEnd w:id="90"/>
      <w:bookmarkEnd w:id="91"/>
      <w:bookmarkEnd w:id="92"/>
      <w:bookmarkEnd w:id="93"/>
      <w:bookmarkEnd w:id="94"/>
      <w:bookmarkStart w:id="95" w:name="_Toc287607745"/>
      <w:bookmarkStart w:id="96" w:name="_Toc224103316"/>
      <w:bookmarkStart w:id="97" w:name="_Toc287620684"/>
      <w:bookmarkStart w:id="98" w:name="_Toc430530433"/>
      <w:bookmarkStart w:id="99" w:name="_Toc277082551"/>
    </w:p>
    <w:p>
      <w:pPr>
        <w:pStyle w:val="4"/>
        <w:spacing w:before="100" w:after="100" w:line="360" w:lineRule="auto"/>
        <w:rPr>
          <w:rFonts w:ascii="宋体" w:hAnsi="宋体"/>
          <w:highlight w:val="none"/>
        </w:rPr>
      </w:pPr>
      <w:bookmarkStart w:id="100" w:name="_Toc8005"/>
      <w:bookmarkStart w:id="101" w:name="_Toc509218708"/>
      <w:bookmarkStart w:id="102" w:name="_Toc31303"/>
      <w:r>
        <w:rPr>
          <w:rFonts w:hint="eastAsia" w:ascii="宋体" w:hAnsi="宋体"/>
          <w:highlight w:val="none"/>
          <w:lang w:eastAsia="zh-CN"/>
        </w:rPr>
        <w:t>竞选人</w:t>
      </w:r>
      <w:r>
        <w:rPr>
          <w:rFonts w:hint="eastAsia" w:ascii="宋体" w:hAnsi="宋体"/>
          <w:highlight w:val="none"/>
        </w:rPr>
        <w:t>须知前附表</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：重庆新汇商实业有限公司</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pPr>
              <w:pStyle w:val="18"/>
            </w:pPr>
            <w:r>
              <w:rPr>
                <w:rFonts w:hint="eastAsia"/>
                <w:lang w:val="en-US" w:eastAsia="zh-CN"/>
              </w:rPr>
              <w:t xml:space="preserve">  邮  箱：50417679@qq.com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经开.博睿庭（人才公寓）项目广告媒体（2024年5月）（第二次）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项目</w:t>
            </w:r>
            <w:r>
              <w:rPr>
                <w:rFonts w:ascii="宋体" w:hAnsi="宋体"/>
                <w:kern w:val="0"/>
                <w:szCs w:val="21"/>
                <w:highlight w:val="none"/>
              </w:rPr>
              <w:t>地点</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snapToGrid w:val="0"/>
                <w:color w:val="auto"/>
                <w:kern w:val="0"/>
                <w:szCs w:val="21"/>
                <w:u w:val="none"/>
              </w:rPr>
              <w:t>重庆</w:t>
            </w:r>
            <w:r>
              <w:rPr>
                <w:rFonts w:hint="eastAsia" w:ascii="宋体" w:hAnsi="宋体"/>
                <w:snapToGrid w:val="0"/>
                <w:color w:val="auto"/>
                <w:kern w:val="0"/>
                <w:szCs w:val="21"/>
                <w:u w:val="none"/>
                <w:lang w:eastAsia="zh-CN"/>
              </w:rPr>
              <w:t>经开区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项目概况与工作内容</w:t>
            </w:r>
          </w:p>
        </w:tc>
        <w:tc>
          <w:tcPr>
            <w:tcW w:w="6490" w:type="dxa"/>
            <w:vAlign w:val="center"/>
          </w:tcPr>
          <w:p>
            <w:pPr>
              <w:numPr>
                <w:ilvl w:val="0"/>
                <w:numId w:val="0"/>
              </w:num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u w:val="single"/>
              </w:rPr>
              <w:t>网络媒体广告：APP房产首页焦点图(第1-4帧之内），投放时间为2天；APP房产首页（信息流30常规-重庆），投放时间为2天；APP房产重庆首页热盘推荐，投放时间为2天；APP开机屏3天；APP重磅推荐3天；APP原创稿件1篇；品质好房榜单1次。</w:t>
            </w:r>
            <w:r>
              <w:rPr>
                <w:rFonts w:hint="eastAsia" w:ascii="宋体" w:hAnsi="宋体"/>
                <w:snapToGrid w:val="0"/>
                <w:color w:val="auto"/>
                <w:kern w:val="0"/>
                <w:szCs w:val="21"/>
                <w:highlight w:val="none"/>
                <w:u w:val="single"/>
              </w:rPr>
              <w:br w:type="textWrapping"/>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u w:val="single"/>
              </w:rPr>
              <w:t>2.朋友圈广告：图文或视频曝光量不低于62.5万次（以实际投放天数为准）</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rPr>
              <w:br w:type="textWrapping"/>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u w:val="single"/>
              </w:rPr>
              <w:t>3.户外广告：投放时间为4个月，含项目辖区核心地段户外T牌广告2块（面积 18米x6米x2面）</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u w:val="single"/>
              </w:rPr>
              <w:t>4.物业广告：投放时间为12个月，含项目辖区1家物业公司所属物业电梯、道闸、海报、桁架、墙体喷绘、展架、停车小票和宣传栏、城市展厅等广告。</w:t>
            </w:r>
          </w:p>
          <w:p>
            <w:pPr>
              <w:pStyle w:val="2"/>
              <w:numPr>
                <w:ilvl w:val="0"/>
                <w:numId w:val="0"/>
              </w:numPr>
              <w:ind w:firstLine="422" w:firstLineChars="200"/>
              <w:jc w:val="both"/>
              <w:rPr>
                <w:rFonts w:hint="eastAsia"/>
                <w:lang w:val="en-US" w:eastAsia="zh-CN"/>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pPr>
              <w:snapToGrid w:val="0"/>
              <w:spacing w:line="400" w:lineRule="exact"/>
              <w:ind w:firstLine="210" w:firstLineChars="100"/>
              <w:rPr>
                <w:rFonts w:ascii="宋体" w:hAnsi="宋体"/>
                <w:i/>
                <w:color w:val="auto"/>
                <w:szCs w:val="21"/>
                <w:highlight w:val="none"/>
              </w:rPr>
            </w:pPr>
            <w:r>
              <w:rPr>
                <w:rFonts w:hint="eastAsia" w:ascii="宋体" w:hAnsi="宋体"/>
                <w:snapToGrid w:val="0"/>
                <w:color w:val="auto"/>
                <w:kern w:val="0"/>
                <w:szCs w:val="21"/>
                <w:highlight w:val="none"/>
                <w:u w:val="single"/>
              </w:rPr>
              <w:t>详见清单</w:t>
            </w:r>
            <w:r>
              <w:rPr>
                <w:rFonts w:ascii="宋体" w:hAnsi="宋体" w:eastAsia="宋体" w:cs="宋体"/>
                <w:spacing w:val="-4"/>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服务期</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auto"/>
                <w:kern w:val="0"/>
                <w:szCs w:val="21"/>
                <w:highlight w:val="none"/>
                <w:lang w:val="en-US" w:eastAsia="zh-CN"/>
              </w:rPr>
              <w:t>媒</w:t>
            </w:r>
            <w:r>
              <w:rPr>
                <w:rFonts w:hint="eastAsia" w:ascii="宋体" w:hAnsi="宋体"/>
                <w:snapToGrid w:val="0"/>
                <w:color w:val="auto"/>
                <w:kern w:val="0"/>
                <w:szCs w:val="21"/>
                <w:highlight w:val="none"/>
                <w:u w:val="none"/>
                <w:lang w:val="en-US" w:eastAsia="zh-CN"/>
              </w:rPr>
              <w:t>体广告1个月内（以实际投放天数为准）</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户外广告4个月，物业广告12个月。以广告实际发布日期为准。最迟应在合同约定广告发布期限之后的6个月内确定并完成发布。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pPr>
              <w:snapToGrid w:val="0"/>
              <w:spacing w:line="400" w:lineRule="exact"/>
              <w:ind w:firstLine="210" w:firstLineChars="100"/>
              <w:rPr>
                <w:rFonts w:hint="default" w:ascii="宋体" w:hAnsi="宋体" w:eastAsia="宋体"/>
                <w:szCs w:val="21"/>
                <w:highlight w:val="none"/>
                <w:lang w:val="en-US" w:eastAsia="zh-CN"/>
              </w:rPr>
            </w:pPr>
            <w:r>
              <w:rPr>
                <w:rFonts w:hint="eastAsia" w:ascii="宋体" w:hAnsi="宋体"/>
                <w:szCs w:val="21"/>
                <w:highlight w:val="none"/>
                <w:lang w:val="en-US" w:eastAsia="zh-CN"/>
              </w:rPr>
              <w:t>满足比选人要求，详见清单。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1335"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tc>
        <w:tc>
          <w:tcPr>
            <w:tcW w:w="1644"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tc>
        <w:tc>
          <w:tcPr>
            <w:tcW w:w="6490" w:type="dxa"/>
            <w:vAlign w:val="center"/>
          </w:tcPr>
          <w:p>
            <w:pPr>
              <w:autoSpaceDE w:val="0"/>
              <w:autoSpaceDN w:val="0"/>
              <w:adjustRightInd w:val="0"/>
              <w:snapToGrid w:val="0"/>
              <w:spacing w:line="400" w:lineRule="exact"/>
              <w:rPr>
                <w:rFonts w:ascii="宋体" w:hAnsi="宋体"/>
                <w:szCs w:val="21"/>
                <w:highlight w:val="none"/>
              </w:rPr>
            </w:pPr>
            <w:bookmarkStart w:id="103"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4" w:name="一是"/>
            <w:bookmarkEnd w:id="104"/>
            <w:r>
              <w:rPr>
                <w:rFonts w:ascii="宋体" w:hAnsi="宋体"/>
                <w:szCs w:val="21"/>
                <w:highlight w:val="none"/>
              </w:rPr>
              <w:t>具备以下资格条件：</w:t>
            </w:r>
          </w:p>
          <w:bookmarkEnd w:id="103"/>
          <w:p>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1.营业执照</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）具备有效的营业执照。</w:t>
            </w:r>
          </w:p>
          <w:p>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.投标截止日投标资格情况</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.其他人员要求</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委托代理人：</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月的连续养老保险。</w:t>
            </w:r>
          </w:p>
          <w:p>
            <w:pPr>
              <w:spacing w:line="400" w:lineRule="exact"/>
              <w:ind w:firstLine="420" w:firstLineChars="200"/>
              <w:rPr>
                <w:lang w:val="en-US" w:eastAsia="zh-CN"/>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5</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9</w:t>
            </w:r>
            <w:r>
              <w:rPr>
                <w:rFonts w:hint="eastAsia" w:asciiTheme="minorEastAsia" w:hAnsiTheme="minorEastAsia" w:eastAsiaTheme="minorEastAsia" w:cstheme="minorEastAsia"/>
                <w:snapToGrid w:val="0"/>
                <w:kern w:val="0"/>
                <w:sz w:val="21"/>
                <w:szCs w:val="21"/>
              </w:rPr>
              <w:t>日</w:t>
            </w:r>
            <w:r>
              <w:rPr>
                <w:rFonts w:hint="eastAsia" w:asciiTheme="minorEastAsia" w:hAnsiTheme="minorEastAsia" w:eastAsiaTheme="minorEastAsia" w:cstheme="minorEastAsia"/>
                <w:snapToGrid w:val="0"/>
                <w:kern w:val="0"/>
                <w:sz w:val="21"/>
                <w:szCs w:val="21"/>
                <w:lang w:val="en-US" w:eastAsia="zh-CN"/>
              </w:rPr>
              <w:t xml:space="preserve"> 12:00</w:t>
            </w:r>
            <w:r>
              <w:rPr>
                <w:rFonts w:hint="eastAsia" w:asciiTheme="minorEastAsia" w:hAnsiTheme="minorEastAsia" w:eastAsiaTheme="minorEastAsia" w:cstheme="minorEastAsia"/>
                <w:snapToGrid w:val="0"/>
                <w:kern w:val="0"/>
                <w:sz w:val="21"/>
                <w:szCs w:val="21"/>
              </w:rPr>
              <w:t>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pPr>
              <w:pStyle w:val="18"/>
              <w:numPr>
                <w:ilvl w:val="0"/>
                <w:numId w:val="1"/>
              </w:numPr>
              <w:tabs>
                <w:tab w:val="left" w:pos="546"/>
                <w:tab w:val="left" w:pos="711"/>
                <w:tab w:val="clear" w:pos="312"/>
              </w:tabs>
              <w:snapToGrid w:val="0"/>
              <w:spacing w:after="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媒体广告（限价为5万元）：含1家主流网络媒体APP房产首页焦点图(第1-4帧之内），投放时间为2天；APP房产首页（信息流30常规-重庆），投放时间为2天；APP房产重庆首页热盘推荐，投放时间为2天；APP开机屏3天；APP重磅推荐3天；APP原创稿件1篇；品质好房榜单1次（如：凤凰网、房天下、安居客等）；</w:t>
            </w:r>
          </w:p>
          <w:p>
            <w:pPr>
              <w:pStyle w:val="18"/>
              <w:numPr>
                <w:ilvl w:val="0"/>
                <w:numId w:val="1"/>
              </w:numPr>
              <w:tabs>
                <w:tab w:val="left" w:pos="546"/>
                <w:tab w:val="left" w:pos="711"/>
                <w:tab w:val="clear" w:pos="312"/>
              </w:tabs>
              <w:snapToGrid w:val="0"/>
              <w:spacing w:after="0" w:line="400" w:lineRule="exact"/>
              <w:ind w:firstLine="420" w:firstLineChars="200"/>
              <w:rPr>
                <w:rFonts w:hint="default"/>
                <w:lang w:val="en-US" w:eastAsia="zh-CN"/>
              </w:rPr>
            </w:pPr>
            <w:r>
              <w:rPr>
                <w:rFonts w:hint="eastAsia" w:ascii="宋体" w:hAnsi="宋体"/>
                <w:szCs w:val="21"/>
                <w:highlight w:val="none"/>
                <w:lang w:val="en-US" w:eastAsia="zh-CN"/>
              </w:rPr>
              <w:t>媒体广告（限价为5万元）：1家新媒体图文或视频推广，曝光率不低于62.5万次（如：百度硬广、朋友圈图文、弹屏短信）；</w:t>
            </w:r>
          </w:p>
          <w:p>
            <w:pPr>
              <w:pStyle w:val="18"/>
              <w:numPr>
                <w:ilvl w:val="0"/>
                <w:numId w:val="0"/>
              </w:numPr>
              <w:tabs>
                <w:tab w:val="left" w:pos="546"/>
                <w:tab w:val="left" w:pos="711"/>
              </w:tabs>
              <w:snapToGrid w:val="0"/>
              <w:spacing w:after="0" w:line="400" w:lineRule="exact"/>
              <w:ind w:firstLine="420" w:firstLineChars="200"/>
              <w:rPr>
                <w:rFonts w:hint="default"/>
                <w:lang w:val="en-US" w:eastAsia="zh-CN"/>
              </w:rPr>
            </w:pPr>
            <w:r>
              <w:rPr>
                <w:rFonts w:hint="eastAsia" w:cs="Times New Roman"/>
                <w:kern w:val="2"/>
                <w:sz w:val="21"/>
                <w:szCs w:val="24"/>
                <w:lang w:val="en-US" w:eastAsia="zh-CN" w:bidi="ar-SA"/>
              </w:rPr>
              <w:t>3</w:t>
            </w:r>
            <w:r>
              <w:rPr>
                <w:rFonts w:hint="default" w:ascii="Times New Roman" w:hAnsi="Times New Roman" w:eastAsia="宋体" w:cs="Times New Roman"/>
                <w:kern w:val="2"/>
                <w:sz w:val="21"/>
                <w:szCs w:val="24"/>
                <w:lang w:val="en-US" w:eastAsia="zh-CN" w:bidi="ar-SA"/>
              </w:rPr>
              <w:t>.</w:t>
            </w:r>
            <w:r>
              <w:rPr>
                <w:rFonts w:hint="eastAsia"/>
                <w:lang w:val="en-US" w:eastAsia="zh-CN"/>
              </w:rPr>
              <w:t>户外广告（限价为14万元）：含项目辖区核心地段户外T牌广告</w:t>
            </w:r>
            <w:r>
              <w:rPr>
                <w:rFonts w:hint="eastAsia"/>
                <w:color w:val="auto"/>
                <w:lang w:val="en-US" w:eastAsia="zh-CN"/>
              </w:rPr>
              <w:t>2块（面积 18米x6米x2面）</w:t>
            </w:r>
            <w:r>
              <w:rPr>
                <w:rFonts w:hint="eastAsia"/>
                <w:lang w:val="en-US" w:eastAsia="zh-CN"/>
              </w:rPr>
              <w:t>（如：绕城高速迎龙立交T牌、玉马路T牌）；</w:t>
            </w:r>
          </w:p>
          <w:p>
            <w:pPr>
              <w:pStyle w:val="18"/>
              <w:numPr>
                <w:ilvl w:val="0"/>
                <w:numId w:val="0"/>
              </w:numPr>
              <w:tabs>
                <w:tab w:val="left" w:pos="546"/>
                <w:tab w:val="left" w:pos="711"/>
              </w:tabs>
              <w:snapToGrid w:val="0"/>
              <w:spacing w:after="0" w:line="400" w:lineRule="exact"/>
              <w:ind w:firstLine="420" w:firstLineChars="200"/>
              <w:rPr>
                <w:rFonts w:hint="eastAsia"/>
                <w:lang w:val="en-US" w:eastAsia="zh-CN"/>
              </w:rPr>
            </w:pPr>
            <w:r>
              <w:rPr>
                <w:rFonts w:hint="eastAsia" w:cs="Times New Roman"/>
                <w:kern w:val="2"/>
                <w:sz w:val="21"/>
                <w:szCs w:val="24"/>
                <w:lang w:val="en-US" w:eastAsia="zh-CN" w:bidi="ar-SA"/>
              </w:rPr>
              <w:t>4</w:t>
            </w:r>
            <w:r>
              <w:rPr>
                <w:rFonts w:hint="default" w:ascii="Times New Roman" w:hAnsi="Times New Roman" w:eastAsia="宋体" w:cs="Times New Roman"/>
                <w:kern w:val="2"/>
                <w:sz w:val="21"/>
                <w:szCs w:val="24"/>
                <w:lang w:val="en-US" w:eastAsia="zh-CN" w:bidi="ar-SA"/>
              </w:rPr>
              <w:t>.</w:t>
            </w:r>
            <w:r>
              <w:rPr>
                <w:rFonts w:hint="eastAsia"/>
                <w:lang w:val="en-US" w:eastAsia="zh-CN"/>
              </w:rPr>
              <w:t>物业广告（限价为8万元）：含项目辖区1家物业公司所属物业电梯、道闸、海报、桁架、墙体喷绘、展架、停车小票和宣传栏、城市展厅等广告。</w:t>
            </w:r>
          </w:p>
          <w:p>
            <w:pPr>
              <w:pStyle w:val="18"/>
              <w:numPr>
                <w:ilvl w:val="0"/>
                <w:numId w:val="0"/>
              </w:numPr>
              <w:tabs>
                <w:tab w:val="left" w:pos="546"/>
                <w:tab w:val="left" w:pos="711"/>
              </w:tabs>
              <w:snapToGrid w:val="0"/>
              <w:spacing w:after="0" w:line="400" w:lineRule="exact"/>
              <w:ind w:firstLine="422" w:firstLineChars="200"/>
              <w:rPr>
                <w:rFonts w:hint="default"/>
                <w:color w:val="auto"/>
                <w:lang w:val="en-US" w:eastAsia="zh-CN"/>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p>
            <w:pPr>
              <w:pStyle w:val="18"/>
              <w:numPr>
                <w:ilvl w:val="0"/>
                <w:numId w:val="0"/>
              </w:numPr>
              <w:tabs>
                <w:tab w:val="left" w:pos="546"/>
                <w:tab w:val="left" w:pos="711"/>
              </w:tabs>
              <w:snapToGrid w:val="0"/>
              <w:spacing w:after="0" w:line="400" w:lineRule="exact"/>
              <w:ind w:firstLine="420" w:firstLineChars="200"/>
              <w:rPr>
                <w:rFonts w:hint="default"/>
                <w:lang w:val="en-US" w:eastAsia="zh-CN"/>
              </w:rPr>
            </w:pPr>
            <w:r>
              <w:rPr>
                <w:rFonts w:hint="eastAsia" w:ascii="Times New Roman" w:hAnsi="Times New Roman" w:eastAsia="宋体" w:cs="Times New Roman"/>
                <w:lang w:val="en-US" w:eastAsia="zh-CN"/>
              </w:rPr>
              <w:t>注：广告费用单价为包干费用，包括但不限于人工费、审批费、交通费、 材料费、包装费、制版费、审稿费、修订费、印刷费、竞选人合理利润等所需一切费用。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ascii="宋体" w:hAnsi="宋体"/>
                <w:bCs/>
                <w:i/>
                <w:szCs w:val="21"/>
                <w:highlight w:val="none"/>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w:t>
            </w:r>
            <w:r>
              <w:rPr>
                <w:rFonts w:hint="eastAsia" w:ascii="宋体" w:hAnsi="宋体"/>
                <w:szCs w:val="21"/>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2024年5月11日10时00分</w:t>
            </w:r>
          </w:p>
          <w:p>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重庆经开投投资集团有限公司1503</w:t>
            </w:r>
            <w:r>
              <w:rPr>
                <w:rFonts w:hint="eastAsia" w:ascii="宋体" w:hAnsi="宋体"/>
                <w:szCs w:val="21"/>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4</w:t>
            </w:r>
            <w:r>
              <w:rPr>
                <w:rFonts w:ascii="宋体" w:hAnsi="宋体"/>
                <w:szCs w:val="21"/>
                <w:highlight w:val="none"/>
              </w:rPr>
              <w:t>. 公布最高限价</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cs="宋体" w:asciiTheme="minorEastAsia" w:hAnsiTheme="minorEastAsia" w:eastAsiaTheme="minorEastAsia"/>
                <w:color w:val="auto"/>
                <w:kern w:val="0"/>
                <w:sz w:val="21"/>
                <w:szCs w:val="21"/>
              </w:rPr>
              <w:t>重庆经开区投资集团官网（http://www.cetzig.com/）</w:t>
            </w:r>
            <w:r>
              <w:rPr>
                <w:rFonts w:hint="eastAsia" w:ascii="宋体" w:hAnsi="宋体" w:cs="宋体"/>
                <w:color w:val="auto"/>
                <w:szCs w:val="21"/>
                <w:highlight w:val="none"/>
              </w:rPr>
              <w:t>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pPr>
              <w:numPr>
                <w:ilvl w:val="0"/>
                <w:numId w:val="2"/>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lang w:val="en-US" w:eastAsia="zh-CN"/>
              </w:rPr>
              <w:t>不</w:t>
            </w:r>
            <w:r>
              <w:rPr>
                <w:rFonts w:hint="eastAsia" w:ascii="宋体" w:hAnsi="宋体"/>
                <w:kern w:val="0"/>
                <w:szCs w:val="21"/>
                <w:highlight w:val="none"/>
                <w:u w:val="single"/>
              </w:rPr>
              <w:t>提供</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pPr>
              <w:snapToGrid w:val="0"/>
              <w:spacing w:line="400" w:lineRule="exact"/>
              <w:jc w:val="center"/>
              <w:rPr>
                <w:highlight w:val="none"/>
              </w:rPr>
            </w:pPr>
            <w:bookmarkStart w:id="105" w:name="_Toc13210670"/>
            <w:bookmarkStart w:id="106" w:name="_Toc430530434"/>
            <w:bookmarkStart w:id="107" w:name="_Toc509218709"/>
            <w:bookmarkStart w:id="108" w:name="_Toc16930431"/>
            <w:bookmarkStart w:id="109" w:name="_Toc536628250"/>
            <w:r>
              <w:rPr>
                <w:rFonts w:hint="eastAsia" w:ascii="宋体" w:hAnsi="宋体"/>
                <w:kern w:val="0"/>
                <w:szCs w:val="21"/>
                <w:highlight w:val="none"/>
              </w:rPr>
              <w:t>重新</w:t>
            </w:r>
            <w:r>
              <w:rPr>
                <w:rFonts w:ascii="宋体" w:hAnsi="宋体"/>
                <w:kern w:val="0"/>
                <w:szCs w:val="21"/>
                <w:highlight w:val="none"/>
              </w:rPr>
              <w:t>招标和不再招标</w:t>
            </w:r>
            <w:bookmarkEnd w:id="105"/>
            <w:bookmarkEnd w:id="106"/>
            <w:bookmarkEnd w:id="107"/>
            <w:bookmarkEnd w:id="108"/>
            <w:bookmarkEnd w:id="109"/>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pPr>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pPr>
              <w:pStyle w:val="18"/>
              <w:ind w:firstLine="420" w:firstLineChars="200"/>
              <w:rPr>
                <w:rFonts w:hint="default" w:eastAsiaTheme="minorEastAsia"/>
                <w:b w:val="0"/>
                <w:bCs/>
                <w:lang w:val="en-US" w:eastAsia="zh-CN"/>
              </w:rPr>
            </w:pPr>
            <w:r>
              <w:rPr>
                <w:rFonts w:hint="eastAsia" w:asciiTheme="minorEastAsia" w:hAnsiTheme="minorEastAsia" w:eastAsiaTheme="minorEastAsia" w:cstheme="minorEastAsia"/>
                <w:b w:val="0"/>
                <w:bCs/>
                <w:kern w:val="0"/>
                <w:szCs w:val="21"/>
                <w:highlight w:val="none"/>
                <w:lang w:val="en-US" w:eastAsia="zh-CN"/>
              </w:rPr>
              <w:t>结算金额=∑媒体广告单价×数量+∑户外广告牌单价×数量+∑物业广告单价×数量</w:t>
            </w:r>
          </w:p>
          <w:p>
            <w:pPr>
              <w:spacing w:line="360" w:lineRule="auto"/>
              <w:ind w:firstLine="422" w:firstLineChars="200"/>
              <w:rPr>
                <w:rFonts w:hint="default" w:ascii="宋体" w:hAnsi="宋体" w:eastAsia="宋体" w:cs="宋体"/>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支付方式：</w:t>
            </w:r>
            <w:r>
              <w:rPr>
                <w:rFonts w:hint="eastAsia" w:asciiTheme="minorEastAsia" w:hAnsiTheme="minorEastAsia" w:eastAsiaTheme="minorEastAsia" w:cstheme="minorEastAsia"/>
                <w:b w:val="0"/>
                <w:bCs/>
                <w:kern w:val="0"/>
                <w:sz w:val="21"/>
                <w:szCs w:val="21"/>
                <w:highlight w:val="none"/>
                <w:lang w:val="en-US" w:eastAsia="zh-CN" w:bidi="ar-SA"/>
              </w:rPr>
              <w:t>广告发布完毕并通过比选人验收合格后30个工作日内，比选人一次性向竞选人支付全部广告费用。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4.异议受理单位：</w:t>
            </w:r>
            <w:r>
              <w:rPr>
                <w:rFonts w:hint="eastAsia" w:ascii="宋体" w:hAnsi="宋体"/>
                <w:color w:val="auto"/>
                <w:kern w:val="0"/>
                <w:szCs w:val="21"/>
                <w:highlight w:val="none"/>
                <w:lang w:eastAsia="zh-CN"/>
              </w:rPr>
              <w:t>重庆经开区投资集团有限公司</w:t>
            </w:r>
          </w:p>
          <w:p>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62637528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pPr>
        <w:pStyle w:val="4"/>
        <w:spacing w:before="0" w:after="0" w:line="200" w:lineRule="exact"/>
        <w:outlineLvl w:val="9"/>
        <w:rPr>
          <w:rFonts w:ascii="宋体" w:hAnsi="宋体"/>
          <w:b w:val="0"/>
          <w:snapToGrid w:val="0"/>
          <w:highlight w:val="none"/>
        </w:rPr>
      </w:pPr>
      <w:bookmarkStart w:id="110" w:name="_Toc200513126"/>
      <w:bookmarkStart w:id="111" w:name="_Toc287620685"/>
      <w:bookmarkStart w:id="112" w:name="_Toc430530435"/>
      <w:bookmarkStart w:id="113" w:name="_Toc224103317"/>
      <w:bookmarkStart w:id="114" w:name="_Toc277082552"/>
      <w:bookmarkStart w:id="115" w:name="_Toc287607746"/>
    </w:p>
    <w:bookmarkEnd w:id="110"/>
    <w:bookmarkEnd w:id="111"/>
    <w:bookmarkEnd w:id="112"/>
    <w:bookmarkEnd w:id="113"/>
    <w:bookmarkEnd w:id="114"/>
    <w:bookmarkEnd w:id="115"/>
    <w:p>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6" w:name="_Toc19008"/>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bookmarkEnd w:id="116"/>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7" w:name="_Toc293756837"/>
      <w:bookmarkStart w:id="118" w:name="_Toc9752"/>
      <w:bookmarkStart w:id="119" w:name="_Toc293756840"/>
      <w:r>
        <w:rPr>
          <w:rFonts w:hint="eastAsia" w:ascii="宋体" w:hAnsi="宋体" w:eastAsia="宋体" w:cs="宋体"/>
          <w:color w:val="auto"/>
          <w:sz w:val="21"/>
          <w:szCs w:val="21"/>
          <w:highlight w:val="none"/>
        </w:rPr>
        <w:t>1.1 项目概况</w:t>
      </w:r>
      <w:bookmarkEnd w:id="117"/>
      <w:bookmarkEnd w:id="11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本招标项目地点：见投标人须知前附表。</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w:t>
      </w:r>
      <w:r>
        <w:rPr>
          <w:rFonts w:hint="eastAsia" w:ascii="宋体" w:hAnsi="宋体" w:cs="宋体"/>
          <w:color w:val="auto"/>
          <w:sz w:val="21"/>
          <w:szCs w:val="21"/>
          <w:highlight w:val="none"/>
          <w:lang w:val="en-US" w:eastAsia="zh-CN"/>
        </w:rPr>
        <w:t>概况</w:t>
      </w:r>
      <w:r>
        <w:rPr>
          <w:rFonts w:hint="eastAsia" w:ascii="宋体" w:hAnsi="宋体" w:eastAsia="宋体" w:cs="宋体"/>
          <w:color w:val="auto"/>
          <w:sz w:val="21"/>
          <w:szCs w:val="21"/>
          <w:highlight w:val="none"/>
        </w:rPr>
        <w:t>：见投标人须知前附表。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5437"/>
      <w:bookmarkStart w:id="121" w:name="_Toc293756838"/>
      <w:r>
        <w:rPr>
          <w:rFonts w:hint="eastAsia" w:ascii="宋体" w:hAnsi="宋体" w:eastAsia="宋体" w:cs="宋体"/>
          <w:color w:val="auto"/>
          <w:sz w:val="21"/>
          <w:szCs w:val="21"/>
          <w:highlight w:val="none"/>
        </w:rPr>
        <w:t>1.2 资金来源和落实情况</w:t>
      </w:r>
      <w:bookmarkEnd w:id="120"/>
      <w:bookmarkEnd w:id="12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2" w:name="_Toc293756839"/>
      <w:r>
        <w:rPr>
          <w:rFonts w:hint="eastAsia" w:ascii="宋体" w:hAnsi="宋体" w:eastAsia="宋体" w:cs="宋体"/>
          <w:color w:val="auto"/>
          <w:sz w:val="21"/>
          <w:szCs w:val="21"/>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19957"/>
      <w:r>
        <w:rPr>
          <w:rFonts w:hint="eastAsia" w:ascii="宋体" w:hAnsi="宋体" w:eastAsia="宋体" w:cs="宋体"/>
          <w:color w:val="auto"/>
          <w:sz w:val="21"/>
          <w:szCs w:val="21"/>
          <w:highlight w:val="none"/>
        </w:rPr>
        <w:t>1.3 比选范围、计划工期和质量要求</w:t>
      </w:r>
      <w:bookmarkEnd w:id="122"/>
      <w:bookmarkEnd w:id="12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4" w:name="_Toc9928"/>
      <w:r>
        <w:rPr>
          <w:rFonts w:hint="eastAsia" w:ascii="宋体" w:hAnsi="宋体" w:eastAsia="宋体" w:cs="宋体"/>
          <w:color w:val="auto"/>
          <w:sz w:val="21"/>
          <w:szCs w:val="21"/>
          <w:highlight w:val="none"/>
        </w:rPr>
        <w:t xml:space="preserve">1.4 </w:t>
      </w:r>
      <w:bookmarkEnd w:id="119"/>
      <w:r>
        <w:rPr>
          <w:rFonts w:hint="eastAsia" w:ascii="宋体" w:hAnsi="宋体" w:eastAsia="宋体" w:cs="宋体"/>
          <w:color w:val="auto"/>
          <w:sz w:val="21"/>
          <w:szCs w:val="21"/>
          <w:highlight w:val="none"/>
          <w:lang w:eastAsia="zh-CN"/>
        </w:rPr>
        <w:t>投标人资格要求</w:t>
      </w:r>
      <w:bookmarkEnd w:id="12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5" w:name="_Toc293756841"/>
      <w:bookmarkStart w:id="126" w:name="_Toc4874"/>
      <w:r>
        <w:rPr>
          <w:rFonts w:hint="eastAsia" w:ascii="宋体" w:hAnsi="宋体" w:eastAsia="宋体" w:cs="宋体"/>
          <w:color w:val="auto"/>
          <w:sz w:val="21"/>
          <w:szCs w:val="21"/>
          <w:highlight w:val="none"/>
        </w:rPr>
        <w:t>1.5 费用承担</w:t>
      </w:r>
      <w:bookmarkEnd w:id="125"/>
      <w:bookmarkEnd w:id="12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11009"/>
      <w:bookmarkStart w:id="128" w:name="_Toc293756842"/>
      <w:r>
        <w:rPr>
          <w:rFonts w:hint="eastAsia" w:ascii="宋体" w:hAnsi="宋体" w:eastAsia="宋体" w:cs="宋体"/>
          <w:color w:val="auto"/>
          <w:sz w:val="21"/>
          <w:szCs w:val="21"/>
          <w:highlight w:val="none"/>
        </w:rPr>
        <w:t>1.6 保密</w:t>
      </w:r>
      <w:bookmarkEnd w:id="127"/>
      <w:bookmarkEnd w:id="12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9" w:name="_Toc293756843"/>
      <w:bookmarkStart w:id="130" w:name="_Toc18963"/>
      <w:r>
        <w:rPr>
          <w:rFonts w:hint="eastAsia" w:ascii="宋体" w:hAnsi="宋体" w:eastAsia="宋体" w:cs="宋体"/>
          <w:color w:val="auto"/>
          <w:sz w:val="21"/>
          <w:szCs w:val="21"/>
          <w:highlight w:val="none"/>
        </w:rPr>
        <w:t>1.7 语言文字</w:t>
      </w:r>
      <w:bookmarkEnd w:id="129"/>
      <w:bookmarkEnd w:id="13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1" w:name="_Toc293756844"/>
      <w:bookmarkStart w:id="132" w:name="_Toc104"/>
      <w:r>
        <w:rPr>
          <w:rFonts w:hint="eastAsia" w:ascii="宋体" w:hAnsi="宋体" w:eastAsia="宋体" w:cs="宋体"/>
          <w:color w:val="auto"/>
          <w:sz w:val="21"/>
          <w:szCs w:val="21"/>
          <w:highlight w:val="none"/>
        </w:rPr>
        <w:t>1.8 计量单位</w:t>
      </w:r>
      <w:bookmarkEnd w:id="131"/>
      <w:bookmarkEnd w:id="13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3" w:name="_Toc2427"/>
      <w:bookmarkStart w:id="134" w:name="_Toc293756845"/>
      <w:r>
        <w:rPr>
          <w:rFonts w:hint="eastAsia" w:ascii="宋体" w:hAnsi="宋体" w:eastAsia="宋体" w:cs="宋体"/>
          <w:color w:val="auto"/>
          <w:sz w:val="21"/>
          <w:szCs w:val="21"/>
          <w:highlight w:val="none"/>
        </w:rPr>
        <w:t>1.9 踏勘现场</w:t>
      </w:r>
      <w:bookmarkEnd w:id="133"/>
      <w:bookmarkEnd w:id="13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5" w:name="_Toc293756846"/>
      <w:bookmarkStart w:id="136" w:name="_Toc30203"/>
      <w:r>
        <w:rPr>
          <w:rFonts w:hint="eastAsia" w:ascii="宋体" w:hAnsi="宋体" w:eastAsia="宋体" w:cs="宋体"/>
          <w:color w:val="auto"/>
          <w:sz w:val="21"/>
          <w:szCs w:val="21"/>
          <w:highlight w:val="none"/>
        </w:rPr>
        <w:t>1.10 比选预备会</w:t>
      </w:r>
      <w:bookmarkEnd w:id="135"/>
      <w:bookmarkEnd w:id="136"/>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7" w:name="_Toc293756847"/>
      <w:bookmarkStart w:id="138" w:name="_Toc13696"/>
      <w:r>
        <w:rPr>
          <w:rFonts w:hint="eastAsia" w:ascii="宋体" w:hAnsi="宋体" w:eastAsia="宋体" w:cs="宋体"/>
          <w:color w:val="auto"/>
          <w:sz w:val="21"/>
          <w:szCs w:val="21"/>
          <w:highlight w:val="none"/>
        </w:rPr>
        <w:t>1.11 分包</w:t>
      </w:r>
      <w:bookmarkEnd w:id="137"/>
      <w:bookmarkEnd w:id="13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21334"/>
      <w:r>
        <w:rPr>
          <w:rFonts w:hint="eastAsia" w:ascii="宋体" w:hAnsi="宋体" w:eastAsia="宋体" w:cs="宋体"/>
          <w:color w:val="auto"/>
          <w:sz w:val="21"/>
          <w:szCs w:val="21"/>
          <w:highlight w:val="none"/>
        </w:rPr>
        <w:t>2.比选文件</w:t>
      </w:r>
      <w:bookmarkEnd w:id="139"/>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93756848"/>
      <w:bookmarkStart w:id="141" w:name="_Toc25177"/>
      <w:r>
        <w:rPr>
          <w:rFonts w:hint="eastAsia" w:ascii="宋体" w:hAnsi="宋体" w:eastAsia="宋体" w:cs="宋体"/>
          <w:color w:val="auto"/>
          <w:sz w:val="21"/>
          <w:szCs w:val="21"/>
          <w:highlight w:val="none"/>
        </w:rPr>
        <w:t>2.1比选文件的组成</w:t>
      </w:r>
      <w:bookmarkEnd w:id="140"/>
      <w:bookmarkEnd w:id="14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）技术标准和要求；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2" w:name="_Toc293756849"/>
      <w:bookmarkStart w:id="143" w:name="_Toc17073"/>
      <w:r>
        <w:rPr>
          <w:rFonts w:hint="eastAsia" w:ascii="宋体" w:hAnsi="宋体" w:eastAsia="宋体" w:cs="宋体"/>
          <w:color w:val="auto"/>
          <w:sz w:val="21"/>
          <w:szCs w:val="21"/>
          <w:highlight w:val="none"/>
        </w:rPr>
        <w:t>2.2比选文件的澄清</w:t>
      </w:r>
      <w:bookmarkEnd w:id="142"/>
      <w:bookmarkEnd w:id="14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5781"/>
      <w:bookmarkStart w:id="145" w:name="_Toc293756850"/>
      <w:r>
        <w:rPr>
          <w:rFonts w:hint="eastAsia" w:ascii="宋体" w:hAnsi="宋体" w:eastAsia="宋体" w:cs="宋体"/>
          <w:color w:val="auto"/>
          <w:sz w:val="21"/>
          <w:szCs w:val="21"/>
          <w:highlight w:val="none"/>
        </w:rPr>
        <w:t>2.3比选文件的修改</w:t>
      </w:r>
      <w:bookmarkEnd w:id="144"/>
      <w:bookmarkEnd w:id="14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13298"/>
      <w:bookmarkStart w:id="147" w:name="_Toc293756851"/>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46"/>
      <w:bookmarkEnd w:id="147"/>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93756852"/>
      <w:bookmarkStart w:id="149" w:name="_Toc274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48"/>
      <w:bookmarkEnd w:id="14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）资格审查资料；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0"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投标人应投标函及投标函附录的要求填写相应表格。</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1" w:name="_Toc3741"/>
      <w:r>
        <w:rPr>
          <w:rFonts w:hint="eastAsia" w:ascii="宋体" w:hAnsi="宋体" w:eastAsia="宋体" w:cs="宋体"/>
          <w:color w:val="auto"/>
          <w:sz w:val="21"/>
          <w:szCs w:val="21"/>
          <w:highlight w:val="none"/>
          <w:lang w:val="en-US" w:eastAsia="zh-CN"/>
        </w:rPr>
        <w:t>3.3  投标有效期</w:t>
      </w:r>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eastAsia="zh-CN"/>
        </w:rPr>
      </w:pPr>
      <w:bookmarkStart w:id="152" w:name="_Toc293756853"/>
      <w:bookmarkStart w:id="153" w:name="_Toc8270"/>
      <w:r>
        <w:rPr>
          <w:rFonts w:hint="eastAsia" w:ascii="宋体" w:hAnsi="宋体" w:eastAsia="宋体" w:cs="宋体"/>
          <w:color w:val="auto"/>
          <w:sz w:val="21"/>
          <w:szCs w:val="21"/>
          <w:highlight w:val="none"/>
        </w:rPr>
        <w:t>3.4 比选保证金</w:t>
      </w:r>
      <w:bookmarkEnd w:id="152"/>
      <w:bookmarkEnd w:id="153"/>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4" w:name="_Toc250"/>
      <w:bookmarkStart w:id="155" w:name="_Toc293756854"/>
      <w:r>
        <w:rPr>
          <w:rFonts w:hint="eastAsia" w:ascii="宋体" w:hAnsi="宋体" w:eastAsia="宋体" w:cs="宋体"/>
          <w:color w:val="auto"/>
          <w:sz w:val="21"/>
          <w:szCs w:val="21"/>
          <w:highlight w:val="none"/>
        </w:rPr>
        <w:t>3.5 资格审查资料</w:t>
      </w:r>
      <w:bookmarkEnd w:id="154"/>
      <w:bookmarkEnd w:id="15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6"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10924"/>
      <w:r>
        <w:rPr>
          <w:rFonts w:hint="eastAsia" w:ascii="宋体" w:hAnsi="宋体" w:eastAsia="宋体" w:cs="宋体"/>
          <w:color w:val="auto"/>
          <w:sz w:val="21"/>
          <w:szCs w:val="21"/>
          <w:highlight w:val="none"/>
        </w:rPr>
        <w:t xml:space="preserve">4. </w:t>
      </w:r>
      <w:bookmarkEnd w:id="156"/>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57"/>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58" w:name="_Toc25512"/>
      <w:bookmarkStart w:id="159" w:name="_Toc293756856"/>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58"/>
      <w:bookmarkEnd w:id="15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0" w:name="_Toc2798"/>
      <w:bookmarkStart w:id="161"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0"/>
      <w:bookmarkEnd w:id="16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2" w:name="_Toc288"/>
      <w:bookmarkStart w:id="163" w:name="_Toc29375685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2"/>
      <w:bookmarkEnd w:id="16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93756859"/>
      <w:bookmarkStart w:id="165" w:name="_Toc29290"/>
      <w:r>
        <w:rPr>
          <w:rFonts w:hint="eastAsia" w:ascii="宋体" w:hAnsi="宋体" w:eastAsia="宋体" w:cs="宋体"/>
          <w:color w:val="auto"/>
          <w:sz w:val="21"/>
          <w:szCs w:val="21"/>
          <w:highlight w:val="none"/>
        </w:rPr>
        <w:t xml:space="preserve">5. </w:t>
      </w:r>
      <w:bookmarkEnd w:id="164"/>
      <w:r>
        <w:rPr>
          <w:rFonts w:hint="eastAsia" w:ascii="宋体" w:hAnsi="宋体" w:eastAsia="宋体" w:cs="宋体"/>
          <w:color w:val="auto"/>
          <w:sz w:val="21"/>
          <w:szCs w:val="21"/>
          <w:highlight w:val="none"/>
        </w:rPr>
        <w:t>比选</w:t>
      </w:r>
      <w:bookmarkEnd w:id="165"/>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93756860"/>
      <w:bookmarkStart w:id="167" w:name="_Toc6939"/>
      <w:r>
        <w:rPr>
          <w:rFonts w:hint="eastAsia" w:ascii="宋体" w:hAnsi="宋体" w:eastAsia="宋体" w:cs="宋体"/>
          <w:color w:val="auto"/>
          <w:sz w:val="21"/>
          <w:szCs w:val="21"/>
          <w:highlight w:val="none"/>
        </w:rPr>
        <w:t>5.1 比选时间和地点</w:t>
      </w:r>
      <w:bookmarkEnd w:id="166"/>
      <w:bookmarkEnd w:id="16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716"/>
      <w:bookmarkStart w:id="169" w:name="_Toc293756861"/>
      <w:r>
        <w:rPr>
          <w:rFonts w:hint="eastAsia" w:ascii="宋体" w:hAnsi="宋体" w:eastAsia="宋体" w:cs="宋体"/>
          <w:color w:val="auto"/>
          <w:sz w:val="21"/>
          <w:szCs w:val="21"/>
          <w:highlight w:val="none"/>
        </w:rPr>
        <w:t>5.2 比选程序</w:t>
      </w:r>
      <w:bookmarkEnd w:id="168"/>
      <w:bookmarkEnd w:id="16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0"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24607"/>
      <w:r>
        <w:rPr>
          <w:rFonts w:hint="eastAsia" w:ascii="宋体" w:hAnsi="宋体" w:eastAsia="宋体" w:cs="宋体"/>
          <w:color w:val="auto"/>
          <w:sz w:val="21"/>
          <w:szCs w:val="21"/>
          <w:highlight w:val="none"/>
        </w:rPr>
        <w:t>6. 评</w:t>
      </w:r>
      <w:bookmarkEnd w:id="170"/>
      <w:r>
        <w:rPr>
          <w:rFonts w:hint="eastAsia" w:ascii="宋体" w:hAnsi="宋体" w:eastAsia="宋体" w:cs="宋体"/>
          <w:color w:val="auto"/>
          <w:sz w:val="21"/>
          <w:szCs w:val="21"/>
          <w:highlight w:val="none"/>
        </w:rPr>
        <w:t>审</w:t>
      </w:r>
      <w:bookmarkEnd w:id="171"/>
    </w:p>
    <w:p>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72" w:name="_Toc277082587"/>
      <w:bookmarkStart w:id="173" w:name="_Toc509218745"/>
      <w:bookmarkStart w:id="174" w:name="_Toc224103352"/>
      <w:bookmarkStart w:id="175" w:name="_Toc287620720"/>
      <w:bookmarkStart w:id="176" w:name="_Toc7646"/>
      <w:bookmarkStart w:id="177" w:name="_Toc287607781"/>
      <w:bookmarkStart w:id="178" w:name="_Toc200513161"/>
      <w:bookmarkStart w:id="179" w:name="_Toc430530470"/>
      <w:bookmarkStart w:id="180"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72"/>
      <w:bookmarkEnd w:id="173"/>
      <w:bookmarkEnd w:id="174"/>
      <w:bookmarkEnd w:id="175"/>
      <w:bookmarkEnd w:id="176"/>
      <w:bookmarkEnd w:id="177"/>
      <w:bookmarkEnd w:id="178"/>
      <w:bookmarkEnd w:id="17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1" w:name="_Toc27306"/>
      <w:bookmarkStart w:id="182" w:name="_Toc277082588"/>
      <w:bookmarkStart w:id="183" w:name="_Toc224103353"/>
      <w:bookmarkStart w:id="184" w:name="_Toc200513162"/>
      <w:bookmarkStart w:id="185" w:name="_Toc287607782"/>
      <w:bookmarkStart w:id="186" w:name="_Toc509218746"/>
      <w:bookmarkStart w:id="187" w:name="_Toc430530471"/>
      <w:bookmarkStart w:id="188" w:name="_Toc287620721"/>
      <w:r>
        <w:rPr>
          <w:rFonts w:hint="eastAsia" w:ascii="宋体" w:hAnsi="宋体" w:eastAsia="宋体" w:cs="宋体"/>
          <w:snapToGrid w:val="0"/>
          <w:color w:val="auto"/>
          <w:kern w:val="0"/>
          <w:sz w:val="21"/>
          <w:szCs w:val="21"/>
          <w:highlight w:val="none"/>
        </w:rPr>
        <w:t>（1）投标人或投标人的主要负责人的近亲属；</w:t>
      </w:r>
      <w:bookmarkEnd w:id="18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7327"/>
      <w:r>
        <w:rPr>
          <w:rFonts w:hint="eastAsia" w:ascii="宋体" w:hAnsi="宋体" w:eastAsia="宋体" w:cs="宋体"/>
          <w:snapToGrid w:val="0"/>
          <w:color w:val="auto"/>
          <w:kern w:val="0"/>
          <w:sz w:val="21"/>
          <w:szCs w:val="21"/>
          <w:highlight w:val="none"/>
        </w:rPr>
        <w:t>（2）项目主管部门或者项目行政监督部门的人员；</w:t>
      </w:r>
      <w:bookmarkEnd w:id="189"/>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0"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0"/>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1"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2" w:name="_Toc7240"/>
      <w:r>
        <w:rPr>
          <w:rFonts w:hint="eastAsia" w:ascii="宋体" w:hAnsi="宋体" w:eastAsia="宋体" w:cs="宋体"/>
          <w:snapToGrid w:val="0"/>
          <w:color w:val="auto"/>
          <w:kern w:val="0"/>
          <w:sz w:val="21"/>
          <w:szCs w:val="21"/>
          <w:highlight w:val="none"/>
        </w:rPr>
        <w:t>（5）法律法规规定的其他情形。</w:t>
      </w:r>
      <w:bookmarkEnd w:id="19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3" w:name="_Toc349"/>
      <w:r>
        <w:rPr>
          <w:rFonts w:hint="eastAsia" w:ascii="宋体" w:hAnsi="宋体" w:eastAsia="宋体" w:cs="宋体"/>
          <w:color w:val="auto"/>
          <w:sz w:val="21"/>
          <w:szCs w:val="21"/>
          <w:highlight w:val="none"/>
          <w:lang w:val="en-US" w:eastAsia="zh-CN"/>
        </w:rPr>
        <w:t>6.2  评标原则</w:t>
      </w:r>
      <w:bookmarkEnd w:id="182"/>
      <w:bookmarkEnd w:id="183"/>
      <w:bookmarkEnd w:id="184"/>
      <w:bookmarkEnd w:id="185"/>
      <w:bookmarkEnd w:id="186"/>
      <w:bookmarkEnd w:id="187"/>
      <w:bookmarkEnd w:id="188"/>
      <w:bookmarkEnd w:id="19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4" w:name="_Toc287607783"/>
      <w:bookmarkStart w:id="195" w:name="_Toc509218747"/>
      <w:bookmarkStart w:id="196" w:name="_Toc200513163"/>
      <w:bookmarkStart w:id="197" w:name="_Toc287620722"/>
      <w:bookmarkStart w:id="198" w:name="_Toc224103354"/>
      <w:bookmarkStart w:id="199" w:name="_Toc3231"/>
      <w:bookmarkStart w:id="200" w:name="_Toc430530472"/>
      <w:bookmarkStart w:id="201" w:name="_Toc277082589"/>
      <w:r>
        <w:rPr>
          <w:rFonts w:hint="eastAsia" w:ascii="宋体" w:hAnsi="宋体" w:eastAsia="宋体" w:cs="宋体"/>
          <w:color w:val="auto"/>
          <w:sz w:val="21"/>
          <w:szCs w:val="21"/>
          <w:highlight w:val="none"/>
          <w:lang w:val="en-US" w:eastAsia="zh-CN"/>
        </w:rPr>
        <w:t>6.3  评标</w:t>
      </w:r>
      <w:bookmarkEnd w:id="194"/>
      <w:bookmarkEnd w:id="195"/>
      <w:bookmarkEnd w:id="196"/>
      <w:bookmarkEnd w:id="197"/>
      <w:bookmarkEnd w:id="198"/>
      <w:bookmarkEnd w:id="199"/>
      <w:bookmarkEnd w:id="200"/>
      <w:bookmarkEnd w:id="20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2" w:name="_Toc5190"/>
      <w:r>
        <w:rPr>
          <w:rFonts w:hint="eastAsia" w:ascii="宋体" w:hAnsi="宋体" w:eastAsia="宋体" w:cs="宋体"/>
          <w:color w:val="auto"/>
          <w:sz w:val="21"/>
          <w:szCs w:val="21"/>
          <w:highlight w:val="none"/>
        </w:rPr>
        <w:t>7. 合同授予</w:t>
      </w:r>
      <w:bookmarkEnd w:id="180"/>
      <w:bookmarkEnd w:id="202"/>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3" w:name="_Toc293756867"/>
      <w:bookmarkStart w:id="204" w:name="_Toc13886"/>
      <w:r>
        <w:rPr>
          <w:rFonts w:hint="eastAsia" w:ascii="宋体" w:hAnsi="宋体" w:eastAsia="宋体" w:cs="宋体"/>
          <w:color w:val="auto"/>
          <w:sz w:val="21"/>
          <w:szCs w:val="21"/>
          <w:highlight w:val="none"/>
        </w:rPr>
        <w:t>7.1 定选方式</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5" w:name="_Toc17919"/>
      <w:bookmarkStart w:id="206"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7"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0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8" w:name="_Toc5235"/>
      <w:bookmarkStart w:id="209" w:name="_Toc293756870"/>
      <w:r>
        <w:rPr>
          <w:rFonts w:hint="eastAsia" w:ascii="宋体" w:hAnsi="宋体" w:eastAsia="宋体" w:cs="宋体"/>
          <w:color w:val="auto"/>
          <w:sz w:val="21"/>
          <w:szCs w:val="21"/>
          <w:highlight w:val="none"/>
        </w:rPr>
        <w:t>7.4 签订合同</w:t>
      </w:r>
      <w:bookmarkEnd w:id="208"/>
      <w:bookmarkEnd w:id="2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0" w:name="_Toc293756871"/>
      <w:bookmarkStart w:id="211" w:name="_Toc21469"/>
      <w:r>
        <w:rPr>
          <w:rFonts w:hint="eastAsia" w:ascii="宋体" w:hAnsi="宋体" w:eastAsia="宋体" w:cs="宋体"/>
          <w:color w:val="auto"/>
          <w:sz w:val="21"/>
          <w:szCs w:val="21"/>
          <w:highlight w:val="none"/>
        </w:rPr>
        <w:t>8. 重新比选和不再比选</w:t>
      </w:r>
      <w:bookmarkEnd w:id="210"/>
      <w:bookmarkEnd w:id="21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12" w:name="_Toc200513170"/>
      <w:bookmarkStart w:id="213" w:name="_Toc224103361"/>
      <w:bookmarkStart w:id="214" w:name="_Toc430530479"/>
      <w:bookmarkStart w:id="215" w:name="_Toc277082596"/>
      <w:bookmarkStart w:id="216" w:name="_Toc287607790"/>
      <w:bookmarkStart w:id="217" w:name="_Toc287620729"/>
      <w:bookmarkStart w:id="218" w:name="_Toc509218754"/>
      <w:bookmarkStart w:id="219" w:name="_Toc27002"/>
      <w:bookmarkStart w:id="220" w:name="_Toc284231394"/>
      <w:bookmarkStart w:id="221" w:name="_Toc293756873"/>
      <w:r>
        <w:rPr>
          <w:rFonts w:hint="eastAsia" w:ascii="宋体" w:hAnsi="宋体" w:eastAsia="宋体" w:cs="宋体"/>
          <w:b w:val="0"/>
          <w:bCs/>
          <w:snapToGrid w:val="0"/>
          <w:color w:val="auto"/>
          <w:kern w:val="2"/>
          <w:sz w:val="21"/>
          <w:szCs w:val="21"/>
          <w:highlight w:val="none"/>
          <w:lang w:val="en-US" w:eastAsia="zh-CN" w:bidi="ar-SA"/>
        </w:rPr>
        <w:t>8.1  重新</w:t>
      </w:r>
      <w:bookmarkEnd w:id="212"/>
      <w:bookmarkEnd w:id="213"/>
      <w:bookmarkEnd w:id="214"/>
      <w:bookmarkEnd w:id="215"/>
      <w:bookmarkEnd w:id="216"/>
      <w:bookmarkEnd w:id="217"/>
      <w:bookmarkEnd w:id="218"/>
      <w:r>
        <w:rPr>
          <w:rFonts w:hint="eastAsia" w:ascii="宋体" w:hAnsi="宋体" w:eastAsia="宋体" w:cs="宋体"/>
          <w:b w:val="0"/>
          <w:bCs/>
          <w:snapToGrid w:val="0"/>
          <w:color w:val="auto"/>
          <w:kern w:val="2"/>
          <w:sz w:val="21"/>
          <w:szCs w:val="21"/>
          <w:highlight w:val="none"/>
          <w:lang w:val="en-US" w:eastAsia="zh-CN" w:bidi="ar-SA"/>
        </w:rPr>
        <w:t>比选</w:t>
      </w:r>
      <w:bookmarkEnd w:id="219"/>
    </w:p>
    <w:p>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2" w:name="_Toc28804"/>
      <w:r>
        <w:rPr>
          <w:rFonts w:hint="eastAsia" w:ascii="宋体" w:hAnsi="宋体" w:eastAsia="宋体" w:cs="宋体"/>
          <w:color w:val="auto"/>
          <w:sz w:val="21"/>
          <w:szCs w:val="21"/>
          <w:highlight w:val="none"/>
        </w:rPr>
        <w:t>8.2 不再</w:t>
      </w:r>
      <w:bookmarkEnd w:id="220"/>
      <w:bookmarkEnd w:id="221"/>
      <w:r>
        <w:rPr>
          <w:rFonts w:hint="eastAsia" w:ascii="宋体" w:hAnsi="宋体" w:eastAsia="宋体" w:cs="宋体"/>
          <w:color w:val="auto"/>
          <w:sz w:val="21"/>
          <w:szCs w:val="21"/>
          <w:highlight w:val="none"/>
        </w:rPr>
        <w:t>比选</w:t>
      </w:r>
      <w:bookmarkEnd w:id="22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23" w:name="_Toc293756874"/>
      <w:bookmarkStart w:id="224" w:name="_Toc288046541"/>
      <w:bookmarkStart w:id="225" w:name="_Toc288052291"/>
      <w:bookmarkStart w:id="226" w:name="_Toc284159360"/>
      <w:bookmarkStart w:id="227" w:name="_Toc284158539"/>
      <w:bookmarkStart w:id="228" w:name="_Toc284158456"/>
      <w:bookmarkStart w:id="229" w:name="_Toc284159224"/>
      <w:bookmarkStart w:id="230" w:name="_Toc288046894"/>
      <w:bookmarkStart w:id="231" w:name="_Toc288045280"/>
      <w:bookmarkStart w:id="232" w:name="_Toc284231395"/>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23"/>
      <w:bookmarkEnd w:id="224"/>
      <w:bookmarkEnd w:id="225"/>
      <w:bookmarkEnd w:id="226"/>
      <w:bookmarkEnd w:id="227"/>
      <w:bookmarkEnd w:id="228"/>
      <w:bookmarkEnd w:id="229"/>
      <w:bookmarkEnd w:id="230"/>
      <w:bookmarkEnd w:id="231"/>
      <w:bookmarkEnd w:id="232"/>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33" w:name="_Toc509218756"/>
      <w:bookmarkStart w:id="234" w:name="_Toc287607792"/>
      <w:bookmarkStart w:id="235" w:name="_Toc36043737"/>
      <w:bookmarkStart w:id="236" w:name="_Toc277082598"/>
      <w:bookmarkStart w:id="237" w:name="_Toc224103363"/>
      <w:bookmarkStart w:id="238" w:name="_Toc200513172"/>
      <w:bookmarkStart w:id="239" w:name="_Toc31090"/>
      <w:bookmarkStart w:id="240" w:name="_Toc287620731"/>
      <w:bookmarkStart w:id="241" w:name="_Toc430530481"/>
      <w:r>
        <w:rPr>
          <w:rFonts w:hint="eastAsia" w:ascii="宋体" w:hAnsi="宋体" w:eastAsia="宋体" w:cs="宋体"/>
          <w:color w:val="auto"/>
          <w:sz w:val="21"/>
          <w:szCs w:val="21"/>
          <w:highlight w:val="none"/>
        </w:rPr>
        <w:t>9.  纪律和监督</w:t>
      </w:r>
      <w:bookmarkEnd w:id="233"/>
      <w:bookmarkEnd w:id="234"/>
      <w:bookmarkEnd w:id="235"/>
      <w:bookmarkEnd w:id="236"/>
      <w:bookmarkEnd w:id="237"/>
      <w:bookmarkEnd w:id="238"/>
      <w:bookmarkEnd w:id="239"/>
      <w:bookmarkEnd w:id="240"/>
      <w:bookmarkEnd w:id="241"/>
    </w:p>
    <w:p>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42" w:name="_Toc430530482"/>
      <w:bookmarkStart w:id="243" w:name="_Toc224103364"/>
      <w:bookmarkStart w:id="244" w:name="_Toc200513173"/>
      <w:bookmarkStart w:id="245" w:name="_Toc277082599"/>
      <w:bookmarkStart w:id="246" w:name="_Toc509218757"/>
      <w:bookmarkStart w:id="247" w:name="_Toc287620732"/>
      <w:bookmarkStart w:id="248" w:name="_Toc25463"/>
      <w:bookmarkStart w:id="249" w:name="_Toc287607793"/>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42"/>
      <w:bookmarkEnd w:id="243"/>
      <w:bookmarkEnd w:id="244"/>
      <w:bookmarkEnd w:id="245"/>
      <w:bookmarkEnd w:id="246"/>
      <w:bookmarkEnd w:id="247"/>
      <w:bookmarkEnd w:id="248"/>
      <w:bookmarkEnd w:id="24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0" w:name="_Toc509218758"/>
      <w:bookmarkStart w:id="251" w:name="_Toc287607794"/>
      <w:bookmarkStart w:id="252" w:name="_Toc14890"/>
      <w:bookmarkStart w:id="253" w:name="_Toc287620733"/>
      <w:bookmarkStart w:id="254" w:name="_Toc277082600"/>
      <w:bookmarkStart w:id="255" w:name="_Toc200513174"/>
      <w:bookmarkStart w:id="256" w:name="_Toc430530483"/>
      <w:bookmarkStart w:id="257" w:name="_Toc224103365"/>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50"/>
      <w:bookmarkEnd w:id="251"/>
      <w:bookmarkEnd w:id="252"/>
      <w:bookmarkEnd w:id="253"/>
      <w:bookmarkEnd w:id="254"/>
      <w:bookmarkEnd w:id="255"/>
      <w:bookmarkEnd w:id="256"/>
      <w:bookmarkEnd w:id="257"/>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8" w:name="_Toc509218759"/>
      <w:bookmarkStart w:id="259" w:name="_Toc287620734"/>
      <w:bookmarkStart w:id="260" w:name="_Toc224103366"/>
      <w:bookmarkStart w:id="261" w:name="_Toc277082601"/>
      <w:bookmarkStart w:id="262" w:name="_Toc287607795"/>
      <w:bookmarkStart w:id="263" w:name="_Toc200513175"/>
      <w:bookmarkStart w:id="264" w:name="_Toc430530484"/>
      <w:bookmarkStart w:id="265" w:name="_Toc2002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58"/>
      <w:bookmarkEnd w:id="259"/>
      <w:bookmarkEnd w:id="260"/>
      <w:bookmarkEnd w:id="261"/>
      <w:bookmarkEnd w:id="262"/>
      <w:bookmarkEnd w:id="263"/>
      <w:bookmarkEnd w:id="264"/>
      <w:bookmarkEnd w:id="265"/>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6" w:name="_Toc287607796"/>
      <w:bookmarkStart w:id="267" w:name="_Toc287620735"/>
      <w:bookmarkStart w:id="268" w:name="_Toc224103367"/>
      <w:bookmarkStart w:id="269" w:name="_Toc1608"/>
      <w:bookmarkStart w:id="270" w:name="_Toc277082602"/>
      <w:bookmarkStart w:id="271" w:name="_Toc509218760"/>
      <w:bookmarkStart w:id="272" w:name="_Toc200513176"/>
      <w:bookmarkStart w:id="273" w:name="_Toc430530485"/>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66"/>
      <w:bookmarkEnd w:id="267"/>
      <w:bookmarkEnd w:id="268"/>
      <w:bookmarkEnd w:id="269"/>
      <w:bookmarkEnd w:id="270"/>
      <w:bookmarkEnd w:id="271"/>
      <w:bookmarkEnd w:id="272"/>
      <w:bookmarkEnd w:id="27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4" w:name="_Toc509218761"/>
      <w:bookmarkStart w:id="275" w:name="_Toc200513177"/>
      <w:bookmarkStart w:id="276" w:name="_Toc287607797"/>
      <w:bookmarkStart w:id="277" w:name="_Toc430530486"/>
      <w:bookmarkStart w:id="278" w:name="_Toc277082603"/>
      <w:bookmarkStart w:id="279" w:name="_Toc2907"/>
      <w:bookmarkStart w:id="280" w:name="_Toc287620736"/>
      <w:bookmarkStart w:id="281" w:name="_Toc224103368"/>
      <w:r>
        <w:rPr>
          <w:rFonts w:hint="eastAsia" w:ascii="宋体" w:hAnsi="宋体" w:eastAsia="宋体" w:cs="宋体"/>
          <w:b w:val="0"/>
          <w:bCs/>
          <w:snapToGrid w:val="0"/>
          <w:color w:val="auto"/>
          <w:kern w:val="2"/>
          <w:sz w:val="21"/>
          <w:szCs w:val="21"/>
          <w:highlight w:val="none"/>
          <w:lang w:val="en-US" w:eastAsia="zh-CN" w:bidi="ar-SA"/>
        </w:rPr>
        <w:t>9.5  投诉</w:t>
      </w:r>
      <w:bookmarkEnd w:id="274"/>
      <w:bookmarkEnd w:id="275"/>
      <w:bookmarkEnd w:id="276"/>
      <w:bookmarkEnd w:id="277"/>
      <w:bookmarkEnd w:id="278"/>
      <w:bookmarkEnd w:id="279"/>
      <w:bookmarkEnd w:id="280"/>
      <w:bookmarkEnd w:id="28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82" w:name="_Toc287620737"/>
      <w:bookmarkStart w:id="283" w:name="_Toc287607798"/>
      <w:bookmarkStart w:id="284" w:name="_Toc224103369"/>
      <w:bookmarkStart w:id="285" w:name="_Toc430530487"/>
      <w:bookmarkStart w:id="286" w:name="_Toc36043738"/>
      <w:bookmarkStart w:id="287" w:name="_Toc200513178"/>
      <w:bookmarkStart w:id="288" w:name="_Toc509218762"/>
      <w:bookmarkStart w:id="289" w:name="_Toc277082604"/>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82"/>
      <w:bookmarkEnd w:id="283"/>
      <w:bookmarkEnd w:id="284"/>
      <w:bookmarkEnd w:id="285"/>
      <w:bookmarkEnd w:id="286"/>
      <w:bookmarkEnd w:id="287"/>
      <w:bookmarkEnd w:id="288"/>
      <w:bookmarkEnd w:id="28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pPr>
        <w:pStyle w:val="3"/>
        <w:spacing w:line="360" w:lineRule="auto"/>
        <w:ind w:firstLine="883" w:firstLineChars="200"/>
        <w:jc w:val="center"/>
        <w:rPr>
          <w:rFonts w:ascii="宋体" w:hAnsi="宋体"/>
          <w:highlight w:val="none"/>
        </w:rPr>
      </w:pPr>
      <w:bookmarkStart w:id="290" w:name="_Toc509218774"/>
      <w:bookmarkStart w:id="291" w:name="_Toc4335"/>
      <w:bookmarkStart w:id="292" w:name="_Toc6128"/>
      <w:bookmarkStart w:id="293" w:name="_Toc5770"/>
      <w:bookmarkStart w:id="294" w:name="_Toc287607812"/>
      <w:bookmarkStart w:id="295" w:name="_Toc287620751"/>
      <w:bookmarkStart w:id="296" w:name="_Toc430530500"/>
      <w:bookmarkStart w:id="297" w:name="_Toc224103384"/>
      <w:bookmarkStart w:id="298" w:name="_Toc200513198"/>
      <w:bookmarkStart w:id="299" w:name="_Toc277082618"/>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highlight w:val="none"/>
          <w:lang w:val="en-US" w:eastAsia="zh-CN"/>
        </w:rPr>
        <w:t>经评审的最低价法</w:t>
      </w:r>
      <w:r>
        <w:rPr>
          <w:rFonts w:ascii="宋体" w:hAnsi="宋体"/>
          <w:highlight w:val="none"/>
        </w:rPr>
        <w:t>）</w:t>
      </w:r>
      <w:bookmarkEnd w:id="290"/>
      <w:bookmarkEnd w:id="291"/>
      <w:bookmarkEnd w:id="292"/>
      <w:bookmarkEnd w:id="293"/>
      <w:bookmarkStart w:id="300" w:name="_Toc287607811"/>
      <w:bookmarkStart w:id="301" w:name="_Toc287620750"/>
      <w:bookmarkStart w:id="302" w:name="_Toc277082617"/>
      <w:bookmarkStart w:id="303" w:name="_Toc224103383"/>
      <w:bookmarkStart w:id="304" w:name="_Toc430530499"/>
    </w:p>
    <w:p>
      <w:pPr>
        <w:pStyle w:val="4"/>
        <w:spacing w:before="100" w:after="100" w:line="360" w:lineRule="auto"/>
        <w:rPr>
          <w:rFonts w:ascii="宋体" w:hAnsi="宋体"/>
          <w:highlight w:val="none"/>
        </w:rPr>
      </w:pPr>
      <w:bookmarkStart w:id="305" w:name="_Toc14663"/>
      <w:bookmarkStart w:id="306" w:name="_Toc509218775"/>
      <w:bookmarkStart w:id="307" w:name="_Toc32566"/>
      <w:r>
        <w:rPr>
          <w:rFonts w:hint="eastAsia" w:ascii="宋体" w:hAnsi="宋体"/>
          <w:highlight w:val="none"/>
        </w:rPr>
        <w:t>评标办法前附表</w:t>
      </w:r>
      <w:bookmarkEnd w:id="305"/>
      <w:bookmarkEnd w:id="306"/>
      <w:bookmarkEnd w:id="307"/>
    </w:p>
    <w:p>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00"/>
    <w:bookmarkEnd w:id="301"/>
    <w:bookmarkEnd w:id="302"/>
    <w:bookmarkEnd w:id="303"/>
    <w:bookmarkEnd w:id="304"/>
    <w:tbl>
      <w:tblPr>
        <w:tblStyle w:val="46"/>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bookmarkStart w:id="308" w:name="_Toc509218776"/>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pStyle w:val="87"/>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8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授权直接确定中标人。若出现</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投标报价相同的，以“</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在红名单中优先”的原则排序（联合体投标的，须联合体牵头人在红名单中），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均在红名单中或均不在红名单中的，由评标委员会按照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5名（若实际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1.投标总报价必须与清单总报价一致。</w:t>
            </w:r>
          </w:p>
          <w:p>
            <w:pPr>
              <w:snapToGrid w:val="0"/>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投标总报价不得高于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公布的投标总报价最高限价。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服务期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val="en-US" w:eastAsia="zh-CN"/>
              </w:rPr>
              <w:t>服务</w:t>
            </w:r>
            <w:r>
              <w:rPr>
                <w:rFonts w:hint="eastAsia" w:ascii="宋体" w:hAnsi="宋体" w:cs="宋体"/>
                <w:color w:val="auto"/>
                <w:kern w:val="0"/>
                <w:highlight w:val="none"/>
              </w:rPr>
              <w:t>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符合第七章“技术标准和要求”规定。（由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val="en-US" w:eastAsia="zh-CN"/>
              </w:rPr>
              <w:t>工作内容</w:t>
            </w:r>
            <w:r>
              <w:rPr>
                <w:rFonts w:hint="eastAsia" w:ascii="宋体" w:hAnsi="宋体" w:cs="宋体"/>
                <w:color w:val="auto"/>
                <w:kern w:val="0"/>
                <w:highlight w:val="none"/>
              </w:rPr>
              <w:t>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w:t>
            </w:r>
            <w:r>
              <w:rPr>
                <w:rFonts w:hint="eastAsia" w:ascii="宋体" w:hAnsi="宋体" w:cs="宋体"/>
                <w:color w:val="auto"/>
                <w:kern w:val="0"/>
                <w:highlight w:val="none"/>
                <w:lang w:val="en-US" w:eastAsia="zh-CN"/>
              </w:rPr>
              <w:t>工作内容</w:t>
            </w:r>
            <w:r>
              <w:rPr>
                <w:rFonts w:hint="eastAsia" w:ascii="宋体" w:hAnsi="宋体" w:cs="宋体"/>
                <w:color w:val="auto"/>
                <w:kern w:val="0"/>
                <w:highlight w:val="none"/>
              </w:rPr>
              <w:t>清单”给出的范围及数量。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.每项清单单价报价不得高于对应清单单价最高限价。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”第1.4.3项规定。</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中，报价最低的成为第一中标候选人，报价次低的成为第二中标候选人，依次类推。</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投标报价相同的，以“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在红名单中优先”的原则排序</w:t>
            </w:r>
            <w:r>
              <w:rPr>
                <w:rFonts w:hint="eastAsia" w:ascii="宋体" w:hAnsi="宋体"/>
                <w:color w:val="auto"/>
                <w:spacing w:val="4"/>
                <w:kern w:val="0"/>
                <w:szCs w:val="21"/>
                <w:highlight w:val="none"/>
              </w:rPr>
              <w:t>（联合体投标的，须联合体牵头人在红名单中），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竞选人须知</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outlineLvl w:val="9"/>
        <w:rPr>
          <w:rFonts w:ascii="宋体" w:hAnsi="宋体"/>
          <w:b w:val="0"/>
          <w:snapToGrid w:val="0"/>
          <w:highlight w:val="none"/>
        </w:rPr>
      </w:pPr>
    </w:p>
    <w:p>
      <w:pPr>
        <w:pStyle w:val="4"/>
        <w:spacing w:before="0" w:after="0" w:line="360" w:lineRule="auto"/>
        <w:rPr>
          <w:rFonts w:ascii="宋体" w:hAnsi="宋体"/>
          <w:bCs w:val="0"/>
          <w:snapToGrid w:val="0"/>
          <w:color w:val="auto"/>
          <w:highlight w:val="none"/>
        </w:rPr>
      </w:pPr>
      <w:r>
        <w:rPr>
          <w:rFonts w:ascii="宋体" w:hAnsi="宋体"/>
          <w:b w:val="0"/>
          <w:snapToGrid w:val="0"/>
          <w:highlight w:val="none"/>
        </w:rPr>
        <w:br w:type="page"/>
      </w:r>
      <w:bookmarkEnd w:id="294"/>
      <w:bookmarkEnd w:id="295"/>
      <w:bookmarkEnd w:id="296"/>
      <w:bookmarkEnd w:id="297"/>
      <w:bookmarkEnd w:id="298"/>
      <w:bookmarkEnd w:id="299"/>
      <w:bookmarkEnd w:id="308"/>
      <w:bookmarkStart w:id="309" w:name="_Toc57905886"/>
      <w:bookmarkStart w:id="310" w:name="_Toc27750"/>
      <w:bookmarkStart w:id="311" w:name="_Toc12666"/>
      <w:r>
        <w:rPr>
          <w:rFonts w:ascii="宋体" w:hAnsi="宋体"/>
          <w:b w:val="0"/>
          <w:snapToGrid w:val="0"/>
          <w:color w:val="auto"/>
          <w:highlight w:val="none"/>
        </w:rPr>
        <w:t>1.  评标方法</w:t>
      </w:r>
      <w:bookmarkEnd w:id="309"/>
      <w:bookmarkEnd w:id="310"/>
      <w:bookmarkEnd w:id="311"/>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312" w:name="_Toc57905887"/>
      <w:bookmarkStart w:id="313" w:name="_Toc24923"/>
      <w:bookmarkStart w:id="314" w:name="_Toc20502"/>
      <w:r>
        <w:rPr>
          <w:rFonts w:ascii="宋体" w:hAnsi="宋体"/>
          <w:b w:val="0"/>
          <w:snapToGrid w:val="0"/>
          <w:color w:val="auto"/>
          <w:highlight w:val="none"/>
        </w:rPr>
        <w:t>2.  评审标准</w:t>
      </w:r>
      <w:bookmarkEnd w:id="312"/>
      <w:bookmarkEnd w:id="313"/>
      <w:bookmarkEnd w:id="314"/>
    </w:p>
    <w:p>
      <w:pPr>
        <w:pStyle w:val="5"/>
        <w:spacing w:before="0" w:after="0" w:line="360" w:lineRule="auto"/>
        <w:rPr>
          <w:rFonts w:ascii="宋体" w:hAnsi="宋体" w:cs="宋体"/>
          <w:color w:val="auto"/>
          <w:sz w:val="21"/>
          <w:szCs w:val="21"/>
          <w:highlight w:val="none"/>
        </w:rPr>
      </w:pPr>
      <w:bookmarkStart w:id="315" w:name="_Toc3739"/>
      <w:bookmarkStart w:id="316" w:name="_Toc57905888"/>
      <w:bookmarkStart w:id="317" w:name="_Toc24029"/>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315"/>
      <w:r>
        <w:rPr>
          <w:rFonts w:hint="eastAsia" w:ascii="宋体" w:hAnsi="宋体" w:cs="宋体"/>
          <w:color w:val="auto"/>
          <w:sz w:val="21"/>
          <w:szCs w:val="21"/>
          <w:highlight w:val="none"/>
        </w:rPr>
        <w:t>标准</w:t>
      </w:r>
      <w:bookmarkEnd w:id="316"/>
      <w:bookmarkEnd w:id="317"/>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318" w:name="_Toc16832"/>
      <w:bookmarkStart w:id="319" w:name="_Toc7449"/>
      <w:bookmarkStart w:id="320"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318"/>
      <w:r>
        <w:rPr>
          <w:rFonts w:hint="eastAsia" w:ascii="宋体" w:hAnsi="宋体" w:cs="宋体"/>
          <w:color w:val="auto"/>
          <w:sz w:val="21"/>
          <w:szCs w:val="21"/>
          <w:highlight w:val="none"/>
        </w:rPr>
        <w:t>标准</w:t>
      </w:r>
      <w:bookmarkEnd w:id="319"/>
      <w:bookmarkEnd w:id="320"/>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321" w:name="_Toc57905890"/>
      <w:bookmarkStart w:id="322" w:name="_Toc6630"/>
      <w:bookmarkStart w:id="323" w:name="_Toc30094"/>
      <w:r>
        <w:rPr>
          <w:rFonts w:ascii="宋体" w:hAnsi="宋体"/>
          <w:b w:val="0"/>
          <w:snapToGrid w:val="0"/>
          <w:color w:val="auto"/>
          <w:highlight w:val="none"/>
        </w:rPr>
        <w:t>3.  评标程序</w:t>
      </w:r>
      <w:bookmarkEnd w:id="321"/>
      <w:bookmarkEnd w:id="322"/>
      <w:bookmarkEnd w:id="323"/>
    </w:p>
    <w:p>
      <w:pPr>
        <w:pStyle w:val="5"/>
        <w:spacing w:before="0" w:after="0" w:line="360" w:lineRule="auto"/>
        <w:rPr>
          <w:rFonts w:ascii="宋体" w:hAnsi="宋体" w:cs="宋体"/>
          <w:color w:val="auto"/>
          <w:sz w:val="21"/>
          <w:szCs w:val="21"/>
          <w:highlight w:val="none"/>
        </w:rPr>
      </w:pPr>
      <w:bookmarkStart w:id="324" w:name="_Toc57905891"/>
      <w:bookmarkStart w:id="325" w:name="_Toc19555"/>
      <w:bookmarkStart w:id="326" w:name="_Toc17317"/>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24"/>
      <w:bookmarkEnd w:id="325"/>
      <w:bookmarkEnd w:id="326"/>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的投标文件，按照报价由低到高的顺序排序。</w:t>
      </w:r>
    </w:p>
    <w:p>
      <w:pPr>
        <w:pStyle w:val="5"/>
        <w:spacing w:before="0" w:after="0" w:line="360" w:lineRule="auto"/>
        <w:rPr>
          <w:rFonts w:ascii="宋体" w:hAnsi="宋体" w:cs="宋体"/>
          <w:color w:val="auto"/>
          <w:sz w:val="21"/>
          <w:szCs w:val="21"/>
          <w:highlight w:val="none"/>
        </w:rPr>
      </w:pPr>
      <w:bookmarkStart w:id="327" w:name="_Toc57905892"/>
      <w:bookmarkStart w:id="328" w:name="_Toc23300"/>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27"/>
      <w:bookmarkEnd w:id="328"/>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竞选人须知</w:t>
      </w:r>
      <w:r>
        <w:rPr>
          <w:rFonts w:ascii="宋体" w:hAnsi="宋体" w:cs="宋体"/>
          <w:color w:val="auto"/>
          <w:szCs w:val="21"/>
          <w:highlight w:val="none"/>
        </w:rPr>
        <w:t xml:space="preserve">”第1.4.3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（2）投标函中的总报价与</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329" w:name="_Toc5505"/>
      <w:bookmarkStart w:id="330" w:name="_Toc30970"/>
      <w:bookmarkStart w:id="331" w:name="_Toc57905893"/>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29"/>
      <w:bookmarkEnd w:id="330"/>
      <w:bookmarkEnd w:id="33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332" w:name="_Toc27746"/>
      <w:bookmarkStart w:id="333" w:name="_Toc57905894"/>
      <w:bookmarkStart w:id="334" w:name="_Toc479262406"/>
      <w:bookmarkStart w:id="335" w:name="_Toc484465184"/>
      <w:bookmarkStart w:id="336" w:name="_Toc26860"/>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32"/>
      <w:bookmarkEnd w:id="333"/>
      <w:bookmarkEnd w:id="334"/>
      <w:bookmarkEnd w:id="335"/>
      <w:bookmarkEnd w:id="336"/>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竞选人须知</w:t>
      </w:r>
      <w:r>
        <w:rPr>
          <w:rFonts w:hint="eastAsia" w:ascii="宋体" w:hAnsi="宋体" w:cs="宋体"/>
          <w:color w:val="auto"/>
          <w:szCs w:val="21"/>
          <w:highlight w:val="none"/>
        </w:rPr>
        <w:t>”前附表授权直接确定中标人外，评标委员会按经评审的最低投标价法推荐中标候选人。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spacing w:line="360" w:lineRule="auto"/>
        <w:rPr>
          <w:rFonts w:ascii="宋体" w:hAnsi="宋体"/>
          <w:b/>
          <w:szCs w:val="20"/>
          <w:highlight w:val="none"/>
        </w:rPr>
      </w:pPr>
      <w:r>
        <w:rPr>
          <w:rFonts w:ascii="宋体" w:hAnsi="宋体"/>
          <w:kern w:val="0"/>
          <w:sz w:val="20"/>
          <w:szCs w:val="20"/>
          <w:highlight w:val="none"/>
        </w:rPr>
        <w:br w:type="page"/>
      </w:r>
    </w:p>
    <w:p>
      <w:pPr>
        <w:pStyle w:val="34"/>
        <w:spacing w:line="360" w:lineRule="auto"/>
        <w:rPr>
          <w:rFonts w:ascii="宋体" w:hAnsi="宋体"/>
          <w:b/>
          <w:color w:val="auto"/>
          <w:sz w:val="28"/>
          <w:szCs w:val="28"/>
          <w:highlight w:val="none"/>
          <w:u w:val="none"/>
          <w:lang w:eastAsia="zh-CN"/>
        </w:rPr>
      </w:pPr>
      <w:bookmarkStart w:id="337" w:name="招标文件03章02评标办法综合评估法02附件02"/>
      <w:bookmarkEnd w:id="337"/>
      <w:bookmarkStart w:id="338" w:name="招标文件04章合同条款及格式"/>
      <w:bookmarkEnd w:id="338"/>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投标文件存在本一览表下列情形之一的，投标文件视为重大偏差并作否决投标处理，否则，评标委员会不得视为重大偏差而否决竞选人的投标文件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的技术方案综合性评审不合格，由评标委员会作否决投标处理。技术方案采用暗标评审时，其形式应符合第二章</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第3.7.5项（</w:t>
            </w:r>
            <w:r>
              <w:rPr>
                <w:rFonts w:hint="eastAsia" w:ascii="宋体" w:hAnsi="宋体"/>
                <w:color w:val="auto"/>
                <w:szCs w:val="21"/>
                <w:highlight w:val="none"/>
                <w:lang w:val="en-US" w:eastAsia="zh-CN"/>
              </w:rPr>
              <w:t>4</w:t>
            </w:r>
            <w:r>
              <w:rPr>
                <w:rFonts w:hint="eastAsia" w:ascii="宋体" w:hAnsi="宋体"/>
                <w:color w:val="auto"/>
                <w:szCs w:val="21"/>
                <w:highlight w:val="none"/>
              </w:rPr>
              <w:t>）技术部分的</w:t>
            </w:r>
            <w:r>
              <w:rPr>
                <w:rFonts w:hint="eastAsia" w:ascii="宋体" w:hAnsi="宋体"/>
                <w:color w:val="auto"/>
                <w:szCs w:val="21"/>
                <w:highlight w:val="none"/>
                <w:lang w:val="en-US" w:eastAsia="zh-CN"/>
              </w:rPr>
              <w:t>装订</w:t>
            </w:r>
            <w:r>
              <w:rPr>
                <w:rFonts w:hint="eastAsia" w:ascii="宋体" w:hAnsi="宋体"/>
                <w:color w:val="auto"/>
                <w:szCs w:val="21"/>
                <w:highlight w:val="none"/>
              </w:rPr>
              <w:t>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的资质条件、营业执照及安全生产条件须满足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w:t>
            </w:r>
            <w:r>
              <w:rPr>
                <w:rFonts w:hint="eastAsia" w:ascii="宋体" w:hAnsi="宋体"/>
                <w:color w:val="auto"/>
                <w:szCs w:val="21"/>
                <w:highlight w:val="none"/>
                <w:lang w:eastAsia="zh-CN"/>
              </w:rPr>
              <w:t>竞选人</w:t>
            </w:r>
            <w:r>
              <w:rPr>
                <w:rFonts w:hint="eastAsia" w:ascii="宋体" w:hAnsi="宋体"/>
                <w:color w:val="auto"/>
                <w:szCs w:val="21"/>
                <w:highlight w:val="none"/>
              </w:rPr>
              <w:t>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竞选人</w:t>
            </w:r>
            <w:r>
              <w:rPr>
                <w:rFonts w:ascii="宋体" w:hAnsi="宋体"/>
                <w:color w:val="auto"/>
                <w:szCs w:val="21"/>
                <w:highlight w:val="none"/>
              </w:rPr>
              <w:t>应按</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竞选人</w:t>
            </w:r>
            <w:r>
              <w:rPr>
                <w:rFonts w:hint="eastAsia" w:ascii="宋体" w:hAnsi="宋体"/>
                <w:color w:val="auto"/>
                <w:szCs w:val="21"/>
                <w:highlight w:val="none"/>
              </w:rPr>
              <w:t>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w:t>
            </w:r>
            <w:r>
              <w:rPr>
                <w:rFonts w:hint="eastAsia" w:ascii="宋体" w:hAnsi="宋体"/>
                <w:i/>
                <w:color w:val="auto"/>
                <w:szCs w:val="21"/>
                <w:highlight w:val="none"/>
                <w:lang w:eastAsia="zh-CN"/>
              </w:rPr>
              <w:t>比选人</w:t>
            </w:r>
            <w:r>
              <w:rPr>
                <w:rFonts w:hint="eastAsia" w:ascii="宋体" w:hAnsi="宋体"/>
                <w:i/>
                <w:color w:val="auto"/>
                <w:szCs w:val="21"/>
                <w:highlight w:val="none"/>
              </w:rPr>
              <w:t>必须将所有否决投标条款集中罗列于此表，若无其他否决投标条款则在该条写无。]</w:t>
            </w:r>
          </w:p>
        </w:tc>
      </w:tr>
    </w:tbl>
    <w:p>
      <w:pPr>
        <w:spacing w:line="480" w:lineRule="auto"/>
        <w:jc w:val="left"/>
        <w:rPr>
          <w:rFonts w:ascii="宋体" w:hAnsi="宋体"/>
          <w:color w:val="auto"/>
          <w:kern w:val="0"/>
          <w:sz w:val="24"/>
          <w:highlight w:val="none"/>
        </w:rPr>
      </w:pPr>
    </w:p>
    <w:p>
      <w:pPr>
        <w:autoSpaceDE w:val="0"/>
        <w:autoSpaceDN w:val="0"/>
        <w:adjustRightInd w:val="0"/>
        <w:snapToGrid w:val="0"/>
        <w:spacing w:before="340" w:after="330" w:line="360" w:lineRule="auto"/>
        <w:jc w:val="left"/>
        <w:rPr>
          <w:rFonts w:ascii="宋体" w:hAnsi="宋体"/>
          <w:kern w:val="0"/>
          <w:sz w:val="52"/>
          <w:szCs w:val="52"/>
          <w:highlight w:val="none"/>
        </w:rPr>
      </w:pPr>
    </w:p>
    <w:p>
      <w:pPr>
        <w:pStyle w:val="3"/>
        <w:spacing w:line="360" w:lineRule="auto"/>
        <w:jc w:val="center"/>
        <w:rPr>
          <w:rFonts w:hint="eastAsia" w:ascii="宋体" w:hAnsi="宋体"/>
          <w:kern w:val="0"/>
          <w:highlight w:val="none"/>
        </w:rPr>
      </w:pPr>
      <w:bookmarkStart w:id="339" w:name="_Toc12421"/>
      <w:bookmarkStart w:id="340" w:name="_Toc509218785"/>
      <w:bookmarkStart w:id="341" w:name="_Toc8427"/>
      <w:bookmarkStart w:id="342" w:name="_Toc430530509"/>
      <w:bookmarkStart w:id="343" w:name="_Toc10597"/>
    </w:p>
    <w:p>
      <w:pPr>
        <w:pStyle w:val="3"/>
        <w:spacing w:line="360" w:lineRule="auto"/>
        <w:jc w:val="center"/>
        <w:rPr>
          <w:rFonts w:ascii="宋体" w:hAnsi="宋体"/>
          <w:kern w:val="0"/>
          <w:highlight w:val="none"/>
        </w:rPr>
      </w:pPr>
      <w:r>
        <w:rPr>
          <w:rFonts w:hint="eastAsia" w:ascii="宋体" w:hAnsi="宋体"/>
          <w:kern w:val="0"/>
          <w:highlight w:val="none"/>
        </w:rPr>
        <w:t>第四章  合同条款及格式</w:t>
      </w:r>
      <w:bookmarkEnd w:id="339"/>
      <w:bookmarkEnd w:id="340"/>
      <w:bookmarkEnd w:id="341"/>
      <w:bookmarkEnd w:id="342"/>
      <w:bookmarkEnd w:id="343"/>
    </w:p>
    <w:p>
      <w:pPr>
        <w:rPr>
          <w:rFonts w:asciiTheme="majorEastAsia" w:hAnsiTheme="majorEastAsia" w:eastAsiaTheme="majorEastAsia" w:cstheme="majorEastAsia"/>
          <w:sz w:val="24"/>
          <w:szCs w:val="24"/>
          <w:lang w:eastAsia="zh-CN"/>
        </w:rPr>
      </w:pPr>
      <w:r>
        <w:rPr>
          <w:rFonts w:ascii="宋体" w:hAnsi="宋体"/>
          <w:highlight w:val="none"/>
        </w:rPr>
        <w:br w:type="page"/>
      </w:r>
      <w:bookmarkStart w:id="344" w:name="_Toc351203480"/>
      <w:bookmarkStart w:id="345" w:name="_Toc296503025"/>
      <w:bookmarkStart w:id="346" w:name="_Toc296890982"/>
      <w:r>
        <w:rPr>
          <w:rFonts w:hint="eastAsia" w:asciiTheme="majorEastAsia" w:hAnsiTheme="majorEastAsia" w:eastAsiaTheme="majorEastAsia" w:cstheme="majorEastAsia"/>
          <w:sz w:val="24"/>
          <w:szCs w:val="24"/>
          <w:lang w:eastAsia="zh-CN"/>
        </w:rPr>
        <w:t>合同编号：</w:t>
      </w:r>
    </w:p>
    <w:p>
      <w:pPr>
        <w:jc w:val="center"/>
        <w:rPr>
          <w:rFonts w:asciiTheme="majorEastAsia" w:hAnsiTheme="majorEastAsia" w:eastAsiaTheme="majorEastAsia" w:cstheme="majorEastAsia"/>
          <w:b/>
          <w:bCs/>
          <w:sz w:val="40"/>
          <w:szCs w:val="40"/>
          <w:lang w:eastAsia="zh-CN"/>
        </w:rPr>
      </w:pPr>
      <w:r>
        <w:rPr>
          <w:rFonts w:hint="eastAsia" w:asciiTheme="majorEastAsia" w:hAnsiTheme="majorEastAsia" w:eastAsiaTheme="majorEastAsia" w:cstheme="majorEastAsia"/>
          <w:b/>
          <w:bCs/>
          <w:sz w:val="40"/>
          <w:szCs w:val="40"/>
          <w:lang w:eastAsia="zh-CN"/>
        </w:rPr>
        <w:t>广告发布合同</w:t>
      </w:r>
    </w:p>
    <w:p>
      <w:pPr>
        <w:rPr>
          <w:rFonts w:asciiTheme="majorEastAsia" w:hAnsiTheme="majorEastAsia" w:eastAsiaTheme="majorEastAsia" w:cstheme="majorEastAsia"/>
          <w:sz w:val="28"/>
          <w:szCs w:val="28"/>
          <w:lang w:eastAsia="zh-CN"/>
        </w:rPr>
      </w:pPr>
    </w:p>
    <w:p>
      <w:pPr>
        <w:rPr>
          <w:rFonts w:asciiTheme="majorEastAsia" w:hAnsiTheme="majorEastAsia" w:eastAsiaTheme="majorEastAsia" w:cstheme="maj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u w:val="single"/>
          <w:lang w:eastAsia="zh-CN"/>
        </w:rPr>
      </w:pPr>
      <w:r>
        <w:rPr>
          <w:rFonts w:hint="eastAsia" w:asciiTheme="majorEastAsia" w:hAnsiTheme="majorEastAsia" w:eastAsiaTheme="majorEastAsia" w:cstheme="majorEastAsia"/>
          <w:sz w:val="24"/>
          <w:szCs w:val="24"/>
          <w:lang w:eastAsia="zh-CN"/>
        </w:rPr>
        <w:t xml:space="preserve">甲方：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地址：</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乙方：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地址：</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ind w:firstLine="480" w:firstLineChars="200"/>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根据现行有效法律法规的规定，甲、乙双方在平等、自愿、等价有偿、公平、诚实信用的基础上，经友好协商，就乙方为甲方发布广告及相关工作事宜达成如下条款：</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sz w:val="24"/>
          <w:szCs w:val="24"/>
          <w:lang w:eastAsia="zh-CN"/>
        </w:rPr>
        <w:t xml:space="preserve">第一条   </w:t>
      </w:r>
      <w:r>
        <w:rPr>
          <w:rFonts w:hint="eastAsia" w:asciiTheme="majorEastAsia" w:hAnsiTheme="majorEastAsia" w:eastAsiaTheme="majorEastAsia" w:cstheme="majorEastAsia"/>
          <w:b/>
          <w:bCs/>
          <w:sz w:val="24"/>
          <w:szCs w:val="24"/>
          <w:lang w:eastAsia="zh-CN"/>
        </w:rPr>
        <w:t>广告发布内容</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关于甲方项目内容发布的广告，具体以甲方提供的或经甲方确认的宣传内容为准。</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第二条  </w:t>
      </w:r>
      <w:r>
        <w:rPr>
          <w:rFonts w:hint="eastAsia" w:asciiTheme="majorEastAsia" w:hAnsiTheme="majorEastAsia" w:eastAsiaTheme="majorEastAsia" w:cstheme="majorEastAsia"/>
          <w:b/>
          <w:bCs/>
          <w:sz w:val="24"/>
          <w:szCs w:val="24"/>
          <w:lang w:eastAsia="zh-CN"/>
        </w:rPr>
        <w:t xml:space="preserve"> 广告发布期限</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广告发布期限为：2024年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日至2024年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日。</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（实际发布日期与上述约定发布日期不一致的，以实际发布日期为准）。</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第三条   发布广告名称、位置、费用</w:t>
      </w:r>
    </w:p>
    <w:p>
      <w:pPr>
        <w:rPr>
          <w:lang w:eastAsia="zh-CN"/>
        </w:rPr>
      </w:pPr>
      <w:r>
        <w:rPr>
          <w:rFonts w:hint="eastAsia" w:asciiTheme="majorEastAsia" w:hAnsiTheme="majorEastAsia" w:eastAsiaTheme="majorEastAsia" w:cstheme="majorEastAsia"/>
          <w:sz w:val="24"/>
          <w:szCs w:val="24"/>
          <w:lang w:eastAsia="zh-CN"/>
        </w:rPr>
        <w:t>3.1 广告发布网站名称、位置等具体要求：</w:t>
      </w:r>
    </w:p>
    <w:tbl>
      <w:tblPr>
        <w:tblStyle w:val="46"/>
        <w:tblpPr w:leftFromText="180" w:rightFromText="180" w:vertAnchor="text" w:horzAnchor="page" w:tblpX="1817" w:tblpY="303"/>
        <w:tblOverlap w:val="never"/>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84"/>
        <w:gridCol w:w="1268"/>
        <w:gridCol w:w="937"/>
        <w:gridCol w:w="2363"/>
        <w:gridCol w:w="168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96"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484" w:type="dxa"/>
            <w:vAlign w:val="center"/>
          </w:tcPr>
          <w:p>
            <w:pPr>
              <w:jc w:val="both"/>
              <w:rPr>
                <w:rFonts w:hint="eastAsia" w:ascii="宋体" w:hAnsi="宋体" w:eastAsia="宋体"/>
                <w:b/>
                <w:sz w:val="24"/>
                <w:lang w:val="en-US" w:eastAsia="zh-CN"/>
              </w:rPr>
            </w:pPr>
            <w:r>
              <w:rPr>
                <w:rFonts w:hint="eastAsia" w:ascii="宋体" w:hAnsi="宋体" w:eastAsia="宋体"/>
                <w:b/>
                <w:sz w:val="24"/>
                <w:lang w:val="en-US" w:eastAsia="zh-CN"/>
              </w:rPr>
              <w:t>广告媒体</w:t>
            </w:r>
          </w:p>
          <w:p>
            <w:pPr>
              <w:jc w:val="both"/>
              <w:rPr>
                <w:rFonts w:hint="default" w:ascii="宋体" w:hAnsi="宋体" w:eastAsia="宋体"/>
                <w:b/>
                <w:sz w:val="24"/>
                <w:lang w:val="en-US" w:eastAsia="zh-CN"/>
              </w:rPr>
            </w:pPr>
            <w:r>
              <w:rPr>
                <w:rFonts w:hint="eastAsia" w:ascii="宋体" w:hAnsi="宋体" w:eastAsia="宋体"/>
                <w:b/>
                <w:sz w:val="24"/>
                <w:lang w:val="en-US" w:eastAsia="zh-CN"/>
              </w:rPr>
              <w:t>名称</w:t>
            </w:r>
          </w:p>
        </w:tc>
        <w:tc>
          <w:tcPr>
            <w:tcW w:w="1268" w:type="dxa"/>
            <w:vAlign w:val="center"/>
          </w:tcPr>
          <w:p>
            <w:pPr>
              <w:jc w:val="center"/>
              <w:rPr>
                <w:rFonts w:ascii="宋体" w:hAnsi="宋体" w:eastAsia="宋体"/>
                <w:b/>
                <w:sz w:val="24"/>
              </w:rPr>
            </w:pPr>
            <w:r>
              <w:rPr>
                <w:rFonts w:hint="eastAsia" w:ascii="宋体" w:hAnsi="宋体" w:eastAsia="宋体"/>
                <w:b/>
                <w:sz w:val="24"/>
              </w:rPr>
              <w:t>执行</w:t>
            </w:r>
          </w:p>
          <w:p>
            <w:pPr>
              <w:jc w:val="center"/>
              <w:rPr>
                <w:rFonts w:ascii="宋体" w:hAnsi="宋体" w:eastAsia="宋体"/>
                <w:b/>
                <w:sz w:val="24"/>
              </w:rPr>
            </w:pPr>
            <w:r>
              <w:rPr>
                <w:rFonts w:hint="eastAsia" w:ascii="宋体" w:hAnsi="宋体" w:eastAsia="宋体"/>
                <w:b/>
                <w:sz w:val="24"/>
              </w:rPr>
              <w:t>（广告位/形式）</w:t>
            </w:r>
          </w:p>
        </w:tc>
        <w:tc>
          <w:tcPr>
            <w:tcW w:w="937" w:type="dxa"/>
            <w:vAlign w:val="center"/>
          </w:tcPr>
          <w:p>
            <w:pPr>
              <w:jc w:val="center"/>
              <w:rPr>
                <w:rFonts w:ascii="宋体" w:hAnsi="宋体" w:eastAsia="宋体"/>
                <w:b/>
                <w:sz w:val="24"/>
              </w:rPr>
            </w:pPr>
            <w:r>
              <w:rPr>
                <w:rFonts w:hint="eastAsia" w:ascii="宋体" w:hAnsi="宋体" w:eastAsia="宋体"/>
                <w:b/>
                <w:sz w:val="24"/>
              </w:rPr>
              <w:t>数量</w:t>
            </w:r>
          </w:p>
        </w:tc>
        <w:tc>
          <w:tcPr>
            <w:tcW w:w="2363" w:type="dxa"/>
            <w:vAlign w:val="center"/>
          </w:tcPr>
          <w:p>
            <w:pPr>
              <w:jc w:val="center"/>
              <w:rPr>
                <w:rFonts w:ascii="宋体" w:hAnsi="宋体" w:eastAsia="宋体"/>
                <w:b/>
                <w:sz w:val="24"/>
                <w:lang w:eastAsia="zh-CN"/>
              </w:rPr>
            </w:pPr>
            <w:r>
              <w:rPr>
                <w:rFonts w:hint="eastAsia" w:ascii="宋体" w:hAnsi="宋体" w:eastAsia="宋体"/>
                <w:b/>
                <w:sz w:val="24"/>
                <w:lang w:eastAsia="zh-CN"/>
              </w:rPr>
              <w:t>投放时间</w:t>
            </w:r>
          </w:p>
          <w:p>
            <w:pPr>
              <w:jc w:val="center"/>
              <w:rPr>
                <w:rFonts w:ascii="宋体" w:hAnsi="宋体" w:eastAsia="宋体"/>
                <w:b/>
                <w:sz w:val="24"/>
                <w:lang w:eastAsia="zh-CN"/>
              </w:rPr>
            </w:pPr>
            <w:r>
              <w:rPr>
                <w:rFonts w:hint="eastAsia" w:ascii="宋体" w:hAnsi="宋体" w:eastAsia="宋体"/>
                <w:b/>
                <w:sz w:val="24"/>
                <w:lang w:eastAsia="zh-CN"/>
              </w:rPr>
              <w:t>（以刊发时间为准）</w:t>
            </w:r>
          </w:p>
        </w:tc>
        <w:tc>
          <w:tcPr>
            <w:tcW w:w="1687" w:type="dxa"/>
            <w:vAlign w:val="center"/>
          </w:tcPr>
          <w:p>
            <w:pPr>
              <w:jc w:val="center"/>
              <w:rPr>
                <w:rFonts w:ascii="宋体" w:hAnsi="宋体" w:eastAsia="宋体"/>
                <w:b/>
                <w:sz w:val="24"/>
              </w:rPr>
            </w:pPr>
            <w:r>
              <w:rPr>
                <w:rFonts w:hint="eastAsia" w:ascii="宋体" w:hAnsi="宋体" w:eastAsia="宋体"/>
                <w:b/>
                <w:sz w:val="24"/>
              </w:rPr>
              <w:t>价格</w:t>
            </w:r>
          </w:p>
          <w:p>
            <w:pPr>
              <w:jc w:val="center"/>
              <w:rPr>
                <w:rFonts w:ascii="宋体" w:hAnsi="宋体" w:eastAsia="宋体"/>
                <w:b/>
                <w:sz w:val="24"/>
              </w:rPr>
            </w:pPr>
            <w:r>
              <w:rPr>
                <w:rFonts w:hint="eastAsia" w:ascii="宋体" w:hAnsi="宋体" w:eastAsia="宋体"/>
                <w:b/>
                <w:sz w:val="24"/>
              </w:rPr>
              <w:t>（元）</w:t>
            </w:r>
          </w:p>
        </w:tc>
        <w:tc>
          <w:tcPr>
            <w:tcW w:w="1298" w:type="dxa"/>
            <w:vAlign w:val="center"/>
          </w:tcPr>
          <w:p>
            <w:pPr>
              <w:jc w:val="center"/>
              <w:rPr>
                <w:rFonts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6" w:type="dxa"/>
            <w:vAlign w:val="center"/>
          </w:tcPr>
          <w:p>
            <w:pPr>
              <w:jc w:val="center"/>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lang w:eastAsia="zh-CN"/>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eastAsia="宋体"/>
                <w:sz w:val="24"/>
                <w:lang w:eastAsia="zh-CN"/>
              </w:rPr>
            </w:pPr>
          </w:p>
        </w:tc>
        <w:tc>
          <w:tcPr>
            <w:tcW w:w="168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6" w:type="dxa"/>
            <w:vAlign w:val="center"/>
          </w:tcPr>
          <w:p>
            <w:pPr>
              <w:jc w:val="center"/>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lang w:eastAsia="zh-CN"/>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rPr>
            </w:pPr>
          </w:p>
        </w:tc>
        <w:tc>
          <w:tcPr>
            <w:tcW w:w="168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6" w:type="dxa"/>
            <w:vAlign w:val="center"/>
          </w:tcPr>
          <w:p>
            <w:pPr>
              <w:jc w:val="both"/>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eastAsia="宋体"/>
                <w:sz w:val="24"/>
                <w:lang w:eastAsia="zh-CN"/>
              </w:rPr>
            </w:pPr>
          </w:p>
        </w:tc>
        <w:tc>
          <w:tcPr>
            <w:tcW w:w="1687" w:type="dxa"/>
            <w:vAlign w:val="center"/>
          </w:tcPr>
          <w:p>
            <w:pPr>
              <w:jc w:val="center"/>
              <w:rPr>
                <w:rFonts w:ascii="宋体" w:hAnsi="宋体" w:eastAsia="宋体"/>
                <w:sz w:val="24"/>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96" w:type="dxa"/>
            <w:vAlign w:val="center"/>
          </w:tcPr>
          <w:p>
            <w:pPr>
              <w:jc w:val="center"/>
              <w:rPr>
                <w:rFonts w:ascii="宋体" w:hAnsi="宋体" w:eastAsia="宋体"/>
                <w:sz w:val="24"/>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rPr>
            </w:pPr>
          </w:p>
        </w:tc>
        <w:tc>
          <w:tcPr>
            <w:tcW w:w="937" w:type="dxa"/>
            <w:vAlign w:val="center"/>
          </w:tcPr>
          <w:p>
            <w:pPr>
              <w:jc w:val="center"/>
              <w:rPr>
                <w:rFonts w:ascii="宋体" w:hAnsi="宋体" w:eastAsia="宋体"/>
                <w:sz w:val="24"/>
              </w:rPr>
            </w:pPr>
          </w:p>
        </w:tc>
        <w:tc>
          <w:tcPr>
            <w:tcW w:w="2363" w:type="dxa"/>
            <w:vAlign w:val="center"/>
          </w:tcPr>
          <w:p>
            <w:pPr>
              <w:jc w:val="center"/>
              <w:rPr>
                <w:rFonts w:ascii="宋体" w:hAnsi="宋体" w:eastAsia="宋体"/>
                <w:sz w:val="24"/>
              </w:rPr>
            </w:pPr>
          </w:p>
        </w:tc>
        <w:tc>
          <w:tcPr>
            <w:tcW w:w="1687" w:type="dxa"/>
            <w:vAlign w:val="center"/>
          </w:tcPr>
          <w:p>
            <w:pPr>
              <w:jc w:val="center"/>
              <w:rPr>
                <w:rFonts w:ascii="宋体" w:hAnsi="宋体" w:eastAsia="宋体"/>
                <w:sz w:val="24"/>
              </w:rPr>
            </w:pPr>
          </w:p>
        </w:tc>
        <w:tc>
          <w:tcPr>
            <w:tcW w:w="1298" w:type="dxa"/>
            <w:vAlign w:val="center"/>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96" w:type="dxa"/>
            <w:vAlign w:val="center"/>
          </w:tcPr>
          <w:p>
            <w:pPr>
              <w:jc w:val="both"/>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lang w:eastAsia="zh-CN"/>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eastAsia="宋体"/>
                <w:sz w:val="24"/>
                <w:lang w:eastAsia="zh-CN"/>
              </w:rPr>
            </w:pPr>
          </w:p>
        </w:tc>
        <w:tc>
          <w:tcPr>
            <w:tcW w:w="168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533" w:type="dxa"/>
            <w:gridSpan w:val="7"/>
            <w:vAlign w:val="center"/>
          </w:tcPr>
          <w:p>
            <w:pPr>
              <w:jc w:val="center"/>
              <w:rPr>
                <w:rFonts w:ascii="宋体" w:hAnsi="宋体" w:eastAsia="宋体"/>
                <w:sz w:val="24"/>
                <w:lang w:eastAsia="zh-CN"/>
              </w:rPr>
            </w:pPr>
            <w:r>
              <w:rPr>
                <w:rFonts w:hint="eastAsia" w:ascii="宋体" w:hAnsi="宋体" w:eastAsia="宋体"/>
                <w:sz w:val="24"/>
                <w:lang w:eastAsia="zh-CN"/>
              </w:rPr>
              <w:t>价税合计</w:t>
            </w:r>
            <w:r>
              <w:rPr>
                <w:rFonts w:hint="eastAsia" w:ascii="宋体" w:hAnsi="宋体" w:eastAsia="宋体"/>
                <w:sz w:val="24"/>
                <w:lang w:val="en-US" w:eastAsia="zh-CN"/>
              </w:rPr>
              <w:t xml:space="preserve">    </w:t>
            </w:r>
            <w:r>
              <w:rPr>
                <w:rFonts w:hint="eastAsia" w:ascii="宋体" w:hAnsi="宋体" w:eastAsia="宋体"/>
                <w:sz w:val="24"/>
                <w:lang w:eastAsia="zh-CN"/>
              </w:rPr>
              <w:t>元（大写：</w:t>
            </w:r>
            <w:r>
              <w:rPr>
                <w:rFonts w:hint="eastAsia" w:ascii="宋体" w:hAnsi="宋体" w:eastAsia="宋体"/>
                <w:sz w:val="24"/>
                <w:lang w:val="en-US" w:eastAsia="zh-CN"/>
              </w:rPr>
              <w:t xml:space="preserve">    </w:t>
            </w:r>
            <w:r>
              <w:rPr>
                <w:rFonts w:hint="eastAsia" w:ascii="宋体" w:hAnsi="宋体" w:eastAsia="宋体"/>
                <w:sz w:val="24"/>
                <w:lang w:eastAsia="zh-CN"/>
              </w:rPr>
              <w:t>）　</w:t>
            </w:r>
          </w:p>
        </w:tc>
      </w:tr>
    </w:tbl>
    <w:p>
      <w:pPr>
        <w:rPr>
          <w:rFonts w:asciiTheme="minorEastAsia" w:hAnsiTheme="minorEastAsia" w:cstheme="min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3.2 上述合计的广告费用为包干总价，包括但不限于人工费、审批费、交通费、 材料费、包装费、制版费、审稿费、修订费、印刷费、乙方合理利润等甲方实现合同目的所需一切费用。除本合同另有约定外，甲方不再向乙方支付任何费用。除本合同中另有约定外，上述广告费用不得调整。</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3.3 本合同项下广告费用含税价格=不含税价格+增值税税额，其中不含税价格为</w:t>
      </w:r>
      <w:r>
        <w:rPr>
          <w:rFonts w:hint="eastAsia" w:asciiTheme="majorEastAsia" w:hAnsiTheme="majorEastAsia" w:eastAsiaTheme="majorEastAsia" w:cstheme="majorEastAsia"/>
          <w:sz w:val="24"/>
          <w:szCs w:val="24"/>
          <w:lang w:val="en-US" w:eastAsia="zh-CN"/>
        </w:rPr>
        <w:t>XXXXX</w:t>
      </w:r>
      <w:r>
        <w:rPr>
          <w:rFonts w:hint="eastAsia" w:asciiTheme="majorEastAsia" w:hAnsiTheme="majorEastAsia" w:eastAsiaTheme="majorEastAsia" w:cstheme="majorEastAsia"/>
          <w:sz w:val="24"/>
          <w:szCs w:val="24"/>
          <w:lang w:eastAsia="zh-CN"/>
        </w:rPr>
        <w:t>元、增值税税额为</w:t>
      </w:r>
      <w:r>
        <w:rPr>
          <w:rFonts w:hint="eastAsia" w:asciiTheme="majorEastAsia" w:hAnsiTheme="majorEastAsia" w:eastAsiaTheme="majorEastAsia" w:cstheme="majorEastAsia"/>
          <w:sz w:val="24"/>
          <w:szCs w:val="24"/>
          <w:lang w:val="en-US" w:eastAsia="zh-CN"/>
        </w:rPr>
        <w:t>XXXXX</w:t>
      </w:r>
      <w:r>
        <w:rPr>
          <w:rFonts w:hint="eastAsia" w:asciiTheme="majorEastAsia" w:hAnsiTheme="majorEastAsia" w:eastAsiaTheme="majorEastAsia" w:cstheme="majorEastAsia"/>
          <w:sz w:val="24"/>
          <w:szCs w:val="24"/>
          <w:lang w:eastAsia="zh-CN"/>
        </w:rPr>
        <w:t>元（按法定增值税税率</w:t>
      </w:r>
      <w:r>
        <w:rPr>
          <w:rFonts w:hint="eastAsia" w:asciiTheme="majorEastAsia" w:hAnsiTheme="majorEastAsia" w:eastAsiaTheme="majorEastAsia" w:cstheme="majorEastAsia"/>
          <w:sz w:val="24"/>
          <w:szCs w:val="24"/>
          <w:lang w:val="en-US" w:eastAsia="zh-CN"/>
        </w:rPr>
        <w:t>X</w:t>
      </w:r>
      <w:r>
        <w:rPr>
          <w:rFonts w:hint="eastAsia" w:asciiTheme="majorEastAsia" w:hAnsiTheme="majorEastAsia" w:eastAsiaTheme="majorEastAsia" w:cstheme="majorEastAsia"/>
          <w:sz w:val="24"/>
          <w:szCs w:val="24"/>
          <w:lang w:eastAsia="zh-CN"/>
        </w:rPr>
        <w:t>%计算）。如合同有效期内，任何因包括但不限于法律、行政法规、政府政策修订或变化导致上述增值税税率调整的，除不含税价格保持不变外，增值税税率、税额及含税价格要做相应调整。因乙方原因导致上述增值税税率提高的，含税价格不作调整。</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3.4 乙方保证本合同项下约定的广告费价格不高于乙方给予同类型企业的优惠 价。如果乙方给予甲方的广告费价格高于乙方给予同类型其他企业优惠价，或者在本合同执行期间乙方给予同类型企业的广告费价格向下浮动调整，调整后的价格低于乙方给予甲方的广告费价格，则甲方有权从下一期应付乙方的广告费用中预先扣除差额部分，或要求乙方退还差额部分。若合作媒体广告刊例价格向下浮动调整，则本合同项下广告费自始按照新的刊例价约定折扣执行。如果合作媒体的广告刊例价格向下浮动或乙方给予同类型其他企业优惠价格向下浮动调整后低于乙方给予甲方的广告费价格，乙方应提前通知甲方，否则应按照约定承担违约责任。乙方为合作媒体代理商的，本合同约定的广告刊例价格需合作媒体主办单位盖章后作为合同附件。</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第四条   广告费用支付</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4.1 本合同项下广告费用按以下付款方式支付：</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广告发布完毕并通过甲方验收</w:t>
      </w:r>
      <w:r>
        <w:rPr>
          <w:rFonts w:hint="eastAsia" w:asciiTheme="majorEastAsia" w:hAnsiTheme="majorEastAsia" w:eastAsiaTheme="majorEastAsia" w:cstheme="majorEastAsia"/>
          <w:sz w:val="24"/>
          <w:szCs w:val="24"/>
          <w:lang w:val="en-US" w:eastAsia="zh-CN"/>
        </w:rPr>
        <w:t>合格</w:t>
      </w:r>
      <w:r>
        <w:rPr>
          <w:rFonts w:hint="eastAsia" w:asciiTheme="majorEastAsia" w:hAnsiTheme="majorEastAsia" w:eastAsiaTheme="majorEastAsia" w:cstheme="majorEastAsia"/>
          <w:sz w:val="24"/>
          <w:szCs w:val="24"/>
          <w:lang w:eastAsia="zh-CN"/>
        </w:rPr>
        <w:t>后30个工作日内，甲方一次性向乙方支付全部广告费用。如乙方未按照本合同6.4条约定的时间节点提供相关材料的，则甲方有权拒绝支付广告费，且不承担任何违约责任。</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4.2 乙方指定的收款账户如下：</w:t>
      </w:r>
    </w:p>
    <w:p>
      <w:pPr>
        <w:pStyle w:val="18"/>
        <w:rPr>
          <w:lang w:eastAsia="zh-CN"/>
        </w:rPr>
      </w:pPr>
      <w:r>
        <w:rPr>
          <w:rFonts w:hint="eastAsia"/>
          <w:lang w:eastAsia="zh-CN"/>
        </w:rPr>
        <w:t>名称：</w:t>
      </w:r>
    </w:p>
    <w:p>
      <w:pPr>
        <w:pStyle w:val="18"/>
        <w:rPr>
          <w:rFonts w:hint="eastAsia" w:asciiTheme="majorEastAsia" w:hAnsiTheme="majorEastAsia" w:eastAsiaTheme="majorEastAsia" w:cstheme="majorEastAsia"/>
          <w:sz w:val="24"/>
          <w:szCs w:val="24"/>
          <w:lang w:eastAsia="zh-CN"/>
        </w:rPr>
      </w:pPr>
      <w:r>
        <w:rPr>
          <w:rFonts w:hint="eastAsia"/>
          <w:lang w:eastAsia="zh-CN"/>
        </w:rPr>
        <w:t>纳税人识别号：</w:t>
      </w:r>
    </w:p>
    <w:p>
      <w:pPr>
        <w:rPr>
          <w:rFonts w:asciiTheme="majorEastAsia" w:hAnsiTheme="majorEastAsia" w:eastAsiaTheme="majorEastAsia" w:cstheme="majorEastAsia"/>
          <w:sz w:val="24"/>
          <w:szCs w:val="24"/>
          <w:u w:val="single"/>
          <w:lang w:eastAsia="zh-CN"/>
        </w:rPr>
      </w:pPr>
      <w:r>
        <w:rPr>
          <w:rFonts w:hint="eastAsia" w:asciiTheme="majorEastAsia" w:hAnsiTheme="majorEastAsia" w:eastAsiaTheme="majorEastAsia" w:cstheme="majorEastAsia"/>
          <w:sz w:val="24"/>
          <w:szCs w:val="24"/>
          <w:lang w:eastAsia="zh-CN"/>
        </w:rPr>
        <w:t>开户行：</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开户名：</w:t>
      </w:r>
    </w:p>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账  号：</w:t>
      </w:r>
    </w:p>
    <w:p>
      <w:pPr>
        <w:pStyle w:val="18"/>
        <w:rPr>
          <w:rFonts w:hint="eastAsia"/>
          <w:lang w:eastAsia="zh-CN"/>
        </w:rPr>
      </w:pPr>
    </w:p>
    <w:p>
      <w:pPr>
        <w:pStyle w:val="18"/>
        <w:rPr>
          <w:lang w:eastAsia="zh-CN"/>
        </w:rPr>
      </w:pPr>
      <w:r>
        <w:rPr>
          <w:rFonts w:hint="eastAsia"/>
          <w:lang w:val="en-US" w:eastAsia="zh-CN"/>
        </w:rPr>
        <w:t>甲方</w:t>
      </w:r>
      <w:r>
        <w:rPr>
          <w:rFonts w:hint="eastAsia"/>
          <w:lang w:eastAsia="zh-CN"/>
        </w:rPr>
        <w:t>开票信息</w:t>
      </w:r>
      <w:r>
        <w:rPr>
          <w:rFonts w:hint="eastAsia" w:asciiTheme="majorEastAsia" w:hAnsiTheme="majorEastAsia" w:eastAsiaTheme="majorEastAsia" w:cstheme="majorEastAsia"/>
          <w:sz w:val="24"/>
          <w:szCs w:val="24"/>
          <w:lang w:eastAsia="zh-CN"/>
        </w:rPr>
        <w:t>如下：</w:t>
      </w:r>
    </w:p>
    <w:p>
      <w:pPr>
        <w:pStyle w:val="18"/>
        <w:rPr>
          <w:lang w:eastAsia="zh-CN"/>
        </w:rPr>
      </w:pPr>
      <w:r>
        <w:rPr>
          <w:rFonts w:hint="eastAsia"/>
          <w:lang w:eastAsia="zh-CN"/>
        </w:rPr>
        <w:t>名称：</w:t>
      </w:r>
    </w:p>
    <w:p>
      <w:pPr>
        <w:pStyle w:val="18"/>
        <w:rPr>
          <w:lang w:eastAsia="zh-CN"/>
        </w:rPr>
      </w:pPr>
      <w:r>
        <w:rPr>
          <w:rFonts w:hint="eastAsia"/>
          <w:lang w:eastAsia="zh-CN"/>
        </w:rPr>
        <w:t>纳税人识别号：</w:t>
      </w:r>
    </w:p>
    <w:p>
      <w:pPr>
        <w:pStyle w:val="18"/>
        <w:rPr>
          <w:lang w:eastAsia="zh-CN"/>
        </w:rPr>
      </w:pPr>
      <w:r>
        <w:rPr>
          <w:rFonts w:hint="eastAsia"/>
          <w:lang w:eastAsia="zh-CN"/>
        </w:rPr>
        <w:t>地址：</w:t>
      </w:r>
    </w:p>
    <w:p>
      <w:pPr>
        <w:pStyle w:val="18"/>
        <w:rPr>
          <w:lang w:eastAsia="zh-CN"/>
        </w:rPr>
      </w:pPr>
      <w:r>
        <w:rPr>
          <w:rFonts w:hint="eastAsia"/>
          <w:lang w:eastAsia="zh-CN"/>
        </w:rPr>
        <w:t>电话：</w:t>
      </w:r>
    </w:p>
    <w:p>
      <w:pPr>
        <w:pStyle w:val="18"/>
        <w:rPr>
          <w:lang w:eastAsia="zh-CN"/>
        </w:rPr>
      </w:pPr>
      <w:r>
        <w:rPr>
          <w:rFonts w:hint="eastAsia"/>
          <w:lang w:eastAsia="zh-CN"/>
        </w:rPr>
        <w:t>开户行：</w:t>
      </w:r>
    </w:p>
    <w:p>
      <w:pPr>
        <w:pStyle w:val="18"/>
        <w:rPr>
          <w:lang w:eastAsia="zh-CN"/>
        </w:rPr>
      </w:pPr>
      <w:r>
        <w:rPr>
          <w:rFonts w:hint="eastAsia"/>
          <w:lang w:eastAsia="zh-CN"/>
        </w:rPr>
        <w:t>账号：</w:t>
      </w:r>
    </w:p>
    <w:p>
      <w:pPr>
        <w:pStyle w:val="18"/>
        <w:rPr>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乙方确保上述账户信息真实准确，若账户信息有误造成乙方未收到甲方付款，损失乙方自行承担，若乙方更换以上账户信息，应在付款日前15个工作日书面通知甲方，若乙方未提前15个工作日书面通知甲方，致使乙方未收到费用的，甲方不承担任何责任。为免疑义，除双方另有约定外，甲方将款项支付至前述账户后即视为甲方完成等额的价款支付义务。</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4.3  甲方每次付款</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lang w:eastAsia="zh-CN"/>
        </w:rPr>
        <w:t>0个工作日前，乙方应向甲方提供合法合规的增值税专用发票</w:t>
      </w:r>
      <w:r>
        <w:rPr>
          <w:rFonts w:hint="eastAsia" w:asciiTheme="majorEastAsia" w:hAnsiTheme="majorEastAsia" w:eastAsiaTheme="majorEastAsia" w:cstheme="majorEastAsia"/>
          <w:sz w:val="24"/>
          <w:szCs w:val="24"/>
          <w:lang w:val="en-US" w:eastAsia="zh-CN"/>
        </w:rPr>
        <w:t>和验收报告</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必要时需按甲方要求提供第三方监测记录，</w:t>
      </w:r>
      <w:r>
        <w:rPr>
          <w:rFonts w:hint="eastAsia" w:asciiTheme="majorEastAsia" w:hAnsiTheme="majorEastAsia" w:eastAsiaTheme="majorEastAsia" w:cstheme="majorEastAsia"/>
          <w:sz w:val="24"/>
          <w:szCs w:val="24"/>
          <w:lang w:eastAsia="zh-CN"/>
        </w:rPr>
        <w:t>否则,甲方有权顺延付款且不承担违约责任。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4.4  乙方开具的增值税发票必须符合国家税收有关法律规定及本合同约定,不</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得使用虚假发票、或伪造、变造的发票，否则一切责任由乙方自行承担，同时乙方需向甲方承担票面金额20%的违约金，由此引起的甲方全部损失由乙方负责双倍赔偿。同时，甲方可将乙方列为不合格供方，并保留对乙方追究法律责任的权利。</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第五条  甲方权利义务</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5.1  甲方有权对乙方提供的相关服务进行全面的监督,对发现的问题要求乙方及时处理、向乙方提出合理建议、并对有损甲方利益的行为进行制止和纠正。</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5.2  按合同约定支付广告费用。</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5.3  若甲方需要在广告发布期间停发，应提前2个日历日通知乙方；如再次启动广告发布，应提前2个日历日与乙方联系。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5.4  甲方有义务对乙方给予的广告费折扣予以保密,对本合同及相关内容、信 息进行保密，不向任何第三方透露。</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5.5  甲方需要更换广告宣传内容或调整播出网站、位置及篇幅等，应提前2个日历天通知乙方，乙方应予以协助调整，并在甲方要求时间内完成广告宣传内容的发布；若乙方发布超出甲方要求时间，则乙方应在发布期限届满后顺延广告发布时间。</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第六条   乙方权利义务</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6.1  乙方承诺并保证具有履行本合同充分、有效的资质、资格或许可,并确保履行本合同的行为不侵犯任何第三方的合法权益。</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6.2  乙方应按照本合同约定的版面、时段及其他具体要求发布广告。</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6.3  甲乙双方在履行本合同过程中,对于实际投播的日期、广告篇幅、位置等相关具体事项，甲方有权提前以微信的形式另行书面通知乙方，乙方在收到甲方提前通知的前提下，应该积极配合甲方在甲方要求的期限内完成更换。</w:t>
      </w:r>
    </w:p>
    <w:p>
      <w:pPr>
        <w:pStyle w:val="18"/>
        <w:rPr>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eastAsia="zh-CN"/>
        </w:rPr>
        <w:t xml:space="preserve">  乙方有义务对甲方广告内容的合法性及是否符合广告发布要求进行审查， 有义务对甲方广告内容中不符合法律规定、行政法规规定或违反公共道德的内容以及表现形式等提出修改意见，并提前通知甲方，为甲方预留充足的修改时间，由甲方进行修改。乙方对等广告的审查义务是对广告实质、全面的审查，无论何种原因，只要乙方未及时履行广告审查义务，致使甲方没有充足时间完成修改导致广告发布迟延，或甲方在广告发布期间或广告发布后被行政处罚或被追究其他法律责任的，乙方应承担违约责任，并赔偿甲方所受到的损失（包括直接损失、间接损失在内的一切损失）。</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 xml:space="preserve">  乙方负责办理广告画面审批手续，审批费用由乙方承诺并包含在合同总价 内。</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lang w:eastAsia="zh-CN"/>
        </w:rPr>
        <w:t xml:space="preserve">  乙方保证与甲方有竞争关系或有损甲方形象的广告和相关信息不能与甲 方广告在同样的版面发布播出。</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lang w:eastAsia="zh-CN"/>
        </w:rPr>
        <w:t xml:space="preserve">  乙方有义务为甲方及甲方的关联公司提供正确报道，在合作媒体或乙方主 办或代理的其他媒体上杜绝甲方的不实、错误报道，乙方接到关于甲方或甲方关联公司的投诉时应立即将投诉情况通知甲方，不得刊发/播出投诉内容。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lang w:eastAsia="zh-CN"/>
        </w:rPr>
        <w:t xml:space="preserve">  未经甲方书面同意，乙方不得转让其在本合同项下的任何权利义务。但甲 方向其关联公司转让本合同项下的全部或部分权利、义务不受本条约定的限制。</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lang w:eastAsia="zh-CN"/>
        </w:rPr>
        <w:t xml:space="preserve"> 乙方应保证合作媒体运行的稳定性，如出现网络等故障影响媒体正常运行，乙方应于2小时内解决并通知甲方。</w:t>
      </w: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第七条   知识产权及保密条款</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7.1  本合同项下的广告画面和发布内容所产生的知识产权归甲方所有。未经甲方事先书面同意，乙方不得为履行本合同以外的目的使用本合同项下广告画面和发布内容。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7.2  乙方应当保证所提交的全部工作成果及服务不侵犯第三方的知识产权或肖像权、名誉权等权利，如有纠纷由乙方自行解决并承担全部责任，第三方如向甲方主张权利则甲方因此产生的一切费用及损失（包括但不限于违约金、损害赔偿、诉讼费、仲裁费、律师费及甲方因此受到的行政处罚等）均由乙方承担，甲方有权向乙方全额追索。</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7.3  乙方应对甲方提供的或在本合同履行过程中接触到的，有关甲方的任何信息、文件、工作成果等的部分或全部及本合同内容严格保守秘密，未经甲方书面许可，不得向任何第三方透露。乙方保证乙方人员及为其提供服务的机构及其人员知悉保密信息的保密性并担保该等机构及人员履行同等保密义务。乙方应采取必要措施保证其雇员无论是在职中还是离职后均承担同样的保密义务。</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7.4  甲方要求返还记载保密信息的资料、文件的，乙方应当立即返还；由于所载介质的性质所限导致不能返还的，乙方应当予以销毁并签发书面文件确认其所销毁的内容。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7.5  乙方违反本条任一款约定的，应按合同总额的10%向甲方支付违约金，违约金不足以弥补甲方损失的，甲方有权继续追偿。</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7.6  本条款效力独立于本合同，不因本合同的终止而终止。</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第八条  违约责任</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8.1  甲方无正当理由未按照约定付款，并且在收到乙方书面通知30个日历天内仍未付款的，则自逾期付款的第31个日历天起，甲方应按合同订立时中国人民银行授权全国银行间同业拆借中心公布的1年期贷款市场报价利率向乙方支付违约金。</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8.2  乙方如不能按本合同约定时间发布广告， 在事先征得甲方书面同意的前提 下，可以顺延本合同广告发布期限；如未得到甲方书面同意，每逾期一日历天，应向甲方支付合同总额20％的违约金；乙方如逾期7个日历天仍未能按本合同的约定发布广告，甲方有权解除合同，乙方须返还甲方已支付的全部广告费，向甲方支付合同总额50％的违约金，并赔偿由此给甲方造成的全部损失。</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8.3  乙方不得擅自停播、漏播、错播或改变约定发布广告的网站、位置、时长和内容等，否则应向甲方支付合同总额10％的违约金，且甲方有权选择要求乙方按甲方要求予以补播，或选择要求乙方退还相应广告费用。</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8.4  如乙方因该广告的发布手续（包括但不限于乙方不具备或不完全具备本合 同项下的广告发布资格或未能按时办理行政审批手续）等问题发生纠纷，并由此影响甲方广告发布的，乙方应赔偿由此给甲方造成的全部损失。如因此导致甲方遭受行政处罚或造成对第三方侵权的，均由乙方承担责任，并且甲方有权解除合同，乙方须返还甲方已支付的全部广告费，向甲方支付合同总额的10％的违约金，并赔偿甲方因此而遭受的全部经济损失。</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8.5 若乙方在甲方确定的重要广告发布时间（如法定节假日、配合甲方特定活动的宣传，甲方统一宣传推广活动等）发布广告延误的，甲方有权立即解除合同、拒付广告费，并有权要求乙方支付合同总额50%的违约金，甲方仍有其他损失的，由乙方继续赔偿。</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8.6 未经甲方事先书面同意，乙方不得将本合同项下任何权利或义务转让给第三方，否则甲方有权立即解除合同，乙方应向甲方支付相当于本合同总价20%的违约金。 </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8.7在本合同履行期限内，任何一方在未有法定理由或者本合同约定事由的情况下单方解除或终止合同的，违约方除应赔偿给守约方造成的损失外，还应按本合同广告费用总额的20％向对方支付违约金。</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8.8 本合同约定的违约金不足以弥补因违约行为给守约方带来的损失的，守约 方有权继续追索。</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8.9 甲方有权在本合同或甲方（含甲方关联方）与乙方（含乙方关联方）签署的其他合同项下的任意一期应付款中扣除乙方根据本合同应承担的违约金、赔偿金及其他合同约定的费用，乙方对此无异议。</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第九条   不可抗力</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9.1  以下情形为合同订立时不能预见、不能避免并不能克服的不可抗力事件：  包括严重自然灾害，如强台风、7级以上地震、洪水、瘟疫等；政府行为，如征收、征用；社会异常事件，如罢工、骚乱；其他。</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9.2  合同执行期间如发生不可抗力事件致使本合同不能继续履行，甲乙双方应 当在友好协商的前提下变更或者解除本合同，双方互不承担违约责任。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9.3  本合同任何一方因不可抗力不能履行或不能完全履行本合同义务时，应当 在不可抗力发生后的3个工作日内通知另一方。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9.4  不可抗力事件发生时，双方均应尽一切合理的努力减轻不可抗力造成的后果，不可抗力造成的后果消失，合同可以继续履行的，合同期限自动顺延，双方均无须为此承担违约责任。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第十条  通知及送达</w:t>
      </w:r>
    </w:p>
    <w:p>
      <w:pPr>
        <w:rPr>
          <w:rFonts w:asciiTheme="majorEastAsia" w:hAnsiTheme="majorEastAsia" w:eastAsiaTheme="majorEastAsia" w:cstheme="majorEastAsia"/>
          <w:sz w:val="24"/>
          <w:szCs w:val="24"/>
        </w:rPr>
      </w:pPr>
    </w:p>
    <w:tbl>
      <w:tblPr>
        <w:tblStyle w:val="317"/>
        <w:tblW w:w="846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3535"/>
        <w:gridCol w:w="3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2" w:type="dxa"/>
          </w:tcPr>
          <w:p>
            <w:pPr>
              <w:pStyle w:val="316"/>
              <w:spacing w:before="143"/>
              <w:jc w:val="center"/>
            </w:pPr>
            <w:r>
              <w:t>内容</w:t>
            </w:r>
          </w:p>
        </w:tc>
        <w:tc>
          <w:tcPr>
            <w:tcW w:w="3535" w:type="dxa"/>
          </w:tcPr>
          <w:p>
            <w:pPr>
              <w:pStyle w:val="316"/>
              <w:spacing w:before="143"/>
              <w:jc w:val="center"/>
            </w:pPr>
            <w:r>
              <w:t>甲方</w:t>
            </w:r>
          </w:p>
        </w:tc>
        <w:tc>
          <w:tcPr>
            <w:tcW w:w="3514" w:type="dxa"/>
          </w:tcPr>
          <w:p>
            <w:pPr>
              <w:pStyle w:val="316"/>
              <w:spacing w:before="143"/>
              <w:jc w:val="center"/>
            </w:pPr>
            <w:r>
              <w:t>乙方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12" w:type="dxa"/>
          </w:tcPr>
          <w:p>
            <w:pPr>
              <w:pStyle w:val="316"/>
              <w:spacing w:before="137"/>
              <w:ind w:left="418" w:right="169" w:hanging="240"/>
              <w:jc w:val="center"/>
              <w:rPr>
                <w:rFonts w:hint="eastAsia" w:eastAsia="宋体"/>
                <w:lang w:eastAsia="zh-CN"/>
              </w:rPr>
            </w:pPr>
            <w:r>
              <w:rPr>
                <w:rFonts w:hint="eastAsia"/>
                <w:lang w:val="en-US" w:eastAsia="zh-CN"/>
              </w:rPr>
              <w:t>联系人</w:t>
            </w:r>
          </w:p>
        </w:tc>
        <w:tc>
          <w:tcPr>
            <w:tcW w:w="3535" w:type="dxa"/>
          </w:tcPr>
          <w:p>
            <w:pPr>
              <w:pStyle w:val="316"/>
              <w:spacing w:before="136"/>
              <w:jc w:val="center"/>
              <w:rPr>
                <w:lang w:eastAsia="zh-CN"/>
              </w:rPr>
            </w:pPr>
          </w:p>
        </w:tc>
        <w:tc>
          <w:tcPr>
            <w:tcW w:w="3514" w:type="dxa"/>
          </w:tcPr>
          <w:p>
            <w:pPr>
              <w:pStyle w:val="316"/>
              <w:spacing w:before="137"/>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412" w:type="dxa"/>
          </w:tcPr>
          <w:p>
            <w:pPr>
              <w:pStyle w:val="316"/>
              <w:spacing w:before="137"/>
              <w:ind w:left="180"/>
              <w:jc w:val="center"/>
            </w:pPr>
            <w:r>
              <w:t>联系电话</w:t>
            </w:r>
          </w:p>
        </w:tc>
        <w:tc>
          <w:tcPr>
            <w:tcW w:w="3535" w:type="dxa"/>
          </w:tcPr>
          <w:p>
            <w:pPr>
              <w:pStyle w:val="316"/>
              <w:spacing w:before="137"/>
              <w:jc w:val="center"/>
              <w:rPr>
                <w:lang w:eastAsia="zh-CN"/>
              </w:rPr>
            </w:pPr>
          </w:p>
        </w:tc>
        <w:tc>
          <w:tcPr>
            <w:tcW w:w="3514" w:type="dxa"/>
          </w:tcPr>
          <w:p>
            <w:pPr>
              <w:pStyle w:val="316"/>
              <w:spacing w:before="137"/>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412" w:type="dxa"/>
          </w:tcPr>
          <w:p>
            <w:pPr>
              <w:jc w:val="center"/>
            </w:pPr>
          </w:p>
          <w:p>
            <w:pPr>
              <w:pStyle w:val="316"/>
              <w:spacing w:before="78"/>
              <w:ind w:left="180"/>
              <w:jc w:val="center"/>
            </w:pPr>
            <w:r>
              <w:t>联系地址</w:t>
            </w:r>
          </w:p>
        </w:tc>
        <w:tc>
          <w:tcPr>
            <w:tcW w:w="3535" w:type="dxa"/>
          </w:tcPr>
          <w:p>
            <w:pPr>
              <w:pStyle w:val="316"/>
              <w:jc w:val="center"/>
              <w:rPr>
                <w:lang w:eastAsia="zh-CN"/>
              </w:rPr>
            </w:pPr>
          </w:p>
        </w:tc>
        <w:tc>
          <w:tcPr>
            <w:tcW w:w="3514" w:type="dxa"/>
          </w:tcPr>
          <w:p>
            <w:pPr>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1412" w:type="dxa"/>
          </w:tcPr>
          <w:p>
            <w:pPr>
              <w:spacing w:before="86"/>
              <w:jc w:val="center"/>
              <w:rPr>
                <w:rFonts w:ascii="仿宋" w:hAnsi="仿宋" w:eastAsia="仿宋" w:cs="仿宋"/>
                <w:b/>
                <w:bCs/>
                <w:sz w:val="22"/>
                <w:szCs w:val="22"/>
                <w:lang w:eastAsia="zh-CN"/>
              </w:rPr>
            </w:pPr>
          </w:p>
          <w:p>
            <w:pPr>
              <w:spacing w:before="86"/>
              <w:jc w:val="center"/>
              <w:rPr>
                <w:rFonts w:ascii="仿宋" w:hAnsi="仿宋" w:eastAsia="仿宋" w:cs="仿宋"/>
                <w:b/>
                <w:bCs/>
                <w:sz w:val="22"/>
                <w:szCs w:val="22"/>
                <w:lang w:eastAsia="zh-CN"/>
              </w:rPr>
            </w:pPr>
          </w:p>
          <w:p>
            <w:pPr>
              <w:spacing w:before="86"/>
              <w:jc w:val="center"/>
              <w:rPr>
                <w:rFonts w:ascii="仿宋" w:hAnsi="仿宋" w:eastAsia="仿宋" w:cs="仿宋"/>
                <w:b/>
                <w:bCs/>
                <w:sz w:val="22"/>
                <w:szCs w:val="22"/>
                <w:lang w:eastAsia="zh-CN"/>
              </w:rPr>
            </w:pPr>
          </w:p>
          <w:p>
            <w:pPr>
              <w:spacing w:before="86"/>
              <w:jc w:val="center"/>
              <w:rPr>
                <w:rFonts w:ascii="仿宋" w:hAnsi="仿宋" w:eastAsia="仿宋" w:cs="仿宋"/>
                <w:b/>
                <w:bCs/>
                <w:sz w:val="22"/>
                <w:szCs w:val="22"/>
                <w:lang w:eastAsia="zh-CN"/>
              </w:rPr>
            </w:pPr>
            <w:r>
              <w:rPr>
                <w:rFonts w:hint="eastAsia" w:ascii="仿宋" w:hAnsi="仿宋" w:eastAsia="仿宋" w:cs="仿宋"/>
                <w:b/>
                <w:bCs/>
                <w:sz w:val="22"/>
                <w:szCs w:val="22"/>
                <w:lang w:eastAsia="zh-CN"/>
              </w:rPr>
              <w:t>代表权限</w:t>
            </w:r>
          </w:p>
        </w:tc>
        <w:tc>
          <w:tcPr>
            <w:tcW w:w="3535" w:type="dxa"/>
          </w:tcPr>
          <w:p>
            <w:pPr>
              <w:spacing w:before="86"/>
              <w:jc w:val="center"/>
              <w:rPr>
                <w:rFonts w:ascii="仿宋" w:hAnsi="仿宋" w:eastAsia="仿宋" w:cs="仿宋"/>
                <w:b/>
                <w:bCs/>
                <w:sz w:val="22"/>
                <w:szCs w:val="22"/>
                <w:lang w:eastAsia="zh-CN"/>
              </w:rPr>
            </w:pPr>
            <w:r>
              <w:rPr>
                <w:rFonts w:hint="eastAsia" w:ascii="仿宋" w:hAnsi="仿宋" w:eastAsia="仿宋" w:cs="仿宋"/>
                <w:b/>
                <w:bCs/>
                <w:sz w:val="22"/>
                <w:szCs w:val="22"/>
                <w:lang w:eastAsia="zh-CN"/>
              </w:rPr>
              <w:t>代表甲方向乙方提供合同约定的资料、文件，签收乙方发送的通知、函件、提交的工作成果，向乙方发送通知、函件，但关于工作成果和结算款项的确认等事项须经甲方盖章确认后生效</w:t>
            </w:r>
          </w:p>
        </w:tc>
        <w:tc>
          <w:tcPr>
            <w:tcW w:w="3514" w:type="dxa"/>
          </w:tcPr>
          <w:p>
            <w:pPr>
              <w:spacing w:before="86"/>
              <w:jc w:val="center"/>
              <w:rPr>
                <w:rFonts w:ascii="仿宋" w:hAnsi="仿宋" w:eastAsia="仿宋" w:cs="仿宋"/>
                <w:b/>
                <w:bCs/>
                <w:sz w:val="22"/>
                <w:szCs w:val="22"/>
                <w:lang w:eastAsia="zh-CN"/>
              </w:rPr>
            </w:pPr>
            <w:r>
              <w:rPr>
                <w:rFonts w:hint="eastAsia" w:ascii="仿宋" w:hAnsi="仿宋" w:eastAsia="仿宋" w:cs="仿宋"/>
                <w:b/>
                <w:bCs/>
                <w:sz w:val="22"/>
                <w:szCs w:val="22"/>
                <w:lang w:eastAsia="zh-CN"/>
              </w:rPr>
              <w:t>代表乙方签收甲方提供的资料、文件、通知、函件，向甲方提交工作成果，向甲方发送通知、函 件</w:t>
            </w:r>
          </w:p>
        </w:tc>
      </w:tr>
    </w:tbl>
    <w:p>
      <w:pPr>
        <w:rPr>
          <w:rFonts w:hint="eastAsia"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10.1 甲乙双方应指定</w:t>
      </w:r>
      <w:r>
        <w:rPr>
          <w:rFonts w:hint="eastAsia" w:asciiTheme="majorEastAsia" w:hAnsiTheme="majorEastAsia" w:eastAsiaTheme="majorEastAsia" w:cstheme="majorEastAsia"/>
          <w:sz w:val="24"/>
          <w:szCs w:val="24"/>
          <w:lang w:val="en-US" w:eastAsia="zh-CN"/>
        </w:rPr>
        <w:t>专人</w:t>
      </w:r>
      <w:r>
        <w:rPr>
          <w:rFonts w:hint="eastAsia" w:asciiTheme="majorEastAsia" w:hAnsiTheme="majorEastAsia" w:eastAsiaTheme="majorEastAsia" w:cstheme="majorEastAsia"/>
          <w:sz w:val="24"/>
          <w:szCs w:val="24"/>
          <w:lang w:eastAsia="zh-CN"/>
        </w:rPr>
        <w:t>作为本合同履行的联系人。任何一方</w:t>
      </w:r>
      <w:r>
        <w:rPr>
          <w:rFonts w:hint="eastAsia" w:asciiTheme="majorEastAsia" w:hAnsiTheme="majorEastAsia" w:eastAsiaTheme="majorEastAsia" w:cstheme="majorEastAsia"/>
          <w:sz w:val="24"/>
          <w:szCs w:val="24"/>
          <w:lang w:val="en-US" w:eastAsia="zh-CN"/>
        </w:rPr>
        <w:t>联系人</w:t>
      </w:r>
      <w:r>
        <w:rPr>
          <w:rFonts w:hint="eastAsia" w:asciiTheme="majorEastAsia" w:hAnsiTheme="majorEastAsia" w:eastAsiaTheme="majorEastAsia" w:cstheme="majorEastAsia"/>
          <w:sz w:val="24"/>
          <w:szCs w:val="24"/>
          <w:lang w:eastAsia="zh-CN"/>
        </w:rPr>
        <w:t>变更或解除授权的应提前3日书面告知对方。未履行书面告知义务的，视为未变更或解除授权，不利后果由未履行书面告知方承担。</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10.2 甲乙双方之间的任何通知必须以书面进行，书面方式指：挂号信、快递、 电子邮件、专人送达等能够明确表现载体内容的方式。</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10.3 甲乙双方确认双方的联系信息均以本条载明的联系方式为准，如任何一方 联系信息有变更，变更方应在变更前3个工作日内以书面形式通知对方。 因一方提供的联系信息不准确或地址变更未及时履行书面告知义务的，由该方自行承担不利后果。</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10.4 甲乙双方一致确认：以电子邮件方式通知对方的，发出成功时间视为通知 到达时间；以专人派送方式通知对方的，则送达时间应按收件一方签收之日期为准；以快递等信件方式通知对方的，另一方应及时予以签收，若另一方无法签收、拒绝签收或信件被退回的，均视为通知方已履行了通知义务（在寄出3日后（本市）/7日后（外埠）视为送达）。</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10.5 本条约定的通讯送达方式适用于双方为履行本合同而进行的日常沟通， 亦 适用于双方之间因本合同履行发生的争议进入仲裁、民事诉讼程序（含一审、二审、再审以及执行程序）后法律文书的送达。</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10.6 本合同约定由甲方盖章确认的文件，甲方可以加盖符合《电子签名法》的</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可靠电子印章，并通过电子邮件的方式发送给乙方。甲方亦可以向乙方邮寄电子用印文件的彩色打印件， 双方一致确认，该等电子用印文件的彩色打印件视同原件。</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第十一条   法律适用及争议解决</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11.1  本合同的成立、解释、效力、终止或履行等均适用中华人民共和国法律（港、澳、台地区法律除外）。</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11.2  凡因本合同引起的或与本合同有关的争议，双方应当友好协商解决。协商解决不成的，双方均同意将前述争议提交甲方住所地有管辖权的人民法院管辖。在诉讼过程中，除所争议事项之外，本合同的其他部分不应受诉讼的影响，且双方应继续履行其在本合同项下的义务。</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第十二条  补充约定</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甲方在收到乙方验收报告后，3个工作日内未提出书面异议（可微信或电子邮件的形式），则视为验收合格。</w:t>
      </w: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第十三条  合同效力及其他</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13.1  本合同自双方用印之日起生效。</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13.2  本合同壹式叁份，甲方执贰份，乙方执贰份，具有同等法律效力（本条款 不适用于电子签章合同）。</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13.3  本合同如有未尽事宜，双方可协商另行订立补充协议。任何关于本合同的变更事项，应签署书面的补充协议。双方另行签署的补充协议与本合同具有同等法律效力。</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13.4  本合同附件为本合同的有效组成部分，与本合同正文具有同等法律效力。</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附件与正文约定不一致的，以正文约定为准。</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（以下无正文）</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甲方：</w:t>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签署日期：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 xml:space="preserve">年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 xml:space="preserve"> 月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日</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pStyle w:val="18"/>
        <w:rPr>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乙方：</w:t>
      </w:r>
    </w:p>
    <w:p>
      <w:pPr>
        <w:rPr>
          <w:rFonts w:hint="eastAsia" w:asciiTheme="majorEastAsia" w:hAnsiTheme="majorEastAsia" w:eastAsiaTheme="majorEastAsia" w:cstheme="majorEastAsia"/>
          <w:sz w:val="24"/>
          <w:szCs w:val="24"/>
        </w:rPr>
      </w:pPr>
    </w:p>
    <w:p>
      <w:pPr>
        <w:pStyle w:val="18"/>
        <w:rPr>
          <w:rFonts w:hint="eastAsia"/>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p>
      <w:pPr>
        <w:rPr>
          <w:rFonts w:asciiTheme="majorEastAsia" w:hAnsiTheme="majorEastAsia" w:eastAsiaTheme="majorEastAsia" w:cstheme="majorEastAsia"/>
          <w:sz w:val="24"/>
          <w:szCs w:val="24"/>
        </w:rPr>
      </w:pPr>
    </w:p>
    <w:p>
      <w:pPr>
        <w:pStyle w:val="18"/>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签署日期：     </w:t>
      </w:r>
      <w:r>
        <w:rPr>
          <w:rFonts w:hint="eastAsia" w:asciiTheme="majorEastAsia" w:hAnsiTheme="majorEastAsia" w:eastAsiaTheme="majorEastAsia" w:cstheme="majorEastAsia"/>
          <w:sz w:val="24"/>
          <w:szCs w:val="24"/>
          <w:lang w:eastAsia="zh-CN"/>
        </w:rPr>
        <w:t xml:space="preserve">年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 xml:space="preserve"> 月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eastAsia="方正仿宋_GBK"/>
          <w:kern w:val="0"/>
          <w:sz w:val="24"/>
          <w:szCs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方正仿宋_GBK"/>
          <w:kern w:val="0"/>
          <w:sz w:val="24"/>
          <w:szCs w:val="24"/>
        </w:rPr>
      </w:pPr>
    </w:p>
    <w:p>
      <w:pPr>
        <w:widowControl/>
        <w:spacing w:line="595" w:lineRule="exact"/>
        <w:jc w:val="left"/>
        <w:rPr>
          <w:rFonts w:eastAsia="方正仿宋_GBK"/>
          <w:kern w:val="0"/>
          <w:sz w:val="32"/>
          <w:szCs w:val="20"/>
        </w:rPr>
      </w:pPr>
    </w:p>
    <w:p>
      <w:pPr>
        <w:rPr>
          <w:rFonts w:ascii="宋体" w:hAnsi="宋体"/>
          <w:sz w:val="44"/>
          <w:szCs w:val="44"/>
          <w:highlight w:val="none"/>
        </w:rPr>
      </w:pPr>
    </w:p>
    <w:p>
      <w:pPr>
        <w:pStyle w:val="3"/>
        <w:spacing w:before="0" w:after="0" w:line="360" w:lineRule="auto"/>
        <w:jc w:val="center"/>
        <w:rPr>
          <w:rFonts w:hint="eastAsia" w:ascii="宋体" w:hAnsi="宋体"/>
          <w:highlight w:val="none"/>
        </w:rPr>
      </w:pPr>
      <w:bookmarkStart w:id="347" w:name="_Toc509218843"/>
      <w:bookmarkStart w:id="348" w:name="_Toc22982"/>
      <w:bookmarkStart w:id="349" w:name="_Toc534185822"/>
      <w:bookmarkStart w:id="350" w:name="_Toc287620797"/>
      <w:bookmarkStart w:id="351" w:name="_Toc16194"/>
      <w:bookmarkStart w:id="352" w:name="_Toc23430"/>
      <w:bookmarkStart w:id="353" w:name="_Toc430530513"/>
      <w:bookmarkStart w:id="354" w:name="_Toc287607855"/>
    </w:p>
    <w:p>
      <w:pPr>
        <w:pStyle w:val="3"/>
        <w:spacing w:before="0" w:after="0" w:line="360" w:lineRule="auto"/>
        <w:jc w:val="center"/>
        <w:rPr>
          <w:rFonts w:hint="eastAsia" w:ascii="宋体" w:hAnsi="宋体"/>
          <w:highlight w:val="none"/>
        </w:rPr>
      </w:pPr>
    </w:p>
    <w:p>
      <w:pPr>
        <w:pStyle w:val="3"/>
        <w:spacing w:before="0" w:after="0" w:line="360" w:lineRule="auto"/>
        <w:jc w:val="center"/>
        <w:rPr>
          <w:rFonts w:hint="eastAsia" w:ascii="宋体" w:hAnsi="宋体"/>
          <w:highlight w:val="none"/>
        </w:rPr>
      </w:pPr>
    </w:p>
    <w:p>
      <w:pPr>
        <w:pStyle w:val="3"/>
        <w:spacing w:before="0" w:after="0" w:line="360" w:lineRule="auto"/>
        <w:jc w:val="center"/>
        <w:rPr>
          <w:rFonts w:hint="eastAsia" w:ascii="宋体" w:hAnsi="宋体"/>
          <w:highlight w:val="none"/>
        </w:rPr>
      </w:pPr>
    </w:p>
    <w:bookmarkEnd w:id="347"/>
    <w:bookmarkEnd w:id="348"/>
    <w:bookmarkEnd w:id="349"/>
    <w:bookmarkEnd w:id="350"/>
    <w:bookmarkEnd w:id="351"/>
    <w:bookmarkEnd w:id="352"/>
    <w:bookmarkEnd w:id="353"/>
    <w:bookmarkEnd w:id="354"/>
    <w:p>
      <w:pPr>
        <w:spacing w:line="360" w:lineRule="auto"/>
        <w:jc w:val="center"/>
        <w:rPr>
          <w:rFonts w:ascii="宋体" w:hAnsi="宋体"/>
          <w:szCs w:val="20"/>
          <w:highlight w:val="none"/>
        </w:rPr>
      </w:pPr>
    </w:p>
    <w:p>
      <w:pPr>
        <w:spacing w:line="360" w:lineRule="auto"/>
        <w:rPr>
          <w:rFonts w:ascii="宋体" w:hAnsi="宋体"/>
          <w:szCs w:val="20"/>
          <w:highlight w:val="none"/>
        </w:rPr>
      </w:pPr>
      <w:bookmarkStart w:id="355" w:name="招标文件06章图纸01"/>
      <w:bookmarkEnd w:id="355"/>
      <w:bookmarkStart w:id="356" w:name="_Toc430530520"/>
      <w:bookmarkStart w:id="357" w:name="_Toc287620804"/>
    </w:p>
    <w:bookmarkEnd w:id="356"/>
    <w:bookmarkEnd w:id="357"/>
    <w:p>
      <w:pPr>
        <w:spacing w:line="360" w:lineRule="auto"/>
        <w:rPr>
          <w:rFonts w:ascii="宋体" w:hAnsi="宋体"/>
          <w:highlight w:val="none"/>
        </w:rPr>
      </w:pPr>
      <w:r>
        <w:rPr>
          <w:rFonts w:ascii="宋体" w:hAnsi="宋体"/>
          <w:szCs w:val="20"/>
          <w:highlight w:val="none"/>
        </w:rPr>
        <w:br w:type="page"/>
      </w:r>
    </w:p>
    <w:p>
      <w:pPr>
        <w:pStyle w:val="3"/>
        <w:spacing w:line="360" w:lineRule="auto"/>
        <w:jc w:val="center"/>
        <w:rPr>
          <w:rFonts w:ascii="宋体" w:hAnsi="宋体"/>
          <w:highlight w:val="none"/>
        </w:rPr>
      </w:pPr>
      <w:bookmarkStart w:id="358" w:name="招标文件07章技术标准和要求"/>
      <w:bookmarkEnd w:id="358"/>
      <w:bookmarkStart w:id="359" w:name="_Toc28155"/>
      <w:bookmarkStart w:id="360" w:name="_Toc17170"/>
      <w:bookmarkStart w:id="361" w:name="_Toc9133"/>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359"/>
      <w:bookmarkEnd w:id="360"/>
      <w:bookmarkEnd w:id="361"/>
      <w:bookmarkStart w:id="362" w:name="招标文件07章技术标准和要求01"/>
      <w:bookmarkEnd w:id="362"/>
      <w:bookmarkStart w:id="363" w:name="_Toc430530524"/>
      <w:bookmarkStart w:id="364" w:name="_Toc287620808"/>
    </w:p>
    <w:bookmarkEnd w:id="363"/>
    <w:bookmarkEnd w:id="364"/>
    <w:tbl>
      <w:tblPr>
        <w:tblStyle w:val="46"/>
        <w:tblpPr w:leftFromText="180" w:rightFromText="180" w:vertAnchor="text" w:horzAnchor="page" w:tblpX="1180" w:tblpY="303"/>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5"/>
        <w:gridCol w:w="3495"/>
        <w:gridCol w:w="1290"/>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0"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485" w:type="dxa"/>
            <w:vAlign w:val="center"/>
          </w:tcPr>
          <w:p>
            <w:pPr>
              <w:jc w:val="center"/>
              <w:rPr>
                <w:rFonts w:hint="default" w:ascii="宋体" w:hAnsi="宋体" w:eastAsia="宋体"/>
                <w:b/>
                <w:sz w:val="24"/>
                <w:lang w:val="en-US" w:eastAsia="zh-CN"/>
              </w:rPr>
            </w:pPr>
            <w:r>
              <w:rPr>
                <w:rFonts w:hint="eastAsia" w:ascii="宋体" w:hAnsi="宋体" w:eastAsia="宋体"/>
                <w:b/>
                <w:sz w:val="24"/>
                <w:lang w:val="en-US" w:eastAsia="zh-CN"/>
              </w:rPr>
              <w:t>广告名称</w:t>
            </w:r>
          </w:p>
        </w:tc>
        <w:tc>
          <w:tcPr>
            <w:tcW w:w="3495" w:type="dxa"/>
            <w:vAlign w:val="center"/>
          </w:tcPr>
          <w:p>
            <w:pPr>
              <w:jc w:val="center"/>
              <w:rPr>
                <w:rFonts w:ascii="宋体" w:hAnsi="宋体" w:eastAsia="宋体"/>
                <w:b/>
                <w:sz w:val="24"/>
              </w:rPr>
            </w:pPr>
            <w:r>
              <w:rPr>
                <w:rFonts w:hint="eastAsia" w:ascii="宋体" w:hAnsi="宋体" w:eastAsia="宋体"/>
                <w:b/>
                <w:sz w:val="24"/>
              </w:rPr>
              <w:t>执行</w:t>
            </w:r>
          </w:p>
          <w:p>
            <w:pPr>
              <w:jc w:val="center"/>
              <w:rPr>
                <w:rFonts w:ascii="宋体" w:hAnsi="宋体" w:eastAsia="宋体"/>
                <w:b/>
                <w:sz w:val="24"/>
              </w:rPr>
            </w:pPr>
            <w:r>
              <w:rPr>
                <w:rFonts w:hint="eastAsia" w:ascii="宋体" w:hAnsi="宋体" w:eastAsia="宋体"/>
                <w:b/>
                <w:sz w:val="24"/>
              </w:rPr>
              <w:t>（广告位/形式）</w:t>
            </w:r>
          </w:p>
        </w:tc>
        <w:tc>
          <w:tcPr>
            <w:tcW w:w="1290" w:type="dxa"/>
            <w:vAlign w:val="center"/>
          </w:tcPr>
          <w:p>
            <w:pPr>
              <w:jc w:val="center"/>
              <w:rPr>
                <w:rFonts w:ascii="宋体" w:hAnsi="宋体" w:eastAsia="宋体"/>
                <w:b/>
                <w:sz w:val="24"/>
              </w:rPr>
            </w:pPr>
            <w:r>
              <w:rPr>
                <w:rFonts w:hint="eastAsia" w:ascii="宋体" w:hAnsi="宋体" w:eastAsia="宋体"/>
                <w:b/>
                <w:sz w:val="24"/>
              </w:rPr>
              <w:t>数量</w:t>
            </w:r>
          </w:p>
        </w:tc>
        <w:tc>
          <w:tcPr>
            <w:tcW w:w="2546" w:type="dxa"/>
            <w:vAlign w:val="center"/>
          </w:tcPr>
          <w:p>
            <w:pPr>
              <w:jc w:val="center"/>
              <w:rPr>
                <w:rFonts w:ascii="宋体" w:hAnsi="宋体" w:eastAsia="宋体"/>
                <w:b/>
                <w:sz w:val="24"/>
                <w:lang w:eastAsia="zh-CN"/>
              </w:rPr>
            </w:pPr>
            <w:r>
              <w:rPr>
                <w:rFonts w:hint="eastAsia" w:ascii="宋体" w:hAnsi="宋体" w:eastAsia="宋体"/>
                <w:b/>
                <w:sz w:val="24"/>
                <w:lang w:eastAsia="zh-CN"/>
              </w:rPr>
              <w:t>投放时间</w:t>
            </w:r>
          </w:p>
          <w:p>
            <w:pPr>
              <w:jc w:val="center"/>
              <w:rPr>
                <w:rFonts w:ascii="宋体" w:hAnsi="宋体" w:eastAsia="宋体"/>
                <w:b/>
                <w:sz w:val="24"/>
                <w:lang w:eastAsia="zh-CN"/>
              </w:rPr>
            </w:pPr>
            <w:r>
              <w:rPr>
                <w:rFonts w:hint="eastAsia" w:ascii="宋体" w:hAnsi="宋体" w:eastAsia="宋体"/>
                <w:b/>
                <w:sz w:val="24"/>
                <w:lang w:eastAsia="zh-CN"/>
              </w:rPr>
              <w:t>（以刊发时间为准）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485" w:type="dxa"/>
            <w:vAlign w:val="center"/>
          </w:tcPr>
          <w:p>
            <w:pPr>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网络媒体</w:t>
            </w:r>
          </w:p>
        </w:tc>
        <w:tc>
          <w:tcPr>
            <w:tcW w:w="3495" w:type="dxa"/>
            <w:vAlign w:val="center"/>
          </w:tcPr>
          <w:p>
            <w:pPr>
              <w:jc w:val="center"/>
              <w:rPr>
                <w:rFonts w:ascii="宋体" w:hAnsi="宋体" w:eastAsia="宋体"/>
                <w:sz w:val="24"/>
                <w:lang w:eastAsia="zh-CN"/>
              </w:rPr>
            </w:pPr>
            <w:r>
              <w:rPr>
                <w:rFonts w:hint="eastAsia" w:ascii="宋体" w:hAnsi="宋体" w:eastAsia="宋体"/>
                <w:sz w:val="24"/>
                <w:lang w:eastAsia="zh-CN"/>
              </w:rPr>
              <w:t>APP房产首页焦点图(第1-4帧之内），投放时间为2天；APP房产首页（信息流30常规-重庆），投放时间为2天；APP房产重庆首页热盘推荐，投放时间为2天；APP开机屏3天；APP重磅推荐3天；APP原创稿件1篇；品质好房榜单1次。</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2546" w:type="dxa"/>
            <w:vAlign w:val="center"/>
          </w:tcPr>
          <w:p>
            <w:pPr>
              <w:jc w:val="center"/>
              <w:rPr>
                <w:rFonts w:hint="eastAsia"/>
                <w:lang w:val="en-US" w:eastAsia="zh-CN"/>
              </w:rPr>
            </w:pPr>
            <w:r>
              <w:rPr>
                <w:rFonts w:hint="eastAsia"/>
                <w:lang w:val="en-US" w:eastAsia="zh-CN"/>
              </w:rPr>
              <w:t>1个月内</w:t>
            </w:r>
          </w:p>
          <w:p>
            <w:pPr>
              <w:jc w:val="center"/>
              <w:rPr>
                <w:rFonts w:hint="default"/>
                <w:lang w:val="en-US" w:eastAsia="zh-CN"/>
              </w:rPr>
            </w:pPr>
            <w:r>
              <w:rPr>
                <w:rFonts w:hint="default"/>
                <w:lang w:val="en-US" w:eastAsia="zh-CN"/>
              </w:rPr>
              <w:t>（以实际投放天数为准）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1485" w:type="dxa"/>
            <w:vAlign w:val="center"/>
          </w:tcPr>
          <w:p>
            <w:pPr>
              <w:jc w:val="center"/>
              <w:rPr>
                <w:rFonts w:hint="eastAsia" w:ascii="宋体" w:hAnsi="宋体" w:eastAsia="宋体" w:cs="Times New Roman"/>
                <w:sz w:val="24"/>
                <w:lang w:eastAsia="zh-CN"/>
              </w:rPr>
            </w:pPr>
            <w:r>
              <w:rPr>
                <w:rFonts w:ascii="Arial" w:hAnsi="Arial" w:eastAsia="宋体" w:cs="Arial"/>
                <w:i w:val="0"/>
                <w:iCs w:val="0"/>
                <w:caps w:val="0"/>
                <w:color w:val="111111"/>
                <w:spacing w:val="0"/>
                <w:sz w:val="21"/>
                <w:szCs w:val="21"/>
                <w:shd w:val="clear" w:fill="FFFFFF"/>
              </w:rPr>
              <w:t>朋友圈广告</w:t>
            </w:r>
          </w:p>
        </w:tc>
        <w:tc>
          <w:tcPr>
            <w:tcW w:w="3495" w:type="dxa"/>
            <w:vAlign w:val="center"/>
          </w:tcPr>
          <w:p>
            <w:pPr>
              <w:jc w:val="center"/>
              <w:rPr>
                <w:rFonts w:ascii="宋体" w:hAnsi="宋体" w:eastAsia="宋体"/>
                <w:sz w:val="24"/>
                <w:lang w:eastAsia="zh-CN"/>
              </w:rPr>
            </w:pPr>
            <w:r>
              <w:rPr>
                <w:rFonts w:hint="eastAsia" w:ascii="宋体" w:hAnsi="宋体" w:eastAsia="宋体"/>
                <w:sz w:val="24"/>
                <w:lang w:eastAsia="zh-CN"/>
              </w:rPr>
              <w:t>图文或视频，不低</w:t>
            </w:r>
            <w:r>
              <w:rPr>
                <w:rFonts w:hint="eastAsia" w:ascii="宋体" w:hAnsi="宋体" w:eastAsia="宋体"/>
                <w:sz w:val="24"/>
                <w:lang w:val="en-US" w:eastAsia="zh-CN"/>
              </w:rPr>
              <w:t>于</w:t>
            </w:r>
            <w:r>
              <w:rPr>
                <w:rFonts w:hint="eastAsia" w:ascii="宋体" w:hAnsi="宋体" w:eastAsia="宋体"/>
                <w:sz w:val="24"/>
                <w:lang w:eastAsia="zh-CN"/>
              </w:rPr>
              <w:t>62.5万次曝光</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2546" w:type="dxa"/>
            <w:vAlign w:val="center"/>
          </w:tcPr>
          <w:p>
            <w:pPr>
              <w:jc w:val="center"/>
              <w:rPr>
                <w:rFonts w:hint="eastAsia" w:ascii="宋体" w:hAnsi="宋体"/>
                <w:sz w:val="24"/>
                <w:lang w:val="en-US" w:eastAsia="zh-CN"/>
              </w:rPr>
            </w:pPr>
            <w:r>
              <w:rPr>
                <w:rFonts w:hint="eastAsia" w:ascii="宋体" w:hAnsi="宋体" w:eastAsia="宋体"/>
                <w:sz w:val="24"/>
                <w:lang w:val="en-US" w:eastAsia="zh-CN"/>
              </w:rPr>
              <w:t>1个月</w:t>
            </w:r>
            <w:r>
              <w:rPr>
                <w:rFonts w:hint="eastAsia" w:ascii="宋体" w:hAnsi="宋体"/>
                <w:sz w:val="24"/>
                <w:lang w:val="en-US" w:eastAsia="zh-CN"/>
              </w:rPr>
              <w:t>内</w:t>
            </w:r>
          </w:p>
          <w:p>
            <w:pPr>
              <w:jc w:val="center"/>
              <w:rPr>
                <w:rFonts w:ascii="宋体" w:hAnsi="宋体"/>
              </w:rPr>
            </w:pPr>
            <w:r>
              <w:rPr>
                <w:rFonts w:hint="default"/>
                <w:lang w:val="en-US" w:eastAsia="zh-CN"/>
              </w:rPr>
              <w:t>（以实际投放天数为准）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3</w:t>
            </w:r>
          </w:p>
        </w:tc>
        <w:tc>
          <w:tcPr>
            <w:tcW w:w="148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户外广告</w:t>
            </w:r>
          </w:p>
        </w:tc>
        <w:tc>
          <w:tcPr>
            <w:tcW w:w="3495" w:type="dxa"/>
            <w:vAlign w:val="center"/>
          </w:tcPr>
          <w:p>
            <w:pPr>
              <w:jc w:val="center"/>
              <w:rPr>
                <w:rFonts w:hint="eastAsia" w:ascii="宋体" w:hAnsi="宋体" w:eastAsia="宋体"/>
                <w:sz w:val="24"/>
                <w:lang w:eastAsia="zh-CN"/>
              </w:rPr>
            </w:pPr>
            <w:r>
              <w:rPr>
                <w:rFonts w:hint="eastAsia" w:ascii="宋体" w:hAnsi="宋体" w:eastAsia="宋体"/>
                <w:sz w:val="24"/>
              </w:rPr>
              <w:t>户外T牌</w:t>
            </w:r>
            <w:r>
              <w:rPr>
                <w:rFonts w:hint="eastAsia" w:ascii="宋体" w:hAnsi="宋体" w:eastAsia="宋体"/>
                <w:sz w:val="24"/>
                <w:lang w:eastAsia="zh-CN"/>
              </w:rPr>
              <w:t>（18米x6米x2面）</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2546" w:type="dxa"/>
            <w:vAlign w:val="center"/>
          </w:tcPr>
          <w:p>
            <w:pPr>
              <w:jc w:val="center"/>
              <w:rPr>
                <w:rFonts w:ascii="宋体" w:hAnsi="宋体" w:eastAsia="宋体"/>
                <w:sz w:val="24"/>
                <w:lang w:eastAsia="zh-CN"/>
              </w:rPr>
            </w:pPr>
            <w:r>
              <w:rPr>
                <w:rFonts w:hint="eastAsia" w:ascii="宋体" w:hAnsi="宋体" w:eastAsia="宋体"/>
                <w:sz w:val="24"/>
                <w:lang w:val="en-US" w:eastAsia="zh-CN"/>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4</w:t>
            </w:r>
          </w:p>
        </w:tc>
        <w:tc>
          <w:tcPr>
            <w:tcW w:w="148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物业广告</w:t>
            </w:r>
          </w:p>
        </w:tc>
        <w:tc>
          <w:tcPr>
            <w:tcW w:w="3495" w:type="dxa"/>
            <w:vAlign w:val="center"/>
          </w:tcPr>
          <w:p>
            <w:pPr>
              <w:jc w:val="center"/>
              <w:rPr>
                <w:rFonts w:ascii="宋体" w:hAnsi="宋体" w:eastAsia="宋体"/>
                <w:sz w:val="24"/>
                <w:lang w:eastAsia="zh-CN"/>
              </w:rPr>
            </w:pPr>
            <w:r>
              <w:rPr>
                <w:rFonts w:hint="eastAsia" w:ascii="宋体" w:hAnsi="宋体" w:eastAsia="宋体"/>
                <w:sz w:val="24"/>
                <w:lang w:eastAsia="zh-CN"/>
              </w:rPr>
              <w:t>电梯、道闸、海报、桁架、墙体喷绘、展架、停车小票和宣传栏、城市展厅等</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2546" w:type="dxa"/>
            <w:vAlign w:val="center"/>
          </w:tcPr>
          <w:p>
            <w:pPr>
              <w:jc w:val="center"/>
              <w:rPr>
                <w:rFonts w:ascii="宋体" w:hAnsi="宋体" w:eastAsia="宋体"/>
                <w:sz w:val="24"/>
                <w:lang w:eastAsia="zh-CN"/>
              </w:rPr>
            </w:pPr>
            <w:r>
              <w:rPr>
                <w:rFonts w:hint="eastAsia" w:ascii="宋体" w:hAnsi="宋体" w:eastAsia="宋体"/>
                <w:sz w:val="24"/>
                <w:lang w:val="en-US" w:eastAsia="zh-CN"/>
              </w:rPr>
              <w:t>12个月</w:t>
            </w:r>
          </w:p>
        </w:tc>
      </w:tr>
    </w:tbl>
    <w:p>
      <w:pPr>
        <w:spacing w:line="360" w:lineRule="auto"/>
        <w:rPr>
          <w:rFonts w:ascii="宋体" w:hAnsi="宋体"/>
          <w:highlight w:val="none"/>
        </w:rPr>
      </w:pPr>
      <w:r>
        <w:rPr>
          <w:rFonts w:ascii="宋体" w:hAnsi="宋体"/>
          <w:highlight w:val="none"/>
        </w:rPr>
        <w:br w:type="page"/>
      </w:r>
    </w:p>
    <w:p>
      <w:pPr>
        <w:pStyle w:val="3"/>
        <w:spacing w:line="360" w:lineRule="auto"/>
        <w:jc w:val="center"/>
        <w:rPr>
          <w:rFonts w:ascii="宋体" w:hAnsi="宋体"/>
          <w:highlight w:val="none"/>
        </w:rPr>
      </w:pPr>
      <w:bookmarkStart w:id="365" w:name="_Toc3098"/>
      <w:bookmarkStart w:id="366" w:name="_Toc23843"/>
      <w:bookmarkStart w:id="367" w:name="_Toc509218852"/>
      <w:bookmarkStart w:id="368" w:name="_Toc430530528"/>
      <w:bookmarkStart w:id="369" w:name="_Toc287620812"/>
      <w:bookmarkStart w:id="370" w:name="_Toc287607865"/>
      <w:bookmarkStart w:id="371" w:name="_Toc24390"/>
      <w:bookmarkStart w:id="372" w:name="_Toc534185829"/>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bookmarkEnd w:id="365"/>
      <w:bookmarkEnd w:id="366"/>
      <w:bookmarkEnd w:id="367"/>
      <w:bookmarkEnd w:id="368"/>
      <w:bookmarkEnd w:id="369"/>
      <w:bookmarkEnd w:id="370"/>
      <w:bookmarkEnd w:id="371"/>
      <w:bookmarkEnd w:id="372"/>
    </w:p>
    <w:p>
      <w:pPr>
        <w:spacing w:line="360" w:lineRule="auto"/>
        <w:rPr>
          <w:rFonts w:ascii="宋体" w:hAnsi="宋体"/>
          <w:sz w:val="32"/>
          <w:szCs w:val="32"/>
          <w:highlight w:val="none"/>
        </w:rPr>
      </w:pPr>
    </w:p>
    <w:p>
      <w:pPr>
        <w:spacing w:line="360" w:lineRule="auto"/>
        <w:jc w:val="center"/>
        <w:rPr>
          <w:rFonts w:ascii="宋体" w:hAnsi="宋体"/>
          <w:sz w:val="36"/>
          <w:szCs w:val="36"/>
          <w:highlight w:val="none"/>
        </w:rPr>
      </w:pPr>
      <w:bookmarkStart w:id="373" w:name="_Toc224103493"/>
      <w:r>
        <w:rPr>
          <w:rFonts w:hint="eastAsia" w:ascii="宋体" w:hAnsi="宋体"/>
          <w:sz w:val="36"/>
          <w:szCs w:val="36"/>
          <w:highlight w:val="none"/>
        </w:rPr>
        <w:t>目  录</w:t>
      </w:r>
      <w:bookmarkEnd w:id="373"/>
    </w:p>
    <w:p>
      <w:pPr>
        <w:spacing w:line="360" w:lineRule="auto"/>
        <w:jc w:val="center"/>
        <w:rPr>
          <w:rFonts w:ascii="宋体" w:hAnsi="宋体"/>
          <w:szCs w:val="20"/>
          <w:highlight w:val="none"/>
        </w:rPr>
      </w:pPr>
    </w:p>
    <w:p>
      <w:pPr>
        <w:spacing w:line="360" w:lineRule="auto"/>
        <w:rPr>
          <w:rFonts w:ascii="宋体" w:hAnsi="宋体"/>
          <w:b/>
          <w:highlight w:val="none"/>
        </w:rPr>
      </w:pPr>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p>
    <w:p>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pPr>
        <w:spacing w:line="360" w:lineRule="auto"/>
        <w:rPr>
          <w:rFonts w:ascii="宋体" w:hAnsi="宋体"/>
          <w:b/>
          <w:highlight w:val="none"/>
        </w:rPr>
      </w:pPr>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资格审查部分</w:t>
      </w: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）其他资料</w:t>
      </w:r>
    </w:p>
    <w:p>
      <w:pPr>
        <w:spacing w:line="360" w:lineRule="auto"/>
        <w:rPr>
          <w:rFonts w:ascii="宋体" w:hAnsi="宋体"/>
          <w:highlight w:val="none"/>
        </w:rPr>
      </w:pPr>
    </w:p>
    <w:p>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374" w:name="_Toc287620813"/>
      <w:bookmarkStart w:id="375" w:name="_Toc430530529"/>
      <w:bookmarkStart w:id="376" w:name="_Toc224103494"/>
      <w:bookmarkStart w:id="377" w:name="_Toc277082642"/>
      <w:bookmarkStart w:id="378" w:name="_Toc287607866"/>
    </w:p>
    <w:p>
      <w:pPr>
        <w:pStyle w:val="4"/>
        <w:spacing w:line="360" w:lineRule="auto"/>
        <w:jc w:val="center"/>
        <w:rPr>
          <w:rFonts w:ascii="宋体" w:hAnsi="宋体"/>
          <w:b w:val="0"/>
          <w:bCs w:val="0"/>
          <w:sz w:val="44"/>
          <w:szCs w:val="44"/>
          <w:highlight w:val="none"/>
        </w:rPr>
      </w:pPr>
      <w:bookmarkStart w:id="379" w:name="_Toc19476"/>
      <w:bookmarkStart w:id="380" w:name="_Toc27035"/>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374"/>
      <w:bookmarkEnd w:id="375"/>
      <w:bookmarkEnd w:id="376"/>
      <w:bookmarkEnd w:id="377"/>
      <w:bookmarkEnd w:id="378"/>
      <w:bookmarkEnd w:id="379"/>
      <w:bookmarkEnd w:id="380"/>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highlight w:val="none"/>
        </w:rPr>
      </w:pPr>
    </w:p>
    <w:p>
      <w:pPr>
        <w:pStyle w:val="5"/>
        <w:spacing w:before="0" w:after="0" w:line="400" w:lineRule="exact"/>
        <w:jc w:val="center"/>
        <w:rPr>
          <w:rFonts w:hint="eastAsia" w:ascii="宋体" w:hAnsi="宋体" w:eastAsia="宋体"/>
          <w:b w:val="0"/>
          <w:highlight w:val="none"/>
          <w:lang w:eastAsia="zh-CN"/>
        </w:rPr>
      </w:pPr>
      <w:bookmarkStart w:id="381" w:name="_Toc277082643"/>
      <w:bookmarkStart w:id="382" w:name="_Toc224103495"/>
      <w:bookmarkStart w:id="383" w:name="_Toc509218854"/>
      <w:bookmarkStart w:id="384" w:name="_Toc287607867"/>
      <w:bookmarkStart w:id="385" w:name="_Toc287620814"/>
      <w:bookmarkStart w:id="386" w:name="_Toc430530530"/>
      <w:bookmarkStart w:id="387" w:name="_Toc534185831"/>
      <w:r>
        <w:rPr>
          <w:rFonts w:ascii="宋体" w:hAnsi="宋体"/>
          <w:highlight w:val="none"/>
        </w:rPr>
        <w:br w:type="page"/>
      </w:r>
      <w:bookmarkStart w:id="388" w:name="_Toc26071"/>
      <w:bookmarkStart w:id="389" w:name="_Toc882"/>
      <w:r>
        <w:rPr>
          <w:rFonts w:hint="eastAsia"/>
          <w:highlight w:val="none"/>
        </w:rPr>
        <w:t>（一）</w:t>
      </w:r>
      <w:bookmarkEnd w:id="381"/>
      <w:bookmarkEnd w:id="382"/>
      <w:bookmarkEnd w:id="383"/>
      <w:bookmarkEnd w:id="384"/>
      <w:bookmarkEnd w:id="385"/>
      <w:bookmarkEnd w:id="386"/>
      <w:bookmarkEnd w:id="387"/>
      <w:bookmarkEnd w:id="388"/>
      <w:r>
        <w:rPr>
          <w:rFonts w:hint="eastAsia"/>
          <w:highlight w:val="none"/>
          <w:lang w:eastAsia="zh-CN"/>
        </w:rPr>
        <w:t>竞选函</w:t>
      </w:r>
      <w:bookmarkEnd w:id="389"/>
    </w:p>
    <w:p>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服务期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pPr>
        <w:pStyle w:val="5"/>
        <w:jc w:val="center"/>
        <w:rPr>
          <w:rFonts w:ascii="宋体" w:hAnsi="宋体"/>
          <w:snapToGrid w:val="0"/>
          <w:kern w:val="0"/>
          <w:szCs w:val="21"/>
          <w:highlight w:val="none"/>
        </w:rPr>
      </w:pPr>
      <w:bookmarkStart w:id="390" w:name="_Toc224103496"/>
      <w:bookmarkStart w:id="391" w:name="_Toc287607868"/>
      <w:bookmarkStart w:id="392" w:name="_Toc287620815"/>
      <w:bookmarkStart w:id="393" w:name="_Toc277082644"/>
      <w:bookmarkStart w:id="394" w:name="_Toc430530531"/>
      <w:r>
        <w:rPr>
          <w:rFonts w:ascii="宋体" w:hAnsi="宋体"/>
          <w:sz w:val="28"/>
          <w:highlight w:val="none"/>
        </w:rPr>
        <w:br w:type="page"/>
      </w:r>
      <w:bookmarkStart w:id="395" w:name="_Toc509218855"/>
      <w:bookmarkStart w:id="396" w:name="_Toc30967"/>
      <w:bookmarkStart w:id="397" w:name="_Toc534185832"/>
      <w:bookmarkStart w:id="398" w:name="_Toc6045"/>
      <w:r>
        <w:rPr>
          <w:highlight w:val="none"/>
        </w:rPr>
        <w:t>（二）</w:t>
      </w:r>
      <w:r>
        <w:rPr>
          <w:rFonts w:hint="eastAsia"/>
          <w:highlight w:val="none"/>
          <w:lang w:eastAsia="zh-CN"/>
        </w:rPr>
        <w:t>竞选函</w:t>
      </w:r>
      <w:r>
        <w:rPr>
          <w:highlight w:val="none"/>
        </w:rPr>
        <w:t>附录</w:t>
      </w:r>
      <w:bookmarkEnd w:id="390"/>
      <w:bookmarkEnd w:id="391"/>
      <w:bookmarkEnd w:id="392"/>
      <w:bookmarkEnd w:id="393"/>
      <w:bookmarkEnd w:id="394"/>
      <w:bookmarkEnd w:id="395"/>
      <w:bookmarkEnd w:id="396"/>
      <w:bookmarkEnd w:id="397"/>
      <w:bookmarkEnd w:id="398"/>
    </w:p>
    <w:tbl>
      <w:tblPr>
        <w:tblStyle w:val="46"/>
        <w:tblpPr w:leftFromText="180" w:rightFromText="180" w:vertAnchor="text" w:horzAnchor="page" w:tblpX="1180" w:tblpY="303"/>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35"/>
        <w:gridCol w:w="2640"/>
        <w:gridCol w:w="1020"/>
        <w:gridCol w:w="1650"/>
        <w:gridCol w:w="123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635"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广告名称</w:t>
            </w:r>
          </w:p>
        </w:tc>
        <w:tc>
          <w:tcPr>
            <w:tcW w:w="2640" w:type="dxa"/>
            <w:vAlign w:val="center"/>
          </w:tcPr>
          <w:p>
            <w:pPr>
              <w:jc w:val="center"/>
              <w:rPr>
                <w:rFonts w:ascii="宋体" w:hAnsi="宋体" w:eastAsia="宋体"/>
                <w:b/>
                <w:sz w:val="24"/>
              </w:rPr>
            </w:pPr>
            <w:r>
              <w:rPr>
                <w:rFonts w:hint="eastAsia" w:ascii="宋体" w:hAnsi="宋体" w:eastAsia="宋体"/>
                <w:b/>
                <w:sz w:val="24"/>
              </w:rPr>
              <w:t>执行</w:t>
            </w:r>
          </w:p>
          <w:p>
            <w:pPr>
              <w:jc w:val="center"/>
              <w:rPr>
                <w:rFonts w:ascii="宋体" w:hAnsi="宋体" w:eastAsia="宋体"/>
                <w:b/>
                <w:sz w:val="24"/>
              </w:rPr>
            </w:pPr>
            <w:r>
              <w:rPr>
                <w:rFonts w:hint="eastAsia" w:ascii="宋体" w:hAnsi="宋体" w:eastAsia="宋体"/>
                <w:b/>
                <w:sz w:val="24"/>
              </w:rPr>
              <w:t>（广告位/形式）</w:t>
            </w:r>
          </w:p>
        </w:tc>
        <w:tc>
          <w:tcPr>
            <w:tcW w:w="1020" w:type="dxa"/>
            <w:vAlign w:val="center"/>
          </w:tcPr>
          <w:p>
            <w:pPr>
              <w:jc w:val="center"/>
              <w:rPr>
                <w:rFonts w:ascii="宋体" w:hAnsi="宋体" w:eastAsia="宋体"/>
                <w:b/>
                <w:sz w:val="24"/>
              </w:rPr>
            </w:pPr>
            <w:r>
              <w:rPr>
                <w:rFonts w:hint="eastAsia" w:ascii="宋体" w:hAnsi="宋体" w:eastAsia="宋体"/>
                <w:b/>
                <w:sz w:val="24"/>
              </w:rPr>
              <w:t>数量</w:t>
            </w:r>
          </w:p>
        </w:tc>
        <w:tc>
          <w:tcPr>
            <w:tcW w:w="1650" w:type="dxa"/>
            <w:vAlign w:val="center"/>
          </w:tcPr>
          <w:p>
            <w:pPr>
              <w:jc w:val="center"/>
              <w:rPr>
                <w:rFonts w:ascii="宋体" w:hAnsi="宋体" w:eastAsia="宋体"/>
                <w:b/>
                <w:sz w:val="24"/>
                <w:lang w:eastAsia="zh-CN"/>
              </w:rPr>
            </w:pPr>
            <w:r>
              <w:rPr>
                <w:rFonts w:hint="eastAsia" w:ascii="宋体" w:hAnsi="宋体" w:eastAsia="宋体"/>
                <w:b/>
                <w:sz w:val="24"/>
                <w:lang w:eastAsia="zh-CN"/>
              </w:rPr>
              <w:t>投放时间</w:t>
            </w:r>
          </w:p>
          <w:p>
            <w:pPr>
              <w:jc w:val="center"/>
              <w:rPr>
                <w:rFonts w:ascii="宋体" w:hAnsi="宋体" w:eastAsia="宋体"/>
                <w:b/>
                <w:sz w:val="24"/>
                <w:lang w:eastAsia="zh-CN"/>
              </w:rPr>
            </w:pPr>
            <w:r>
              <w:rPr>
                <w:rFonts w:hint="eastAsia" w:ascii="宋体" w:hAnsi="宋体" w:eastAsia="宋体"/>
                <w:b/>
                <w:sz w:val="24"/>
                <w:lang w:eastAsia="zh-CN"/>
              </w:rPr>
              <w:t>（以刊发时间为准）</w:t>
            </w:r>
          </w:p>
        </w:tc>
        <w:tc>
          <w:tcPr>
            <w:tcW w:w="1237" w:type="dxa"/>
            <w:vAlign w:val="center"/>
          </w:tcPr>
          <w:p>
            <w:pPr>
              <w:jc w:val="center"/>
              <w:rPr>
                <w:rFonts w:ascii="宋体" w:hAnsi="宋体" w:eastAsia="宋体"/>
                <w:b/>
                <w:sz w:val="24"/>
              </w:rPr>
            </w:pPr>
            <w:r>
              <w:rPr>
                <w:rFonts w:hint="eastAsia" w:ascii="宋体" w:hAnsi="宋体" w:eastAsia="宋体"/>
                <w:b/>
                <w:sz w:val="24"/>
                <w:lang w:val="en-US" w:eastAsia="zh-CN"/>
              </w:rPr>
              <w:t>单价</w:t>
            </w:r>
            <w:r>
              <w:rPr>
                <w:rFonts w:hint="eastAsia" w:ascii="宋体" w:hAnsi="宋体" w:eastAsia="宋体"/>
                <w:b/>
                <w:sz w:val="24"/>
              </w:rPr>
              <w:t>（元）</w:t>
            </w:r>
          </w:p>
        </w:tc>
        <w:tc>
          <w:tcPr>
            <w:tcW w:w="1298" w:type="dxa"/>
            <w:vAlign w:val="center"/>
          </w:tcPr>
          <w:p>
            <w:pPr>
              <w:jc w:val="center"/>
              <w:rPr>
                <w:rFonts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35" w:type="dxa"/>
            <w:vAlign w:val="center"/>
          </w:tcPr>
          <w:p>
            <w:pPr>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网络媒体</w:t>
            </w:r>
          </w:p>
        </w:tc>
        <w:tc>
          <w:tcPr>
            <w:tcW w:w="2640" w:type="dxa"/>
            <w:vAlign w:val="center"/>
          </w:tcPr>
          <w:p>
            <w:pPr>
              <w:jc w:val="center"/>
              <w:rPr>
                <w:rFonts w:ascii="宋体" w:hAnsi="宋体" w:eastAsia="宋体"/>
                <w:sz w:val="24"/>
                <w:lang w:eastAsia="zh-CN"/>
              </w:rPr>
            </w:pPr>
            <w:r>
              <w:rPr>
                <w:rFonts w:hint="eastAsia" w:ascii="宋体" w:hAnsi="宋体" w:eastAsia="宋体"/>
                <w:sz w:val="24"/>
                <w:lang w:eastAsia="zh-CN"/>
              </w:rPr>
              <w:t>APP房产首页焦点图(第1-4帧之内），投放时间为2天；APP房产首页（信息流30常规-重庆），投放时间为2天；APP房产重庆首页热盘推荐，投放时间为2天；APP开机屏3天；APP重磅推荐3天；APP原创稿件1篇；品质好房榜单1次。</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50" w:type="dxa"/>
            <w:vAlign w:val="center"/>
          </w:tcPr>
          <w:p>
            <w:pPr>
              <w:jc w:val="center"/>
              <w:rPr>
                <w:rFonts w:hint="eastAsia"/>
                <w:lang w:val="en-US" w:eastAsia="zh-CN"/>
              </w:rPr>
            </w:pPr>
            <w:r>
              <w:rPr>
                <w:rFonts w:hint="eastAsia"/>
                <w:lang w:val="en-US" w:eastAsia="zh-CN"/>
              </w:rPr>
              <w:t>1个月内</w:t>
            </w:r>
          </w:p>
          <w:p>
            <w:pPr>
              <w:jc w:val="center"/>
              <w:rPr>
                <w:rFonts w:hint="default" w:ascii="宋体" w:hAnsi="宋体" w:eastAsia="宋体"/>
                <w:sz w:val="24"/>
                <w:lang w:val="en-US" w:eastAsia="zh-CN"/>
              </w:rPr>
            </w:pPr>
            <w:r>
              <w:rPr>
                <w:rFonts w:hint="default"/>
                <w:lang w:val="en-US" w:eastAsia="zh-CN"/>
              </w:rPr>
              <w:t>（以实际投放天数为准）</w:t>
            </w:r>
          </w:p>
        </w:tc>
        <w:tc>
          <w:tcPr>
            <w:tcW w:w="123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1635" w:type="dxa"/>
            <w:vAlign w:val="center"/>
          </w:tcPr>
          <w:p>
            <w:pPr>
              <w:jc w:val="center"/>
              <w:rPr>
                <w:rFonts w:hint="eastAsia" w:ascii="宋体" w:hAnsi="宋体" w:eastAsia="宋体" w:cs="Times New Roman"/>
                <w:sz w:val="24"/>
                <w:lang w:eastAsia="zh-CN"/>
              </w:rPr>
            </w:pPr>
            <w:r>
              <w:rPr>
                <w:rFonts w:ascii="Arial" w:hAnsi="Arial" w:eastAsia="宋体" w:cs="Arial"/>
                <w:i w:val="0"/>
                <w:iCs w:val="0"/>
                <w:caps w:val="0"/>
                <w:color w:val="111111"/>
                <w:spacing w:val="0"/>
                <w:sz w:val="21"/>
                <w:szCs w:val="21"/>
                <w:shd w:val="clear" w:fill="FFFFFF"/>
              </w:rPr>
              <w:t>朋友圈广告</w:t>
            </w:r>
          </w:p>
        </w:tc>
        <w:tc>
          <w:tcPr>
            <w:tcW w:w="2640" w:type="dxa"/>
            <w:vAlign w:val="center"/>
          </w:tcPr>
          <w:p>
            <w:pPr>
              <w:jc w:val="center"/>
              <w:rPr>
                <w:rFonts w:ascii="宋体" w:hAnsi="宋体" w:eastAsia="宋体"/>
                <w:sz w:val="24"/>
                <w:lang w:eastAsia="zh-CN"/>
              </w:rPr>
            </w:pPr>
            <w:r>
              <w:rPr>
                <w:rFonts w:hint="eastAsia" w:ascii="宋体" w:hAnsi="宋体" w:eastAsia="宋体"/>
                <w:sz w:val="24"/>
                <w:lang w:eastAsia="zh-CN"/>
              </w:rPr>
              <w:t>图文或视频，不低</w:t>
            </w:r>
            <w:r>
              <w:rPr>
                <w:rFonts w:hint="eastAsia" w:ascii="宋体" w:hAnsi="宋体" w:eastAsia="宋体"/>
                <w:sz w:val="24"/>
                <w:lang w:val="en-US" w:eastAsia="zh-CN"/>
              </w:rPr>
              <w:t>于</w:t>
            </w:r>
            <w:r>
              <w:rPr>
                <w:rFonts w:hint="eastAsia" w:ascii="宋体" w:hAnsi="宋体" w:eastAsia="宋体"/>
                <w:sz w:val="24"/>
                <w:lang w:eastAsia="zh-CN"/>
              </w:rPr>
              <w:t>62.5万次曝光</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50" w:type="dxa"/>
            <w:vAlign w:val="center"/>
          </w:tcPr>
          <w:p>
            <w:pPr>
              <w:jc w:val="center"/>
              <w:rPr>
                <w:rFonts w:hint="eastAsia" w:ascii="宋体" w:hAnsi="宋体"/>
                <w:sz w:val="24"/>
                <w:lang w:val="en-US" w:eastAsia="zh-CN"/>
              </w:rPr>
            </w:pPr>
            <w:r>
              <w:rPr>
                <w:rFonts w:hint="eastAsia" w:ascii="宋体" w:hAnsi="宋体" w:eastAsia="宋体"/>
                <w:sz w:val="24"/>
                <w:lang w:val="en-US" w:eastAsia="zh-CN"/>
              </w:rPr>
              <w:t>1个月</w:t>
            </w:r>
            <w:r>
              <w:rPr>
                <w:rFonts w:hint="eastAsia" w:ascii="宋体" w:hAnsi="宋体"/>
                <w:sz w:val="24"/>
                <w:lang w:val="en-US" w:eastAsia="zh-CN"/>
              </w:rPr>
              <w:t>内</w:t>
            </w:r>
          </w:p>
          <w:p>
            <w:pPr>
              <w:jc w:val="center"/>
              <w:rPr>
                <w:rFonts w:ascii="宋体" w:hAnsi="宋体"/>
              </w:rPr>
            </w:pPr>
            <w:r>
              <w:rPr>
                <w:rFonts w:hint="default"/>
                <w:lang w:val="en-US" w:eastAsia="zh-CN"/>
              </w:rPr>
              <w:t>（以实际投放天数为准）</w:t>
            </w:r>
          </w:p>
        </w:tc>
        <w:tc>
          <w:tcPr>
            <w:tcW w:w="123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3</w:t>
            </w:r>
          </w:p>
        </w:tc>
        <w:tc>
          <w:tcPr>
            <w:tcW w:w="163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户外广告</w:t>
            </w:r>
          </w:p>
        </w:tc>
        <w:tc>
          <w:tcPr>
            <w:tcW w:w="2640" w:type="dxa"/>
            <w:vAlign w:val="center"/>
          </w:tcPr>
          <w:p>
            <w:pPr>
              <w:jc w:val="center"/>
              <w:rPr>
                <w:rFonts w:hint="eastAsia" w:ascii="宋体" w:hAnsi="宋体" w:eastAsia="宋体"/>
                <w:sz w:val="24"/>
                <w:lang w:eastAsia="zh-CN"/>
              </w:rPr>
            </w:pPr>
            <w:r>
              <w:rPr>
                <w:rFonts w:hint="eastAsia" w:ascii="宋体" w:hAnsi="宋体" w:eastAsia="宋体"/>
                <w:sz w:val="24"/>
              </w:rPr>
              <w:t>户外T牌</w:t>
            </w:r>
            <w:r>
              <w:rPr>
                <w:rFonts w:hint="eastAsia" w:ascii="宋体" w:hAnsi="宋体" w:eastAsia="宋体"/>
                <w:sz w:val="24"/>
                <w:lang w:eastAsia="zh-CN"/>
              </w:rPr>
              <w:t>（18米x6米x2面）</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1650" w:type="dxa"/>
            <w:vAlign w:val="center"/>
          </w:tcPr>
          <w:p>
            <w:pPr>
              <w:jc w:val="center"/>
              <w:rPr>
                <w:rFonts w:ascii="宋体" w:hAnsi="宋体" w:eastAsia="宋体"/>
                <w:sz w:val="24"/>
                <w:lang w:eastAsia="zh-CN"/>
              </w:rPr>
            </w:pPr>
            <w:r>
              <w:rPr>
                <w:rFonts w:hint="eastAsia" w:ascii="宋体" w:hAnsi="宋体" w:eastAsia="宋体"/>
                <w:sz w:val="24"/>
                <w:lang w:val="en-US" w:eastAsia="zh-CN"/>
              </w:rPr>
              <w:t>4个月</w:t>
            </w:r>
          </w:p>
        </w:tc>
        <w:tc>
          <w:tcPr>
            <w:tcW w:w="1237" w:type="dxa"/>
            <w:vAlign w:val="center"/>
          </w:tcPr>
          <w:p>
            <w:pPr>
              <w:jc w:val="center"/>
              <w:rPr>
                <w:rFonts w:ascii="宋体" w:hAnsi="宋体" w:eastAsia="宋体"/>
                <w:sz w:val="24"/>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4</w:t>
            </w:r>
          </w:p>
        </w:tc>
        <w:tc>
          <w:tcPr>
            <w:tcW w:w="163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物业广告</w:t>
            </w:r>
          </w:p>
        </w:tc>
        <w:tc>
          <w:tcPr>
            <w:tcW w:w="2640" w:type="dxa"/>
            <w:vAlign w:val="center"/>
          </w:tcPr>
          <w:p>
            <w:pPr>
              <w:jc w:val="center"/>
              <w:rPr>
                <w:rFonts w:ascii="宋体" w:hAnsi="宋体" w:eastAsia="宋体"/>
                <w:sz w:val="24"/>
                <w:lang w:eastAsia="zh-CN"/>
              </w:rPr>
            </w:pPr>
            <w:r>
              <w:rPr>
                <w:rFonts w:hint="eastAsia" w:ascii="宋体" w:hAnsi="宋体" w:eastAsia="宋体"/>
                <w:sz w:val="24"/>
                <w:lang w:eastAsia="zh-CN"/>
              </w:rPr>
              <w:t>电梯、道闸、海报、桁架、墙体喷绘、展架、停车小票和宣传栏、城市展厅等</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50" w:type="dxa"/>
            <w:vAlign w:val="center"/>
          </w:tcPr>
          <w:p>
            <w:pPr>
              <w:jc w:val="center"/>
              <w:rPr>
                <w:rFonts w:ascii="宋体" w:hAnsi="宋体" w:eastAsia="宋体"/>
                <w:sz w:val="24"/>
                <w:lang w:eastAsia="zh-CN"/>
              </w:rPr>
            </w:pPr>
            <w:r>
              <w:rPr>
                <w:rFonts w:hint="eastAsia" w:ascii="宋体" w:hAnsi="宋体" w:eastAsia="宋体"/>
                <w:sz w:val="24"/>
                <w:lang w:val="en-US" w:eastAsia="zh-CN"/>
              </w:rPr>
              <w:t>12个月</w:t>
            </w:r>
          </w:p>
        </w:tc>
        <w:tc>
          <w:tcPr>
            <w:tcW w:w="123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7"/>
            <w:vAlign w:val="center"/>
          </w:tcPr>
          <w:p>
            <w:pPr>
              <w:jc w:val="center"/>
              <w:rPr>
                <w:rFonts w:ascii="宋体" w:hAnsi="宋体" w:eastAsia="宋体"/>
                <w:sz w:val="24"/>
                <w:lang w:eastAsia="zh-CN"/>
              </w:rPr>
            </w:pPr>
            <w:r>
              <w:rPr>
                <w:rFonts w:hint="eastAsia" w:ascii="宋体" w:hAnsi="宋体" w:eastAsia="宋体"/>
                <w:sz w:val="24"/>
                <w:lang w:val="en-US" w:eastAsia="zh-CN"/>
              </w:rPr>
              <w:t xml:space="preserve">                                                     </w:t>
            </w:r>
            <w:r>
              <w:rPr>
                <w:rFonts w:hint="eastAsia" w:ascii="宋体" w:hAnsi="宋体" w:eastAsia="宋体"/>
                <w:sz w:val="24"/>
                <w:lang w:eastAsia="zh-CN"/>
              </w:rPr>
              <w:t>价税合计</w:t>
            </w:r>
            <w:r>
              <w:rPr>
                <w:rFonts w:hint="eastAsia" w:ascii="宋体" w:hAnsi="宋体" w:eastAsia="宋体"/>
                <w:sz w:val="24"/>
                <w:lang w:val="en-US" w:eastAsia="zh-CN"/>
              </w:rPr>
              <w:t xml:space="preserve">    </w:t>
            </w:r>
            <w:r>
              <w:rPr>
                <w:rFonts w:hint="eastAsia" w:ascii="宋体" w:hAnsi="宋体" w:eastAsia="宋体"/>
                <w:sz w:val="24"/>
                <w:lang w:eastAsia="zh-CN"/>
              </w:rPr>
              <w:t>元（大写：</w:t>
            </w:r>
            <w:r>
              <w:rPr>
                <w:rFonts w:hint="eastAsia" w:ascii="宋体" w:hAnsi="宋体" w:eastAsia="宋体"/>
                <w:sz w:val="24"/>
                <w:lang w:val="en-US" w:eastAsia="zh-CN"/>
              </w:rPr>
              <w:t xml:space="preserve">    </w:t>
            </w:r>
            <w:r>
              <w:rPr>
                <w:rFonts w:hint="eastAsia" w:ascii="宋体" w:hAnsi="宋体" w:eastAsia="宋体"/>
                <w:sz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7"/>
            <w:vAlign w:val="center"/>
          </w:tcPr>
          <w:p>
            <w:pPr>
              <w:jc w:val="left"/>
              <w:rPr>
                <w:rFonts w:hint="eastAsia" w:ascii="宋体" w:hAnsi="宋体" w:eastAsia="宋体"/>
                <w:sz w:val="24"/>
                <w:lang w:val="en-US" w:eastAsia="zh-CN"/>
              </w:rPr>
            </w:pPr>
            <w:r>
              <w:rPr>
                <w:rFonts w:hint="eastAsia" w:asciiTheme="majorEastAsia" w:hAnsiTheme="majorEastAsia" w:eastAsiaTheme="majorEastAsia" w:cstheme="majorEastAsia"/>
                <w:sz w:val="24"/>
                <w:szCs w:val="24"/>
                <w:lang w:eastAsia="zh-CN"/>
              </w:rPr>
              <w:t>广告费用</w:t>
            </w:r>
            <w:r>
              <w:rPr>
                <w:rFonts w:hint="eastAsia" w:asciiTheme="majorEastAsia" w:hAnsiTheme="majorEastAsia" w:eastAsiaTheme="majorEastAsia" w:cstheme="majorEastAsia"/>
                <w:sz w:val="24"/>
                <w:szCs w:val="24"/>
                <w:lang w:val="en-US" w:eastAsia="zh-CN"/>
              </w:rPr>
              <w:t>单价</w:t>
            </w:r>
            <w:r>
              <w:rPr>
                <w:rFonts w:hint="eastAsia" w:asciiTheme="majorEastAsia" w:hAnsiTheme="majorEastAsia" w:eastAsiaTheme="majorEastAsia" w:cstheme="majorEastAsia"/>
                <w:sz w:val="24"/>
                <w:szCs w:val="24"/>
                <w:lang w:eastAsia="zh-CN"/>
              </w:rPr>
              <w:t>为包干</w:t>
            </w:r>
            <w:r>
              <w:rPr>
                <w:rFonts w:hint="eastAsia" w:asciiTheme="majorEastAsia" w:hAnsiTheme="majorEastAsia" w:eastAsiaTheme="majorEastAsia" w:cstheme="majorEastAsia"/>
                <w:sz w:val="24"/>
                <w:szCs w:val="24"/>
                <w:lang w:val="en-US" w:eastAsia="zh-CN"/>
              </w:rPr>
              <w:t>费用</w:t>
            </w:r>
            <w:r>
              <w:rPr>
                <w:rFonts w:hint="eastAsia" w:asciiTheme="majorEastAsia" w:hAnsiTheme="majorEastAsia" w:eastAsiaTheme="majorEastAsia" w:cstheme="majorEastAsia"/>
                <w:sz w:val="24"/>
                <w:szCs w:val="24"/>
                <w:lang w:eastAsia="zh-CN"/>
              </w:rPr>
              <w:t>，包括但不限于人工费、审批费、交通费、 材料费、包装费、制版费、审稿费、修订费、印刷费、</w:t>
            </w:r>
            <w:r>
              <w:rPr>
                <w:rFonts w:hint="eastAsia" w:asciiTheme="majorEastAsia" w:hAnsiTheme="majorEastAsia" w:eastAsiaTheme="majorEastAsia" w:cstheme="majorEastAsia"/>
                <w:sz w:val="24"/>
                <w:szCs w:val="24"/>
                <w:lang w:val="en-US" w:eastAsia="zh-CN"/>
              </w:rPr>
              <w:t>竞选人</w:t>
            </w:r>
            <w:r>
              <w:rPr>
                <w:rFonts w:hint="eastAsia" w:asciiTheme="majorEastAsia" w:hAnsiTheme="majorEastAsia" w:eastAsiaTheme="majorEastAsia" w:cstheme="majorEastAsia"/>
                <w:sz w:val="24"/>
                <w:szCs w:val="24"/>
                <w:lang w:eastAsia="zh-CN"/>
              </w:rPr>
              <w:t>合理利润等所需一切费用。</w:t>
            </w:r>
          </w:p>
        </w:tc>
      </w:tr>
    </w:tbl>
    <w:p>
      <w:pPr>
        <w:spacing w:line="360" w:lineRule="auto"/>
        <w:rPr>
          <w:rFonts w:ascii="宋体" w:hAnsi="宋体"/>
          <w:snapToGrid w:val="0"/>
          <w:color w:val="auto"/>
          <w:w w:val="99"/>
          <w:highlight w:val="none"/>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p>
      <w:pPr>
        <w:spacing w:line="360" w:lineRule="auto"/>
        <w:rPr>
          <w:rFonts w:ascii="宋体" w:hAnsi="宋体"/>
          <w:snapToGrid w:val="0"/>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399" w:name="_Toc430530532"/>
      <w:bookmarkStart w:id="400" w:name="_Toc277082645"/>
      <w:bookmarkStart w:id="401" w:name="_Toc20860"/>
      <w:bookmarkStart w:id="402" w:name="_Toc287607869"/>
      <w:bookmarkStart w:id="403" w:name="_Toc287620816"/>
      <w:bookmarkStart w:id="404" w:name="_Toc224103497"/>
      <w:bookmarkStart w:id="405" w:name="_Toc8650"/>
      <w:r>
        <w:rPr>
          <w:sz w:val="30"/>
          <w:szCs w:val="30"/>
          <w:highlight w:val="none"/>
        </w:rPr>
        <w:t>（三）</w:t>
      </w:r>
      <w:r>
        <w:rPr>
          <w:rFonts w:hint="eastAsia"/>
          <w:sz w:val="30"/>
          <w:szCs w:val="30"/>
          <w:highlight w:val="none"/>
        </w:rPr>
        <w:t>法定代表人身份证明或附有法定代表人身份证明的授权委托书</w:t>
      </w:r>
      <w:bookmarkEnd w:id="399"/>
      <w:bookmarkEnd w:id="400"/>
      <w:bookmarkEnd w:id="401"/>
      <w:bookmarkEnd w:id="402"/>
      <w:bookmarkEnd w:id="403"/>
      <w:bookmarkEnd w:id="404"/>
      <w:bookmarkEnd w:id="405"/>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spacing w:line="360" w:lineRule="auto"/>
        <w:ind w:firstLine="420" w:firstLineChars="200"/>
        <w:rPr>
          <w:rFonts w:ascii="宋体" w:hAnsi="宋体"/>
          <w:highlight w:val="none"/>
        </w:rPr>
      </w:pPr>
      <w:r>
        <w:rPr>
          <w:rFonts w:ascii="宋体" w:hAnsi="宋体"/>
          <w:highlight w:val="none"/>
        </w:rPr>
        <w:br w:type="page"/>
      </w:r>
      <w:bookmarkStart w:id="406" w:name="_Toc224103500"/>
      <w:bookmarkStart w:id="407" w:name="_Toc287607872"/>
      <w:bookmarkStart w:id="408" w:name="_Toc430530534"/>
      <w:bookmarkStart w:id="409" w:name="_Toc287620819"/>
    </w:p>
    <w:bookmarkEnd w:id="406"/>
    <w:bookmarkEnd w:id="407"/>
    <w:bookmarkEnd w:id="408"/>
    <w:bookmarkEnd w:id="409"/>
    <w:p>
      <w:pPr>
        <w:pStyle w:val="4"/>
        <w:spacing w:line="360" w:lineRule="auto"/>
        <w:jc w:val="center"/>
        <w:rPr>
          <w:rFonts w:ascii="宋体" w:hAnsi="宋体"/>
          <w:b w:val="0"/>
          <w:bCs w:val="0"/>
          <w:sz w:val="44"/>
          <w:szCs w:val="44"/>
          <w:highlight w:val="none"/>
        </w:rPr>
      </w:pPr>
      <w:bookmarkStart w:id="410" w:name="_Toc430530545"/>
      <w:bookmarkStart w:id="411" w:name="_Toc287620829"/>
      <w:bookmarkStart w:id="412" w:name="_Toc287607882"/>
      <w:bookmarkStart w:id="413" w:name="_Toc277082656"/>
      <w:bookmarkStart w:id="414" w:name="_Toc224103510"/>
      <w:bookmarkStart w:id="415" w:name="_Toc19372"/>
      <w:bookmarkStart w:id="416" w:name="_Toc27141"/>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w:t>
      </w:r>
      <w:bookmarkEnd w:id="410"/>
      <w:bookmarkEnd w:id="411"/>
      <w:bookmarkEnd w:id="412"/>
      <w:bookmarkEnd w:id="413"/>
      <w:bookmarkEnd w:id="414"/>
      <w:r>
        <w:rPr>
          <w:rFonts w:hint="eastAsia" w:ascii="宋体" w:hAnsi="宋体"/>
          <w:b w:val="0"/>
          <w:bCs w:val="0"/>
          <w:sz w:val="44"/>
          <w:szCs w:val="44"/>
          <w:highlight w:val="none"/>
        </w:rPr>
        <w:t>资格审查部分</w:t>
      </w:r>
      <w:bookmarkEnd w:id="415"/>
      <w:bookmarkEnd w:id="416"/>
    </w:p>
    <w:p>
      <w:pPr>
        <w:spacing w:line="360" w:lineRule="auto"/>
        <w:rPr>
          <w:rFonts w:ascii="宋体" w:hAnsi="宋体"/>
          <w:sz w:val="32"/>
          <w:szCs w:val="32"/>
          <w:highlight w:val="none"/>
        </w:rPr>
      </w:pPr>
    </w:p>
    <w:p>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pPr>
        <w:autoSpaceDE w:val="0"/>
        <w:autoSpaceDN w:val="0"/>
        <w:adjustRightInd w:val="0"/>
        <w:snapToGrid w:val="0"/>
        <w:spacing w:line="360" w:lineRule="auto"/>
        <w:jc w:val="left"/>
        <w:rPr>
          <w:rFonts w:ascii="宋体" w:hAnsi="宋体" w:cs="MingLiU"/>
          <w:kern w:val="0"/>
          <w:sz w:val="20"/>
          <w:szCs w:val="20"/>
          <w:highlight w:val="none"/>
        </w:rPr>
      </w:pPr>
    </w:p>
    <w:p>
      <w:pPr>
        <w:adjustRightInd w:val="0"/>
        <w:snapToGrid w:val="0"/>
        <w:spacing w:line="264" w:lineRule="auto"/>
        <w:rPr>
          <w:rFonts w:ascii="宋体" w:hAnsi="宋体"/>
          <w:szCs w:val="21"/>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jc w:val="center"/>
        <w:rPr>
          <w:rFonts w:hint="eastAsia" w:ascii="宋体" w:hAnsi="宋体"/>
          <w:kern w:val="0"/>
          <w:sz w:val="36"/>
          <w:szCs w:val="36"/>
          <w:highlight w:val="none"/>
        </w:rPr>
      </w:pPr>
    </w:p>
    <w:p>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pPr>
        <w:spacing w:line="360" w:lineRule="auto"/>
        <w:jc w:val="center"/>
        <w:rPr>
          <w:rFonts w:ascii="宋体" w:hAnsi="宋体"/>
          <w:b/>
          <w:kern w:val="0"/>
          <w:sz w:val="32"/>
          <w:szCs w:val="32"/>
          <w:highlight w:val="none"/>
        </w:rPr>
      </w:pP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）其他资料</w:t>
      </w: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pStyle w:val="5"/>
        <w:jc w:val="center"/>
        <w:rPr>
          <w:rFonts w:ascii="宋体" w:hAnsi="宋体"/>
          <w:snapToGrid w:val="0"/>
          <w:kern w:val="0"/>
          <w:sz w:val="30"/>
          <w:szCs w:val="30"/>
          <w:highlight w:val="none"/>
        </w:rPr>
      </w:pPr>
      <w:r>
        <w:rPr>
          <w:rFonts w:ascii="宋体" w:hAnsi="宋体"/>
          <w:highlight w:val="none"/>
        </w:rPr>
        <w:br w:type="page"/>
      </w:r>
      <w:bookmarkStart w:id="417" w:name="_Toc5633"/>
      <w:bookmarkStart w:id="418" w:name="_Toc26444"/>
      <w:bookmarkStart w:id="419" w:name="_Toc287607883"/>
      <w:bookmarkStart w:id="420" w:name="_Toc277082657"/>
      <w:bookmarkStart w:id="421" w:name="_Toc430530546"/>
      <w:bookmarkStart w:id="422" w:name="_Toc287620830"/>
      <w:bookmarkStart w:id="423" w:name="_Toc224103511"/>
      <w:r>
        <w:rPr>
          <w:sz w:val="30"/>
          <w:szCs w:val="30"/>
          <w:highlight w:val="none"/>
        </w:rPr>
        <w:t>（一）</w:t>
      </w:r>
      <w:r>
        <w:rPr>
          <w:rFonts w:hint="eastAsia"/>
          <w:sz w:val="30"/>
          <w:szCs w:val="30"/>
          <w:highlight w:val="none"/>
        </w:rPr>
        <w:t>法定代表人身份证明或附有法定代表人身份证明的授权委托书</w:t>
      </w:r>
      <w:bookmarkEnd w:id="417"/>
      <w:bookmarkEnd w:id="418"/>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autoSpaceDE w:val="0"/>
        <w:autoSpaceDN w:val="0"/>
        <w:adjustRightInd w:val="0"/>
        <w:snapToGrid w:val="0"/>
        <w:spacing w:line="360" w:lineRule="auto"/>
        <w:jc w:val="left"/>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419"/>
      <w:bookmarkEnd w:id="420"/>
      <w:bookmarkEnd w:id="421"/>
      <w:bookmarkEnd w:id="422"/>
      <w:bookmarkEnd w:id="423"/>
      <w:r>
        <w:rPr>
          <w:rFonts w:hint="eastAsia" w:ascii="宋体" w:hAnsi="宋体"/>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5"/>
        <w:spacing w:before="0" w:after="0" w:line="240" w:lineRule="auto"/>
        <w:jc w:val="center"/>
        <w:rPr>
          <w:rFonts w:ascii="宋体" w:hAnsi="宋体"/>
          <w:highlight w:val="none"/>
        </w:rPr>
      </w:pPr>
      <w:bookmarkStart w:id="424" w:name="_Toc277082658"/>
      <w:bookmarkStart w:id="425" w:name="_Toc224103512"/>
      <w:bookmarkStart w:id="426" w:name="_Toc430530547"/>
      <w:bookmarkStart w:id="427" w:name="_Toc287607884"/>
      <w:bookmarkStart w:id="428" w:name="_Toc287620831"/>
      <w:bookmarkStart w:id="429" w:name="_Toc2153"/>
      <w:r>
        <w:rPr>
          <w:highlight w:val="none"/>
        </w:rPr>
        <w:t>（二）</w:t>
      </w:r>
      <w:bookmarkEnd w:id="424"/>
      <w:bookmarkEnd w:id="425"/>
      <w:bookmarkEnd w:id="426"/>
      <w:bookmarkEnd w:id="427"/>
      <w:bookmarkEnd w:id="428"/>
      <w:bookmarkStart w:id="430" w:name="_Toc277082659"/>
      <w:bookmarkStart w:id="431" w:name="_Toc287607887"/>
      <w:r>
        <w:rPr>
          <w:rFonts w:hint="eastAsia" w:ascii="宋体" w:hAnsi="宋体"/>
          <w:b w:val="0"/>
          <w:bCs w:val="0"/>
          <w:highlight w:val="none"/>
          <w:lang w:eastAsia="zh-CN"/>
        </w:rPr>
        <w:t>竞选人</w:t>
      </w:r>
      <w:r>
        <w:rPr>
          <w:rFonts w:hint="eastAsia" w:ascii="宋体" w:hAnsi="宋体"/>
          <w:b w:val="0"/>
          <w:bCs w:val="0"/>
          <w:highlight w:val="none"/>
        </w:rPr>
        <w:t>基本情况表</w:t>
      </w:r>
      <w:bookmarkEnd w:id="42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5616" w:type="dxa"/>
            <w:gridSpan w:val="7"/>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bl>
    <w:p>
      <w:pPr>
        <w:spacing w:line="360" w:lineRule="auto"/>
        <w:jc w:val="center"/>
        <w:rPr>
          <w:rFonts w:ascii="宋体" w:hAnsi="宋体"/>
          <w:szCs w:val="21"/>
          <w:highlight w:val="none"/>
        </w:rPr>
      </w:pPr>
    </w:p>
    <w:p>
      <w:pPr>
        <w:rPr>
          <w:highlight w:val="none"/>
        </w:rPr>
      </w:pPr>
      <w:r>
        <w:rPr>
          <w:rFonts w:ascii="宋体" w:hAnsi="宋体"/>
          <w:szCs w:val="21"/>
          <w:highlight w:val="none"/>
        </w:rPr>
        <w:br w:type="page"/>
      </w:r>
      <w:bookmarkEnd w:id="430"/>
      <w:bookmarkEnd w:id="431"/>
    </w:p>
    <w:p>
      <w:pPr>
        <w:pStyle w:val="5"/>
        <w:spacing w:before="0" w:line="360" w:lineRule="auto"/>
        <w:jc w:val="center"/>
        <w:rPr>
          <w:rFonts w:ascii="宋体" w:hAnsi="宋体"/>
          <w:b w:val="0"/>
          <w:highlight w:val="none"/>
        </w:rPr>
      </w:pPr>
      <w:bookmarkStart w:id="432" w:name="_Toc25182"/>
      <w:r>
        <w:rPr>
          <w:rFonts w:hint="eastAsia" w:ascii="宋体" w:hAnsi="宋体"/>
          <w:b w:val="0"/>
          <w:highlight w:val="none"/>
        </w:rPr>
        <w:t>（</w:t>
      </w:r>
      <w:r>
        <w:rPr>
          <w:rFonts w:hint="eastAsia" w:ascii="宋体" w:hAnsi="宋体"/>
          <w:b w:val="0"/>
          <w:highlight w:val="none"/>
          <w:lang w:val="en-US" w:eastAsia="zh-CN"/>
        </w:rPr>
        <w:t>三</w:t>
      </w:r>
      <w:r>
        <w:rPr>
          <w:rFonts w:hint="eastAsia" w:ascii="宋体" w:hAnsi="宋体"/>
          <w:b w:val="0"/>
          <w:highlight w:val="none"/>
        </w:rPr>
        <w:t>）其他资料</w:t>
      </w:r>
      <w:bookmarkEnd w:id="432"/>
    </w:p>
    <w:bookmarkEnd w:id="344"/>
    <w:bookmarkEnd w:id="345"/>
    <w:bookmarkEnd w:id="346"/>
    <w:p>
      <w:pPr>
        <w:rPr>
          <w:highlight w:val="none"/>
        </w:rPr>
      </w:pPr>
    </w:p>
    <w:sectPr>
      <w:footerReference r:id="rId6"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2</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43607"/>
    <w:multiLevelType w:val="singleLevel"/>
    <w:tmpl w:val="F7043607"/>
    <w:lvl w:ilvl="0" w:tentative="0">
      <w:start w:val="1"/>
      <w:numFmt w:val="decimal"/>
      <w:lvlText w:val="%1."/>
      <w:lvlJc w:val="left"/>
      <w:pPr>
        <w:tabs>
          <w:tab w:val="left" w:pos="312"/>
        </w:tabs>
      </w:pPr>
    </w:lvl>
  </w:abstractNum>
  <w:abstractNum w:abstractNumId="1">
    <w:nsid w:val="3F415704"/>
    <w:multiLevelType w:val="singleLevel"/>
    <w:tmpl w:val="3F41570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2FF23FF"/>
    <w:rsid w:val="03712D21"/>
    <w:rsid w:val="043C1EA8"/>
    <w:rsid w:val="057364D8"/>
    <w:rsid w:val="07146850"/>
    <w:rsid w:val="0747316B"/>
    <w:rsid w:val="08D852DC"/>
    <w:rsid w:val="0AC34A23"/>
    <w:rsid w:val="0B374AB7"/>
    <w:rsid w:val="0B8A12CF"/>
    <w:rsid w:val="0F3118B1"/>
    <w:rsid w:val="0FED2443"/>
    <w:rsid w:val="102C328E"/>
    <w:rsid w:val="10662E20"/>
    <w:rsid w:val="13CA799C"/>
    <w:rsid w:val="155F0AA1"/>
    <w:rsid w:val="17072F54"/>
    <w:rsid w:val="180E1BEA"/>
    <w:rsid w:val="1D9E2B66"/>
    <w:rsid w:val="1EB93EB5"/>
    <w:rsid w:val="202820DF"/>
    <w:rsid w:val="210618F0"/>
    <w:rsid w:val="21270CC2"/>
    <w:rsid w:val="24266EC9"/>
    <w:rsid w:val="26D36140"/>
    <w:rsid w:val="28AF528E"/>
    <w:rsid w:val="2B24412B"/>
    <w:rsid w:val="2D316018"/>
    <w:rsid w:val="2D397AFE"/>
    <w:rsid w:val="2E0A756F"/>
    <w:rsid w:val="2F3F0791"/>
    <w:rsid w:val="30BF31A0"/>
    <w:rsid w:val="316600C5"/>
    <w:rsid w:val="3300448E"/>
    <w:rsid w:val="33CB0DB0"/>
    <w:rsid w:val="344A7EB3"/>
    <w:rsid w:val="37EC438C"/>
    <w:rsid w:val="3E485474"/>
    <w:rsid w:val="424A2B87"/>
    <w:rsid w:val="43BE2B8A"/>
    <w:rsid w:val="44C57144"/>
    <w:rsid w:val="45480226"/>
    <w:rsid w:val="48093C71"/>
    <w:rsid w:val="4B3F6D5D"/>
    <w:rsid w:val="4D920C64"/>
    <w:rsid w:val="4F305D57"/>
    <w:rsid w:val="4F79447E"/>
    <w:rsid w:val="522A6FE1"/>
    <w:rsid w:val="53394028"/>
    <w:rsid w:val="53B03160"/>
    <w:rsid w:val="54AC09F2"/>
    <w:rsid w:val="566209E7"/>
    <w:rsid w:val="56CC3E96"/>
    <w:rsid w:val="591F4667"/>
    <w:rsid w:val="59952F94"/>
    <w:rsid w:val="5CBC4428"/>
    <w:rsid w:val="5DAA3BF5"/>
    <w:rsid w:val="5DE14F27"/>
    <w:rsid w:val="5F370970"/>
    <w:rsid w:val="618D4BBE"/>
    <w:rsid w:val="63091321"/>
    <w:rsid w:val="6534707B"/>
    <w:rsid w:val="671764AB"/>
    <w:rsid w:val="68233E92"/>
    <w:rsid w:val="6A9774F1"/>
    <w:rsid w:val="6B9D26D7"/>
    <w:rsid w:val="6BA64352"/>
    <w:rsid w:val="6D6C1709"/>
    <w:rsid w:val="6F00293A"/>
    <w:rsid w:val="6F0D49D1"/>
    <w:rsid w:val="760A6969"/>
    <w:rsid w:val="78BB630B"/>
    <w:rsid w:val="7A4160FC"/>
    <w:rsid w:val="7AFE0EDA"/>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2">
    <w:name w:val="Title"/>
    <w:basedOn w:val="1"/>
    <w:next w:val="1"/>
    <w:link w:val="212"/>
    <w:autoRedefine/>
    <w:qFormat/>
    <w:uiPriority w:val="0"/>
    <w:pPr>
      <w:widowControl/>
      <w:jc w:val="center"/>
    </w:pPr>
    <w:rPr>
      <w:kern w:val="0"/>
      <w:sz w:val="20"/>
      <w:u w:val="single"/>
      <w:lang w:eastAsia="en-US"/>
    </w:r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w:basedOn w:val="1"/>
    <w:link w:val="215"/>
    <w:autoRedefine/>
    <w:qFormat/>
    <w:uiPriority w:val="0"/>
    <w:pPr>
      <w:spacing w:after="120"/>
    </w:pPr>
  </w:style>
  <w:style w:type="paragraph" w:styleId="19">
    <w:name w:val="Body Text Indent"/>
    <w:basedOn w:val="1"/>
    <w:link w:val="270"/>
    <w:autoRedefine/>
    <w:qFormat/>
    <w:uiPriority w:val="0"/>
    <w:pPr>
      <w:ind w:firstLine="407" w:firstLineChars="200"/>
    </w:p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sz w:val="18"/>
      <w:szCs w:val="18"/>
    </w:rPr>
  </w:style>
  <w:style w:type="paragraph" w:styleId="23">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5"/>
    <w:autoRedefine/>
    <w:qFormat/>
    <w:uiPriority w:val="0"/>
    <w:rPr>
      <w:rFonts w:ascii="宋体" w:hAnsi="Courier New" w:cs="Courier New"/>
      <w:szCs w:val="21"/>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link w:val="158"/>
    <w:autoRedefine/>
    <w:qFormat/>
    <w:uiPriority w:val="0"/>
    <w:pPr>
      <w:ind w:left="100" w:leftChars="2500"/>
    </w:pPr>
  </w:style>
  <w:style w:type="paragraph" w:styleId="27">
    <w:name w:val="Body Text Indent 2"/>
    <w:basedOn w:val="1"/>
    <w:link w:val="272"/>
    <w:autoRedefine/>
    <w:qFormat/>
    <w:uiPriority w:val="0"/>
    <w:pPr>
      <w:widowControl/>
      <w:spacing w:line="480" w:lineRule="auto"/>
      <w:ind w:firstLine="560"/>
      <w:jc w:val="left"/>
    </w:pPr>
    <w:rPr>
      <w:kern w:val="0"/>
      <w:sz w:val="28"/>
    </w:rPr>
  </w:style>
  <w:style w:type="paragraph" w:styleId="28">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9">
    <w:name w:val="Balloon Text"/>
    <w:basedOn w:val="1"/>
    <w:link w:val="209"/>
    <w:autoRedefine/>
    <w:qFormat/>
    <w:uiPriority w:val="0"/>
    <w:rPr>
      <w:sz w:val="18"/>
      <w:szCs w:val="18"/>
    </w:rPr>
  </w:style>
  <w:style w:type="paragraph" w:styleId="30">
    <w:name w:val="footer"/>
    <w:basedOn w:val="1"/>
    <w:link w:val="197"/>
    <w:autoRedefine/>
    <w:qFormat/>
    <w:uiPriority w:val="0"/>
    <w:pPr>
      <w:tabs>
        <w:tab w:val="center" w:pos="4153"/>
        <w:tab w:val="right" w:pos="8306"/>
      </w:tabs>
      <w:snapToGrid w:val="0"/>
      <w:jc w:val="left"/>
    </w:pPr>
    <w:rPr>
      <w:sz w:val="18"/>
      <w:szCs w:val="18"/>
    </w:rPr>
  </w:style>
  <w:style w:type="paragraph" w:styleId="31">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2"/>
    <w:autoRedefine/>
    <w:qFormat/>
    <w:uiPriority w:val="0"/>
    <w:pPr>
      <w:widowControl/>
      <w:jc w:val="center"/>
    </w:pPr>
    <w:rPr>
      <w:kern w:val="0"/>
      <w:sz w:val="20"/>
      <w:u w:val="single"/>
      <w:lang w:eastAsia="en-US"/>
    </w:rPr>
  </w:style>
  <w:style w:type="paragraph" w:styleId="35">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6">
    <w:name w:val="toc 6"/>
    <w:basedOn w:val="1"/>
    <w:next w:val="1"/>
    <w:autoRedefine/>
    <w:qFormat/>
    <w:uiPriority w:val="39"/>
    <w:pPr>
      <w:ind w:left="1050"/>
      <w:jc w:val="left"/>
    </w:pPr>
    <w:rPr>
      <w:sz w:val="18"/>
      <w:szCs w:val="18"/>
    </w:rPr>
  </w:style>
  <w:style w:type="paragraph" w:styleId="37">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8">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link w:val="265"/>
    <w:autoRedefine/>
    <w:qFormat/>
    <w:uiPriority w:val="0"/>
    <w:rPr>
      <w:i/>
      <w:iCs/>
      <w:sz w:val="26"/>
    </w:rPr>
  </w:style>
  <w:style w:type="paragraph" w:styleId="41">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1"/>
    </w:rPr>
  </w:style>
  <w:style w:type="paragraph" w:styleId="44">
    <w:name w:val="annotation subject"/>
    <w:basedOn w:val="16"/>
    <w:next w:val="16"/>
    <w:link w:val="264"/>
    <w:autoRedefine/>
    <w:qFormat/>
    <w:uiPriority w:val="0"/>
    <w:rPr>
      <w:b/>
      <w:bCs/>
    </w:rPr>
  </w:style>
  <w:style w:type="paragraph" w:styleId="45">
    <w:name w:val="Body Text First Indent"/>
    <w:basedOn w:val="1"/>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6"/>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4"/>
    <w:next w:val="21"/>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6"/>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1"/>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8"/>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30"/>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9"/>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2"/>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18"/>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5"/>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1"/>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40"/>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7"/>
    <w:autoRedefine/>
    <w:qFormat/>
    <w:uiPriority w:val="0"/>
    <w:rPr>
      <w:rFonts w:ascii="宋体" w:hAnsi="宋体" w:eastAsia="宋体"/>
      <w:kern w:val="2"/>
      <w:sz w:val="28"/>
      <w:szCs w:val="28"/>
      <w:lang w:val="en-US" w:eastAsia="zh-CN" w:bidi="ar-SA"/>
    </w:rPr>
  </w:style>
  <w:style w:type="character" w:customStyle="1" w:styleId="270">
    <w:name w:val="正文文本缩进 字符"/>
    <w:link w:val="19"/>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7"/>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4"/>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4"/>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 w:type="paragraph" w:customStyle="1" w:styleId="316">
    <w:name w:val="Table Text"/>
    <w:basedOn w:val="1"/>
    <w:autoRedefine/>
    <w:semiHidden/>
    <w:qFormat/>
    <w:uiPriority w:val="0"/>
    <w:rPr>
      <w:rFonts w:ascii="宋体" w:hAnsi="宋体" w:eastAsia="宋体" w:cs="宋体"/>
      <w:sz w:val="24"/>
      <w:szCs w:val="24"/>
    </w:rPr>
  </w:style>
  <w:style w:type="table" w:customStyle="1" w:styleId="31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51</Pages>
  <Words>81330</Words>
  <Characters>85666</Characters>
  <Paragraphs>4432</Paragraphs>
  <TotalTime>26</TotalTime>
  <ScaleCrop>false</ScaleCrop>
  <LinksUpToDate>false</LinksUpToDate>
  <CharactersWithSpaces>93476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2024-05-16T09:33:18Z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3875E67B2518458786DA55BE0E35A686_13</vt:lpwstr>
  </property>
</Properties>
</file>