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迎龙医药城一期项目新增健康跑道施工 （</w:t>
      </w:r>
      <w:r>
        <w:rPr>
          <w:rFonts w:hint="eastAsia" w:ascii="宋体" w:hAnsi="宋体"/>
          <w:color w:val="0000FF"/>
          <w:kern w:val="0"/>
          <w:sz w:val="32"/>
          <w:szCs w:val="32"/>
          <w:highlight w:val="none"/>
          <w:u w:val="single"/>
          <w:lang w:val="en-US" w:eastAsia="zh-CN"/>
        </w:rPr>
        <w:t>第三次</w:t>
      </w:r>
      <w:r>
        <w:rPr>
          <w:rFonts w:hint="eastAsia" w:ascii="宋体" w:hAnsi="宋体"/>
          <w:color w:val="0000FF"/>
          <w:kern w:val="0"/>
          <w:sz w:val="32"/>
          <w:szCs w:val="32"/>
          <w:highlight w:val="none"/>
          <w:u w:val="single"/>
          <w:lang w:eastAsia="zh-CN"/>
        </w:rPr>
        <w:t>）</w:t>
      </w:r>
      <w:r>
        <w:rPr>
          <w:rFonts w:hint="eastAsia" w:ascii="宋体" w:hAnsi="宋体"/>
          <w:kern w:val="0"/>
          <w:sz w:val="32"/>
          <w:szCs w:val="32"/>
          <w:highlight w:val="none"/>
          <w:u w:val="single"/>
        </w:rPr>
        <w:t>（项目名称）</w:t>
      </w: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13180"/>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pPr>
        <w:autoSpaceDE w:val="0"/>
        <w:autoSpaceDN w:val="0"/>
        <w:adjustRightInd w:val="0"/>
        <w:snapToGrid w:val="0"/>
        <w:spacing w:line="360" w:lineRule="auto"/>
        <w:jc w:val="left"/>
        <w:rPr>
          <w:rFonts w:ascii="宋体" w:hAnsi="宋体"/>
          <w:kern w:val="0"/>
          <w:sz w:val="10"/>
          <w:szCs w:val="1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w:t>
      </w:r>
      <w:r>
        <w:rPr>
          <w:rFonts w:hint="eastAsia" w:ascii="宋体" w:hAnsi="宋体"/>
          <w:b/>
          <w:w w:val="99"/>
          <w:kern w:val="0"/>
          <w:sz w:val="28"/>
          <w:szCs w:val="28"/>
          <w:highlight w:val="none"/>
          <w:lang w:val="en-US" w:eastAsia="zh-CN"/>
        </w:rPr>
        <w:t>新汇商实业</w:t>
      </w:r>
      <w:r>
        <w:rPr>
          <w:rFonts w:hint="eastAsia" w:ascii="宋体" w:hAnsi="宋体"/>
          <w:b/>
          <w:w w:val="99"/>
          <w:kern w:val="0"/>
          <w:sz w:val="28"/>
          <w:szCs w:val="28"/>
          <w:highlight w:val="none"/>
        </w:rPr>
        <w:t>有限公司</w:t>
      </w:r>
      <w:r>
        <w:rPr>
          <w:rFonts w:ascii="宋体" w:hAnsi="宋体"/>
          <w:b/>
          <w:w w:val="99"/>
          <w:kern w:val="0"/>
          <w:sz w:val="28"/>
          <w:szCs w:val="28"/>
          <w:highlight w:val="none"/>
        </w:rPr>
        <w:t>（盖单位法人章）</w:t>
      </w:r>
      <w:bookmarkEnd w:id="1"/>
    </w:p>
    <w:p>
      <w:pPr>
        <w:autoSpaceDE w:val="0"/>
        <w:autoSpaceDN w:val="0"/>
        <w:adjustRightInd w:val="0"/>
        <w:snapToGrid w:val="0"/>
        <w:spacing w:line="360" w:lineRule="auto"/>
        <w:jc w:val="center"/>
        <w:rPr>
          <w:rFonts w:ascii="宋体" w:hAnsi="宋体"/>
          <w:b/>
          <w:kern w:val="0"/>
          <w:sz w:val="20"/>
          <w:szCs w:val="20"/>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rPr>
          <w:rFonts w:ascii="宋体" w:hAnsi="宋体"/>
          <w:b/>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2" w:name="_Toc536797277"/>
      <w:bookmarkStart w:id="3" w:name="_Toc536796736"/>
      <w:bookmarkStart w:id="4" w:name="_Toc536621766"/>
      <w:bookmarkStart w:id="5" w:name="_Toc509218549"/>
      <w:bookmarkStart w:id="6" w:name="_Toc13210649"/>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5</w:t>
      </w:r>
      <w:r>
        <w:rPr>
          <w:rFonts w:ascii="宋体" w:hAnsi="宋体"/>
          <w:b/>
          <w:spacing w:val="8"/>
          <w:kern w:val="0"/>
          <w:sz w:val="28"/>
          <w:szCs w:val="28"/>
          <w:highlight w:val="none"/>
        </w:rPr>
        <w:t>月</w:t>
      </w:r>
      <w:bookmarkEnd w:id="2"/>
      <w:bookmarkEnd w:id="3"/>
      <w:bookmarkEnd w:id="4"/>
      <w:bookmarkEnd w:id="5"/>
      <w:bookmarkEnd w:id="6"/>
    </w:p>
    <w:p>
      <w:pPr>
        <w:pStyle w:val="3"/>
        <w:spacing w:line="360" w:lineRule="auto"/>
        <w:jc w:val="center"/>
        <w:outlineLvl w:val="9"/>
        <w:rPr>
          <w:rFonts w:ascii="宋体" w:hAnsi="宋体"/>
          <w:w w:val="99"/>
          <w:kern w:val="0"/>
          <w:sz w:val="24"/>
          <w:highlight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pPr>
        <w:pStyle w:val="120"/>
        <w:jc w:val="center"/>
        <w:rPr>
          <w:rFonts w:ascii="宋体" w:hAnsi="宋体"/>
          <w:color w:val="auto"/>
          <w:sz w:val="44"/>
          <w:szCs w:val="44"/>
          <w:highlight w:val="none"/>
          <w:lang w:val="zh-CN"/>
        </w:rPr>
      </w:pPr>
      <w:bookmarkStart w:id="7" w:name="_Toc5767"/>
      <w:bookmarkStart w:id="8"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sdt>
      <w:sdtPr>
        <w:rPr>
          <w:rFonts w:ascii="宋体" w:hAnsi="宋体" w:eastAsia="宋体" w:cs="Times New Roman"/>
          <w:kern w:val="2"/>
          <w:sz w:val="21"/>
          <w:szCs w:val="24"/>
          <w:lang w:val="en-US" w:eastAsia="zh-CN" w:bidi="ar-SA"/>
        </w:rPr>
        <w:id w:val="14746035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9" w:name="_Toc287607727"/>
          <w:bookmarkStart w:id="10" w:name="_Toc277082535"/>
          <w:bookmarkStart w:id="11" w:name="_Toc430530415"/>
          <w:bookmarkStart w:id="12" w:name="_Toc224103298"/>
          <w:bookmarkStart w:id="13" w:name="_Toc287620666"/>
          <w:bookmarkStart w:id="14" w:name="_Toc7997"/>
          <w:bookmarkStart w:id="15" w:name="_Toc509218691"/>
          <w:bookmarkStart w:id="16" w:name="_Toc12819"/>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_Toc13180 </w:instrText>
          </w:r>
          <w:r>
            <w:rPr>
              <w:sz w:val="24"/>
              <w:szCs w:val="24"/>
            </w:rPr>
            <w:fldChar w:fldCharType="separate"/>
          </w:r>
          <w:r>
            <w:rPr>
              <w:rFonts w:hint="eastAsia" w:ascii="宋体" w:hAnsi="宋体"/>
              <w:kern w:val="0"/>
              <w:sz w:val="24"/>
              <w:szCs w:val="24"/>
              <w:highlight w:val="none"/>
              <w:lang w:val="en-US" w:eastAsia="zh-CN"/>
            </w:rPr>
            <w:t>竞争性比选</w:t>
          </w:r>
          <w:r>
            <w:rPr>
              <w:rFonts w:ascii="宋体" w:hAnsi="宋体"/>
              <w:kern w:val="0"/>
              <w:sz w:val="24"/>
              <w:szCs w:val="24"/>
              <w:highlight w:val="none"/>
            </w:rPr>
            <w:t>文件</w:t>
          </w:r>
          <w:r>
            <w:rPr>
              <w:sz w:val="24"/>
              <w:szCs w:val="24"/>
            </w:rPr>
            <w:tab/>
          </w:r>
          <w:r>
            <w:rPr>
              <w:sz w:val="24"/>
              <w:szCs w:val="24"/>
            </w:rPr>
            <w:fldChar w:fldCharType="begin"/>
          </w:r>
          <w:r>
            <w:rPr>
              <w:sz w:val="24"/>
              <w:szCs w:val="24"/>
            </w:rPr>
            <w:instrText xml:space="preserve"> PAGEREF _Toc13180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_Toc21307 </w:instrText>
          </w:r>
          <w:r>
            <w:rPr>
              <w:sz w:val="24"/>
              <w:szCs w:val="24"/>
            </w:rPr>
            <w:fldChar w:fldCharType="separate"/>
          </w:r>
          <w:r>
            <w:rPr>
              <w:rFonts w:ascii="宋体" w:hAnsi="宋体"/>
              <w:snapToGrid w:val="0"/>
              <w:kern w:val="0"/>
              <w:sz w:val="24"/>
              <w:szCs w:val="24"/>
              <w:highlight w:val="none"/>
            </w:rPr>
            <w:t xml:space="preserve">第一章  </w:t>
          </w:r>
          <w:r>
            <w:rPr>
              <w:rFonts w:hint="eastAsia" w:ascii="宋体" w:hAnsi="宋体"/>
              <w:snapToGrid w:val="0"/>
              <w:kern w:val="0"/>
              <w:sz w:val="24"/>
              <w:szCs w:val="24"/>
              <w:highlight w:val="none"/>
              <w:lang w:eastAsia="zh-CN"/>
            </w:rPr>
            <w:t>比选公告</w:t>
          </w:r>
          <w:r>
            <w:rPr>
              <w:sz w:val="24"/>
              <w:szCs w:val="24"/>
            </w:rPr>
            <w:tab/>
          </w:r>
          <w:r>
            <w:rPr>
              <w:sz w:val="24"/>
              <w:szCs w:val="24"/>
            </w:rPr>
            <w:fldChar w:fldCharType="begin"/>
          </w:r>
          <w:r>
            <w:rPr>
              <w:sz w:val="24"/>
              <w:szCs w:val="24"/>
            </w:rPr>
            <w:instrText xml:space="preserve"> PAGEREF _Toc21307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_Toc22622 </w:instrText>
          </w:r>
          <w:r>
            <w:rPr>
              <w:sz w:val="24"/>
              <w:szCs w:val="24"/>
            </w:rPr>
            <w:fldChar w:fldCharType="separate"/>
          </w:r>
          <w:r>
            <w:rPr>
              <w:rFonts w:ascii="宋体" w:hAnsi="宋体"/>
              <w:snapToGrid w:val="0"/>
              <w:kern w:val="0"/>
              <w:sz w:val="24"/>
              <w:szCs w:val="24"/>
              <w:highlight w:val="none"/>
            </w:rPr>
            <w:t xml:space="preserve">第二章  </w:t>
          </w:r>
          <w:r>
            <w:rPr>
              <w:rFonts w:hint="eastAsia" w:ascii="宋体" w:hAnsi="宋体"/>
              <w:snapToGrid w:val="0"/>
              <w:kern w:val="0"/>
              <w:sz w:val="24"/>
              <w:szCs w:val="24"/>
              <w:highlight w:val="none"/>
              <w:lang w:eastAsia="zh-CN"/>
            </w:rPr>
            <w:t>竞选人</w:t>
          </w:r>
          <w:r>
            <w:rPr>
              <w:rFonts w:ascii="宋体" w:hAnsi="宋体"/>
              <w:snapToGrid w:val="0"/>
              <w:kern w:val="0"/>
              <w:sz w:val="24"/>
              <w:szCs w:val="24"/>
              <w:highlight w:val="none"/>
            </w:rPr>
            <w:t>须知</w:t>
          </w:r>
          <w:r>
            <w:rPr>
              <w:sz w:val="24"/>
              <w:szCs w:val="24"/>
            </w:rPr>
            <w:tab/>
          </w:r>
          <w:r>
            <w:rPr>
              <w:sz w:val="24"/>
              <w:szCs w:val="24"/>
            </w:rPr>
            <w:fldChar w:fldCharType="begin"/>
          </w:r>
          <w:r>
            <w:rPr>
              <w:sz w:val="24"/>
              <w:szCs w:val="24"/>
            </w:rPr>
            <w:instrText xml:space="preserve"> PAGEREF _Toc22622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_Toc4335 </w:instrText>
          </w:r>
          <w:r>
            <w:rPr>
              <w:sz w:val="24"/>
              <w:szCs w:val="24"/>
            </w:rPr>
            <w:fldChar w:fldCharType="separate"/>
          </w:r>
          <w:r>
            <w:rPr>
              <w:rFonts w:ascii="宋体" w:hAnsi="宋体"/>
              <w:sz w:val="24"/>
              <w:szCs w:val="24"/>
              <w:highlight w:val="none"/>
            </w:rPr>
            <w:t xml:space="preserve">第三章 </w:t>
          </w:r>
          <w:r>
            <w:rPr>
              <w:rFonts w:hint="eastAsia" w:ascii="宋体" w:hAnsi="宋体"/>
              <w:sz w:val="24"/>
              <w:szCs w:val="24"/>
              <w:highlight w:val="none"/>
            </w:rPr>
            <w:t xml:space="preserve"> </w:t>
          </w:r>
          <w:r>
            <w:rPr>
              <w:rFonts w:ascii="宋体" w:hAnsi="宋体"/>
              <w:sz w:val="24"/>
              <w:szCs w:val="24"/>
              <w:highlight w:val="none"/>
            </w:rPr>
            <w:t>评标办法（综合评估法）</w:t>
          </w:r>
          <w:r>
            <w:rPr>
              <w:sz w:val="24"/>
              <w:szCs w:val="24"/>
            </w:rPr>
            <w:tab/>
          </w:r>
          <w:r>
            <w:rPr>
              <w:sz w:val="24"/>
              <w:szCs w:val="24"/>
            </w:rPr>
            <w:fldChar w:fldCharType="begin"/>
          </w:r>
          <w:r>
            <w:rPr>
              <w:sz w:val="24"/>
              <w:szCs w:val="24"/>
            </w:rPr>
            <w:instrText xml:space="preserve"> PAGEREF _Toc4335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_Toc29884 </w:instrText>
          </w:r>
          <w:r>
            <w:rPr>
              <w:sz w:val="24"/>
              <w:szCs w:val="24"/>
            </w:rPr>
            <w:fldChar w:fldCharType="separate"/>
          </w:r>
          <w:r>
            <w:rPr>
              <w:rFonts w:ascii="宋体" w:hAnsi="宋体"/>
              <w:sz w:val="24"/>
              <w:szCs w:val="24"/>
              <w:highlight w:val="none"/>
              <w:lang w:eastAsia="zh-CN"/>
            </w:rPr>
            <w:t>附件A：综合评估法否决投标情况一览表</w:t>
          </w:r>
          <w:r>
            <w:rPr>
              <w:sz w:val="24"/>
              <w:szCs w:val="24"/>
            </w:rPr>
            <w:tab/>
          </w:r>
          <w:r>
            <w:rPr>
              <w:sz w:val="24"/>
              <w:szCs w:val="24"/>
            </w:rPr>
            <w:fldChar w:fldCharType="begin"/>
          </w:r>
          <w:r>
            <w:rPr>
              <w:sz w:val="24"/>
              <w:szCs w:val="24"/>
            </w:rPr>
            <w:instrText xml:space="preserve"> PAGEREF _Toc29884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_Toc12421 </w:instrText>
          </w:r>
          <w:r>
            <w:rPr>
              <w:sz w:val="24"/>
              <w:szCs w:val="24"/>
            </w:rPr>
            <w:fldChar w:fldCharType="separate"/>
          </w:r>
          <w:r>
            <w:rPr>
              <w:rFonts w:hint="eastAsia" w:ascii="宋体" w:hAnsi="宋体"/>
              <w:kern w:val="0"/>
              <w:sz w:val="24"/>
              <w:szCs w:val="24"/>
              <w:highlight w:val="none"/>
            </w:rPr>
            <w:t>第四章  合同条款及格式</w:t>
          </w:r>
          <w:r>
            <w:rPr>
              <w:sz w:val="24"/>
              <w:szCs w:val="24"/>
            </w:rPr>
            <w:tab/>
          </w:r>
          <w:r>
            <w:rPr>
              <w:sz w:val="24"/>
              <w:szCs w:val="24"/>
            </w:rPr>
            <w:fldChar w:fldCharType="begin"/>
          </w:r>
          <w:r>
            <w:rPr>
              <w:sz w:val="24"/>
              <w:szCs w:val="24"/>
            </w:rPr>
            <w:instrText xml:space="preserve"> PAGEREF _Toc12421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_Toc28155 </w:instrText>
          </w:r>
          <w:r>
            <w:rPr>
              <w:sz w:val="24"/>
              <w:szCs w:val="24"/>
            </w:rPr>
            <w:fldChar w:fldCharType="separate"/>
          </w:r>
          <w:r>
            <w:rPr>
              <w:rFonts w:ascii="宋体" w:hAnsi="宋体"/>
              <w:sz w:val="24"/>
              <w:szCs w:val="24"/>
              <w:highlight w:val="none"/>
            </w:rPr>
            <w:t>第</w:t>
          </w:r>
          <w:r>
            <w:rPr>
              <w:rFonts w:hint="eastAsia" w:ascii="宋体" w:hAnsi="宋体"/>
              <w:sz w:val="24"/>
              <w:szCs w:val="24"/>
              <w:highlight w:val="none"/>
              <w:lang w:val="en-US" w:eastAsia="zh-CN"/>
            </w:rPr>
            <w:t>五</w:t>
          </w:r>
          <w:r>
            <w:rPr>
              <w:rFonts w:ascii="宋体" w:hAnsi="宋体"/>
              <w:sz w:val="24"/>
              <w:szCs w:val="24"/>
              <w:highlight w:val="none"/>
            </w:rPr>
            <w:t>章</w:t>
          </w:r>
          <w:r>
            <w:rPr>
              <w:rFonts w:hint="eastAsia" w:ascii="宋体" w:hAnsi="宋体"/>
              <w:sz w:val="24"/>
              <w:szCs w:val="24"/>
              <w:highlight w:val="none"/>
            </w:rPr>
            <w:t xml:space="preserve">  </w:t>
          </w:r>
          <w:r>
            <w:rPr>
              <w:rFonts w:ascii="宋体" w:hAnsi="宋体"/>
              <w:sz w:val="24"/>
              <w:szCs w:val="24"/>
              <w:highlight w:val="none"/>
            </w:rPr>
            <w:t>技术标准和要求</w:t>
          </w:r>
          <w:r>
            <w:rPr>
              <w:sz w:val="24"/>
              <w:szCs w:val="24"/>
            </w:rPr>
            <w:tab/>
          </w:r>
          <w:r>
            <w:rPr>
              <w:sz w:val="24"/>
              <w:szCs w:val="24"/>
            </w:rPr>
            <w:fldChar w:fldCharType="begin"/>
          </w:r>
          <w:r>
            <w:rPr>
              <w:sz w:val="24"/>
              <w:szCs w:val="24"/>
            </w:rPr>
            <w:instrText xml:space="preserve"> PAGEREF _Toc28155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 </w:instrText>
          </w:r>
          <w:r>
            <w:rPr>
              <w:sz w:val="24"/>
              <w:szCs w:val="24"/>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六</w:t>
          </w:r>
          <w:r>
            <w:rPr>
              <w:rFonts w:hint="eastAsia" w:ascii="宋体" w:hAnsi="宋体"/>
              <w:sz w:val="24"/>
              <w:szCs w:val="24"/>
              <w:highlight w:val="none"/>
            </w:rPr>
            <w:t xml:space="preserve">章  </w:t>
          </w:r>
          <w:r>
            <w:rPr>
              <w:rFonts w:hint="eastAsia" w:ascii="宋体" w:hAnsi="宋体"/>
              <w:sz w:val="24"/>
              <w:szCs w:val="24"/>
              <w:highlight w:val="none"/>
              <w:lang w:eastAsia="zh-CN"/>
            </w:rPr>
            <w:t>竞选文件</w:t>
          </w:r>
          <w:r>
            <w:rPr>
              <w:rFonts w:hint="eastAsia" w:ascii="宋体" w:hAnsi="宋体"/>
              <w:sz w:val="24"/>
              <w:szCs w:val="24"/>
              <w:highlight w:val="none"/>
            </w:rPr>
            <w:t>格式</w:t>
          </w:r>
          <w:r>
            <w:rPr>
              <w:sz w:val="24"/>
              <w:szCs w:val="24"/>
            </w:rPr>
            <w:tab/>
          </w:r>
          <w:r>
            <w:rPr>
              <w:sz w:val="24"/>
              <w:szCs w:val="24"/>
            </w:rPr>
            <w:fldChar w:fldCharType="begin"/>
          </w:r>
          <w:r>
            <w:rPr>
              <w:sz w:val="24"/>
              <w:szCs w:val="24"/>
            </w:rPr>
            <w:instrText xml:space="preserve"> PAGEREF _Toc3098 \h </w:instrText>
          </w:r>
          <w:r>
            <w:rPr>
              <w:sz w:val="24"/>
              <w:szCs w:val="24"/>
            </w:rPr>
            <w:fldChar w:fldCharType="separate"/>
          </w:r>
          <w:r>
            <w:rPr>
              <w:sz w:val="24"/>
              <w:szCs w:val="24"/>
            </w:rPr>
            <w:t>110</w:t>
          </w:r>
          <w:r>
            <w:rPr>
              <w:sz w:val="24"/>
              <w:szCs w:val="24"/>
            </w:rPr>
            <w:fldChar w:fldCharType="end"/>
          </w:r>
          <w:r>
            <w:rPr>
              <w:sz w:val="24"/>
              <w:szCs w:val="24"/>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napToGrid w:val="0"/>
              <w:kern w:val="0"/>
              <w:highlight w:val="none"/>
            </w:rPr>
            <w:sectPr>
              <w:footerReference r:id="rId6" w:type="default"/>
              <w:pgSz w:w="11906" w:h="16838"/>
              <w:pgMar w:top="1134" w:right="1418" w:bottom="1134" w:left="1418" w:header="851" w:footer="992" w:gutter="0"/>
              <w:cols w:space="720" w:num="1"/>
              <w:docGrid w:type="lines" w:linePitch="312" w:charSpace="0"/>
            </w:sectPr>
          </w:pPr>
          <w:r>
            <w:rPr>
              <w:sz w:val="24"/>
              <w:szCs w:val="24"/>
            </w:rPr>
            <w:fldChar w:fldCharType="end"/>
          </w:r>
          <w:bookmarkStart w:id="17" w:name="_Toc21307"/>
        </w:p>
      </w:sdtContent>
    </w:sdt>
    <w:p>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9"/>
      <w:bookmarkEnd w:id="10"/>
      <w:bookmarkEnd w:id="11"/>
      <w:bookmarkEnd w:id="12"/>
      <w:bookmarkEnd w:id="13"/>
      <w:bookmarkEnd w:id="14"/>
      <w:bookmarkEnd w:id="15"/>
      <w:bookmarkEnd w:id="16"/>
      <w:bookmarkEnd w:id="17"/>
    </w:p>
    <w:p>
      <w:pPr>
        <w:pStyle w:val="4"/>
        <w:spacing w:before="100" w:after="100" w:line="460" w:lineRule="exact"/>
        <w:jc w:val="center"/>
        <w:rPr>
          <w:rFonts w:hint="eastAsia" w:ascii="宋体" w:hAnsi="宋体"/>
          <w:color w:val="0000FF"/>
          <w:kern w:val="0"/>
          <w:sz w:val="32"/>
          <w:szCs w:val="32"/>
          <w:highlight w:val="none"/>
          <w:u w:val="single"/>
          <w:lang w:val="en-US" w:eastAsia="zh-CN"/>
        </w:rPr>
      </w:pPr>
      <w:bookmarkStart w:id="18" w:name="_Toc287607728"/>
      <w:bookmarkStart w:id="19" w:name="_Toc277082536"/>
      <w:bookmarkStart w:id="20" w:name="_Toc224103299"/>
      <w:bookmarkStart w:id="21" w:name="_Toc287620667"/>
      <w:bookmarkStart w:id="22" w:name="_Toc200359427"/>
      <w:bookmarkStart w:id="23" w:name="_Toc200359238"/>
      <w:bookmarkStart w:id="24" w:name="_Toc430530416"/>
      <w:bookmarkStart w:id="25" w:name="_Toc27491"/>
      <w:bookmarkStart w:id="26" w:name="_Toc26523"/>
      <w:bookmarkStart w:id="27" w:name="_Toc509218692"/>
      <w:r>
        <w:rPr>
          <w:rFonts w:hint="eastAsia" w:ascii="宋体" w:hAnsi="宋体"/>
          <w:color w:val="0000FF"/>
          <w:kern w:val="0"/>
          <w:sz w:val="32"/>
          <w:szCs w:val="32"/>
          <w:highlight w:val="none"/>
          <w:u w:val="single"/>
          <w:lang w:eastAsia="zh-CN"/>
        </w:rPr>
        <w:t>迎龙医药城一期项目新增健康跑道施工（</w:t>
      </w:r>
      <w:r>
        <w:rPr>
          <w:rFonts w:hint="eastAsia" w:ascii="宋体" w:hAnsi="宋体"/>
          <w:color w:val="0000FF"/>
          <w:kern w:val="0"/>
          <w:sz w:val="32"/>
          <w:szCs w:val="32"/>
          <w:highlight w:val="none"/>
          <w:u w:val="single"/>
          <w:lang w:val="en-US" w:eastAsia="zh-CN"/>
        </w:rPr>
        <w:t>第三次</w:t>
      </w:r>
      <w:r>
        <w:rPr>
          <w:rFonts w:hint="eastAsia" w:ascii="宋体" w:hAnsi="宋体"/>
          <w:color w:val="0000FF"/>
          <w:kern w:val="0"/>
          <w:sz w:val="32"/>
          <w:szCs w:val="32"/>
          <w:highlight w:val="none"/>
          <w:u w:val="single"/>
          <w:lang w:eastAsia="zh-CN"/>
        </w:rPr>
        <w:t>）</w:t>
      </w:r>
    </w:p>
    <w:p>
      <w:pPr>
        <w:pStyle w:val="4"/>
        <w:spacing w:before="100" w:after="100" w:line="460" w:lineRule="exact"/>
        <w:jc w:val="both"/>
        <w:rPr>
          <w:rFonts w:ascii="宋体" w:hAnsi="宋体"/>
          <w:snapToGrid w:val="0"/>
          <w:color w:val="auto"/>
          <w:sz w:val="28"/>
          <w:szCs w:val="28"/>
          <w:highlight w:val="none"/>
        </w:rPr>
      </w:pPr>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8"/>
      <w:bookmarkEnd w:id="19"/>
      <w:bookmarkEnd w:id="20"/>
      <w:bookmarkEnd w:id="21"/>
      <w:bookmarkEnd w:id="22"/>
      <w:bookmarkEnd w:id="23"/>
      <w:bookmarkEnd w:id="24"/>
      <w:bookmarkEnd w:id="25"/>
      <w:bookmarkEnd w:id="26"/>
      <w:bookmarkEnd w:id="27"/>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迎龙医药城一期项目新增健康跑道施工</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第三次</w:t>
      </w:r>
      <w:r>
        <w:rPr>
          <w:rFonts w:hint="eastAsia" w:ascii="宋体" w:hAnsi="宋体"/>
          <w:snapToGrid w:val="0"/>
          <w:color w:val="auto"/>
          <w:kern w:val="0"/>
          <w:szCs w:val="21"/>
          <w:highlight w:val="none"/>
          <w:u w:val="single"/>
          <w:lang w:eastAsia="zh-CN"/>
        </w:rPr>
        <w:t>）</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28" w:name="_Toc22556"/>
      <w:bookmarkStart w:id="29" w:name="_Toc200359239"/>
      <w:bookmarkStart w:id="30" w:name="_Toc509218693"/>
      <w:bookmarkStart w:id="31" w:name="_Toc287607729"/>
      <w:bookmarkStart w:id="32" w:name="_Toc430530417"/>
      <w:bookmarkStart w:id="33" w:name="_Toc277082537"/>
      <w:bookmarkStart w:id="34" w:name="_Toc200359428"/>
      <w:bookmarkStart w:id="35" w:name="_Toc224103300"/>
      <w:bookmarkStart w:id="36" w:name="_Toc287620668"/>
      <w:bookmarkStart w:id="37" w:name="_Toc16344"/>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8"/>
      <w:bookmarkEnd w:id="29"/>
      <w:bookmarkEnd w:id="30"/>
      <w:bookmarkEnd w:id="31"/>
      <w:bookmarkEnd w:id="32"/>
      <w:bookmarkEnd w:id="33"/>
      <w:bookmarkEnd w:id="34"/>
      <w:bookmarkEnd w:id="35"/>
      <w:bookmarkEnd w:id="36"/>
      <w:bookmarkEnd w:id="37"/>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2.1 建设地点：</w:t>
      </w:r>
      <w:r>
        <w:rPr>
          <w:rFonts w:hint="eastAsia" w:ascii="宋体" w:hAnsi="宋体"/>
          <w:snapToGrid w:val="0"/>
          <w:color w:val="auto"/>
          <w:kern w:val="0"/>
          <w:szCs w:val="21"/>
          <w:highlight w:val="none"/>
          <w:u w:val="single"/>
          <w:lang w:val="en-US" w:eastAsia="zh-CN"/>
        </w:rPr>
        <w:t>经开区</w:t>
      </w:r>
      <w:r>
        <w:rPr>
          <w:rFonts w:hint="eastAsia" w:ascii="宋体" w:hAnsi="宋体"/>
          <w:snapToGrid w:val="0"/>
          <w:color w:val="auto"/>
          <w:kern w:val="0"/>
          <w:szCs w:val="21"/>
          <w:highlight w:val="none"/>
          <w:u w:val="single"/>
        </w:rPr>
        <w:t>迎龙</w:t>
      </w:r>
      <w:r>
        <w:rPr>
          <w:rFonts w:hint="eastAsia" w:ascii="宋体" w:hAnsi="宋体"/>
          <w:snapToGrid w:val="0"/>
          <w:color w:val="auto"/>
          <w:kern w:val="0"/>
          <w:szCs w:val="21"/>
          <w:highlight w:val="none"/>
          <w:u w:val="single"/>
          <w:lang w:val="en-US" w:eastAsia="zh-CN"/>
        </w:rPr>
        <w:t>医药城</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项目概况与建设规模：</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eastAsia="宋体"/>
          <w:i w:val="0"/>
          <w:iCs w:val="0"/>
          <w:caps w:val="0"/>
          <w:color w:val="auto"/>
          <w:spacing w:val="0"/>
          <w:sz w:val="21"/>
          <w:szCs w:val="21"/>
          <w:lang w:eastAsia="zh-CN"/>
        </w:rPr>
      </w:pP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12.07万</w:t>
      </w:r>
      <w:r>
        <w:rPr>
          <w:rFonts w:hint="eastAsia" w:ascii="宋体" w:hAnsi="宋体"/>
          <w:snapToGrid w:val="0"/>
          <w:color w:val="auto"/>
          <w:kern w:val="0"/>
          <w:szCs w:val="21"/>
          <w:highlight w:val="none"/>
          <w:u w:val="single"/>
        </w:rPr>
        <w:t>元</w:t>
      </w:r>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50日历天（从中标通知书发出之日起算，2024年7月28日前完工）。（未按时完工的承担违约金1000元/天，比选人同意延期的，以双方确定的延期时间为准）。</w:t>
      </w:r>
    </w:p>
    <w:p>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2年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pStyle w:val="4"/>
        <w:spacing w:before="100" w:after="100" w:line="460" w:lineRule="exact"/>
        <w:rPr>
          <w:rFonts w:ascii="宋体" w:hAnsi="宋体"/>
          <w:snapToGrid w:val="0"/>
          <w:sz w:val="28"/>
          <w:szCs w:val="28"/>
          <w:highlight w:val="none"/>
        </w:rPr>
      </w:pPr>
      <w:bookmarkStart w:id="38" w:name="_Toc200359240"/>
      <w:bookmarkStart w:id="39" w:name="_Toc5240"/>
      <w:bookmarkStart w:id="40" w:name="_Toc277082538"/>
      <w:bookmarkStart w:id="41" w:name="_Toc287607730"/>
      <w:bookmarkStart w:id="42" w:name="_Toc287620669"/>
      <w:bookmarkStart w:id="43" w:name="_Toc200359429"/>
      <w:bookmarkStart w:id="44" w:name="_Toc509218694"/>
      <w:bookmarkStart w:id="45" w:name="_Toc19513"/>
      <w:bookmarkStart w:id="46" w:name="_Toc430530418"/>
      <w:bookmarkStart w:id="47" w:name="_Toc224103301"/>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8"/>
      <w:bookmarkEnd w:id="39"/>
      <w:bookmarkEnd w:id="40"/>
      <w:bookmarkEnd w:id="41"/>
      <w:bookmarkEnd w:id="42"/>
      <w:bookmarkEnd w:id="43"/>
      <w:bookmarkEnd w:id="44"/>
      <w:bookmarkEnd w:id="45"/>
      <w:bookmarkEnd w:id="46"/>
      <w:bookmarkEnd w:id="47"/>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pPr>
        <w:spacing w:line="360" w:lineRule="auto"/>
        <w:ind w:firstLine="315" w:firstLineChars="150"/>
        <w:rPr>
          <w:rFonts w:hint="eastAsia" w:ascii="宋体" w:hAnsi="宋体"/>
          <w:strike w:val="0"/>
          <w:dstrike w:val="0"/>
          <w:color w:val="auto"/>
          <w:szCs w:val="21"/>
          <w:highlight w:val="none"/>
          <w:u w:val="single"/>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具</w:t>
      </w:r>
      <w:r>
        <w:rPr>
          <w:rFonts w:hint="eastAsia" w:ascii="宋体" w:hAnsi="宋体"/>
          <w:snapToGrid w:val="0"/>
          <w:color w:val="auto"/>
          <w:kern w:val="0"/>
          <w:szCs w:val="21"/>
          <w:highlight w:val="none"/>
          <w:u w:val="single"/>
        </w:rPr>
        <w:t>备建设行政主管部门颁发的</w:t>
      </w:r>
      <w:r>
        <w:rPr>
          <w:rFonts w:hint="eastAsia" w:ascii="宋体" w:hAnsi="宋体"/>
          <w:snapToGrid w:val="0"/>
          <w:color w:val="auto"/>
          <w:kern w:val="0"/>
          <w:szCs w:val="21"/>
          <w:highlight w:val="none"/>
          <w:u w:val="single"/>
          <w:lang w:val="en-US" w:eastAsia="zh-CN"/>
        </w:rPr>
        <w:t>市政公用工程</w:t>
      </w:r>
      <w:r>
        <w:rPr>
          <w:rFonts w:hint="eastAsia" w:ascii="宋体" w:hAnsi="宋体"/>
          <w:snapToGrid w:val="0"/>
          <w:color w:val="auto"/>
          <w:kern w:val="0"/>
          <w:szCs w:val="21"/>
          <w:highlight w:val="none"/>
          <w:u w:val="single"/>
        </w:rPr>
        <w:t>施工总承包三级及以上资质；</w:t>
      </w:r>
      <w:r>
        <w:rPr>
          <w:rFonts w:hint="eastAsia" w:asciiTheme="minorEastAsia" w:hAnsiTheme="minorEastAsia" w:eastAsiaTheme="minorEastAsia" w:cstheme="minorEastAsia"/>
          <w:sz w:val="21"/>
          <w:szCs w:val="21"/>
          <w:u w:val="single"/>
        </w:rPr>
        <w:t>202</w:t>
      </w:r>
      <w:r>
        <w:rPr>
          <w:rFonts w:hint="eastAsia" w:asciiTheme="minorEastAsia" w:hAnsiTheme="minorEastAsia" w:eastAsiaTheme="minorEastAsia" w:cstheme="minorEastAsia"/>
          <w:sz w:val="21"/>
          <w:szCs w:val="21"/>
          <w:u w:val="single"/>
          <w:lang w:val="en-US" w:eastAsia="zh-CN"/>
        </w:rPr>
        <w:t>0</w:t>
      </w:r>
      <w:r>
        <w:rPr>
          <w:rFonts w:hint="eastAsia" w:asciiTheme="minorEastAsia" w:hAnsiTheme="minorEastAsia" w:eastAsiaTheme="minorEastAsia" w:cstheme="minorEastAsia"/>
          <w:sz w:val="21"/>
          <w:szCs w:val="21"/>
          <w:u w:val="single"/>
        </w:rPr>
        <w:t>年1月1日至</w:t>
      </w:r>
      <w:r>
        <w:rPr>
          <w:rFonts w:hint="eastAsia" w:ascii="宋体" w:hAnsi="宋体"/>
          <w:strike w:val="0"/>
          <w:dstrike w:val="0"/>
          <w:color w:val="auto"/>
          <w:szCs w:val="21"/>
          <w:highlight w:val="none"/>
          <w:u w:val="single"/>
        </w:rPr>
        <w:t>投标截止日止（以竣工时间为准）</w:t>
      </w:r>
      <w:r>
        <w:rPr>
          <w:rFonts w:hint="eastAsia" w:ascii="宋体" w:hAnsi="宋体"/>
          <w:strike w:val="0"/>
          <w:dstrike w:val="0"/>
          <w:color w:val="auto"/>
          <w:szCs w:val="21"/>
          <w:highlight w:val="none"/>
          <w:u w:val="single"/>
          <w:lang w:val="en-US" w:eastAsia="zh-CN"/>
        </w:rPr>
        <w:t>完成</w:t>
      </w:r>
      <w:r>
        <w:rPr>
          <w:rFonts w:hint="eastAsia" w:ascii="宋体" w:hAnsi="宋体"/>
          <w:strike w:val="0"/>
          <w:dstrike w:val="0"/>
          <w:color w:val="auto"/>
          <w:szCs w:val="21"/>
          <w:highlight w:val="none"/>
          <w:u w:val="single"/>
        </w:rPr>
        <w:t>的</w:t>
      </w:r>
      <w:r>
        <w:rPr>
          <w:rFonts w:hint="eastAsia" w:ascii="宋体" w:hAnsi="宋体"/>
          <w:strike w:val="0"/>
          <w:dstrike w:val="0"/>
          <w:color w:val="auto"/>
          <w:szCs w:val="21"/>
          <w:highlight w:val="none"/>
          <w:u w:val="single"/>
          <w:lang w:val="en-US" w:eastAsia="zh-CN"/>
        </w:rPr>
        <w:t>3</w:t>
      </w:r>
      <w:r>
        <w:rPr>
          <w:rFonts w:hint="eastAsia" w:ascii="宋体" w:hAnsi="宋体"/>
          <w:strike w:val="0"/>
          <w:dstrike w:val="0"/>
          <w:color w:val="auto"/>
          <w:szCs w:val="21"/>
          <w:highlight w:val="none"/>
          <w:u w:val="single"/>
        </w:rPr>
        <w:t>个类似项目业绩。</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还应在人员、设备、资金等方面具有相应的施工能力，详见招标文件第二章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pPr>
        <w:pStyle w:val="4"/>
        <w:spacing w:before="100" w:after="100" w:line="460" w:lineRule="exact"/>
        <w:rPr>
          <w:rFonts w:ascii="宋体" w:hAnsi="宋体"/>
          <w:snapToGrid w:val="0"/>
          <w:sz w:val="28"/>
          <w:szCs w:val="28"/>
          <w:highlight w:val="none"/>
        </w:rPr>
      </w:pPr>
      <w:bookmarkStart w:id="48" w:name="_Toc13751"/>
      <w:bookmarkStart w:id="49" w:name="_Toc509218695"/>
      <w:bookmarkStart w:id="50" w:name="_Toc430530419"/>
      <w:bookmarkStart w:id="51" w:name="_Toc287620670"/>
      <w:bookmarkStart w:id="52" w:name="_Toc277082539"/>
      <w:bookmarkStart w:id="53" w:name="_Toc200359430"/>
      <w:bookmarkStart w:id="54" w:name="_Toc287607731"/>
      <w:bookmarkStart w:id="55" w:name="_Toc224103302"/>
      <w:bookmarkStart w:id="56" w:name="_Toc10508"/>
      <w:bookmarkStart w:id="57" w:name="_Toc200359241"/>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8"/>
      <w:bookmarkEnd w:id="49"/>
      <w:bookmarkEnd w:id="50"/>
      <w:bookmarkEnd w:id="51"/>
      <w:bookmarkEnd w:id="52"/>
      <w:bookmarkEnd w:id="53"/>
      <w:bookmarkEnd w:id="54"/>
      <w:bookmarkEnd w:id="55"/>
      <w:bookmarkEnd w:id="56"/>
      <w:bookmarkEnd w:id="57"/>
    </w:p>
    <w:p>
      <w:pPr>
        <w:widowControl/>
        <w:spacing w:line="360" w:lineRule="auto"/>
        <w:ind w:firstLine="420" w:firstLineChars="200"/>
        <w:rPr>
          <w:rFonts w:cs="宋体" w:asciiTheme="minorEastAsia" w:hAnsiTheme="minorEastAsia" w:eastAsiaTheme="minorEastAsia"/>
          <w:kern w:val="0"/>
          <w:sz w:val="21"/>
          <w:szCs w:val="21"/>
        </w:rPr>
      </w:pPr>
      <w:bookmarkStart w:id="58" w:name="_Toc200359431"/>
      <w:bookmarkStart w:id="59" w:name="_Toc430530420"/>
      <w:bookmarkStart w:id="60" w:name="_Toc287620671"/>
      <w:bookmarkStart w:id="61" w:name="_Toc28449"/>
      <w:bookmarkStart w:id="62" w:name="_Toc224103303"/>
      <w:bookmarkStart w:id="63" w:name="_Toc200359242"/>
      <w:bookmarkStart w:id="64" w:name="_Toc3893"/>
      <w:bookmarkStart w:id="65" w:name="_Toc509218696"/>
      <w:bookmarkStart w:id="66" w:name="_Toc287607732"/>
      <w:bookmarkStart w:id="67" w:name="_Toc277082540"/>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8"/>
      <w:bookmarkEnd w:id="59"/>
      <w:bookmarkEnd w:id="60"/>
      <w:bookmarkEnd w:id="61"/>
      <w:bookmarkEnd w:id="62"/>
      <w:bookmarkEnd w:id="63"/>
      <w:bookmarkEnd w:id="64"/>
      <w:bookmarkEnd w:id="65"/>
      <w:bookmarkEnd w:id="66"/>
      <w:bookmarkEnd w:id="67"/>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6</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6</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pPr>
        <w:pStyle w:val="4"/>
        <w:spacing w:before="100" w:after="100" w:line="460" w:lineRule="exact"/>
        <w:rPr>
          <w:rFonts w:ascii="宋体" w:hAnsi="宋体"/>
          <w:snapToGrid w:val="0"/>
          <w:sz w:val="28"/>
          <w:szCs w:val="28"/>
          <w:highlight w:val="none"/>
        </w:rPr>
      </w:pPr>
      <w:bookmarkStart w:id="68" w:name="_Toc19071"/>
      <w:bookmarkStart w:id="69" w:name="_Toc224103304"/>
      <w:bookmarkStart w:id="70" w:name="_Toc277082541"/>
      <w:bookmarkStart w:id="71" w:name="_Toc287607733"/>
      <w:bookmarkStart w:id="72" w:name="_Toc200359432"/>
      <w:bookmarkStart w:id="73" w:name="_Toc200359243"/>
      <w:bookmarkStart w:id="74" w:name="_Toc430530421"/>
      <w:bookmarkStart w:id="75" w:name="_Toc287620672"/>
      <w:bookmarkStart w:id="76" w:name="_Toc8166"/>
      <w:bookmarkStart w:id="77" w:name="_Toc509218697"/>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8"/>
      <w:bookmarkEnd w:id="69"/>
      <w:bookmarkEnd w:id="70"/>
      <w:bookmarkEnd w:id="71"/>
      <w:bookmarkEnd w:id="72"/>
      <w:bookmarkEnd w:id="73"/>
      <w:bookmarkEnd w:id="74"/>
      <w:bookmarkEnd w:id="75"/>
      <w:bookmarkEnd w:id="76"/>
      <w:bookmarkEnd w:id="77"/>
    </w:p>
    <w:p>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pPr>
        <w:pStyle w:val="4"/>
        <w:spacing w:before="100" w:after="100" w:line="460" w:lineRule="exact"/>
        <w:rPr>
          <w:rFonts w:ascii="宋体" w:hAnsi="宋体"/>
          <w:snapToGrid w:val="0"/>
          <w:sz w:val="28"/>
          <w:szCs w:val="28"/>
          <w:highlight w:val="none"/>
        </w:rPr>
      </w:pPr>
      <w:bookmarkStart w:id="78" w:name="_Toc31352"/>
      <w:bookmarkStart w:id="79" w:name="_Toc14240"/>
      <w:bookmarkStart w:id="80" w:name="_Toc430530422"/>
      <w:bookmarkStart w:id="81" w:name="_Toc277082542"/>
      <w:bookmarkStart w:id="82" w:name="_Toc769"/>
      <w:bookmarkStart w:id="83" w:name="_Toc224103305"/>
      <w:bookmarkStart w:id="84" w:name="_Toc509218698"/>
      <w:bookmarkStart w:id="85" w:name="_Toc287620673"/>
      <w:bookmarkStart w:id="86" w:name="_Toc287607734"/>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7"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p>
    <w:p>
      <w:pPr>
        <w:spacing w:line="360" w:lineRule="auto"/>
        <w:ind w:firstLine="420" w:firstLineChars="200"/>
        <w:rPr>
          <w:rFonts w:cs="宋体" w:asciiTheme="minorEastAsia" w:hAnsiTheme="minorEastAsia" w:eastAsiaTheme="minorEastAsia"/>
          <w:kern w:val="0"/>
          <w:sz w:val="21"/>
          <w:szCs w:val="21"/>
        </w:rPr>
      </w:pPr>
      <w:bookmarkStart w:id="88" w:name="_Toc287607744"/>
      <w:bookmarkStart w:id="89" w:name="_Toc287620683"/>
      <w:bookmarkStart w:id="90" w:name="_Toc430530432"/>
      <w:bookmarkStart w:id="91" w:name="_Toc224103315"/>
      <w:bookmarkStart w:id="92" w:name="_Toc32148"/>
      <w:r>
        <w:rPr>
          <w:rFonts w:hint="eastAsia" w:cs="宋体" w:asciiTheme="minorEastAsia" w:hAnsiTheme="minorEastAsia" w:eastAsiaTheme="minorEastAsia"/>
          <w:kern w:val="0"/>
          <w:sz w:val="21"/>
          <w:szCs w:val="21"/>
        </w:rPr>
        <w:t>比选人：重庆新汇商实业有限公司</w:t>
      </w:r>
    </w:p>
    <w:p>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pPr>
        <w:pStyle w:val="2"/>
        <w:rPr>
          <w:rFonts w:ascii="宋体" w:hAnsi="宋体"/>
          <w:snapToGrid w:val="0"/>
          <w:color w:val="auto"/>
          <w:kern w:val="0"/>
          <w:szCs w:val="21"/>
          <w:highlight w:val="none"/>
          <w:u w:val="single"/>
        </w:rPr>
      </w:pPr>
      <w:r>
        <w:rPr>
          <w:rFonts w:hint="eastAsia"/>
          <w:lang w:val="en-US" w:eastAsia="zh-CN"/>
        </w:rPr>
        <w:t xml:space="preserve">    邮  箱：50417679@qq.com</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28</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3"/>
        <w:spacing w:line="360" w:lineRule="auto"/>
        <w:jc w:val="center"/>
        <w:rPr>
          <w:rFonts w:ascii="宋体" w:hAnsi="宋体"/>
          <w:bCs w:val="0"/>
          <w:snapToGrid w:val="0"/>
          <w:kern w:val="0"/>
          <w:highlight w:val="none"/>
        </w:rPr>
      </w:pPr>
      <w:bookmarkStart w:id="93" w:name="_Toc5447"/>
      <w:bookmarkStart w:id="94" w:name="_Toc22622"/>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8"/>
      <w:bookmarkEnd w:id="89"/>
      <w:bookmarkEnd w:id="90"/>
      <w:bookmarkEnd w:id="91"/>
      <w:bookmarkEnd w:id="92"/>
      <w:bookmarkEnd w:id="93"/>
      <w:bookmarkEnd w:id="94"/>
      <w:bookmarkStart w:id="95" w:name="_Toc277082551"/>
      <w:bookmarkStart w:id="96" w:name="_Toc430530433"/>
      <w:bookmarkStart w:id="97" w:name="_Toc287620684"/>
      <w:bookmarkStart w:id="98" w:name="_Toc224103316"/>
      <w:bookmarkStart w:id="99" w:name="_Toc287607745"/>
    </w:p>
    <w:p>
      <w:pPr>
        <w:pStyle w:val="4"/>
        <w:spacing w:before="100" w:after="100" w:line="360" w:lineRule="auto"/>
        <w:rPr>
          <w:rFonts w:ascii="宋体" w:hAnsi="宋体"/>
          <w:highlight w:val="none"/>
        </w:rPr>
      </w:pPr>
      <w:bookmarkStart w:id="100" w:name="_Toc509218708"/>
      <w:bookmarkStart w:id="101" w:name="_Toc8005"/>
      <w:bookmarkStart w:id="102" w:name="_Toc31303"/>
      <w:r>
        <w:rPr>
          <w:rFonts w:hint="eastAsia" w:ascii="宋体" w:hAnsi="宋体"/>
          <w:highlight w:val="none"/>
          <w:lang w:eastAsia="zh-CN"/>
        </w:rPr>
        <w:t>竞选人</w:t>
      </w:r>
      <w:r>
        <w:rPr>
          <w:rFonts w:hint="eastAsia" w:ascii="宋体" w:hAnsi="宋体"/>
          <w:highlight w:val="none"/>
        </w:rPr>
        <w:t>须知前附表</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w:t>
            </w:r>
            <w:r>
              <w:rPr>
                <w:rFonts w:hint="eastAsia" w:ascii="宋体" w:hAnsi="宋体"/>
                <w:color w:val="auto"/>
                <w:kern w:val="0"/>
                <w:szCs w:val="21"/>
                <w:highlight w:val="none"/>
                <w:u w:val="none"/>
                <w:lang w:eastAsia="zh-CN"/>
              </w:rPr>
              <w:t>重庆新汇商实业有限公司</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pPr>
              <w:pStyle w:val="2"/>
            </w:pPr>
            <w:r>
              <w:rPr>
                <w:rFonts w:hint="eastAsia"/>
                <w:lang w:val="en-US" w:eastAsia="zh-CN"/>
              </w:rPr>
              <w:t xml:space="preserve">  邮  箱：50417679@qq.com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迎龙医药城一期项目新增健康跑道施工</w:t>
            </w:r>
            <w:r>
              <w:rPr>
                <w:rFonts w:hint="eastAsia" w:ascii="宋体" w:hAnsi="宋体"/>
                <w:color w:val="auto"/>
                <w:szCs w:val="21"/>
                <w:highlight w:val="none"/>
                <w:lang w:val="en-US" w:eastAsia="zh-CN"/>
              </w:rPr>
              <w:t>（第三次）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lang w:val="en-US" w:eastAsia="zh-CN"/>
              </w:rPr>
              <w:t>经开区</w:t>
            </w:r>
            <w:r>
              <w:rPr>
                <w:rFonts w:hint="default" w:ascii="宋体" w:hAnsi="宋体" w:eastAsia="宋体"/>
                <w:color w:val="auto"/>
                <w:szCs w:val="21"/>
                <w:highlight w:val="none"/>
                <w:lang w:val="en-US" w:eastAsia="zh-CN"/>
              </w:rPr>
              <w:t>迎龙</w:t>
            </w:r>
            <w:r>
              <w:rPr>
                <w:rFonts w:hint="eastAsia" w:ascii="宋体" w:hAnsi="宋体"/>
                <w:color w:val="auto"/>
                <w:szCs w:val="21"/>
                <w:highlight w:val="none"/>
                <w:lang w:val="en-US" w:eastAsia="zh-CN"/>
              </w:rPr>
              <w:t>医药城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i/>
                <w:snapToGrid w:val="0"/>
                <w:color w:val="auto"/>
                <w:kern w:val="0"/>
                <w:szCs w:val="21"/>
                <w:highlight w:val="none"/>
                <w:lang w:val="en-US"/>
              </w:rPr>
            </w:pP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color w:val="auto"/>
                <w:szCs w:val="21"/>
                <w:highlight w:val="none"/>
              </w:rPr>
            </w:pP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val="en-US" w:eastAsia="zh-CN"/>
              </w:rPr>
              <w:t>50日历天（从中标通知书发出之日起算，2024年7月28日前完工）。（未按时完工的承担违约金2000元/天，比选人同意延期的，以双方确定的延期时间为准）</w:t>
            </w:r>
            <w:r>
              <w:rPr>
                <w:rFonts w:hint="eastAsia" w:ascii="宋体" w:hAnsi="宋体"/>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rPr>
              <w:t>缺陷责任期要求：</w:t>
            </w:r>
            <w:r>
              <w:rPr>
                <w:rFonts w:hint="eastAsia" w:ascii="宋体" w:hAnsi="宋体"/>
                <w:snapToGrid w:val="0"/>
                <w:color w:val="auto"/>
                <w:kern w:val="0"/>
                <w:szCs w:val="21"/>
                <w:u w:val="single"/>
                <w:lang w:val="en-US" w:eastAsia="zh-CN"/>
              </w:rPr>
              <w:t xml:space="preserve">2年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5"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6490" w:type="dxa"/>
            <w:vAlign w:val="center"/>
          </w:tcPr>
          <w:p>
            <w:pPr>
              <w:autoSpaceDE w:val="0"/>
              <w:autoSpaceDN w:val="0"/>
              <w:adjustRightInd w:val="0"/>
              <w:snapToGrid w:val="0"/>
              <w:spacing w:line="400" w:lineRule="exact"/>
              <w:rPr>
                <w:rFonts w:ascii="宋体" w:hAnsi="宋体"/>
                <w:szCs w:val="21"/>
                <w:highlight w:val="none"/>
              </w:rPr>
            </w:pPr>
            <w:bookmarkStart w:id="103"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4" w:name="一是"/>
            <w:bookmarkEnd w:id="104"/>
            <w:r>
              <w:rPr>
                <w:rFonts w:ascii="宋体" w:hAnsi="宋体"/>
                <w:szCs w:val="21"/>
                <w:highlight w:val="none"/>
              </w:rPr>
              <w:t>具备以下资格条件：</w:t>
            </w:r>
          </w:p>
          <w:bookmarkEnd w:id="103"/>
          <w:p>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施工总承包三级及以上资质</w:t>
            </w:r>
            <w:r>
              <w:rPr>
                <w:rFonts w:ascii="宋体" w:hAnsi="宋体" w:eastAsia="宋体" w:cs="宋体"/>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(投标人须在投标文件资格审查部分提供有效的带二维码标识的资质证书复印件)。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）具备有效的营业执照。</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（3）具备建设行政主管部门颁发的有效的安全生产许可证，企业主要负责人、拟担任该项目项目经理具备相应的由建设行政主管部门颁发的有效的安全生产考核合格证书。</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(投标人须在投标文件资格审查部分提供有效的安全生产许可证及安全生产考核合格证书复印件)</w:t>
            </w:r>
          </w:p>
          <w:p>
            <w:pPr>
              <w:spacing w:line="360" w:lineRule="auto"/>
              <w:ind w:firstLine="316" w:firstLineChars="15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2.类似业绩</w:t>
            </w:r>
          </w:p>
          <w:p>
            <w:pPr>
              <w:autoSpaceDE w:val="0"/>
              <w:autoSpaceDN w:val="0"/>
              <w:adjustRightInd w:val="0"/>
              <w:snapToGrid w:val="0"/>
              <w:spacing w:line="400" w:lineRule="exact"/>
              <w:ind w:firstLine="420" w:firstLineChars="200"/>
              <w:rPr>
                <w:rFonts w:ascii="宋体" w:hAnsi="宋体"/>
                <w:strike w:val="0"/>
                <w:dstrike w:val="0"/>
                <w:color w:val="auto"/>
                <w:kern w:val="0"/>
                <w:szCs w:val="21"/>
                <w:highlight w:val="none"/>
              </w:rPr>
            </w:pPr>
            <w:r>
              <w:rPr>
                <w:rFonts w:hint="eastAsia" w:ascii="宋体" w:hAnsi="宋体"/>
                <w:strike w:val="0"/>
                <w:dstrike w:val="0"/>
                <w:color w:val="auto"/>
                <w:kern w:val="0"/>
                <w:szCs w:val="21"/>
                <w:highlight w:val="none"/>
                <w:lang w:val="en-US" w:eastAsia="zh-CN"/>
              </w:rPr>
              <w:t>2.1</w:t>
            </w:r>
            <w:r>
              <w:rPr>
                <w:rFonts w:hint="eastAsia" w:ascii="宋体" w:hAnsi="宋体"/>
                <w:strike w:val="0"/>
                <w:dstrike w:val="0"/>
                <w:color w:val="auto"/>
                <w:kern w:val="0"/>
                <w:szCs w:val="21"/>
                <w:highlight w:val="none"/>
              </w:rPr>
              <w:t>业绩时间要求：</w:t>
            </w:r>
          </w:p>
          <w:p>
            <w:pPr>
              <w:spacing w:line="360" w:lineRule="auto"/>
              <w:ind w:firstLine="315" w:firstLineChars="150"/>
              <w:rPr>
                <w:rFonts w:hint="eastAsia" w:ascii="宋体" w:hAnsi="宋体"/>
                <w:strike w:val="0"/>
                <w:dstrike w:val="0"/>
                <w:color w:val="auto"/>
                <w:szCs w:val="21"/>
                <w:highlight w:val="none"/>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年1月1日至</w:t>
            </w:r>
            <w:r>
              <w:rPr>
                <w:rFonts w:hint="eastAsia" w:ascii="宋体" w:hAnsi="宋体"/>
                <w:strike w:val="0"/>
                <w:dstrike w:val="0"/>
                <w:color w:val="auto"/>
                <w:szCs w:val="21"/>
                <w:highlight w:val="none"/>
              </w:rPr>
              <w:t>投标截止日止（以竣工时间为准）</w:t>
            </w:r>
            <w:r>
              <w:rPr>
                <w:rFonts w:hint="eastAsia" w:ascii="宋体" w:hAnsi="宋体"/>
                <w:strike w:val="0"/>
                <w:dstrike w:val="0"/>
                <w:color w:val="auto"/>
                <w:szCs w:val="21"/>
                <w:highlight w:val="none"/>
                <w:lang w:val="en-US" w:eastAsia="zh-CN"/>
              </w:rPr>
              <w:t>完成</w:t>
            </w:r>
            <w:r>
              <w:rPr>
                <w:rFonts w:hint="eastAsia" w:ascii="宋体" w:hAnsi="宋体"/>
                <w:strike w:val="0"/>
                <w:dstrike w:val="0"/>
                <w:color w:val="auto"/>
                <w:szCs w:val="21"/>
                <w:highlight w:val="none"/>
              </w:rPr>
              <w:t>的</w:t>
            </w:r>
            <w:r>
              <w:rPr>
                <w:rFonts w:hint="eastAsia" w:ascii="宋体" w:hAnsi="宋体"/>
                <w:strike w:val="0"/>
                <w:dstrike w:val="0"/>
                <w:color w:val="auto"/>
                <w:szCs w:val="21"/>
                <w:highlight w:val="none"/>
                <w:lang w:val="en-US" w:eastAsia="zh-CN"/>
              </w:rPr>
              <w:t>3</w:t>
            </w:r>
            <w:r>
              <w:rPr>
                <w:rFonts w:hint="eastAsia" w:ascii="宋体" w:hAnsi="宋体"/>
                <w:strike w:val="0"/>
                <w:dstrike w:val="0"/>
                <w:color w:val="auto"/>
                <w:szCs w:val="21"/>
                <w:highlight w:val="none"/>
              </w:rPr>
              <w:t>个类似项目业绩。</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w:t>
            </w:r>
            <w:r>
              <w:rPr>
                <w:rFonts w:hint="eastAsia" w:ascii="宋体" w:hAnsi="宋体"/>
                <w:strike w:val="0"/>
                <w:dstrike w:val="0"/>
                <w:color w:val="auto"/>
                <w:szCs w:val="21"/>
                <w:highlight w:val="none"/>
              </w:rPr>
              <w:t>.2业绩规模要求：</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u w:val="single"/>
              </w:rPr>
            </w:pPr>
            <w:r>
              <w:rPr>
                <w:rFonts w:hint="eastAsia" w:ascii="宋体" w:hAnsi="宋体"/>
                <w:strike w:val="0"/>
                <w:dstrike w:val="0"/>
                <w:color w:val="auto"/>
                <w:szCs w:val="21"/>
                <w:highlight w:val="none"/>
              </w:rPr>
              <w:t>工程类别：</w:t>
            </w:r>
            <w:r>
              <w:rPr>
                <w:rFonts w:hint="eastAsia" w:ascii="宋体" w:hAnsi="宋体"/>
                <w:strike w:val="0"/>
                <w:dstrike w:val="0"/>
                <w:color w:val="auto"/>
                <w:szCs w:val="21"/>
                <w:highlight w:val="none"/>
                <w:u w:val="single"/>
                <w:lang w:val="en-US" w:eastAsia="zh-CN"/>
              </w:rPr>
              <w:t>园林景观或人行道工程</w:t>
            </w:r>
            <w:r>
              <w:rPr>
                <w:rFonts w:hint="eastAsia" w:ascii="宋体" w:hAnsi="宋体"/>
                <w:strike w:val="0"/>
                <w:dstrike w:val="0"/>
                <w:color w:val="auto"/>
                <w:szCs w:val="21"/>
                <w:highlight w:val="none"/>
                <w:u w:val="single"/>
              </w:rPr>
              <w:t xml:space="preserve"> </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若同时设置了工程造价和工程规模要求，则只须满足其中之一:</w:t>
            </w:r>
          </w:p>
          <w:p>
            <w:pPr>
              <w:autoSpaceDE w:val="0"/>
              <w:autoSpaceDN w:val="0"/>
              <w:adjustRightInd w:val="0"/>
              <w:snapToGrid w:val="0"/>
              <w:spacing w:line="400" w:lineRule="exact"/>
              <w:ind w:firstLine="420" w:firstLineChars="200"/>
              <w:rPr>
                <w:rFonts w:hint="eastAsia"/>
              </w:rPr>
            </w:pP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工程造价：</w:t>
            </w:r>
            <w:r>
              <w:rPr>
                <w:rFonts w:hint="eastAsia" w:ascii="宋体" w:hAnsi="宋体"/>
                <w:strike w:val="0"/>
                <w:dstrike w:val="0"/>
                <w:color w:val="auto"/>
                <w:szCs w:val="21"/>
                <w:highlight w:val="none"/>
                <w:u w:val="single"/>
              </w:rPr>
              <w:t xml:space="preserve"> 合同金额</w:t>
            </w:r>
            <w:r>
              <w:rPr>
                <w:rFonts w:hint="eastAsia" w:ascii="宋体" w:hAnsi="宋体"/>
                <w:strike w:val="0"/>
                <w:dstrike w:val="0"/>
                <w:color w:val="auto"/>
                <w:szCs w:val="21"/>
                <w:highlight w:val="none"/>
                <w:u w:val="single"/>
                <w:lang w:val="en-US" w:eastAsia="zh-CN"/>
              </w:rPr>
              <w:t>10</w:t>
            </w:r>
            <w:r>
              <w:rPr>
                <w:rFonts w:hint="eastAsia" w:ascii="宋体" w:hAnsi="宋体"/>
                <w:strike w:val="0"/>
                <w:dstrike w:val="0"/>
                <w:color w:val="auto"/>
                <w:szCs w:val="21"/>
                <w:highlight w:val="none"/>
                <w:u w:val="single"/>
              </w:rPr>
              <w:t xml:space="preserve">万元及以上 </w:t>
            </w:r>
          </w:p>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投标人须在投标文件资格审查部分提供业绩合同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竣工验收意见书/完工证明</w:t>
            </w:r>
            <w:r>
              <w:rPr>
                <w:rFonts w:hint="eastAsia" w:asciiTheme="minorEastAsia" w:hAnsiTheme="minorEastAsia" w:eastAsiaTheme="minorEastAsia" w:cstheme="minorEastAsia"/>
                <w:b/>
                <w:bCs/>
                <w:sz w:val="21"/>
                <w:szCs w:val="21"/>
              </w:rPr>
              <w:t>复印件</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若上述资料无法体现工程规模的，还须提供业主证明。</w:t>
            </w:r>
            <w:r>
              <w:rPr>
                <w:rFonts w:hint="eastAsia" w:asciiTheme="minorEastAsia" w:hAnsiTheme="minorEastAsia" w:eastAsiaTheme="minorEastAsia" w:cstheme="minorEastAsia"/>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.项目经理资格要求</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拟派的项目经理必须已在投标人本单位注册并应具有</w:t>
            </w:r>
            <w:r>
              <w:rPr>
                <w:rFonts w:hint="eastAsia" w:eastAsiaTheme="minorEastAsia"/>
                <w:color w:val="auto"/>
                <w:szCs w:val="21"/>
                <w:highlight w:val="none"/>
                <w:u w:val="single"/>
                <w:lang w:val="en-US" w:eastAsia="zh-CN"/>
              </w:rPr>
              <w:t>市政公用工程</w:t>
            </w:r>
            <w:r>
              <w:rPr>
                <w:rFonts w:hint="eastAsia"/>
                <w:color w:val="auto"/>
                <w:szCs w:val="21"/>
                <w:highlight w:val="none"/>
                <w:u w:val="single"/>
              </w:rPr>
              <w:t xml:space="preserve">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Theme="minorEastAsia" w:hAnsiTheme="minorEastAsia" w:eastAsiaTheme="minorEastAsia" w:cstheme="minorEastAsia"/>
                <w:sz w:val="21"/>
                <w:szCs w:val="21"/>
              </w:rPr>
              <w:t>，应为投标人本单位人员，</w:t>
            </w:r>
            <w:r>
              <w:rPr>
                <w:rFonts w:hint="eastAsia" w:asciiTheme="minorEastAsia" w:hAnsiTheme="minorEastAsia" w:eastAsiaTheme="minorEastAsia" w:cstheme="minorEastAsia"/>
                <w:b/>
                <w:bCs/>
                <w:sz w:val="21"/>
                <w:szCs w:val="21"/>
              </w:rPr>
              <w:t>并做出项目经理到岗履职的承诺</w:t>
            </w:r>
            <w:r>
              <w:rPr>
                <w:rFonts w:hint="eastAsia" w:asciiTheme="minorEastAsia" w:hAnsiTheme="minorEastAsia" w:eastAsiaTheme="minorEastAsia" w:cstheme="minorEastAsia"/>
                <w:sz w:val="21"/>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比选保证金不予退还，给比选人造成损失的，投标人依法承担违约赔偿责任），否则由评标委员会作否决投标处理。</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拟派项目经理中标后不得随意更换。</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同时，投标人须在投标文件资格审查部分提供拟派项目经理</w:t>
            </w:r>
            <w:r>
              <w:rPr>
                <w:rFonts w:hint="eastAsia" w:asciiTheme="minorEastAsia" w:hAnsiTheme="minorEastAsia" w:eastAsiaTheme="minorEastAsia" w:cstheme="minorEastAsia"/>
                <w:b/>
                <w:bCs/>
                <w:sz w:val="21"/>
                <w:szCs w:val="21"/>
                <w:lang w:val="en-US" w:eastAsia="zh-CN"/>
              </w:rPr>
              <w:t>注册证书</w:t>
            </w:r>
            <w:r>
              <w:rPr>
                <w:rFonts w:hint="eastAsia" w:asciiTheme="minorEastAsia" w:hAnsiTheme="minorEastAsia" w:eastAsiaTheme="minorEastAsia" w:cstheme="minorEastAsia"/>
                <w:b/>
                <w:bCs/>
                <w:sz w:val="21"/>
                <w:szCs w:val="21"/>
              </w:rPr>
              <w:t>、身份证、投标人本单位为其缴纳的养老保险证明材料复印件，拟派项目经理到岗履职和未被禁标的承诺原件。</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.其他人员要求</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）主要管理人员：</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hint="eastAsia" w:asciiTheme="minorEastAsia" w:hAnsiTheme="minorEastAsia" w:eastAsiaTheme="minorEastAsia" w:cstheme="minorEastAsia"/>
                <w:b/>
                <w:bCs/>
                <w:sz w:val="21"/>
                <w:szCs w:val="21"/>
              </w:rPr>
              <w:t>投标人须在投标文件中附承诺函（格式自拟）。</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）委托代理人：</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月的连续养老保险。</w:t>
            </w:r>
          </w:p>
          <w:p>
            <w:pPr>
              <w:spacing w:line="400" w:lineRule="exact"/>
              <w:ind w:firstLine="420" w:firstLineChars="200"/>
              <w:rPr>
                <w:rFonts w:ascii="宋体" w:hAnsi="宋体"/>
                <w:bCs/>
                <w:snapToGrid w:val="0"/>
                <w:kern w:val="0"/>
                <w:szCs w:val="21"/>
                <w:highlight w:val="none"/>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6</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日 12:00  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pPr>
              <w:spacing w:line="360" w:lineRule="auto"/>
              <w:ind w:firstLine="420" w:firstLineChars="200"/>
              <w:rPr>
                <w:rFonts w:hint="default"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1.使用国有资金投资的建设工程发承包，必须采用工程量清单计价。工程量清单应采用综合单价计价。</w:t>
            </w:r>
            <w:r>
              <w:rPr>
                <w:rFonts w:hint="eastAsia" w:asciiTheme="minorEastAsia" w:hAnsiTheme="minorEastAsia" w:eastAsiaTheme="minorEastAsia" w:cstheme="minorEastAsia"/>
                <w:b/>
                <w:bCs/>
                <w:snapToGrid w:val="0"/>
                <w:kern w:val="0"/>
                <w:sz w:val="21"/>
                <w:szCs w:val="21"/>
                <w:lang w:val="en-US" w:eastAsia="zh-CN"/>
              </w:rPr>
              <w:t>工程量清单中列明全费用综合单价的清单项按全费用综合单价计价，全费用综合单价包含措施费、规费、利润、税金等其他费用。</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hint="eastAsia" w:asciiTheme="minorEastAsia" w:hAnsiTheme="minorEastAsia" w:eastAsiaTheme="minorEastAsia" w:cstheme="minorEastAsia"/>
                <w:snapToGrid w:val="0"/>
                <w:kern w:val="0"/>
                <w:sz w:val="21"/>
                <w:szCs w:val="21"/>
              </w:rPr>
              <w:footnoteReference w:id="0"/>
            </w:r>
            <w:r>
              <w:rPr>
                <w:rFonts w:hint="eastAsia" w:asciiTheme="minorEastAsia" w:hAnsiTheme="minorEastAsia" w:eastAsiaTheme="minorEastAsia" w:cstheme="minorEastAsia"/>
                <w:snapToGrid w:val="0"/>
                <w:kern w:val="0"/>
                <w:sz w:val="21"/>
                <w:szCs w:val="21"/>
              </w:rPr>
              <w:t>为依据。</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4.投标函中的总报价必须与已标价工程量清单总报价一致。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（2）增值税计税方法由比选人依据国家税法规定选择：一般计税法</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6.如发现工程量清单中的数量与图纸中数量不一致，应于本须知2.2.1项中规定的时间前书面通知比选人核查，除非比选人以补遗书的形式予以更正，否则，应以工程量清单中列出的数量为准。</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7.比选人在工程量清单中所列出的价格（包括</w:t>
            </w:r>
            <w:r>
              <w:rPr>
                <w:rFonts w:hint="eastAsia" w:asciiTheme="minorEastAsia" w:hAnsiTheme="minorEastAsia" w:eastAsiaTheme="minorEastAsia" w:cstheme="minorEastAsia"/>
                <w:snapToGrid w:val="0"/>
                <w:kern w:val="0"/>
                <w:sz w:val="21"/>
                <w:szCs w:val="21"/>
                <w:lang w:val="en-US" w:eastAsia="zh-CN"/>
              </w:rPr>
              <w:t>安全文明施工费、</w:t>
            </w:r>
            <w:r>
              <w:rPr>
                <w:rFonts w:hint="eastAsia" w:asciiTheme="minorEastAsia" w:hAnsiTheme="minorEastAsia" w:eastAsiaTheme="minorEastAsia" w:cstheme="minorEastAsia"/>
                <w:snapToGrid w:val="0"/>
                <w:kern w:val="0"/>
                <w:sz w:val="21"/>
                <w:szCs w:val="21"/>
              </w:rPr>
              <w:t>暂列金额、暂估价等），投标人不得修改。</w:t>
            </w:r>
          </w:p>
          <w:p>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w:t>
            </w:r>
            <w:r>
              <w:rPr>
                <w:rFonts w:hint="eastAsia" w:ascii="宋体" w:hAnsi="宋体"/>
                <w:b/>
                <w:bCs/>
                <w:color w:val="auto"/>
                <w:szCs w:val="21"/>
                <w:highlight w:val="none"/>
              </w:rPr>
              <w:t>最高限价为120696.96元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大写：壹拾贰万零陆佰玖拾陆元玖角陆分</w:t>
            </w:r>
            <w:r>
              <w:rPr>
                <w:rFonts w:hint="eastAsia" w:ascii="宋体" w:hAnsi="宋体"/>
                <w:b/>
                <w:bCs/>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比选人</w:t>
            </w:r>
            <w:r>
              <w:rPr>
                <w:rFonts w:hint="eastAsia" w:ascii="宋体" w:hAnsi="宋体" w:cs="宋体"/>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szCs w:val="21"/>
                <w:highlight w:val="none"/>
                <w:lang w:eastAsia="zh-CN"/>
              </w:rPr>
              <w:t>比选人</w:t>
            </w:r>
            <w:r>
              <w:rPr>
                <w:rFonts w:hint="eastAsia" w:ascii="宋体" w:hAnsi="宋体" w:cs="宋体"/>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szCs w:val="21"/>
                <w:highlight w:val="none"/>
                <w:lang w:eastAsia="zh-CN"/>
              </w:rPr>
              <w:t>竞选人</w:t>
            </w:r>
            <w:r>
              <w:rPr>
                <w:rFonts w:hint="eastAsia" w:ascii="宋体" w:hAnsi="宋体" w:cs="宋体"/>
                <w:szCs w:val="21"/>
                <w:highlight w:val="none"/>
              </w:rPr>
              <w:t>须在</w:t>
            </w:r>
            <w:r>
              <w:rPr>
                <w:rFonts w:hint="eastAsia" w:ascii="宋体" w:hAnsi="宋体" w:cs="宋体"/>
                <w:szCs w:val="21"/>
                <w:highlight w:val="none"/>
                <w:lang w:eastAsia="zh-CN"/>
              </w:rPr>
              <w:t>竞选文件</w:t>
            </w:r>
            <w:r>
              <w:rPr>
                <w:rFonts w:hint="eastAsia" w:ascii="宋体" w:hAnsi="宋体" w:cs="宋体"/>
                <w:szCs w:val="21"/>
                <w:highlight w:val="none"/>
              </w:rPr>
              <w:t>资格审查部分提供承诺函，承诺函包括以下内容：</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（1）符合第五章“工程量清单”给出的范围及数量。</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（2）招标文件中规定工程量清单不允许修改的内容不得修改。</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（3）每项工程量清单综合单价报价不得高于对应工程量清单综合单价最高限价。</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12.本项目所采用技术、工艺和产品等必须执行重庆市住房和城乡建设委员会关于发布《重庆市建设领域禁止、限制使用落后技术通告（2019年版）（渝建发〔2019〕25号）的规定。</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13.本工程主体结构若需混凝土，则必须使用商品混凝土，不得自建搅拌站。</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r>
              <w:rPr>
                <w:rFonts w:hint="eastAsia" w:asciiTheme="minorEastAsia" w:hAnsiTheme="minorEastAsia" w:eastAsiaTheme="minorEastAsia" w:cstheme="minorEastAsia"/>
                <w:snapToGrid w:val="0"/>
                <w:kern w:val="0"/>
                <w:sz w:val="21"/>
                <w:szCs w:val="21"/>
              </w:rPr>
              <w:t>15、</w:t>
            </w:r>
            <w:r>
              <w:rPr>
                <w:rFonts w:hint="eastAsia" w:asciiTheme="minorEastAsia" w:hAnsiTheme="minorEastAsia" w:eastAsiaTheme="minorEastAsia" w:cstheme="minorEastAsia"/>
                <w:b/>
                <w:bCs/>
                <w:snapToGrid w:val="0"/>
                <w:kern w:val="0"/>
                <w:sz w:val="21"/>
                <w:szCs w:val="21"/>
              </w:rPr>
              <w:t>本项目无论因设计变更或施工工艺变化等任何因素而引起实际施工技术措施费的变化，均按投标时施工技术措施项目费的报价作为结算价。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3.4</w:t>
            </w:r>
          </w:p>
        </w:tc>
        <w:tc>
          <w:tcPr>
            <w:tcW w:w="1644" w:type="dxa"/>
            <w:vAlign w:val="center"/>
          </w:tcPr>
          <w:p>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投标保证金</w:t>
            </w:r>
          </w:p>
        </w:tc>
        <w:tc>
          <w:tcPr>
            <w:tcW w:w="6490" w:type="dxa"/>
            <w:vAlign w:val="center"/>
          </w:tcPr>
          <w:p>
            <w:pPr>
              <w:ind w:firstLine="420" w:firstLineChars="200"/>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pPr>
              <w:ind w:firstLine="420" w:firstLineChars="200"/>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pPr>
              <w:ind w:firstLine="420" w:firstLineChars="200"/>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pPr>
              <w:ind w:firstLine="420" w:firstLineChars="200"/>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1</w:t>
            </w:r>
            <w:r>
              <w:rPr>
                <w:rFonts w:hint="eastAsia"/>
                <w:color w:val="auto"/>
                <w:highlight w:val="none"/>
              </w:rPr>
              <w:t>万元整（人民币）。</w:t>
            </w:r>
          </w:p>
          <w:p>
            <w:pPr>
              <w:ind w:firstLine="420" w:firstLineChars="200"/>
              <w:rPr>
                <w:rFonts w:hint="eastAsia"/>
                <w:color w:val="auto"/>
                <w:highlight w:val="none"/>
              </w:rPr>
            </w:pPr>
            <w:r>
              <w:rPr>
                <w:rFonts w:hint="eastAsia"/>
                <w:color w:val="auto"/>
                <w:highlight w:val="none"/>
              </w:rPr>
              <w:t>3、投标保证金账户及账号（任选其一）：</w:t>
            </w:r>
          </w:p>
          <w:p>
            <w:pPr>
              <w:ind w:firstLine="420" w:firstLineChars="200"/>
              <w:rPr>
                <w:rFonts w:hint="eastAsia"/>
                <w:color w:val="auto"/>
                <w:highlight w:val="none"/>
                <w:lang w:val="en-US" w:eastAsia="zh-CN"/>
              </w:rPr>
            </w:pPr>
            <w:r>
              <w:rPr>
                <w:rFonts w:hint="eastAsia"/>
                <w:color w:val="auto"/>
                <w:highlight w:val="none"/>
                <w:lang w:val="en-US" w:eastAsia="zh-CN"/>
              </w:rPr>
              <w:t xml:space="preserve">户  名：重庆新汇商实业有限公司     </w:t>
            </w:r>
          </w:p>
          <w:p>
            <w:pPr>
              <w:ind w:firstLine="420" w:firstLineChars="200"/>
              <w:rPr>
                <w:rFonts w:hint="eastAsia"/>
                <w:color w:val="auto"/>
                <w:highlight w:val="none"/>
                <w:lang w:val="en-US" w:eastAsia="zh-CN"/>
              </w:rPr>
            </w:pPr>
            <w:r>
              <w:rPr>
                <w:rFonts w:hint="eastAsia"/>
                <w:color w:val="auto"/>
                <w:highlight w:val="none"/>
                <w:lang w:val="en-US" w:eastAsia="zh-CN"/>
              </w:rPr>
              <w:t xml:space="preserve">开户行：招商银行南岸支行 </w:t>
            </w:r>
          </w:p>
          <w:p>
            <w:pPr>
              <w:ind w:firstLine="420" w:firstLineChars="200"/>
              <w:rPr>
                <w:rFonts w:hint="eastAsia"/>
                <w:color w:val="auto"/>
                <w:highlight w:val="none"/>
                <w:lang w:val="en-US" w:eastAsia="zh-CN"/>
              </w:rPr>
            </w:pPr>
            <w:r>
              <w:rPr>
                <w:rFonts w:hint="eastAsia"/>
                <w:color w:val="auto"/>
                <w:highlight w:val="none"/>
                <w:lang w:val="en-US" w:eastAsia="zh-CN"/>
              </w:rPr>
              <w:t>账  号：123905136510401</w:t>
            </w:r>
          </w:p>
          <w:p>
            <w:pPr>
              <w:ind w:firstLine="420" w:firstLineChars="200"/>
              <w:rPr>
                <w:rFonts w:hint="eastAsia"/>
                <w:color w:val="auto"/>
                <w:highlight w:val="none"/>
              </w:rPr>
            </w:pPr>
            <w:r>
              <w:rPr>
                <w:rFonts w:hint="eastAsia"/>
                <w:color w:val="auto"/>
                <w:highlight w:val="none"/>
              </w:rPr>
              <w:t>投标人须在投标文件资格审查部分“其他资料”中提供企业基本账户开户证明文件。</w:t>
            </w:r>
          </w:p>
          <w:p>
            <w:pPr>
              <w:ind w:firstLine="420" w:firstLineChars="200"/>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 XXX项目投标保证金”。</w:t>
            </w:r>
          </w:p>
          <w:p>
            <w:pPr>
              <w:ind w:firstLine="420" w:firstLineChars="200"/>
              <w:rPr>
                <w:rFonts w:hint="eastAsia"/>
                <w:color w:val="auto"/>
                <w:highlight w:val="none"/>
              </w:rPr>
            </w:pPr>
            <w:r>
              <w:rPr>
                <w:rFonts w:hint="eastAsia"/>
                <w:color w:val="auto"/>
                <w:highlight w:val="none"/>
              </w:rPr>
              <w:t>5、投标保证金有效期与投标有效期一致。</w:t>
            </w:r>
          </w:p>
          <w:p>
            <w:pPr>
              <w:ind w:firstLine="420" w:firstLineChars="200"/>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pPr>
              <w:ind w:firstLine="420" w:firstLineChars="200"/>
              <w:rPr>
                <w:rFonts w:hint="eastAsia"/>
                <w:color w:val="auto"/>
                <w:highlight w:val="none"/>
              </w:rPr>
            </w:pPr>
            <w:r>
              <w:rPr>
                <w:rFonts w:hint="eastAsia"/>
                <w:color w:val="auto"/>
                <w:highlight w:val="none"/>
              </w:rPr>
              <w:t>二、投标保证金的退还</w:t>
            </w:r>
          </w:p>
          <w:p>
            <w:pPr>
              <w:ind w:firstLine="420" w:firstLineChars="200"/>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pPr>
              <w:ind w:firstLine="420" w:firstLineChars="200"/>
              <w:rPr>
                <w:rFonts w:hint="eastAsia"/>
                <w:color w:val="auto"/>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pPr>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方式二：</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pPr>
              <w:snapToGrid w:val="0"/>
              <w:spacing w:line="400" w:lineRule="exact"/>
              <w:ind w:firstLine="420" w:firstLineChars="200"/>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若投标人为联合体，则由联合体牵头人提供纸质投标保函。</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pPr>
              <w:snapToGrid w:val="0"/>
              <w:spacing w:line="40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应将</w:t>
            </w:r>
            <w:r>
              <w:rPr>
                <w:rFonts w:hint="eastAsia" w:ascii="宋体" w:hAnsi="宋体"/>
                <w:szCs w:val="21"/>
                <w:highlight w:val="none"/>
                <w:lang w:eastAsia="zh-CN"/>
              </w:rPr>
              <w:t>竞选函</w:t>
            </w:r>
            <w:r>
              <w:rPr>
                <w:rFonts w:ascii="宋体" w:hAnsi="宋体"/>
                <w:szCs w:val="21"/>
                <w:highlight w:val="none"/>
              </w:rPr>
              <w:t>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hint="eastAsia" w:ascii="宋体" w:hAnsi="宋体"/>
                <w:szCs w:val="21"/>
                <w:highlight w:val="none"/>
              </w:rPr>
              <w:t>，标注页码。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bCs/>
                <w:i/>
                <w:szCs w:val="21"/>
                <w:highlight w:val="none"/>
                <w:lang w:val="en-US" w:eastAsia="zh-CN"/>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2024年5月23日10时00分</w:t>
            </w:r>
          </w:p>
          <w:p>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pPr>
              <w:snapToGrid w:val="0"/>
              <w:spacing w:line="400" w:lineRule="exact"/>
              <w:ind w:firstLine="420" w:firstLineChars="200"/>
            </w:pPr>
            <w:r>
              <w:rPr>
                <w:rFonts w:hint="eastAsia" w:ascii="宋体" w:hAnsi="宋体"/>
                <w:color w:val="auto"/>
                <w:szCs w:val="21"/>
                <w:highlight w:val="none"/>
                <w:lang w:val="en-US" w:eastAsia="zh-CN"/>
              </w:rPr>
              <w:t>4</w:t>
            </w:r>
            <w:r>
              <w:rPr>
                <w:rFonts w:hint="eastAsia" w:ascii="宋体" w:hAnsi="宋体"/>
                <w:color w:val="auto"/>
                <w:szCs w:val="21"/>
                <w:highlight w:val="none"/>
              </w:rPr>
              <w:t>. 汇总投标保证金交纳情况</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 公布最高限价</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7.2</w:t>
            </w:r>
          </w:p>
        </w:tc>
        <w:tc>
          <w:tcPr>
            <w:tcW w:w="1644" w:type="dxa"/>
            <w:vAlign w:val="center"/>
          </w:tcPr>
          <w:p>
            <w:pPr>
              <w:snapToGrid w:val="0"/>
              <w:spacing w:after="62" w:afterLines="20"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中标公示</w:t>
            </w:r>
          </w:p>
        </w:tc>
        <w:tc>
          <w:tcPr>
            <w:tcW w:w="6490" w:type="dxa"/>
            <w:vAlign w:val="center"/>
          </w:tcPr>
          <w:p>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在收到评标报告后3日内将评标结果在在行采家(https://www.gec123.com/) 和重庆经开区投资集团官网（http://www.cetzig.com/）上进行公示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7.3.1</w:t>
            </w:r>
          </w:p>
        </w:tc>
        <w:tc>
          <w:tcPr>
            <w:tcW w:w="1644"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履约担保</w:t>
            </w:r>
          </w:p>
        </w:tc>
        <w:tc>
          <w:tcPr>
            <w:tcW w:w="6490" w:type="dxa"/>
            <w:vAlign w:val="center"/>
          </w:tcPr>
          <w:p>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（2）履约担保的金额：</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中标金额5%</w:t>
            </w:r>
            <w:r>
              <w:rPr>
                <w:rFonts w:hint="eastAsia" w:ascii="宋体" w:hAnsi="宋体"/>
                <w:kern w:val="0"/>
                <w:szCs w:val="21"/>
                <w:highlight w:val="none"/>
                <w:u w:val="single"/>
              </w:rPr>
              <w:t xml:space="preserve"> </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（3）履约担保的提交时间：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szCs w:val="21"/>
                <w:lang w:eastAsia="zh-CN"/>
              </w:rPr>
              <w:t>，</w:t>
            </w:r>
            <w:r>
              <w:rPr>
                <w:rFonts w:hint="eastAsia"/>
                <w:szCs w:val="21"/>
                <w:lang w:val="en-US" w:eastAsia="zh-CN"/>
              </w:rPr>
              <w:t>且在合同签订前</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（4）履约担保的期限：见专用合同条款。</w:t>
            </w:r>
          </w:p>
          <w:p>
            <w:pPr>
              <w:snapToGrid w:val="0"/>
              <w:spacing w:after="62" w:afterLines="20" w:line="400" w:lineRule="exact"/>
              <w:ind w:firstLine="420" w:firstLineChars="200"/>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7.3.2</w:t>
            </w:r>
          </w:p>
        </w:tc>
        <w:tc>
          <w:tcPr>
            <w:tcW w:w="1644" w:type="dxa"/>
            <w:vAlign w:val="center"/>
          </w:tcPr>
          <w:p>
            <w:pPr>
              <w:snapToGrid w:val="0"/>
              <w:spacing w:line="400" w:lineRule="exact"/>
              <w:jc w:val="center"/>
              <w:rPr>
                <w:rFonts w:ascii="宋体" w:hAnsi="宋体" w:eastAsia="宋体" w:cs="Times New Roman"/>
                <w:kern w:val="0"/>
                <w:sz w:val="21"/>
                <w:szCs w:val="21"/>
                <w:lang w:val="en-US" w:eastAsia="zh-CN" w:bidi="ar-SA"/>
              </w:rPr>
            </w:pPr>
            <w:r>
              <w:rPr>
                <w:rFonts w:hint="eastAsia" w:ascii="宋体" w:hAnsi="宋体"/>
                <w:kern w:val="0"/>
                <w:szCs w:val="21"/>
              </w:rPr>
              <w:t>低价风险担保</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hint="eastAsia" w:ascii="宋体" w:hAnsi="宋体" w:eastAsia="宋体" w:cs="Times New Roman"/>
                <w:kern w:val="0"/>
                <w:sz w:val="21"/>
                <w:szCs w:val="21"/>
                <w:lang w:val="en-US" w:eastAsia="zh-CN" w:bidi="ar-SA"/>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pPr>
              <w:snapToGrid w:val="0"/>
              <w:spacing w:line="400" w:lineRule="exact"/>
              <w:jc w:val="center"/>
              <w:rPr>
                <w:highlight w:val="none"/>
              </w:rPr>
            </w:pPr>
            <w:bookmarkStart w:id="105" w:name="_Toc13210670"/>
            <w:bookmarkStart w:id="106" w:name="_Toc430530434"/>
            <w:bookmarkStart w:id="107" w:name="_Toc509218709"/>
            <w:bookmarkStart w:id="108" w:name="_Toc16930431"/>
            <w:bookmarkStart w:id="109" w:name="_Toc536628250"/>
            <w:r>
              <w:rPr>
                <w:rFonts w:hint="eastAsia" w:ascii="宋体" w:hAnsi="宋体"/>
                <w:kern w:val="0"/>
                <w:szCs w:val="21"/>
                <w:highlight w:val="none"/>
              </w:rPr>
              <w:t>重新</w:t>
            </w:r>
            <w:r>
              <w:rPr>
                <w:rFonts w:ascii="宋体" w:hAnsi="宋体"/>
                <w:kern w:val="0"/>
                <w:szCs w:val="21"/>
                <w:highlight w:val="none"/>
              </w:rPr>
              <w:t>招标和不再招标</w:t>
            </w:r>
            <w:bookmarkEnd w:id="105"/>
            <w:bookmarkEnd w:id="106"/>
            <w:bookmarkEnd w:id="107"/>
            <w:bookmarkEnd w:id="108"/>
            <w:bookmarkEnd w:id="109"/>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工程款</w:t>
            </w: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pPr>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全费用清单综合单价中的安全文明施工费、规费、税金投标时均视为已按照本市相关部门的规定计取。结算时中标全费用清单综合单价一律不做调整。</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据实结算后不得超过限价，超过限价部分不予结算。</w:t>
            </w:r>
          </w:p>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审计费：</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2</w:t>
            </w:r>
          </w:p>
        </w:tc>
        <w:tc>
          <w:tcPr>
            <w:tcW w:w="1644"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工程款支付</w:t>
            </w:r>
          </w:p>
        </w:tc>
        <w:tc>
          <w:tcPr>
            <w:tcW w:w="6490" w:type="dxa"/>
            <w:vAlign w:val="top"/>
          </w:tcPr>
          <w:p>
            <w:pPr>
              <w:spacing w:line="360" w:lineRule="auto"/>
              <w:ind w:firstLine="420" w:firstLineChars="200"/>
              <w:rPr>
                <w:rFonts w:hint="eastAsia"/>
              </w:rPr>
            </w:pPr>
            <w:r>
              <w:rPr>
                <w:rFonts w:hint="eastAsia" w:asciiTheme="minorEastAsia" w:hAnsiTheme="minorEastAsia" w:eastAsiaTheme="minorEastAsia" w:cstheme="minorEastAsia"/>
                <w:sz w:val="21"/>
                <w:szCs w:val="21"/>
              </w:rPr>
              <w:t>每月按照实际完成工程量的80%进行支付，待工程竣工验收后支付至审定金额的97%；剩余3%作为质保金，待工程两年缺陷责任期期满后付清剩余质保金（不计利息）。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644" w:type="dxa"/>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vAlign w:val="top"/>
          </w:tcPr>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pPr>
              <w:widowControl/>
              <w:spacing w:line="400" w:lineRule="exact"/>
              <w:ind w:firstLine="420" w:firstLineChars="200"/>
              <w:rPr>
                <w:rFonts w:hint="default" w:ascii="宋体" w:hAnsi="宋体"/>
                <w:color w:val="0000FF"/>
                <w:kern w:val="0"/>
                <w:szCs w:val="21"/>
                <w:highlight w:val="none"/>
                <w:lang w:val="en-US"/>
              </w:rPr>
            </w:pPr>
            <w:r>
              <w:rPr>
                <w:rFonts w:hint="eastAsia" w:ascii="宋体" w:hAnsi="宋体"/>
                <w:kern w:val="0"/>
                <w:szCs w:val="21"/>
                <w:highlight w:val="none"/>
              </w:rPr>
              <w:t>4.</w:t>
            </w:r>
            <w:r>
              <w:rPr>
                <w:rFonts w:hint="eastAsia" w:ascii="宋体" w:hAnsi="宋体"/>
                <w:color w:val="0000FF"/>
                <w:kern w:val="0"/>
                <w:szCs w:val="21"/>
                <w:highlight w:val="none"/>
              </w:rPr>
              <w:t>异议受理单位：</w:t>
            </w:r>
            <w:r>
              <w:rPr>
                <w:rFonts w:hint="eastAsia" w:ascii="宋体" w:hAnsi="宋体"/>
                <w:color w:val="0000FF"/>
                <w:kern w:val="0"/>
                <w:szCs w:val="21"/>
                <w:highlight w:val="none"/>
                <w:lang w:eastAsia="zh-CN"/>
              </w:rPr>
              <w:t>重庆经开区投资集团有限公司</w:t>
            </w:r>
          </w:p>
          <w:p>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0000FF"/>
                <w:kern w:val="0"/>
                <w:szCs w:val="21"/>
                <w:highlight w:val="none"/>
              </w:rPr>
              <w:t>联系电话：</w:t>
            </w:r>
            <w:r>
              <w:rPr>
                <w:rFonts w:hint="eastAsia" w:ascii="宋体" w:hAnsi="宋体"/>
                <w:color w:val="0000FF"/>
                <w:kern w:val="0"/>
                <w:szCs w:val="21"/>
                <w:highlight w:val="none"/>
                <w:lang w:val="en-US" w:eastAsia="zh-CN"/>
              </w:rPr>
              <w:t>62637528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pPr>
        <w:pStyle w:val="4"/>
        <w:spacing w:before="0" w:after="0" w:line="200" w:lineRule="exact"/>
        <w:outlineLvl w:val="9"/>
        <w:rPr>
          <w:rFonts w:ascii="宋体" w:hAnsi="宋体"/>
          <w:b w:val="0"/>
          <w:snapToGrid w:val="0"/>
          <w:highlight w:val="none"/>
        </w:rPr>
      </w:pPr>
      <w:bookmarkStart w:id="110" w:name="_Toc287620685"/>
      <w:bookmarkStart w:id="111" w:name="_Toc430530435"/>
      <w:bookmarkStart w:id="112" w:name="_Toc224103317"/>
      <w:bookmarkStart w:id="113" w:name="_Toc287607746"/>
      <w:bookmarkStart w:id="114" w:name="_Toc277082552"/>
      <w:bookmarkStart w:id="115" w:name="_Toc200513126"/>
    </w:p>
    <w:bookmarkEnd w:id="110"/>
    <w:bookmarkEnd w:id="111"/>
    <w:bookmarkEnd w:id="112"/>
    <w:bookmarkEnd w:id="113"/>
    <w:bookmarkEnd w:id="114"/>
    <w:bookmarkEnd w:id="115"/>
    <w:p>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6" w:name="_Toc19008"/>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116"/>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9752"/>
      <w:bookmarkStart w:id="118" w:name="_Toc293756837"/>
      <w:bookmarkStart w:id="119" w:name="_Toc293756840"/>
      <w:r>
        <w:rPr>
          <w:rFonts w:hint="eastAsia" w:ascii="宋体" w:hAnsi="宋体" w:eastAsia="宋体" w:cs="宋体"/>
          <w:color w:val="auto"/>
          <w:sz w:val="21"/>
          <w:szCs w:val="21"/>
          <w:highlight w:val="none"/>
        </w:rPr>
        <w:t>1.1 项目概况</w:t>
      </w:r>
      <w:bookmarkEnd w:id="117"/>
      <w:bookmarkEnd w:id="11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5437"/>
      <w:bookmarkStart w:id="121" w:name="_Toc293756838"/>
      <w:r>
        <w:rPr>
          <w:rFonts w:hint="eastAsia" w:ascii="宋体" w:hAnsi="宋体" w:eastAsia="宋体" w:cs="宋体"/>
          <w:color w:val="auto"/>
          <w:sz w:val="21"/>
          <w:szCs w:val="21"/>
          <w:highlight w:val="none"/>
        </w:rPr>
        <w:t>1.2 资金来源和落实情况</w:t>
      </w:r>
      <w:bookmarkEnd w:id="120"/>
      <w:bookmarkEnd w:id="12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2"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19957"/>
      <w:r>
        <w:rPr>
          <w:rFonts w:hint="eastAsia" w:ascii="宋体" w:hAnsi="宋体" w:eastAsia="宋体" w:cs="宋体"/>
          <w:color w:val="auto"/>
          <w:sz w:val="21"/>
          <w:szCs w:val="21"/>
          <w:highlight w:val="none"/>
        </w:rPr>
        <w:t>1.3 比选范围、计划工期和质量要求</w:t>
      </w:r>
      <w:bookmarkEnd w:id="122"/>
      <w:bookmarkEnd w:id="12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9928"/>
      <w:r>
        <w:rPr>
          <w:rFonts w:hint="eastAsia" w:ascii="宋体" w:hAnsi="宋体" w:eastAsia="宋体" w:cs="宋体"/>
          <w:color w:val="auto"/>
          <w:sz w:val="21"/>
          <w:szCs w:val="21"/>
          <w:highlight w:val="none"/>
        </w:rPr>
        <w:t xml:space="preserve">1.4 </w:t>
      </w:r>
      <w:bookmarkEnd w:id="119"/>
      <w:r>
        <w:rPr>
          <w:rFonts w:hint="eastAsia" w:ascii="宋体" w:hAnsi="宋体" w:eastAsia="宋体" w:cs="宋体"/>
          <w:color w:val="auto"/>
          <w:sz w:val="21"/>
          <w:szCs w:val="21"/>
          <w:highlight w:val="none"/>
          <w:lang w:eastAsia="zh-CN"/>
        </w:rPr>
        <w:t>投标人资格要求</w:t>
      </w:r>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4874"/>
      <w:bookmarkStart w:id="126" w:name="_Toc293756841"/>
      <w:r>
        <w:rPr>
          <w:rFonts w:hint="eastAsia" w:ascii="宋体" w:hAnsi="宋体" w:eastAsia="宋体" w:cs="宋体"/>
          <w:color w:val="auto"/>
          <w:sz w:val="21"/>
          <w:szCs w:val="21"/>
          <w:highlight w:val="none"/>
        </w:rPr>
        <w:t>1.5 费用承担</w:t>
      </w:r>
      <w:bookmarkEnd w:id="125"/>
      <w:bookmarkEnd w:id="1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293756842"/>
      <w:bookmarkStart w:id="128" w:name="_Toc11009"/>
      <w:r>
        <w:rPr>
          <w:rFonts w:hint="eastAsia" w:ascii="宋体" w:hAnsi="宋体" w:eastAsia="宋体" w:cs="宋体"/>
          <w:color w:val="auto"/>
          <w:sz w:val="21"/>
          <w:szCs w:val="21"/>
          <w:highlight w:val="none"/>
        </w:rPr>
        <w:t>1.6 保密</w:t>
      </w:r>
      <w:bookmarkEnd w:id="127"/>
      <w:bookmarkEnd w:id="12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9" w:name="_Toc18963"/>
      <w:bookmarkStart w:id="130" w:name="_Toc293756843"/>
      <w:r>
        <w:rPr>
          <w:rFonts w:hint="eastAsia" w:ascii="宋体" w:hAnsi="宋体" w:eastAsia="宋体" w:cs="宋体"/>
          <w:color w:val="auto"/>
          <w:sz w:val="21"/>
          <w:szCs w:val="21"/>
          <w:highlight w:val="none"/>
        </w:rPr>
        <w:t>1.7 语言文字</w:t>
      </w:r>
      <w:bookmarkEnd w:id="129"/>
      <w:bookmarkEnd w:id="13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1" w:name="_Toc104"/>
      <w:bookmarkStart w:id="132" w:name="_Toc293756844"/>
      <w:r>
        <w:rPr>
          <w:rFonts w:hint="eastAsia" w:ascii="宋体" w:hAnsi="宋体" w:eastAsia="宋体" w:cs="宋体"/>
          <w:color w:val="auto"/>
          <w:sz w:val="21"/>
          <w:szCs w:val="21"/>
          <w:highlight w:val="none"/>
        </w:rPr>
        <w:t>1.8 计量单位</w:t>
      </w:r>
      <w:bookmarkEnd w:id="131"/>
      <w:bookmarkEnd w:id="13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427"/>
      <w:bookmarkStart w:id="134" w:name="_Toc293756845"/>
      <w:r>
        <w:rPr>
          <w:rFonts w:hint="eastAsia" w:ascii="宋体" w:hAnsi="宋体" w:eastAsia="宋体" w:cs="宋体"/>
          <w:color w:val="auto"/>
          <w:sz w:val="21"/>
          <w:szCs w:val="21"/>
          <w:highlight w:val="none"/>
        </w:rPr>
        <w:t>1.9 踏勘现场</w:t>
      </w:r>
      <w:bookmarkEnd w:id="133"/>
      <w:bookmarkEnd w:id="13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5" w:name="_Toc293756846"/>
      <w:bookmarkStart w:id="136" w:name="_Toc30203"/>
      <w:r>
        <w:rPr>
          <w:rFonts w:hint="eastAsia" w:ascii="宋体" w:hAnsi="宋体" w:eastAsia="宋体" w:cs="宋体"/>
          <w:color w:val="auto"/>
          <w:sz w:val="21"/>
          <w:szCs w:val="21"/>
          <w:highlight w:val="none"/>
        </w:rPr>
        <w:t>1.10 比选预备会</w:t>
      </w:r>
      <w:bookmarkEnd w:id="135"/>
      <w:bookmarkEnd w:id="13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7" w:name="_Toc293756847"/>
      <w:bookmarkStart w:id="138" w:name="_Toc13696"/>
      <w:r>
        <w:rPr>
          <w:rFonts w:hint="eastAsia" w:ascii="宋体" w:hAnsi="宋体" w:eastAsia="宋体" w:cs="宋体"/>
          <w:color w:val="auto"/>
          <w:sz w:val="21"/>
          <w:szCs w:val="21"/>
          <w:highlight w:val="none"/>
        </w:rPr>
        <w:t>1.11 分包</w:t>
      </w:r>
      <w:bookmarkEnd w:id="137"/>
      <w:bookmarkEnd w:id="13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21334"/>
      <w:r>
        <w:rPr>
          <w:rFonts w:hint="eastAsia" w:ascii="宋体" w:hAnsi="宋体" w:eastAsia="宋体" w:cs="宋体"/>
          <w:color w:val="auto"/>
          <w:sz w:val="21"/>
          <w:szCs w:val="21"/>
          <w:highlight w:val="none"/>
        </w:rPr>
        <w:t>2.比选文件</w:t>
      </w:r>
      <w:bookmarkEnd w:id="139"/>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5177"/>
      <w:bookmarkStart w:id="141" w:name="_Toc293756848"/>
      <w:r>
        <w:rPr>
          <w:rFonts w:hint="eastAsia" w:ascii="宋体" w:hAnsi="宋体" w:eastAsia="宋体" w:cs="宋体"/>
          <w:color w:val="auto"/>
          <w:sz w:val="21"/>
          <w:szCs w:val="21"/>
          <w:highlight w:val="none"/>
        </w:rPr>
        <w:t>2.1比选文件的组成</w:t>
      </w:r>
      <w:bookmarkEnd w:id="140"/>
      <w:bookmarkEnd w:id="14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2" w:name="_Toc17073"/>
      <w:bookmarkStart w:id="143" w:name="_Toc293756849"/>
      <w:r>
        <w:rPr>
          <w:rFonts w:hint="eastAsia" w:ascii="宋体" w:hAnsi="宋体" w:eastAsia="宋体" w:cs="宋体"/>
          <w:color w:val="auto"/>
          <w:sz w:val="21"/>
          <w:szCs w:val="21"/>
          <w:highlight w:val="none"/>
        </w:rPr>
        <w:t>2.2比选文件的澄清</w:t>
      </w:r>
      <w:bookmarkEnd w:id="142"/>
      <w:bookmarkEnd w:id="14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781"/>
      <w:bookmarkStart w:id="145" w:name="_Toc293756850"/>
      <w:r>
        <w:rPr>
          <w:rFonts w:hint="eastAsia" w:ascii="宋体" w:hAnsi="宋体" w:eastAsia="宋体" w:cs="宋体"/>
          <w:color w:val="auto"/>
          <w:sz w:val="21"/>
          <w:szCs w:val="21"/>
          <w:highlight w:val="none"/>
        </w:rPr>
        <w:t>2.3比选文件的修改</w:t>
      </w:r>
      <w:bookmarkEnd w:id="144"/>
      <w:bookmarkEnd w:id="14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3298"/>
      <w:bookmarkStart w:id="147" w:name="_Toc293756851"/>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6"/>
      <w:bookmarkEnd w:id="147"/>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7406"/>
      <w:bookmarkStart w:id="149" w:name="_Toc293756852"/>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8"/>
      <w:bookmarkEnd w:id="14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）项目管理机构；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）拟分包项目情况表（如有）；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0"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1" w:name="_Toc3741"/>
      <w:r>
        <w:rPr>
          <w:rFonts w:hint="eastAsia" w:ascii="宋体" w:hAnsi="宋体" w:eastAsia="宋体" w:cs="宋体"/>
          <w:color w:val="auto"/>
          <w:sz w:val="21"/>
          <w:szCs w:val="21"/>
          <w:highlight w:val="none"/>
          <w:lang w:val="en-US" w:eastAsia="zh-CN"/>
        </w:rPr>
        <w:t>3.3  投标有效期</w:t>
      </w:r>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2" w:name="_Toc293756853"/>
      <w:bookmarkStart w:id="153" w:name="_Toc8270"/>
      <w:r>
        <w:rPr>
          <w:rFonts w:hint="eastAsia" w:ascii="宋体" w:hAnsi="宋体" w:eastAsia="宋体" w:cs="宋体"/>
          <w:color w:val="auto"/>
          <w:sz w:val="21"/>
          <w:szCs w:val="21"/>
          <w:highlight w:val="none"/>
        </w:rPr>
        <w:t>3.4 比选保证金</w:t>
      </w:r>
      <w:bookmarkEnd w:id="152"/>
      <w:bookmarkEnd w:id="15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250"/>
      <w:bookmarkStart w:id="155" w:name="_Toc293756854"/>
      <w:r>
        <w:rPr>
          <w:rFonts w:hint="eastAsia" w:ascii="宋体" w:hAnsi="宋体" w:eastAsia="宋体" w:cs="宋体"/>
          <w:color w:val="auto"/>
          <w:sz w:val="21"/>
          <w:szCs w:val="21"/>
          <w:highlight w:val="none"/>
        </w:rPr>
        <w:t>3.5 资格审查资料</w:t>
      </w:r>
      <w:bookmarkEnd w:id="154"/>
      <w:bookmarkEnd w:id="15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6"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10924"/>
      <w:r>
        <w:rPr>
          <w:rFonts w:hint="eastAsia" w:ascii="宋体" w:hAnsi="宋体" w:eastAsia="宋体" w:cs="宋体"/>
          <w:color w:val="auto"/>
          <w:sz w:val="21"/>
          <w:szCs w:val="21"/>
          <w:highlight w:val="none"/>
        </w:rPr>
        <w:t xml:space="preserve">4. </w:t>
      </w:r>
      <w:bookmarkEnd w:id="156"/>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7"/>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8" w:name="_Toc293756856"/>
      <w:bookmarkStart w:id="159"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8"/>
      <w:bookmarkEnd w:id="15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0" w:name="_Toc2798"/>
      <w:bookmarkStart w:id="161"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0"/>
      <w:bookmarkEnd w:id="16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2" w:name="_Toc288"/>
      <w:bookmarkStart w:id="163"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2"/>
      <w:bookmarkEnd w:id="16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59"/>
      <w:bookmarkStart w:id="165" w:name="_Toc29290"/>
      <w:r>
        <w:rPr>
          <w:rFonts w:hint="eastAsia" w:ascii="宋体" w:hAnsi="宋体" w:eastAsia="宋体" w:cs="宋体"/>
          <w:color w:val="auto"/>
          <w:sz w:val="21"/>
          <w:szCs w:val="21"/>
          <w:highlight w:val="none"/>
        </w:rPr>
        <w:t xml:space="preserve">5. </w:t>
      </w:r>
      <w:bookmarkEnd w:id="164"/>
      <w:r>
        <w:rPr>
          <w:rFonts w:hint="eastAsia" w:ascii="宋体" w:hAnsi="宋体" w:eastAsia="宋体" w:cs="宋体"/>
          <w:color w:val="auto"/>
          <w:sz w:val="21"/>
          <w:szCs w:val="21"/>
          <w:highlight w:val="none"/>
        </w:rPr>
        <w:t>比选</w:t>
      </w:r>
      <w:bookmarkEnd w:id="165"/>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60"/>
      <w:bookmarkStart w:id="167" w:name="_Toc6939"/>
      <w:r>
        <w:rPr>
          <w:rFonts w:hint="eastAsia" w:ascii="宋体" w:hAnsi="宋体" w:eastAsia="宋体" w:cs="宋体"/>
          <w:color w:val="auto"/>
          <w:sz w:val="21"/>
          <w:szCs w:val="21"/>
          <w:highlight w:val="none"/>
        </w:rPr>
        <w:t>5.1 比选时间和地点</w:t>
      </w:r>
      <w:bookmarkEnd w:id="166"/>
      <w:bookmarkEnd w:id="16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716"/>
      <w:bookmarkStart w:id="169" w:name="_Toc293756861"/>
      <w:r>
        <w:rPr>
          <w:rFonts w:hint="eastAsia" w:ascii="宋体" w:hAnsi="宋体" w:eastAsia="宋体" w:cs="宋体"/>
          <w:color w:val="auto"/>
          <w:sz w:val="21"/>
          <w:szCs w:val="21"/>
          <w:highlight w:val="none"/>
        </w:rPr>
        <w:t>5.2 比选程序</w:t>
      </w:r>
      <w:bookmarkEnd w:id="168"/>
      <w:bookmarkEnd w:id="16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0"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4607"/>
      <w:r>
        <w:rPr>
          <w:rFonts w:hint="eastAsia" w:ascii="宋体" w:hAnsi="宋体" w:eastAsia="宋体" w:cs="宋体"/>
          <w:color w:val="auto"/>
          <w:sz w:val="21"/>
          <w:szCs w:val="21"/>
          <w:highlight w:val="none"/>
        </w:rPr>
        <w:t>6. 评</w:t>
      </w:r>
      <w:bookmarkEnd w:id="170"/>
      <w:r>
        <w:rPr>
          <w:rFonts w:hint="eastAsia" w:ascii="宋体" w:hAnsi="宋体" w:eastAsia="宋体" w:cs="宋体"/>
          <w:color w:val="auto"/>
          <w:sz w:val="21"/>
          <w:szCs w:val="21"/>
          <w:highlight w:val="none"/>
        </w:rPr>
        <w:t>审</w:t>
      </w:r>
      <w:bookmarkEnd w:id="171"/>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2" w:name="_Toc200513161"/>
      <w:bookmarkStart w:id="173" w:name="_Toc287607781"/>
      <w:bookmarkStart w:id="174" w:name="_Toc7646"/>
      <w:bookmarkStart w:id="175" w:name="_Toc430530470"/>
      <w:bookmarkStart w:id="176" w:name="_Toc277082587"/>
      <w:bookmarkStart w:id="177" w:name="_Toc287620720"/>
      <w:bookmarkStart w:id="178" w:name="_Toc509218745"/>
      <w:bookmarkStart w:id="179" w:name="_Toc224103352"/>
      <w:bookmarkStart w:id="180"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2"/>
      <w:bookmarkEnd w:id="173"/>
      <w:bookmarkEnd w:id="174"/>
      <w:bookmarkEnd w:id="175"/>
      <w:bookmarkEnd w:id="176"/>
      <w:bookmarkEnd w:id="177"/>
      <w:bookmarkEnd w:id="178"/>
      <w:bookmarkEnd w:id="17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1" w:name="_Toc27306"/>
      <w:bookmarkStart w:id="182" w:name="_Toc224103353"/>
      <w:bookmarkStart w:id="183" w:name="_Toc287620721"/>
      <w:bookmarkStart w:id="184" w:name="_Toc200513162"/>
      <w:bookmarkStart w:id="185" w:name="_Toc287607782"/>
      <w:bookmarkStart w:id="186" w:name="_Toc509218746"/>
      <w:bookmarkStart w:id="187" w:name="_Toc430530471"/>
      <w:bookmarkStart w:id="188" w:name="_Toc277082588"/>
      <w:r>
        <w:rPr>
          <w:rFonts w:hint="eastAsia" w:ascii="宋体" w:hAnsi="宋体" w:eastAsia="宋体" w:cs="宋体"/>
          <w:snapToGrid w:val="0"/>
          <w:color w:val="auto"/>
          <w:kern w:val="0"/>
          <w:sz w:val="21"/>
          <w:szCs w:val="21"/>
          <w:highlight w:val="none"/>
        </w:rPr>
        <w:t>（1）投标人或投标人的主要负责人的近亲属；</w:t>
      </w:r>
      <w:bookmarkEnd w:id="18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7327"/>
      <w:r>
        <w:rPr>
          <w:rFonts w:hint="eastAsia" w:ascii="宋体" w:hAnsi="宋体" w:eastAsia="宋体" w:cs="宋体"/>
          <w:snapToGrid w:val="0"/>
          <w:color w:val="auto"/>
          <w:kern w:val="0"/>
          <w:sz w:val="21"/>
          <w:szCs w:val="21"/>
          <w:highlight w:val="none"/>
        </w:rPr>
        <w:t>（2）项目主管部门或者项目行政监督部门的人员；</w:t>
      </w:r>
      <w:bookmarkEnd w:id="18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0"/>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7240"/>
      <w:r>
        <w:rPr>
          <w:rFonts w:hint="eastAsia" w:ascii="宋体" w:hAnsi="宋体" w:eastAsia="宋体" w:cs="宋体"/>
          <w:snapToGrid w:val="0"/>
          <w:color w:val="auto"/>
          <w:kern w:val="0"/>
          <w:sz w:val="21"/>
          <w:szCs w:val="21"/>
          <w:highlight w:val="none"/>
        </w:rPr>
        <w:t>（5）法律法规规定的其他情形。</w:t>
      </w:r>
      <w:bookmarkEnd w:id="19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3" w:name="_Toc349"/>
      <w:r>
        <w:rPr>
          <w:rFonts w:hint="eastAsia" w:ascii="宋体" w:hAnsi="宋体" w:eastAsia="宋体" w:cs="宋体"/>
          <w:color w:val="auto"/>
          <w:sz w:val="21"/>
          <w:szCs w:val="21"/>
          <w:highlight w:val="none"/>
          <w:lang w:val="en-US" w:eastAsia="zh-CN"/>
        </w:rPr>
        <w:t>6.2  评标原则</w:t>
      </w:r>
      <w:bookmarkEnd w:id="182"/>
      <w:bookmarkEnd w:id="183"/>
      <w:bookmarkEnd w:id="184"/>
      <w:bookmarkEnd w:id="185"/>
      <w:bookmarkEnd w:id="186"/>
      <w:bookmarkEnd w:id="187"/>
      <w:bookmarkEnd w:id="188"/>
      <w:bookmarkEnd w:id="19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509218747"/>
      <w:bookmarkStart w:id="195" w:name="_Toc3231"/>
      <w:bookmarkStart w:id="196" w:name="_Toc430530472"/>
      <w:bookmarkStart w:id="197" w:name="_Toc277082589"/>
      <w:bookmarkStart w:id="198" w:name="_Toc287620722"/>
      <w:bookmarkStart w:id="199" w:name="_Toc224103354"/>
      <w:bookmarkStart w:id="200" w:name="_Toc200513163"/>
      <w:bookmarkStart w:id="201" w:name="_Toc287607783"/>
      <w:r>
        <w:rPr>
          <w:rFonts w:hint="eastAsia" w:ascii="宋体" w:hAnsi="宋体" w:eastAsia="宋体" w:cs="宋体"/>
          <w:color w:val="auto"/>
          <w:sz w:val="21"/>
          <w:szCs w:val="21"/>
          <w:highlight w:val="none"/>
          <w:lang w:val="en-US" w:eastAsia="zh-CN"/>
        </w:rPr>
        <w:t>6.3  评标</w:t>
      </w:r>
      <w:bookmarkEnd w:id="194"/>
      <w:bookmarkEnd w:id="195"/>
      <w:bookmarkEnd w:id="196"/>
      <w:bookmarkEnd w:id="197"/>
      <w:bookmarkEnd w:id="198"/>
      <w:bookmarkEnd w:id="199"/>
      <w:bookmarkEnd w:id="200"/>
      <w:bookmarkEnd w:id="2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5190"/>
      <w:r>
        <w:rPr>
          <w:rFonts w:hint="eastAsia" w:ascii="宋体" w:hAnsi="宋体" w:eastAsia="宋体" w:cs="宋体"/>
          <w:color w:val="auto"/>
          <w:sz w:val="21"/>
          <w:szCs w:val="21"/>
          <w:highlight w:val="none"/>
        </w:rPr>
        <w:t>7. 合同授予</w:t>
      </w:r>
      <w:bookmarkEnd w:id="180"/>
      <w:bookmarkEnd w:id="202"/>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3" w:name="_Toc293756867"/>
      <w:bookmarkStart w:id="204" w:name="_Toc13886"/>
      <w:r>
        <w:rPr>
          <w:rFonts w:hint="eastAsia" w:ascii="宋体" w:hAnsi="宋体" w:eastAsia="宋体" w:cs="宋体"/>
          <w:color w:val="auto"/>
          <w:sz w:val="21"/>
          <w:szCs w:val="21"/>
          <w:highlight w:val="none"/>
        </w:rPr>
        <w:t>7.1 定选方式</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5" w:name="_Toc293756868"/>
      <w:bookmarkStart w:id="206" w:name="_Toc17919"/>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7"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在收到评标报告之日起3日内公示中标候选人，公示期不得少于3个工作日。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8" w:name="_Toc293756870"/>
      <w:bookmarkStart w:id="209" w:name="_Toc5235"/>
      <w:r>
        <w:rPr>
          <w:rFonts w:hint="eastAsia" w:ascii="宋体" w:hAnsi="宋体" w:eastAsia="宋体" w:cs="宋体"/>
          <w:color w:val="auto"/>
          <w:sz w:val="21"/>
          <w:szCs w:val="21"/>
          <w:highlight w:val="none"/>
        </w:rPr>
        <w:t>7.4 签订合同</w:t>
      </w:r>
      <w:bookmarkEnd w:id="208"/>
      <w:bookmarkEnd w:id="2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0" w:name="_Toc21469"/>
      <w:bookmarkStart w:id="211" w:name="_Toc293756871"/>
      <w:r>
        <w:rPr>
          <w:rFonts w:hint="eastAsia" w:ascii="宋体" w:hAnsi="宋体" w:eastAsia="宋体" w:cs="宋体"/>
          <w:color w:val="auto"/>
          <w:sz w:val="21"/>
          <w:szCs w:val="21"/>
          <w:highlight w:val="none"/>
        </w:rPr>
        <w:t>8. 重新比选和不再比选</w:t>
      </w:r>
      <w:bookmarkEnd w:id="210"/>
      <w:bookmarkEnd w:id="21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2" w:name="_Toc277082596"/>
      <w:bookmarkStart w:id="213" w:name="_Toc200513170"/>
      <w:bookmarkStart w:id="214" w:name="_Toc287607790"/>
      <w:bookmarkStart w:id="215" w:name="_Toc224103361"/>
      <w:bookmarkStart w:id="216" w:name="_Toc430530479"/>
      <w:bookmarkStart w:id="217" w:name="_Toc287620729"/>
      <w:bookmarkStart w:id="218" w:name="_Toc509218754"/>
      <w:bookmarkStart w:id="219" w:name="_Toc27002"/>
      <w:bookmarkStart w:id="220" w:name="_Toc293756873"/>
      <w:bookmarkStart w:id="22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12"/>
      <w:bookmarkEnd w:id="213"/>
      <w:bookmarkEnd w:id="214"/>
      <w:bookmarkEnd w:id="215"/>
      <w:bookmarkEnd w:id="216"/>
      <w:bookmarkEnd w:id="217"/>
      <w:bookmarkEnd w:id="218"/>
      <w:r>
        <w:rPr>
          <w:rFonts w:hint="eastAsia" w:ascii="宋体" w:hAnsi="宋体" w:eastAsia="宋体" w:cs="宋体"/>
          <w:b w:val="0"/>
          <w:bCs/>
          <w:snapToGrid w:val="0"/>
          <w:color w:val="auto"/>
          <w:kern w:val="2"/>
          <w:sz w:val="21"/>
          <w:szCs w:val="21"/>
          <w:highlight w:val="none"/>
          <w:lang w:val="en-US" w:eastAsia="zh-CN" w:bidi="ar-SA"/>
        </w:rPr>
        <w:t>比选</w:t>
      </w:r>
      <w:bookmarkEnd w:id="219"/>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8804"/>
      <w:r>
        <w:rPr>
          <w:rFonts w:hint="eastAsia" w:ascii="宋体" w:hAnsi="宋体" w:eastAsia="宋体" w:cs="宋体"/>
          <w:color w:val="auto"/>
          <w:sz w:val="21"/>
          <w:szCs w:val="21"/>
          <w:highlight w:val="none"/>
        </w:rPr>
        <w:t>8.2 不再</w:t>
      </w:r>
      <w:bookmarkEnd w:id="220"/>
      <w:bookmarkEnd w:id="221"/>
      <w:r>
        <w:rPr>
          <w:rFonts w:hint="eastAsia" w:ascii="宋体" w:hAnsi="宋体" w:eastAsia="宋体" w:cs="宋体"/>
          <w:color w:val="auto"/>
          <w:sz w:val="21"/>
          <w:szCs w:val="21"/>
          <w:highlight w:val="none"/>
        </w:rPr>
        <w:t>比选</w:t>
      </w:r>
      <w:bookmarkEnd w:id="22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3" w:name="_Toc288046541"/>
      <w:bookmarkStart w:id="224" w:name="_Toc284158539"/>
      <w:bookmarkStart w:id="225" w:name="_Toc284159224"/>
      <w:bookmarkStart w:id="226" w:name="_Toc284158456"/>
      <w:bookmarkStart w:id="227" w:name="_Toc293756874"/>
      <w:bookmarkStart w:id="228" w:name="_Toc284231395"/>
      <w:bookmarkStart w:id="229" w:name="_Toc284159360"/>
      <w:bookmarkStart w:id="230" w:name="_Toc288052291"/>
      <w:bookmarkStart w:id="231" w:name="_Toc288045280"/>
      <w:bookmarkStart w:id="232" w:name="_Toc288046894"/>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3"/>
      <w:bookmarkEnd w:id="224"/>
      <w:bookmarkEnd w:id="225"/>
      <w:bookmarkEnd w:id="226"/>
      <w:bookmarkEnd w:id="227"/>
      <w:bookmarkEnd w:id="228"/>
      <w:bookmarkEnd w:id="229"/>
      <w:bookmarkEnd w:id="230"/>
      <w:bookmarkEnd w:id="231"/>
      <w:bookmarkEnd w:id="232"/>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3" w:name="_Toc287620731"/>
      <w:bookmarkStart w:id="234" w:name="_Toc224103363"/>
      <w:bookmarkStart w:id="235" w:name="_Toc509218756"/>
      <w:bookmarkStart w:id="236" w:name="_Toc430530481"/>
      <w:bookmarkStart w:id="237" w:name="_Toc287607792"/>
      <w:bookmarkStart w:id="238" w:name="_Toc31090"/>
      <w:bookmarkStart w:id="239" w:name="_Toc277082598"/>
      <w:bookmarkStart w:id="240" w:name="_Toc36043737"/>
      <w:bookmarkStart w:id="241" w:name="_Toc200513172"/>
      <w:r>
        <w:rPr>
          <w:rFonts w:hint="eastAsia" w:ascii="宋体" w:hAnsi="宋体" w:eastAsia="宋体" w:cs="宋体"/>
          <w:color w:val="auto"/>
          <w:sz w:val="21"/>
          <w:szCs w:val="21"/>
          <w:highlight w:val="none"/>
        </w:rPr>
        <w:t>9.  纪律和监督</w:t>
      </w:r>
      <w:bookmarkEnd w:id="233"/>
      <w:bookmarkEnd w:id="234"/>
      <w:bookmarkEnd w:id="235"/>
      <w:bookmarkEnd w:id="236"/>
      <w:bookmarkEnd w:id="237"/>
      <w:bookmarkEnd w:id="238"/>
      <w:bookmarkEnd w:id="239"/>
      <w:bookmarkEnd w:id="240"/>
      <w:bookmarkEnd w:id="241"/>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2" w:name="_Toc287607793"/>
      <w:bookmarkStart w:id="243" w:name="_Toc430530482"/>
      <w:bookmarkStart w:id="244" w:name="_Toc25463"/>
      <w:bookmarkStart w:id="245" w:name="_Toc509218757"/>
      <w:bookmarkStart w:id="246" w:name="_Toc200513173"/>
      <w:bookmarkStart w:id="247" w:name="_Toc277082599"/>
      <w:bookmarkStart w:id="248" w:name="_Toc287620732"/>
      <w:bookmarkStart w:id="249" w:name="_Toc224103364"/>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2"/>
      <w:bookmarkEnd w:id="243"/>
      <w:bookmarkEnd w:id="244"/>
      <w:bookmarkEnd w:id="245"/>
      <w:bookmarkEnd w:id="246"/>
      <w:bookmarkEnd w:id="247"/>
      <w:bookmarkEnd w:id="248"/>
      <w:bookmarkEnd w:id="24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0" w:name="_Toc430530483"/>
      <w:bookmarkStart w:id="251" w:name="_Toc287620733"/>
      <w:bookmarkStart w:id="252" w:name="_Toc200513174"/>
      <w:bookmarkStart w:id="253" w:name="_Toc14890"/>
      <w:bookmarkStart w:id="254" w:name="_Toc277082600"/>
      <w:bookmarkStart w:id="255" w:name="_Toc224103365"/>
      <w:bookmarkStart w:id="256" w:name="_Toc287607794"/>
      <w:bookmarkStart w:id="257" w:name="_Toc509218758"/>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0"/>
      <w:bookmarkEnd w:id="251"/>
      <w:bookmarkEnd w:id="252"/>
      <w:bookmarkEnd w:id="253"/>
      <w:bookmarkEnd w:id="254"/>
      <w:bookmarkEnd w:id="255"/>
      <w:bookmarkEnd w:id="256"/>
      <w:bookmarkEnd w:id="25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287620734"/>
      <w:bookmarkStart w:id="259" w:name="_Toc287607795"/>
      <w:bookmarkStart w:id="260" w:name="_Toc224103366"/>
      <w:bookmarkStart w:id="261" w:name="_Toc20024"/>
      <w:bookmarkStart w:id="262" w:name="_Toc277082601"/>
      <w:bookmarkStart w:id="263" w:name="_Toc430530484"/>
      <w:bookmarkStart w:id="264" w:name="_Toc509218759"/>
      <w:bookmarkStart w:id="265" w:name="_Toc200513175"/>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8"/>
      <w:bookmarkEnd w:id="259"/>
      <w:bookmarkEnd w:id="260"/>
      <w:bookmarkEnd w:id="261"/>
      <w:bookmarkEnd w:id="262"/>
      <w:bookmarkEnd w:id="263"/>
      <w:bookmarkEnd w:id="264"/>
      <w:bookmarkEnd w:id="265"/>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1608"/>
      <w:bookmarkStart w:id="267" w:name="_Toc287607796"/>
      <w:bookmarkStart w:id="268" w:name="_Toc509218760"/>
      <w:bookmarkStart w:id="269" w:name="_Toc224103367"/>
      <w:bookmarkStart w:id="270" w:name="_Toc277082602"/>
      <w:bookmarkStart w:id="271" w:name="_Toc430530485"/>
      <w:bookmarkStart w:id="272" w:name="_Toc287620735"/>
      <w:bookmarkStart w:id="273" w:name="_Toc200513176"/>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6"/>
      <w:bookmarkEnd w:id="267"/>
      <w:bookmarkEnd w:id="268"/>
      <w:bookmarkEnd w:id="269"/>
      <w:bookmarkEnd w:id="270"/>
      <w:bookmarkEnd w:id="271"/>
      <w:bookmarkEnd w:id="272"/>
      <w:bookmarkEnd w:id="27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430530486"/>
      <w:bookmarkStart w:id="275" w:name="_Toc287607797"/>
      <w:bookmarkStart w:id="276" w:name="_Toc2907"/>
      <w:bookmarkStart w:id="277" w:name="_Toc287620736"/>
      <w:bookmarkStart w:id="278" w:name="_Toc509218761"/>
      <w:bookmarkStart w:id="279" w:name="_Toc200513177"/>
      <w:bookmarkStart w:id="280" w:name="_Toc224103368"/>
      <w:bookmarkStart w:id="281" w:name="_Toc277082603"/>
      <w:r>
        <w:rPr>
          <w:rFonts w:hint="eastAsia" w:ascii="宋体" w:hAnsi="宋体" w:eastAsia="宋体" w:cs="宋体"/>
          <w:b w:val="0"/>
          <w:bCs/>
          <w:snapToGrid w:val="0"/>
          <w:color w:val="auto"/>
          <w:kern w:val="2"/>
          <w:sz w:val="21"/>
          <w:szCs w:val="21"/>
          <w:highlight w:val="none"/>
          <w:lang w:val="en-US" w:eastAsia="zh-CN" w:bidi="ar-SA"/>
        </w:rPr>
        <w:t>9.5  投诉</w:t>
      </w:r>
      <w:bookmarkEnd w:id="274"/>
      <w:bookmarkEnd w:id="275"/>
      <w:bookmarkEnd w:id="276"/>
      <w:bookmarkEnd w:id="277"/>
      <w:bookmarkEnd w:id="278"/>
      <w:bookmarkEnd w:id="279"/>
      <w:bookmarkEnd w:id="280"/>
      <w:bookmarkEnd w:id="28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2" w:name="_Toc200513178"/>
      <w:bookmarkStart w:id="283" w:name="_Toc287607798"/>
      <w:bookmarkStart w:id="284" w:name="_Toc224103369"/>
      <w:bookmarkStart w:id="285" w:name="_Toc36043738"/>
      <w:bookmarkStart w:id="286" w:name="_Toc509218762"/>
      <w:bookmarkStart w:id="287" w:name="_Toc287620737"/>
      <w:bookmarkStart w:id="288" w:name="_Toc277082604"/>
      <w:bookmarkStart w:id="289" w:name="_Toc430530487"/>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2"/>
      <w:bookmarkEnd w:id="283"/>
      <w:bookmarkEnd w:id="284"/>
      <w:bookmarkEnd w:id="285"/>
      <w:bookmarkEnd w:id="286"/>
      <w:bookmarkEnd w:id="287"/>
      <w:bookmarkEnd w:id="288"/>
      <w:bookmarkEnd w:id="28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pPr>
        <w:pStyle w:val="3"/>
        <w:spacing w:line="360" w:lineRule="auto"/>
        <w:ind w:firstLine="883" w:firstLineChars="200"/>
        <w:jc w:val="center"/>
        <w:rPr>
          <w:rFonts w:ascii="宋体" w:hAnsi="宋体"/>
          <w:highlight w:val="none"/>
        </w:rPr>
      </w:pPr>
      <w:bookmarkStart w:id="290" w:name="_Toc5770"/>
      <w:bookmarkStart w:id="291" w:name="_Toc4335"/>
      <w:bookmarkStart w:id="292" w:name="_Toc6128"/>
      <w:bookmarkStart w:id="293" w:name="_Toc509218774"/>
      <w:bookmarkStart w:id="294" w:name="_Toc277082618"/>
      <w:bookmarkStart w:id="295" w:name="_Toc224103384"/>
      <w:bookmarkStart w:id="296" w:name="_Toc200513198"/>
      <w:bookmarkStart w:id="297" w:name="_Toc287607812"/>
      <w:bookmarkStart w:id="298" w:name="_Toc287620751"/>
      <w:bookmarkStart w:id="299" w:name="_Toc430530500"/>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snapToGrid w:val="0"/>
          <w:color w:val="auto"/>
          <w:kern w:val="0"/>
          <w:highlight w:val="none"/>
        </w:rPr>
        <w:t>经评审的最低投标价法</w:t>
      </w:r>
      <w:r>
        <w:rPr>
          <w:rFonts w:ascii="宋体" w:hAnsi="宋体"/>
          <w:highlight w:val="none"/>
        </w:rPr>
        <w:t>）</w:t>
      </w:r>
      <w:bookmarkEnd w:id="290"/>
      <w:bookmarkEnd w:id="291"/>
      <w:bookmarkEnd w:id="292"/>
      <w:bookmarkEnd w:id="293"/>
      <w:bookmarkStart w:id="300" w:name="_Toc277082617"/>
      <w:bookmarkStart w:id="301" w:name="_Toc287607811"/>
      <w:bookmarkStart w:id="302" w:name="_Toc224103383"/>
      <w:bookmarkStart w:id="303" w:name="_Toc287620750"/>
      <w:bookmarkStart w:id="304" w:name="_Toc430530499"/>
    </w:p>
    <w:p>
      <w:pPr>
        <w:pStyle w:val="4"/>
        <w:spacing w:before="100" w:after="100" w:line="360" w:lineRule="auto"/>
        <w:rPr>
          <w:rFonts w:ascii="宋体" w:hAnsi="宋体"/>
          <w:highlight w:val="none"/>
        </w:rPr>
      </w:pPr>
      <w:bookmarkStart w:id="305" w:name="_Toc14663"/>
      <w:bookmarkStart w:id="306" w:name="_Toc509218775"/>
      <w:bookmarkStart w:id="307" w:name="_Toc32566"/>
      <w:r>
        <w:rPr>
          <w:rFonts w:hint="eastAsia" w:ascii="宋体" w:hAnsi="宋体"/>
          <w:highlight w:val="none"/>
        </w:rPr>
        <w:t>评标办法前附表</w:t>
      </w:r>
      <w:bookmarkEnd w:id="305"/>
      <w:bookmarkEnd w:id="306"/>
      <w:bookmarkEnd w:id="307"/>
    </w:p>
    <w:p>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00"/>
    <w:bookmarkEnd w:id="301"/>
    <w:bookmarkEnd w:id="302"/>
    <w:bookmarkEnd w:id="303"/>
    <w:bookmarkEnd w:id="304"/>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bookmarkStart w:id="308" w:name="_Toc509218776"/>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kern w:val="0"/>
                <w:highlight w:val="none"/>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1.投标总报价必须与已标价工程量清单总报价一致。</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p>
            <w:pPr>
              <w:spacing w:line="4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3.投标总报价低于最高限价85%的，</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应在编制投标文件时，在投标函部分中递交低价风险担保提交承诺书。</w:t>
            </w:r>
            <w:r>
              <w:rPr>
                <w:rFonts w:hint="eastAsia" w:ascii="宋体" w:hAnsi="宋体" w:cs="宋体"/>
                <w:bCs/>
                <w:color w:val="auto"/>
                <w:szCs w:val="21"/>
                <w:highlight w:val="none"/>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竞选人须知前附表</w:t>
            </w:r>
            <w:r>
              <w:rPr>
                <w:rFonts w:hint="eastAsia" w:ascii="宋体" w:hAnsi="宋体" w:cs="宋体"/>
                <w:color w:val="auto"/>
                <w:kern w:val="0"/>
                <w:highlight w:val="none"/>
              </w:rPr>
              <w:t>”第3.4项规定。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六</w:t>
            </w:r>
            <w:r>
              <w:rPr>
                <w:rFonts w:hint="eastAsia" w:ascii="宋体" w:hAnsi="宋体" w:cs="宋体"/>
                <w:color w:val="auto"/>
                <w:kern w:val="0"/>
                <w:highlight w:val="none"/>
              </w:rPr>
              <w:t>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w:t>
            </w:r>
            <w:r>
              <w:rPr>
                <w:rFonts w:hint="eastAsia" w:ascii="宋体" w:hAnsi="宋体" w:cs="宋体"/>
                <w:color w:val="auto"/>
                <w:kern w:val="0"/>
                <w:highlight w:val="none"/>
                <w:lang w:val="en-US" w:eastAsia="zh-CN"/>
              </w:rPr>
              <w:t>第五章</w:t>
            </w:r>
            <w:r>
              <w:rPr>
                <w:rFonts w:hint="eastAsia" w:ascii="宋体" w:hAnsi="宋体" w:cs="宋体"/>
                <w:color w:val="auto"/>
                <w:kern w:val="0"/>
                <w:highlight w:val="none"/>
              </w:rPr>
              <w:t>“技术标准和要求”规定。（由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1.符合第五章“技术标准和要求”给出的范围及数量。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单价报价不得高于对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 w:val="0"/>
          <w:snapToGrid w:val="0"/>
          <w:color w:val="auto"/>
          <w:highlight w:val="none"/>
        </w:rPr>
      </w:pPr>
    </w:p>
    <w:bookmarkEnd w:id="294"/>
    <w:bookmarkEnd w:id="295"/>
    <w:bookmarkEnd w:id="296"/>
    <w:bookmarkEnd w:id="297"/>
    <w:bookmarkEnd w:id="298"/>
    <w:bookmarkEnd w:id="299"/>
    <w:bookmarkEnd w:id="308"/>
    <w:p>
      <w:pPr>
        <w:pStyle w:val="4"/>
        <w:spacing w:before="0" w:after="0" w:line="360" w:lineRule="auto"/>
        <w:rPr>
          <w:rFonts w:ascii="宋体" w:hAnsi="宋体"/>
          <w:b w:val="0"/>
          <w:snapToGrid w:val="0"/>
          <w:color w:val="auto"/>
          <w:highlight w:val="none"/>
        </w:rPr>
      </w:pPr>
      <w:bookmarkStart w:id="309" w:name="_Toc12666"/>
      <w:bookmarkStart w:id="310" w:name="_Toc27750"/>
      <w:bookmarkStart w:id="311" w:name="_Toc57905886"/>
      <w:r>
        <w:rPr>
          <w:rFonts w:ascii="宋体" w:hAnsi="宋体"/>
          <w:b w:val="0"/>
          <w:snapToGrid w:val="0"/>
          <w:color w:val="auto"/>
          <w:highlight w:val="none"/>
        </w:rPr>
        <w:t>1.  评标方法</w:t>
      </w:r>
      <w:bookmarkEnd w:id="309"/>
      <w:bookmarkEnd w:id="310"/>
      <w:bookmarkEnd w:id="311"/>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312" w:name="_Toc57905887"/>
      <w:bookmarkStart w:id="313" w:name="_Toc24923"/>
      <w:bookmarkStart w:id="314" w:name="_Toc20502"/>
      <w:r>
        <w:rPr>
          <w:rFonts w:ascii="宋体" w:hAnsi="宋体"/>
          <w:b w:val="0"/>
          <w:snapToGrid w:val="0"/>
          <w:color w:val="auto"/>
          <w:highlight w:val="none"/>
        </w:rPr>
        <w:t>2.  评审标准</w:t>
      </w:r>
      <w:bookmarkEnd w:id="312"/>
      <w:bookmarkEnd w:id="313"/>
      <w:bookmarkEnd w:id="314"/>
    </w:p>
    <w:p>
      <w:pPr>
        <w:pStyle w:val="5"/>
        <w:spacing w:before="0" w:after="0" w:line="360" w:lineRule="auto"/>
        <w:rPr>
          <w:rFonts w:ascii="宋体" w:hAnsi="宋体" w:cs="宋体"/>
          <w:color w:val="auto"/>
          <w:sz w:val="21"/>
          <w:szCs w:val="21"/>
          <w:highlight w:val="none"/>
        </w:rPr>
      </w:pPr>
      <w:bookmarkStart w:id="315" w:name="_Toc3739"/>
      <w:bookmarkStart w:id="316" w:name="_Toc24029"/>
      <w:bookmarkStart w:id="317" w:name="_Toc5790588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15"/>
      <w:r>
        <w:rPr>
          <w:rFonts w:hint="eastAsia" w:ascii="宋体" w:hAnsi="宋体" w:cs="宋体"/>
          <w:color w:val="auto"/>
          <w:sz w:val="21"/>
          <w:szCs w:val="21"/>
          <w:highlight w:val="none"/>
        </w:rPr>
        <w:t>标准</w:t>
      </w:r>
      <w:bookmarkEnd w:id="316"/>
      <w:bookmarkEnd w:id="317"/>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318" w:name="_Toc16832"/>
      <w:bookmarkStart w:id="319" w:name="_Toc57905889"/>
      <w:bookmarkStart w:id="320" w:name="_Toc744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18"/>
      <w:r>
        <w:rPr>
          <w:rFonts w:hint="eastAsia" w:ascii="宋体" w:hAnsi="宋体" w:cs="宋体"/>
          <w:color w:val="auto"/>
          <w:sz w:val="21"/>
          <w:szCs w:val="21"/>
          <w:highlight w:val="none"/>
        </w:rPr>
        <w:t>标准</w:t>
      </w:r>
      <w:bookmarkEnd w:id="319"/>
      <w:bookmarkEnd w:id="320"/>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321" w:name="_Toc57905890"/>
      <w:bookmarkStart w:id="322" w:name="_Toc30094"/>
      <w:bookmarkStart w:id="323" w:name="_Toc6630"/>
      <w:r>
        <w:rPr>
          <w:rFonts w:ascii="宋体" w:hAnsi="宋体"/>
          <w:b w:val="0"/>
          <w:snapToGrid w:val="0"/>
          <w:color w:val="auto"/>
          <w:highlight w:val="none"/>
        </w:rPr>
        <w:t>3.  评标程序</w:t>
      </w:r>
      <w:bookmarkEnd w:id="321"/>
      <w:bookmarkEnd w:id="322"/>
      <w:bookmarkEnd w:id="323"/>
    </w:p>
    <w:p>
      <w:pPr>
        <w:pStyle w:val="5"/>
        <w:spacing w:before="0" w:after="0" w:line="360" w:lineRule="auto"/>
        <w:rPr>
          <w:rFonts w:ascii="宋体" w:hAnsi="宋体" w:cs="宋体"/>
          <w:color w:val="auto"/>
          <w:sz w:val="21"/>
          <w:szCs w:val="21"/>
          <w:highlight w:val="none"/>
        </w:rPr>
      </w:pPr>
      <w:bookmarkStart w:id="324" w:name="_Toc57905891"/>
      <w:bookmarkStart w:id="325" w:name="_Toc19555"/>
      <w:bookmarkStart w:id="326" w:name="_Toc17317"/>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24"/>
      <w:bookmarkEnd w:id="325"/>
      <w:bookmarkEnd w:id="326"/>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pPr>
        <w:pStyle w:val="5"/>
        <w:spacing w:before="0" w:after="0" w:line="360" w:lineRule="auto"/>
        <w:rPr>
          <w:rFonts w:ascii="宋体" w:hAnsi="宋体" w:cs="宋体"/>
          <w:color w:val="auto"/>
          <w:sz w:val="21"/>
          <w:szCs w:val="21"/>
          <w:highlight w:val="none"/>
        </w:rPr>
      </w:pPr>
      <w:bookmarkStart w:id="327" w:name="_Toc57905892"/>
      <w:bookmarkStart w:id="328" w:name="_Toc2330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27"/>
      <w:bookmarkEnd w:id="328"/>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0000FF"/>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329" w:name="_Toc57905893"/>
      <w:bookmarkStart w:id="330" w:name="_Toc5505"/>
      <w:bookmarkStart w:id="331" w:name="_Toc30970"/>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29"/>
      <w:bookmarkEnd w:id="330"/>
      <w:bookmarkEnd w:id="33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332" w:name="_Toc484465184"/>
      <w:bookmarkStart w:id="333" w:name="_Toc479262406"/>
      <w:bookmarkStart w:id="334" w:name="_Toc26860"/>
      <w:bookmarkStart w:id="335" w:name="_Toc27746"/>
      <w:bookmarkStart w:id="336" w:name="_Toc5790589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32"/>
      <w:bookmarkEnd w:id="333"/>
      <w:bookmarkEnd w:id="334"/>
      <w:bookmarkEnd w:id="335"/>
      <w:bookmarkEnd w:id="33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360" w:lineRule="auto"/>
        <w:rPr>
          <w:rFonts w:ascii="宋体" w:hAnsi="宋体"/>
          <w:b/>
          <w:szCs w:val="20"/>
          <w:highlight w:val="none"/>
        </w:rPr>
      </w:pPr>
      <w:r>
        <w:rPr>
          <w:rFonts w:ascii="宋体" w:hAnsi="宋体"/>
          <w:kern w:val="0"/>
          <w:sz w:val="20"/>
          <w:szCs w:val="20"/>
          <w:highlight w:val="none"/>
        </w:rPr>
        <w:br w:type="page"/>
      </w:r>
    </w:p>
    <w:p>
      <w:pPr>
        <w:pStyle w:val="33"/>
        <w:spacing w:line="360" w:lineRule="auto"/>
        <w:rPr>
          <w:rFonts w:ascii="宋体" w:hAnsi="宋体"/>
          <w:b/>
          <w:color w:val="auto"/>
          <w:sz w:val="28"/>
          <w:szCs w:val="28"/>
          <w:highlight w:val="none"/>
          <w:u w:val="none"/>
          <w:lang w:eastAsia="zh-CN"/>
        </w:rPr>
      </w:pPr>
      <w:bookmarkStart w:id="337" w:name="招标文件04章合同条款及格式"/>
      <w:bookmarkEnd w:id="337"/>
      <w:bookmarkStart w:id="338" w:name="招标文件03章02评标办法综合评估法02附件02"/>
      <w:bookmarkEnd w:id="338"/>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pPr>
        <w:spacing w:line="480" w:lineRule="auto"/>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pPr>
        <w:pStyle w:val="3"/>
        <w:spacing w:line="360" w:lineRule="auto"/>
        <w:jc w:val="center"/>
        <w:rPr>
          <w:rFonts w:ascii="宋体" w:hAnsi="宋体"/>
          <w:kern w:val="0"/>
          <w:highlight w:val="none"/>
        </w:rPr>
      </w:pPr>
      <w:bookmarkStart w:id="339" w:name="_Toc10597"/>
      <w:bookmarkStart w:id="340" w:name="_Toc8427"/>
      <w:bookmarkStart w:id="341" w:name="_Toc12421"/>
      <w:bookmarkStart w:id="342" w:name="_Toc430530509"/>
      <w:bookmarkStart w:id="343" w:name="_Toc509218785"/>
      <w:r>
        <w:rPr>
          <w:rFonts w:hint="eastAsia" w:ascii="宋体" w:hAnsi="宋体"/>
          <w:kern w:val="0"/>
          <w:highlight w:val="none"/>
        </w:rPr>
        <w:t>第四章  合同条款及格式</w:t>
      </w:r>
      <w:bookmarkEnd w:id="339"/>
      <w:bookmarkEnd w:id="340"/>
      <w:bookmarkEnd w:id="341"/>
      <w:bookmarkEnd w:id="342"/>
      <w:bookmarkEnd w:id="343"/>
    </w:p>
    <w:p>
      <w:pPr>
        <w:pStyle w:val="5"/>
        <w:jc w:val="center"/>
        <w:rPr>
          <w:rFonts w:ascii="宋体" w:hAnsi="宋体"/>
          <w:b w:val="0"/>
          <w:color w:val="auto"/>
          <w:sz w:val="44"/>
          <w:szCs w:val="44"/>
          <w:highlight w:val="none"/>
        </w:rPr>
      </w:pPr>
      <w:r>
        <w:rPr>
          <w:rFonts w:ascii="宋体" w:hAnsi="宋体"/>
          <w:highlight w:val="none"/>
        </w:rPr>
        <w:br w:type="page"/>
      </w:r>
      <w:bookmarkStart w:id="344" w:name="_Toc57905907"/>
      <w:bookmarkStart w:id="345" w:name="_Toc534185765"/>
      <w:bookmarkStart w:id="346" w:name="_Toc12845"/>
      <w:bookmarkStart w:id="347" w:name="_Toc509218786"/>
      <w:bookmarkStart w:id="348" w:name="_Toc351203494"/>
      <w:bookmarkStart w:id="349" w:name="_Toc28155"/>
      <w:bookmarkStart w:id="350" w:name="_Toc17170"/>
      <w:bookmarkStart w:id="351" w:name="_Toc9133"/>
      <w:bookmarkStart w:id="352" w:name="_Toc296890982"/>
      <w:bookmarkStart w:id="353" w:name="_Toc296503025"/>
      <w:bookmarkStart w:id="354" w:name="_Toc351203480"/>
      <w:r>
        <w:rPr>
          <w:rFonts w:hint="default" w:ascii="Times New Roman" w:hAnsi="Times New Roman" w:cs="Times New Roman"/>
          <w:color w:val="auto"/>
          <w:sz w:val="44"/>
          <w:szCs w:val="44"/>
          <w:highlight w:val="none"/>
        </w:rPr>
        <w:t>第一部分</w:t>
      </w:r>
      <w:r>
        <w:rPr>
          <w:rFonts w:ascii="宋体" w:hAnsi="宋体"/>
          <w:color w:val="auto"/>
          <w:sz w:val="44"/>
          <w:szCs w:val="44"/>
          <w:highlight w:val="none"/>
        </w:rPr>
        <w:t xml:space="preserve"> 合同协议书</w:t>
      </w:r>
      <w:bookmarkEnd w:id="344"/>
      <w:bookmarkEnd w:id="345"/>
      <w:bookmarkEnd w:id="346"/>
      <w:bookmarkEnd w:id="347"/>
    </w:p>
    <w:bookmarkEnd w:id="348"/>
    <w:p>
      <w:pPr>
        <w:snapToGrid w:val="0"/>
        <w:spacing w:line="360" w:lineRule="auto"/>
        <w:ind w:firstLine="422" w:firstLineChars="200"/>
        <w:rPr>
          <w:rFonts w:ascii="宋体" w:hAnsi="宋体"/>
          <w:b/>
          <w:color w:val="auto"/>
          <w:szCs w:val="21"/>
          <w:highlight w:val="none"/>
          <w:u w:val="single"/>
        </w:rPr>
      </w:pPr>
      <w:bookmarkStart w:id="355" w:name="_Toc351203632"/>
      <w:r>
        <w:rPr>
          <w:rFonts w:hint="eastAsia" w:ascii="宋体" w:hAnsi="宋体"/>
          <w:b/>
          <w:color w:val="auto"/>
          <w:szCs w:val="21"/>
          <w:highlight w:val="none"/>
        </w:rPr>
        <w:t>发包人（全称）：</w:t>
      </w:r>
      <w:r>
        <w:rPr>
          <w:rFonts w:hint="default" w:ascii="宋体" w:hAnsi="宋体" w:eastAsia="宋体" w:cs="Times New Roman"/>
          <w:color w:val="auto"/>
          <w:szCs w:val="21"/>
          <w:highlight w:val="none"/>
          <w:u w:val="single"/>
        </w:rPr>
        <w:t>重庆新汇商实业有限公司</w:t>
      </w:r>
      <w:r>
        <w:rPr>
          <w:rFonts w:hint="eastAsia" w:ascii="宋体" w:hAnsi="宋体"/>
          <w:color w:val="auto"/>
          <w:szCs w:val="21"/>
          <w:highlight w:val="none"/>
          <w:u w:val="single"/>
        </w:rPr>
        <w:t xml:space="preserve">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w:t>
      </w:r>
      <w:bookmarkStart w:id="1321" w:name="_GoBack"/>
      <w:r>
        <w:rPr>
          <w:rFonts w:hint="eastAsia" w:ascii="宋体" w:hAnsi="宋体"/>
          <w:color w:val="auto"/>
          <w:szCs w:val="21"/>
          <w:highlight w:val="none"/>
        </w:rPr>
        <w:t>自愿、公平和诚实信用的原则，双方就</w:t>
      </w:r>
      <w:r>
        <w:rPr>
          <w:rFonts w:hint="eastAsia" w:ascii="宋体" w:hAnsi="宋体"/>
          <w:snapToGrid w:val="0"/>
          <w:color w:val="auto"/>
          <w:kern w:val="0"/>
          <w:szCs w:val="21"/>
          <w:highlight w:val="none"/>
          <w:u w:val="single"/>
        </w:rPr>
        <w:t>迎龙医药城一期项目新增健康跑道施工</w:t>
      </w:r>
      <w:r>
        <w:rPr>
          <w:rFonts w:hint="eastAsia" w:ascii="宋体" w:hAnsi="宋体"/>
          <w:color w:val="auto"/>
          <w:szCs w:val="21"/>
          <w:highlight w:val="none"/>
        </w:rPr>
        <w:t>及有关事项协商一致，共</w:t>
      </w:r>
      <w:bookmarkEnd w:id="1321"/>
      <w:r>
        <w:rPr>
          <w:rFonts w:hint="eastAsia" w:ascii="宋体" w:hAnsi="宋体"/>
          <w:color w:val="auto"/>
          <w:szCs w:val="21"/>
          <w:highlight w:val="none"/>
        </w:rPr>
        <w:t>同达成如下协议：</w:t>
      </w:r>
    </w:p>
    <w:p>
      <w:pPr>
        <w:pStyle w:val="6"/>
        <w:keepNext/>
        <w:keepLines/>
        <w:spacing w:before="120" w:after="120" w:line="360" w:lineRule="auto"/>
        <w:ind w:firstLine="422" w:firstLineChars="200"/>
        <w:jc w:val="both"/>
        <w:rPr>
          <w:color w:val="auto"/>
          <w:kern w:val="2"/>
          <w:sz w:val="21"/>
          <w:szCs w:val="21"/>
          <w:highlight w:val="none"/>
        </w:rPr>
      </w:pPr>
      <w:bookmarkStart w:id="356" w:name="_Toc351203481"/>
      <w:bookmarkStart w:id="357" w:name="_Toc532377166"/>
      <w:bookmarkStart w:id="358" w:name="_Toc532375573"/>
      <w:r>
        <w:rPr>
          <w:rFonts w:hint="eastAsia"/>
          <w:color w:val="auto"/>
          <w:kern w:val="2"/>
          <w:sz w:val="21"/>
          <w:szCs w:val="21"/>
          <w:highlight w:val="none"/>
        </w:rPr>
        <w:t>一、工程概况</w:t>
      </w:r>
      <w:bookmarkEnd w:id="356"/>
      <w:bookmarkEnd w:id="357"/>
      <w:bookmarkEnd w:id="358"/>
    </w:p>
    <w:p>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snapToGrid w:val="0"/>
          <w:color w:val="auto"/>
          <w:kern w:val="0"/>
          <w:szCs w:val="21"/>
          <w:highlight w:val="none"/>
          <w:u w:val="single"/>
        </w:rPr>
        <w:t>迎龙医药城一期项目新增健康跑道施工</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snapToGrid w:val="0"/>
          <w:color w:val="auto"/>
          <w:kern w:val="0"/>
          <w:szCs w:val="21"/>
          <w:highlight w:val="none"/>
          <w:u w:val="single"/>
          <w:lang w:val="en-US" w:eastAsia="zh-CN"/>
        </w:rPr>
        <w:t>经开区</w:t>
      </w:r>
      <w:r>
        <w:rPr>
          <w:rFonts w:hint="eastAsia" w:ascii="宋体" w:hAnsi="宋体"/>
          <w:snapToGrid w:val="0"/>
          <w:color w:val="auto"/>
          <w:kern w:val="0"/>
          <w:szCs w:val="21"/>
          <w:highlight w:val="none"/>
          <w:u w:val="single"/>
        </w:rPr>
        <w:t>迎龙</w:t>
      </w:r>
      <w:r>
        <w:rPr>
          <w:rFonts w:hint="eastAsia" w:ascii="宋体" w:hAnsi="宋体"/>
          <w:snapToGrid w:val="0"/>
          <w:color w:val="auto"/>
          <w:kern w:val="0"/>
          <w:szCs w:val="21"/>
          <w:highlight w:val="none"/>
          <w:u w:val="single"/>
          <w:lang w:val="en-US" w:eastAsia="zh-CN"/>
        </w:rPr>
        <w:t>医药城</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bCs/>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default" w:ascii="Times New Roman" w:hAnsi="Times New Roman" w:cs="Times New Roman"/>
          <w:color w:val="auto"/>
          <w:szCs w:val="21"/>
          <w:highlight w:val="none"/>
          <w:u w:val="single"/>
          <w:lang w:val="en-US" w:eastAsia="zh-CN"/>
        </w:rPr>
        <w:t>财政资金</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snapToGrid w:val="0"/>
          <w:color w:val="0000FF"/>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0000FF"/>
          <w:kern w:val="0"/>
          <w:szCs w:val="21"/>
          <w:highlight w:val="none"/>
          <w:u w:val="single"/>
        </w:rPr>
        <w:t>。（详见</w:t>
      </w:r>
      <w:r>
        <w:rPr>
          <w:rFonts w:hint="eastAsia" w:ascii="宋体" w:hAnsi="宋体"/>
          <w:snapToGrid w:val="0"/>
          <w:color w:val="0000FF"/>
          <w:kern w:val="0"/>
          <w:szCs w:val="21"/>
          <w:highlight w:val="none"/>
          <w:u w:val="single"/>
          <w:lang w:val="en-US" w:eastAsia="zh-CN"/>
        </w:rPr>
        <w:t>工程量清单</w:t>
      </w:r>
      <w:r>
        <w:rPr>
          <w:rFonts w:hint="eastAsia" w:ascii="宋体" w:hAnsi="宋体"/>
          <w:snapToGrid w:val="0"/>
          <w:color w:val="0000FF"/>
          <w:kern w:val="0"/>
          <w:szCs w:val="21"/>
          <w:highlight w:val="none"/>
          <w:u w:val="single"/>
        </w:rPr>
        <w:t>）</w:t>
      </w:r>
      <w:r>
        <w:rPr>
          <w:rFonts w:hint="eastAsia" w:ascii="宋体" w:hAnsi="宋体"/>
          <w:color w:val="auto"/>
          <w:szCs w:val="21"/>
          <w:highlight w:val="none"/>
        </w:rPr>
        <w:t>。</w:t>
      </w:r>
    </w:p>
    <w:p>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6.工程承包范围：重邮科技园市政道路北源路、星环路沿市政人行道增设户外健康跑道615米。（详见工程量清单）</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59" w:name="_Toc532377167"/>
      <w:bookmarkStart w:id="360" w:name="_Toc351203482"/>
      <w:bookmarkStart w:id="361" w:name="_Toc532375574"/>
      <w:r>
        <w:rPr>
          <w:rFonts w:hint="eastAsia"/>
          <w:color w:val="auto"/>
          <w:kern w:val="2"/>
          <w:sz w:val="21"/>
          <w:szCs w:val="21"/>
          <w:highlight w:val="none"/>
        </w:rPr>
        <w:t>二、合同工期</w:t>
      </w:r>
      <w:bookmarkEnd w:id="359"/>
      <w:bookmarkEnd w:id="360"/>
      <w:bookmarkEnd w:id="361"/>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bCs/>
          <w:color w:val="auto"/>
          <w:szCs w:val="21"/>
          <w:highlight w:val="none"/>
        </w:rPr>
        <w:t>承包人投标函中承诺的工期：</w:t>
      </w:r>
      <w:r>
        <w:rPr>
          <w:rFonts w:hint="eastAsia" w:ascii="宋体" w:hAnsi="宋体"/>
          <w:snapToGrid w:val="0"/>
          <w:color w:val="0000FF"/>
          <w:kern w:val="0"/>
          <w:szCs w:val="21"/>
          <w:highlight w:val="none"/>
          <w:u w:val="single"/>
          <w:lang w:val="en-US" w:eastAsia="zh-CN"/>
        </w:rPr>
        <w:t>50日历天（从中标通知书发出之日起算，2024年7月10日前完工）。（未按时完工的承担违约金1000元/天，发包人同意延期的，以双方确定的延期时间为准）。</w:t>
      </w:r>
    </w:p>
    <w:p>
      <w:pPr>
        <w:spacing w:line="360" w:lineRule="auto"/>
        <w:ind w:firstLine="420" w:firstLineChars="200"/>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缺陷责任期:约定为 24 个月，从竣工验收之日起计算。</w:t>
      </w:r>
    </w:p>
    <w:p>
      <w:pPr>
        <w:pStyle w:val="6"/>
        <w:keepNext/>
        <w:keepLines/>
        <w:spacing w:before="120" w:after="120" w:line="360" w:lineRule="auto"/>
        <w:ind w:firstLine="422" w:firstLineChars="200"/>
        <w:jc w:val="both"/>
        <w:rPr>
          <w:color w:val="auto"/>
          <w:kern w:val="2"/>
          <w:sz w:val="21"/>
          <w:szCs w:val="21"/>
          <w:highlight w:val="none"/>
        </w:rPr>
      </w:pPr>
      <w:bookmarkStart w:id="362" w:name="_Toc532377168"/>
      <w:bookmarkStart w:id="363" w:name="_Toc532375575"/>
      <w:bookmarkStart w:id="364" w:name="_Toc351203483"/>
      <w:r>
        <w:rPr>
          <w:rFonts w:hint="eastAsia"/>
          <w:color w:val="auto"/>
          <w:kern w:val="2"/>
          <w:sz w:val="21"/>
          <w:szCs w:val="21"/>
          <w:highlight w:val="none"/>
        </w:rPr>
        <w:t>三、质量标准</w:t>
      </w:r>
      <w:bookmarkEnd w:id="362"/>
      <w:bookmarkEnd w:id="363"/>
      <w:bookmarkEnd w:id="364"/>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pPr>
        <w:pStyle w:val="6"/>
        <w:keepNext/>
        <w:keepLines/>
        <w:spacing w:before="120" w:after="120" w:line="360" w:lineRule="auto"/>
        <w:ind w:firstLine="422" w:firstLineChars="200"/>
        <w:jc w:val="both"/>
        <w:rPr>
          <w:color w:val="auto"/>
          <w:kern w:val="2"/>
          <w:sz w:val="21"/>
          <w:szCs w:val="21"/>
          <w:highlight w:val="none"/>
        </w:rPr>
      </w:pPr>
      <w:bookmarkStart w:id="365" w:name="_Toc532377169"/>
      <w:bookmarkStart w:id="366" w:name="_Toc351203484"/>
      <w:bookmarkStart w:id="367" w:name="_Toc532375576"/>
      <w:r>
        <w:rPr>
          <w:rFonts w:hint="eastAsia"/>
          <w:color w:val="auto"/>
          <w:kern w:val="2"/>
          <w:sz w:val="21"/>
          <w:szCs w:val="21"/>
          <w:highlight w:val="none"/>
        </w:rPr>
        <w:t>四、签约合同价与合同价格形式</w:t>
      </w:r>
      <w:bookmarkEnd w:id="365"/>
      <w:bookmarkEnd w:id="366"/>
      <w:bookmarkEnd w:id="367"/>
      <w:r>
        <w:rPr>
          <w:rFonts w:hint="eastAsia"/>
          <w:color w:val="auto"/>
          <w:kern w:val="2"/>
          <w:sz w:val="21"/>
          <w:szCs w:val="21"/>
          <w:highlight w:val="none"/>
        </w:rPr>
        <w:tab/>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1、合同暂定价格为人民币（大写）：</w:t>
      </w:r>
      <w:r>
        <w:rPr>
          <w:rFonts w:hint="default" w:ascii="宋体" w:hAnsi="宋体" w:eastAsia="宋体" w:cs="Times New Roman"/>
          <w:color w:val="auto"/>
          <w:szCs w:val="21"/>
          <w:highlight w:val="none"/>
          <w:u w:val="single"/>
          <w:lang w:val="en-US" w:eastAsia="zh-CN"/>
        </w:rPr>
        <w:t xml:space="preserve">     </w:t>
      </w:r>
      <w:r>
        <w:rPr>
          <w:rFonts w:hint="default" w:ascii="宋体" w:hAnsi="宋体" w:eastAsia="宋体" w:cs="Times New Roman"/>
          <w:color w:val="auto"/>
          <w:szCs w:val="21"/>
          <w:highlight w:val="none"/>
          <w:u w:val="single"/>
        </w:rPr>
        <w:t xml:space="preserve"> </w:t>
      </w:r>
      <w:r>
        <w:rPr>
          <w:rFonts w:hint="default" w:ascii="宋体" w:hAnsi="宋体" w:eastAsia="宋体" w:cs="Times New Roman"/>
          <w:color w:val="auto"/>
          <w:szCs w:val="21"/>
          <w:highlight w:val="none"/>
        </w:rPr>
        <w:t>元。</w:t>
      </w:r>
    </w:p>
    <w:p>
      <w:pPr>
        <w:keepNext w:val="0"/>
        <w:keepLines w:val="0"/>
        <w:pageBreakBefore w:val="0"/>
        <w:widowControl w:val="0"/>
        <w:kinsoku/>
        <w:wordWrap/>
        <w:overflowPunct/>
        <w:topLinePunct w:val="0"/>
        <w:autoSpaceDE/>
        <w:autoSpaceDN/>
        <w:bidi w:val="0"/>
        <w:adjustRightInd/>
        <w:snapToGrid/>
        <w:spacing w:line="460" w:lineRule="atLeast"/>
        <w:ind w:firstLine="420" w:firstLineChars="200"/>
        <w:jc w:val="left"/>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val="en-US" w:eastAsia="zh-CN"/>
        </w:rPr>
        <w:t>承包人在合同签订后2周内编制施工图预算，</w:t>
      </w:r>
      <w:r>
        <w:rPr>
          <w:rFonts w:hint="eastAsia" w:ascii="宋体" w:hAnsi="宋体" w:eastAsia="宋体" w:cs="Times New Roman"/>
          <w:color w:val="auto"/>
          <w:szCs w:val="21"/>
          <w:highlight w:val="none"/>
          <w:lang w:val="en-US" w:eastAsia="zh-CN"/>
        </w:rPr>
        <w:t>经发包人及其委托的咨询单位审核后最终由经开投资集团成本管理部进行审定</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lang w:val="en-US" w:eastAsia="zh-CN"/>
        </w:rPr>
        <w:t>作为期中支付和结算依据</w:t>
      </w:r>
      <w:r>
        <w:rPr>
          <w:rFonts w:hint="default" w:ascii="宋体" w:hAnsi="宋体" w:eastAsia="宋体" w:cs="Times New Roman"/>
          <w:color w:val="auto"/>
          <w:szCs w:val="21"/>
          <w:highlight w:val="none"/>
        </w:rPr>
        <w:t xml:space="preserve">。 </w:t>
      </w:r>
      <w:r>
        <w:rPr>
          <w:rFonts w:hint="default" w:ascii="宋体" w:hAnsi="宋体" w:eastAsia="宋体" w:cs="Times New Roman"/>
          <w:color w:val="auto"/>
          <w:szCs w:val="21"/>
          <w:highlight w:val="none"/>
          <w:lang w:val="en-US" w:eastAsia="zh-CN"/>
        </w:rPr>
        <w:t>施工图预算</w:t>
      </w:r>
      <w:r>
        <w:rPr>
          <w:rFonts w:hint="default" w:ascii="宋体" w:hAnsi="宋体" w:eastAsia="宋体" w:cs="Times New Roman"/>
          <w:color w:val="auto"/>
          <w:szCs w:val="21"/>
          <w:highlight w:val="none"/>
        </w:rPr>
        <w:t>采用</w:t>
      </w:r>
      <w:r>
        <w:rPr>
          <w:rFonts w:hint="default" w:ascii="宋体" w:hAnsi="宋体" w:eastAsia="宋体" w:cs="Times New Roman"/>
          <w:color w:val="auto"/>
          <w:szCs w:val="21"/>
          <w:highlight w:val="none"/>
          <w:lang w:val="en-US" w:eastAsia="zh-CN"/>
        </w:rPr>
        <w:t>清单计价模式，</w:t>
      </w:r>
      <w:r>
        <w:rPr>
          <w:rFonts w:hint="default" w:ascii="宋体" w:hAnsi="宋体" w:eastAsia="宋体" w:cs="Times New Roman"/>
          <w:color w:val="auto"/>
          <w:szCs w:val="21"/>
          <w:highlight w:val="none"/>
        </w:rPr>
        <w:t>综合单价包干形式，该包干单价包含</w:t>
      </w:r>
      <w:r>
        <w:rPr>
          <w:rFonts w:hint="default" w:ascii="宋体" w:hAnsi="宋体" w:eastAsia="宋体" w:cs="Times New Roman"/>
          <w:color w:val="auto"/>
          <w:szCs w:val="21"/>
          <w:highlight w:val="none"/>
          <w:lang w:val="en-US" w:eastAsia="zh-CN"/>
        </w:rPr>
        <w:t>发包</w:t>
      </w:r>
      <w:r>
        <w:rPr>
          <w:rFonts w:hint="default" w:ascii="宋体" w:hAnsi="宋体" w:eastAsia="宋体" w:cs="Times New Roman"/>
          <w:color w:val="auto"/>
          <w:szCs w:val="21"/>
          <w:highlight w:val="none"/>
          <w:lang w:eastAsia="zh-CN"/>
        </w:rPr>
        <w:t>人</w:t>
      </w:r>
      <w:r>
        <w:rPr>
          <w:rFonts w:hint="default" w:ascii="宋体" w:hAnsi="宋体" w:eastAsia="宋体" w:cs="Times New Roman"/>
          <w:color w:val="auto"/>
          <w:szCs w:val="21"/>
          <w:highlight w:val="none"/>
        </w:rPr>
        <w:t>确认的施工范围全部工作内容，并达到约定的功能要求，除根据合同约定的在工程实施过程中需进行增减的款项外，其他任何情况均不进行单价调整，但合同当事人另有约定的除外</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包含但不限于施工的人工费、材料费、施工机具使用费、企业管理费、利润、风险费</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场内外运输及二次转运费、成品保护费、试验检验费</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鉴定费、水电费、施工措施费、垃圾清运费、高温补贴费、安全责任及安全措施费及其它不可预见费、其他项目费、规费、税金、政策性文件、室内空气质量检测、装饰地点物业公司（如：装修保证金、弃渣费等）规定的所有费用等全部费用并充分考虑风险因素。</w:t>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承包人</w:t>
      </w:r>
      <w:r>
        <w:rPr>
          <w:rFonts w:hint="default" w:ascii="宋体" w:hAnsi="宋体" w:eastAsia="宋体" w:cs="Times New Roman"/>
          <w:color w:val="auto"/>
          <w:szCs w:val="21"/>
          <w:highlight w:val="none"/>
          <w:lang w:val="en-US" w:eastAsia="zh-CN"/>
        </w:rPr>
        <w:t>编制的施工图预算</w:t>
      </w:r>
      <w:r>
        <w:rPr>
          <w:rFonts w:hint="default" w:ascii="宋体" w:hAnsi="宋体" w:eastAsia="宋体" w:cs="Times New Roman"/>
          <w:color w:val="auto"/>
          <w:szCs w:val="21"/>
          <w:highlight w:val="none"/>
        </w:rPr>
        <w:t>以招标文件、合同条件、本次招标范围的施工设计图纸、国家技术和经济规范及标准、《建设工程工程量清单计价规范》（GB50500-2013）、《房屋与装饰工程工程量计算规范》（GB50584－2013）等相应的工程量计算规范、《重庆市建设工程工程量清单计价规则》（CQJJGZ－2013）、《重庆市建设工程工程量计算规则》（CQJLGZ－2013）；定额采用《重庆市房屋建筑与装饰工程计价定额》（CQJZZSDE-2018）、《重庆市通用安装工程计价定额》（CQAZDE-2018）、《重庆市绿色建筑工程计价定额》（CQLSJZDE-2018）、《重庆市构筑物工程计价定额》（CQGZWDE-2018）、《重庆市建设工程费用定额》（CQFYDE-2018）、《重庆市建设工程混凝土及砂浆配合比表》（CQPHBB-2018）、《重庆市建设工程施工仪器仪表台班定额》（CQYQYBDE-2018）、《重庆市建设工程施工机械台班定额》（CQJXDE-2018）等定额结合相关配套文件进行计价。</w:t>
      </w:r>
    </w:p>
    <w:p>
      <w:pPr>
        <w:spacing w:line="460" w:lineRule="atLeast"/>
        <w:ind w:firstLine="420" w:firstLineChars="200"/>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上述计价定额缺项时，按其他行业计价定额及相关配套文件执行；再缺项时，由建设、施工、监理、全过程审核单位共同编制一次性补充定额或市场核价，并做好施工期人工、材料等耗量的签证以及影像资料的收集，以咨询重庆市建设工程造价管理总站的意见为</w:t>
      </w:r>
      <w:r>
        <w:rPr>
          <w:rFonts w:hint="default" w:ascii="宋体" w:hAnsi="宋体" w:eastAsia="宋体" w:cs="Times New Roman"/>
          <w:color w:val="auto"/>
          <w:szCs w:val="21"/>
          <w:highlight w:val="none"/>
          <w:lang w:val="en-US" w:eastAsia="zh-CN"/>
        </w:rPr>
        <w:t>编制</w:t>
      </w:r>
      <w:r>
        <w:rPr>
          <w:rFonts w:hint="default" w:ascii="宋体" w:hAnsi="宋体" w:eastAsia="宋体" w:cs="Times New Roman"/>
          <w:color w:val="auto"/>
          <w:szCs w:val="21"/>
          <w:highlight w:val="none"/>
        </w:rPr>
        <w:t>依据。</w:t>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eastAsia="zh-CN"/>
        </w:rPr>
        <w:t>施工图预算人材机、措施费等计价原则同结算原则</w:t>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val="en-US" w:eastAsia="zh-CN"/>
        </w:rPr>
        <w:t>2</w:t>
      </w:r>
      <w:r>
        <w:rPr>
          <w:rFonts w:hint="default" w:ascii="宋体" w:hAnsi="宋体" w:eastAsia="宋体" w:cs="Times New Roman"/>
          <w:color w:val="auto"/>
          <w:szCs w:val="21"/>
          <w:highlight w:val="none"/>
        </w:rPr>
        <w:t>、合同结算方式</w:t>
      </w:r>
    </w:p>
    <w:p>
      <w:pPr>
        <w:spacing w:line="460" w:lineRule="atLeast"/>
        <w:ind w:firstLine="420" w:firstLineChars="200"/>
        <w:jc w:val="left"/>
        <w:rPr>
          <w:rFonts w:ascii="宋体" w:hAnsi="宋体"/>
          <w:color w:val="auto"/>
          <w:szCs w:val="21"/>
          <w:highlight w:val="none"/>
        </w:rPr>
      </w:pPr>
      <w:r>
        <w:rPr>
          <w:rFonts w:hint="default" w:ascii="宋体" w:hAnsi="宋体" w:eastAsia="宋体" w:cs="Times New Roman"/>
          <w:color w:val="auto"/>
          <w:szCs w:val="21"/>
          <w:highlight w:val="none"/>
        </w:rPr>
        <w:t>结算总价＝</w:t>
      </w:r>
      <w:r>
        <w:rPr>
          <w:rFonts w:hint="eastAsia" w:ascii="宋体" w:hAnsi="宋体" w:eastAsia="宋体" w:cs="Times New Roman"/>
          <w:color w:val="auto"/>
          <w:szCs w:val="21"/>
          <w:highlight w:val="none"/>
          <w:lang w:val="en-US" w:eastAsia="zh-CN"/>
        </w:rPr>
        <w:t>各分部分项工程量清单结算价+措施项目费（除安全文明施工费外）+安全文明施工费+规费+税金+设计变更部分结算价款±合同约定的其它费用-违约处理金</w:t>
      </w:r>
      <w:r>
        <w:rPr>
          <w:rFonts w:hint="default" w:ascii="宋体" w:hAnsi="宋体" w:eastAsia="宋体" w:cs="Times New Roman"/>
          <w:color w:val="auto"/>
          <w:szCs w:val="21"/>
          <w:highlight w:val="none"/>
        </w:rPr>
        <w:t>，如需</w:t>
      </w:r>
      <w:r>
        <w:rPr>
          <w:rFonts w:hint="eastAsia" w:ascii="宋体" w:hAnsi="宋体" w:eastAsia="宋体" w:cs="Times New Roman"/>
          <w:color w:val="auto"/>
          <w:szCs w:val="21"/>
          <w:highlight w:val="none"/>
          <w:lang w:eastAsia="zh-CN"/>
        </w:rPr>
        <w:t>集团、有关单位</w:t>
      </w:r>
      <w:r>
        <w:rPr>
          <w:rFonts w:hint="default" w:ascii="宋体" w:hAnsi="宋体" w:eastAsia="宋体" w:cs="Times New Roman"/>
          <w:color w:val="auto"/>
          <w:szCs w:val="21"/>
          <w:highlight w:val="none"/>
        </w:rPr>
        <w:t>审核的，以</w:t>
      </w:r>
      <w:r>
        <w:rPr>
          <w:rFonts w:hint="eastAsia" w:ascii="宋体" w:hAnsi="宋体" w:eastAsia="宋体" w:cs="Times New Roman"/>
          <w:color w:val="auto"/>
          <w:szCs w:val="21"/>
          <w:highlight w:val="none"/>
          <w:lang w:eastAsia="zh-CN"/>
        </w:rPr>
        <w:t>集团、有关单位</w:t>
      </w:r>
      <w:r>
        <w:rPr>
          <w:rFonts w:hint="default" w:ascii="宋体" w:hAnsi="宋体" w:eastAsia="宋体" w:cs="Times New Roman"/>
          <w:color w:val="auto"/>
          <w:szCs w:val="21"/>
          <w:highlight w:val="none"/>
        </w:rPr>
        <w:t>审定金额为准</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最终工程费结算金额(除</w:t>
      </w:r>
      <w:r>
        <w:rPr>
          <w:rFonts w:hint="default" w:ascii="宋体" w:hAnsi="宋体" w:eastAsia="宋体" w:cs="Times New Roman"/>
          <w:color w:val="auto"/>
          <w:szCs w:val="21"/>
          <w:highlight w:val="none"/>
          <w:lang w:eastAsia="zh-CN"/>
        </w:rPr>
        <w:t>发包人同意或</w:t>
      </w:r>
      <w:r>
        <w:rPr>
          <w:rFonts w:hint="default" w:ascii="宋体" w:hAnsi="宋体" w:eastAsia="宋体" w:cs="Times New Roman"/>
          <w:color w:val="auto"/>
          <w:szCs w:val="21"/>
          <w:highlight w:val="none"/>
        </w:rPr>
        <w:t>不可抗力外)不得超过</w:t>
      </w:r>
      <w:r>
        <w:rPr>
          <w:rFonts w:hint="default" w:ascii="宋体" w:hAnsi="宋体" w:eastAsia="宋体" w:cs="Times New Roman"/>
          <w:color w:val="auto"/>
          <w:szCs w:val="21"/>
          <w:highlight w:val="none"/>
          <w:lang w:val="en-US" w:eastAsia="zh-CN"/>
        </w:rPr>
        <w:t>经发科局审定的概算对应的工程费金额</w:t>
      </w:r>
      <w:r>
        <w:rPr>
          <w:rFonts w:hint="default" w:ascii="宋体" w:hAnsi="宋体" w:eastAsia="宋体" w:cs="Times New Roman"/>
          <w:color w:val="auto"/>
          <w:szCs w:val="21"/>
          <w:highlight w:val="none"/>
        </w:rPr>
        <w:t>。超出部分，</w:t>
      </w:r>
      <w:r>
        <w:rPr>
          <w:rFonts w:hint="default" w:ascii="宋体" w:hAnsi="宋体" w:eastAsia="宋体" w:cs="Times New Roman"/>
          <w:color w:val="auto"/>
          <w:szCs w:val="21"/>
          <w:highlight w:val="none"/>
          <w:lang w:val="en-US" w:eastAsia="zh-CN"/>
        </w:rPr>
        <w:t>发包</w:t>
      </w:r>
      <w:r>
        <w:rPr>
          <w:rFonts w:hint="default" w:ascii="宋体" w:hAnsi="宋体" w:eastAsia="宋体" w:cs="Times New Roman"/>
          <w:color w:val="auto"/>
          <w:szCs w:val="21"/>
          <w:highlight w:val="none"/>
        </w:rPr>
        <w:t>人将不予支付相关费用，由</w:t>
      </w:r>
      <w:r>
        <w:rPr>
          <w:rFonts w:hint="default" w:ascii="宋体" w:hAnsi="宋体" w:eastAsia="宋体" w:cs="Times New Roman"/>
          <w:color w:val="auto"/>
          <w:szCs w:val="21"/>
          <w:highlight w:val="none"/>
          <w:lang w:val="en-US" w:eastAsia="zh-CN"/>
        </w:rPr>
        <w:t>承包</w:t>
      </w:r>
      <w:r>
        <w:rPr>
          <w:rFonts w:hint="default" w:ascii="宋体" w:hAnsi="宋体" w:eastAsia="宋体" w:cs="Times New Roman"/>
          <w:color w:val="auto"/>
          <w:szCs w:val="21"/>
          <w:highlight w:val="none"/>
        </w:rPr>
        <w:t>人在保证工程达到</w:t>
      </w:r>
      <w:r>
        <w:rPr>
          <w:rFonts w:hint="default" w:ascii="宋体" w:hAnsi="宋体" w:eastAsia="宋体" w:cs="Times New Roman"/>
          <w:color w:val="auto"/>
          <w:szCs w:val="21"/>
          <w:highlight w:val="none"/>
          <w:lang w:val="en-US" w:eastAsia="zh-CN"/>
        </w:rPr>
        <w:t>相应规范</w:t>
      </w:r>
      <w:r>
        <w:rPr>
          <w:rFonts w:hint="default" w:ascii="宋体" w:hAnsi="宋体" w:eastAsia="宋体" w:cs="Times New Roman"/>
          <w:color w:val="auto"/>
          <w:szCs w:val="21"/>
          <w:highlight w:val="none"/>
        </w:rPr>
        <w:t>的前提下，自行承担超出部分相关费用。</w:t>
      </w:r>
    </w:p>
    <w:p>
      <w:pPr>
        <w:pStyle w:val="6"/>
        <w:keepNext/>
        <w:keepLines/>
        <w:spacing w:before="120" w:after="120" w:line="360" w:lineRule="auto"/>
        <w:ind w:firstLine="422" w:firstLineChars="200"/>
        <w:jc w:val="both"/>
        <w:rPr>
          <w:color w:val="auto"/>
          <w:kern w:val="2"/>
          <w:sz w:val="21"/>
          <w:szCs w:val="21"/>
          <w:highlight w:val="none"/>
        </w:rPr>
      </w:pPr>
      <w:bookmarkStart w:id="368" w:name="_Toc351203485"/>
      <w:bookmarkStart w:id="369" w:name="_Toc532375577"/>
      <w:bookmarkStart w:id="370" w:name="_Toc532377170"/>
      <w:r>
        <w:rPr>
          <w:rFonts w:hint="eastAsia"/>
          <w:color w:val="auto"/>
          <w:kern w:val="2"/>
          <w:sz w:val="21"/>
          <w:szCs w:val="21"/>
          <w:highlight w:val="none"/>
        </w:rPr>
        <w:t>五、</w:t>
      </w:r>
      <w:bookmarkEnd w:id="368"/>
      <w:r>
        <w:rPr>
          <w:rFonts w:hint="eastAsia"/>
          <w:color w:val="auto"/>
          <w:kern w:val="2"/>
          <w:sz w:val="21"/>
          <w:szCs w:val="21"/>
          <w:highlight w:val="none"/>
        </w:rPr>
        <w:t>项目经理及技术负责人</w:t>
      </w:r>
      <w:bookmarkEnd w:id="369"/>
      <w:bookmarkEnd w:id="37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rPr>
          <w:rFonts w:ascii="宋体" w:hAnsi="宋体"/>
          <w:color w:val="auto"/>
          <w:szCs w:val="21"/>
          <w:highlight w:val="none"/>
        </w:rPr>
      </w:pPr>
      <w:r>
        <w:rPr>
          <w:rFonts w:hint="eastAsia" w:ascii="宋体" w:hAnsi="宋体"/>
          <w:color w:val="auto"/>
          <w:szCs w:val="21"/>
          <w:highlight w:val="none"/>
        </w:rPr>
        <w:t>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71" w:name="_Toc351203486"/>
      <w:bookmarkStart w:id="372" w:name="_Toc532377171"/>
      <w:bookmarkStart w:id="373" w:name="_Toc532375578"/>
      <w:r>
        <w:rPr>
          <w:rFonts w:hint="eastAsia"/>
          <w:color w:val="auto"/>
          <w:kern w:val="2"/>
          <w:sz w:val="21"/>
          <w:szCs w:val="21"/>
          <w:highlight w:val="none"/>
        </w:rPr>
        <w:t>六、合同文件构成</w:t>
      </w:r>
      <w:bookmarkEnd w:id="371"/>
      <w:bookmarkEnd w:id="372"/>
      <w:bookmarkEnd w:id="373"/>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color w:val="auto"/>
          <w:kern w:val="2"/>
          <w:sz w:val="21"/>
          <w:szCs w:val="21"/>
          <w:highlight w:val="none"/>
        </w:rPr>
      </w:pPr>
      <w:bookmarkStart w:id="374" w:name="_Toc351203487"/>
      <w:bookmarkStart w:id="375" w:name="_Toc532377172"/>
      <w:bookmarkStart w:id="376" w:name="_Toc532375579"/>
      <w:r>
        <w:rPr>
          <w:rFonts w:hint="eastAsia"/>
          <w:color w:val="auto"/>
          <w:kern w:val="2"/>
          <w:sz w:val="21"/>
          <w:szCs w:val="21"/>
          <w:highlight w:val="none"/>
        </w:rPr>
        <w:t>七、承诺</w:t>
      </w:r>
      <w:bookmarkEnd w:id="374"/>
      <w:bookmarkEnd w:id="375"/>
      <w:bookmarkEnd w:id="37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color w:val="auto"/>
          <w:kern w:val="2"/>
          <w:sz w:val="21"/>
          <w:szCs w:val="21"/>
          <w:highlight w:val="none"/>
        </w:rPr>
      </w:pPr>
      <w:bookmarkStart w:id="377" w:name="_Toc532377173"/>
      <w:bookmarkStart w:id="378" w:name="_Toc351203488"/>
      <w:bookmarkStart w:id="379" w:name="_Toc532375580"/>
      <w:r>
        <w:rPr>
          <w:rFonts w:hint="eastAsia"/>
          <w:color w:val="auto"/>
          <w:kern w:val="2"/>
          <w:sz w:val="21"/>
          <w:szCs w:val="21"/>
          <w:highlight w:val="none"/>
        </w:rPr>
        <w:t>八、词语含义</w:t>
      </w:r>
      <w:bookmarkEnd w:id="377"/>
      <w:bookmarkEnd w:id="378"/>
      <w:bookmarkEnd w:id="379"/>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380" w:name="_Toc532377174"/>
      <w:bookmarkStart w:id="381" w:name="_Toc532375581"/>
      <w:r>
        <w:rPr>
          <w:rFonts w:hint="eastAsia"/>
          <w:color w:val="auto"/>
          <w:kern w:val="2"/>
          <w:sz w:val="21"/>
          <w:szCs w:val="21"/>
          <w:highlight w:val="none"/>
        </w:rPr>
        <w:t>九、签订时间</w:t>
      </w:r>
      <w:bookmarkEnd w:id="380"/>
      <w:bookmarkEnd w:id="381"/>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382" w:name="_Toc351203489"/>
      <w:bookmarkStart w:id="383" w:name="_Toc532377175"/>
      <w:bookmarkStart w:id="384" w:name="_Toc532375582"/>
      <w:r>
        <w:rPr>
          <w:rFonts w:hint="eastAsia"/>
          <w:color w:val="auto"/>
          <w:kern w:val="2"/>
          <w:sz w:val="21"/>
          <w:szCs w:val="21"/>
          <w:highlight w:val="none"/>
        </w:rPr>
        <w:t>十、</w:t>
      </w:r>
      <w:bookmarkEnd w:id="382"/>
      <w:bookmarkStart w:id="385" w:name="_Toc351203490"/>
      <w:r>
        <w:rPr>
          <w:rFonts w:hint="eastAsia"/>
          <w:color w:val="auto"/>
          <w:kern w:val="2"/>
          <w:sz w:val="21"/>
          <w:szCs w:val="21"/>
          <w:highlight w:val="none"/>
        </w:rPr>
        <w:t>签订地点</w:t>
      </w:r>
      <w:bookmarkEnd w:id="383"/>
      <w:bookmarkEnd w:id="384"/>
      <w:bookmarkEnd w:id="38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386" w:name="_Toc351203491"/>
      <w:bookmarkStart w:id="387" w:name="_Toc532377176"/>
      <w:bookmarkStart w:id="388" w:name="_Toc532375583"/>
      <w:r>
        <w:rPr>
          <w:rFonts w:hint="eastAsia"/>
          <w:color w:val="auto"/>
          <w:kern w:val="2"/>
          <w:sz w:val="21"/>
          <w:szCs w:val="21"/>
          <w:highlight w:val="none"/>
        </w:rPr>
        <w:t>十一、补充协议</w:t>
      </w:r>
      <w:bookmarkEnd w:id="386"/>
      <w:bookmarkEnd w:id="387"/>
      <w:bookmarkEnd w:id="388"/>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389" w:name="_Toc532375584"/>
      <w:bookmarkStart w:id="390" w:name="_Toc532377177"/>
      <w:bookmarkStart w:id="391" w:name="_Toc351203492"/>
      <w:r>
        <w:rPr>
          <w:rFonts w:hint="eastAsia"/>
          <w:color w:val="auto"/>
          <w:kern w:val="2"/>
          <w:sz w:val="21"/>
          <w:szCs w:val="21"/>
          <w:highlight w:val="none"/>
        </w:rPr>
        <w:t>十二、合同生效</w:t>
      </w:r>
      <w:bookmarkEnd w:id="389"/>
      <w:bookmarkEnd w:id="390"/>
      <w:bookmarkEnd w:id="391"/>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92" w:name="_Toc532377178"/>
      <w:bookmarkStart w:id="393" w:name="_Toc351203493"/>
      <w:bookmarkStart w:id="394" w:name="_Toc532375585"/>
      <w:r>
        <w:rPr>
          <w:rFonts w:hint="eastAsia"/>
          <w:color w:val="auto"/>
          <w:kern w:val="2"/>
          <w:sz w:val="21"/>
          <w:szCs w:val="21"/>
          <w:highlight w:val="none"/>
        </w:rPr>
        <w:t>十三、合同份数</w:t>
      </w:r>
      <w:bookmarkEnd w:id="392"/>
      <w:bookmarkEnd w:id="393"/>
      <w:bookmarkEnd w:id="394"/>
    </w:p>
    <w:p>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br w:type="page"/>
      </w:r>
    </w:p>
    <w:p>
      <w:pPr>
        <w:spacing w:line="360" w:lineRule="auto"/>
        <w:ind w:firstLine="420" w:firstLineChars="200"/>
        <w:rPr>
          <w:rFonts w:hint="eastAsia"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pPr>
        <w:rPr>
          <w:rFonts w:ascii="宋体" w:hAnsi="宋体"/>
          <w:color w:val="auto"/>
          <w:szCs w:val="21"/>
          <w:highlight w:val="none"/>
        </w:rPr>
      </w:pPr>
    </w:p>
    <w:p>
      <w:pPr>
        <w:pStyle w:val="45"/>
        <w:rPr>
          <w:color w:val="auto"/>
          <w:highlight w:val="none"/>
        </w:rPr>
      </w:pPr>
    </w:p>
    <w:p>
      <w:pPr>
        <w:adjustRightInd w:val="0"/>
        <w:spacing w:line="360" w:lineRule="auto"/>
        <w:ind w:firstLine="420" w:firstLineChars="200"/>
        <w:rPr>
          <w:rFonts w:ascii="宋体" w:hAnsi="宋体"/>
          <w:snapToGrid w:val="0"/>
          <w:color w:val="auto"/>
          <w:kern w:val="0"/>
          <w:szCs w:val="21"/>
          <w:highlight w:val="none"/>
        </w:rPr>
      </w:pPr>
      <w:bookmarkStart w:id="395"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Style w:val="2"/>
        <w:spacing w:line="360" w:lineRule="auto"/>
        <w:rPr>
          <w:rFonts w:ascii="宋体" w:hAnsi="宋体"/>
          <w:color w:val="auto"/>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395"/>
    </w:p>
    <w:p>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396" w:name="_Toc19856"/>
      <w:bookmarkStart w:id="397" w:name="_Toc57905908"/>
      <w:bookmarkStart w:id="398" w:name="_Toc532377179"/>
      <w:bookmarkStart w:id="399" w:name="_Toc532375586"/>
      <w:bookmarkStart w:id="400" w:name="_Toc529388289"/>
      <w:r>
        <w:rPr>
          <w:rFonts w:hint="eastAsia" w:ascii="宋体" w:hAnsi="宋体"/>
          <w:color w:val="auto"/>
          <w:sz w:val="44"/>
          <w:szCs w:val="44"/>
          <w:highlight w:val="none"/>
        </w:rPr>
        <w:t>第二部分 通用合同条款</w:t>
      </w:r>
      <w:bookmarkEnd w:id="396"/>
      <w:bookmarkEnd w:id="397"/>
      <w:bookmarkEnd w:id="398"/>
      <w:bookmarkEnd w:id="399"/>
      <w:bookmarkEnd w:id="400"/>
    </w:p>
    <w:p>
      <w:pPr>
        <w:keepNext/>
        <w:keepLines/>
        <w:snapToGrid w:val="0"/>
        <w:spacing w:before="260" w:after="260" w:line="360" w:lineRule="auto"/>
        <w:outlineLvl w:val="2"/>
        <w:rPr>
          <w:rFonts w:ascii="宋体" w:hAnsi="宋体"/>
          <w:b/>
          <w:bCs/>
          <w:color w:val="auto"/>
          <w:szCs w:val="21"/>
          <w:highlight w:val="none"/>
          <w:lang w:val="zh-CN"/>
        </w:rPr>
      </w:pPr>
    </w:p>
    <w:p>
      <w:pPr>
        <w:pStyle w:val="5"/>
        <w:jc w:val="center"/>
        <w:rPr>
          <w:rFonts w:ascii="宋体" w:hAnsi="宋体"/>
          <w:color w:val="auto"/>
          <w:sz w:val="44"/>
          <w:szCs w:val="44"/>
          <w:highlight w:val="none"/>
        </w:rPr>
      </w:pPr>
      <w:bookmarkStart w:id="401" w:name="_Toc532377320"/>
      <w:bookmarkStart w:id="402" w:name="_Toc17694"/>
      <w:bookmarkStart w:id="403" w:name="_Toc532375607"/>
      <w:bookmarkStart w:id="404" w:name="_Toc57905909"/>
      <w:bookmarkStart w:id="405" w:name="_Toc529388290"/>
      <w:r>
        <w:rPr>
          <w:rFonts w:hint="eastAsia" w:ascii="宋体" w:hAnsi="宋体"/>
          <w:color w:val="auto"/>
          <w:sz w:val="44"/>
          <w:szCs w:val="44"/>
          <w:highlight w:val="none"/>
        </w:rPr>
        <w:t>第三部分 专用合同条款</w:t>
      </w:r>
      <w:bookmarkEnd w:id="401"/>
      <w:bookmarkEnd w:id="402"/>
      <w:bookmarkEnd w:id="403"/>
      <w:bookmarkEnd w:id="404"/>
      <w:bookmarkEnd w:id="405"/>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06" w:name="_Toc532375608"/>
      <w:bookmarkStart w:id="407" w:name="_Toc532377321"/>
      <w:bookmarkStart w:id="408" w:name="_Toc351203633"/>
      <w:bookmarkStart w:id="409" w:name="_Hlk528927191"/>
      <w:r>
        <w:rPr>
          <w:rFonts w:hint="eastAsia"/>
          <w:color w:val="auto"/>
          <w:kern w:val="2"/>
          <w:sz w:val="21"/>
          <w:szCs w:val="21"/>
          <w:highlight w:val="none"/>
        </w:rPr>
        <w:t>1</w:t>
      </w:r>
      <w:bookmarkStart w:id="410" w:name="_Toc296347155"/>
      <w:bookmarkStart w:id="411" w:name="_Toc297048342"/>
      <w:bookmarkStart w:id="412" w:name="_Toc292559361"/>
      <w:bookmarkStart w:id="413" w:name="_Toc296944495"/>
      <w:bookmarkStart w:id="414" w:name="_Toc292559866"/>
      <w:bookmarkStart w:id="415" w:name="_Toc297120456"/>
      <w:bookmarkStart w:id="416" w:name="_Toc296891196"/>
      <w:bookmarkStart w:id="417" w:name="_Toc296503156"/>
      <w:bookmarkStart w:id="418" w:name="_Toc296890984"/>
      <w:bookmarkStart w:id="419" w:name="_Toc296346657"/>
      <w:r>
        <w:rPr>
          <w:rFonts w:hint="eastAsia"/>
          <w:color w:val="auto"/>
          <w:kern w:val="2"/>
          <w:sz w:val="21"/>
          <w:szCs w:val="21"/>
          <w:highlight w:val="none"/>
        </w:rPr>
        <w:t>. 一般约定</w:t>
      </w:r>
      <w:bookmarkEnd w:id="406"/>
      <w:bookmarkEnd w:id="407"/>
      <w:bookmarkEnd w:id="408"/>
    </w:p>
    <w:bookmarkEnd w:id="410"/>
    <w:bookmarkEnd w:id="411"/>
    <w:bookmarkEnd w:id="412"/>
    <w:bookmarkEnd w:id="413"/>
    <w:bookmarkEnd w:id="414"/>
    <w:bookmarkEnd w:id="415"/>
    <w:bookmarkEnd w:id="416"/>
    <w:bookmarkEnd w:id="417"/>
    <w:bookmarkEnd w:id="418"/>
    <w:bookmarkEnd w:id="419"/>
    <w:p>
      <w:pPr>
        <w:pStyle w:val="7"/>
        <w:spacing w:before="0" w:beforeAutospacing="0" w:after="0" w:afterAutospacing="0" w:line="360" w:lineRule="auto"/>
        <w:ind w:firstLine="422" w:firstLineChars="200"/>
        <w:rPr>
          <w:color w:val="auto"/>
          <w:sz w:val="21"/>
          <w:szCs w:val="21"/>
          <w:highlight w:val="none"/>
        </w:rPr>
      </w:pPr>
      <w:bookmarkStart w:id="420" w:name="_Toc532377322"/>
      <w:r>
        <w:rPr>
          <w:rFonts w:hint="eastAsia"/>
          <w:color w:val="auto"/>
          <w:sz w:val="21"/>
          <w:szCs w:val="21"/>
          <w:highlight w:val="none"/>
        </w:rPr>
        <w:t>1.1词语定义与解释</w:t>
      </w:r>
      <w:bookmarkEnd w:id="420"/>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pPr>
        <w:spacing w:line="360" w:lineRule="auto"/>
        <w:ind w:firstLine="480"/>
        <w:rPr>
          <w:rFonts w:ascii="宋体" w:hAnsi="宋体"/>
          <w:color w:val="auto"/>
          <w:kern w:val="0"/>
          <w:szCs w:val="21"/>
          <w:highlight w:val="none"/>
        </w:rPr>
      </w:pPr>
      <w:r>
        <w:rPr>
          <w:rFonts w:hint="eastAsia" w:ascii="宋体" w:hAnsi="宋体"/>
          <w:color w:val="auto"/>
          <w:kern w:val="0"/>
          <w:szCs w:val="21"/>
          <w:highlight w:val="none"/>
        </w:rPr>
        <w:t xml:space="preserve">1.1.1.8 </w:t>
      </w:r>
      <w:r>
        <w:rPr>
          <w:rFonts w:hint="default" w:ascii="Times New Roman" w:hAnsi="Times New Roman" w:cs="Times New Roman"/>
          <w:color w:val="auto"/>
          <w:highlight w:val="none"/>
        </w:rPr>
        <w:t>价格清单：指构成合同文件组成部分的</w:t>
      </w:r>
      <w:r>
        <w:rPr>
          <w:rFonts w:hint="default" w:ascii="Times New Roman" w:hAnsi="Times New Roman" w:eastAsia="宋体" w:cs="Times New Roman"/>
          <w:color w:val="auto"/>
          <w:highlight w:val="none"/>
        </w:rPr>
        <w:t>由</w:t>
      </w:r>
      <w:r>
        <w:rPr>
          <w:rFonts w:hint="default" w:ascii="Times New Roman" w:hAnsi="Times New Roman" w:cs="Times New Roman"/>
          <w:color w:val="auto"/>
          <w:highlight w:val="none"/>
        </w:rPr>
        <w:t>发承包人共同确定的标明价格的施工图预算清单</w:t>
      </w:r>
      <w:r>
        <w:rPr>
          <w:rFonts w:hint="default" w:ascii="Times New Roman" w:hAnsi="Times New Roman" w:eastAsia="宋体" w:cs="Times New Roman"/>
          <w:color w:val="auto"/>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40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1.1.2.4 </w:t>
      </w:r>
      <w:r>
        <w:rPr>
          <w:rFonts w:hint="eastAsia" w:ascii="宋体" w:hAnsi="宋体"/>
          <w:color w:val="auto"/>
          <w:szCs w:val="21"/>
          <w:highlight w:val="none"/>
          <w:lang w:val="en-US" w:eastAsia="zh-CN"/>
        </w:rPr>
        <w:t>监理单位</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ascii="宋体" w:hAnsi="宋体"/>
          <w:color w:val="auto"/>
          <w:szCs w:val="21"/>
          <w:highlight w:val="none"/>
        </w:rPr>
      </w:pPr>
      <w:bookmarkStart w:id="421" w:name="_Hlk528927262"/>
      <w:r>
        <w:rPr>
          <w:rFonts w:hint="eastAsia" w:ascii="宋体" w:hAnsi="宋体"/>
          <w:color w:val="auto"/>
          <w:szCs w:val="21"/>
          <w:highlight w:val="none"/>
        </w:rPr>
        <w:t>本项补充1.1.6.2～1.1.6.3目：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42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color w:val="auto"/>
          <w:sz w:val="21"/>
          <w:szCs w:val="21"/>
          <w:highlight w:val="none"/>
        </w:rPr>
      </w:pPr>
      <w:bookmarkStart w:id="422" w:name="_Toc532377323"/>
      <w:r>
        <w:rPr>
          <w:rFonts w:hint="eastAsia"/>
          <w:color w:val="auto"/>
          <w:sz w:val="21"/>
          <w:szCs w:val="21"/>
          <w:highlight w:val="none"/>
        </w:rPr>
        <w:t>1.4 标准和规范</w:t>
      </w:r>
      <w:bookmarkEnd w:id="42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3" w:name="_Toc532377324"/>
      <w:r>
        <w:rPr>
          <w:rFonts w:hint="eastAsia"/>
          <w:color w:val="auto"/>
          <w:sz w:val="21"/>
          <w:szCs w:val="21"/>
          <w:highlight w:val="none"/>
        </w:rPr>
        <w:t>1.5 合同文件的优先顺序</w:t>
      </w:r>
      <w:bookmarkEnd w:id="42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4" w:name="_Toc532377325"/>
      <w:r>
        <w:rPr>
          <w:rFonts w:hint="eastAsia"/>
          <w:color w:val="auto"/>
          <w:sz w:val="21"/>
          <w:szCs w:val="21"/>
          <w:highlight w:val="none"/>
        </w:rPr>
        <w:t>1.6 图纸和承包人文件</w:t>
      </w:r>
      <w:bookmarkEnd w:id="42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套</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日前报送月工程进度完成报表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5" w:name="_Toc532377326"/>
      <w:r>
        <w:rPr>
          <w:rFonts w:hint="eastAsia"/>
          <w:color w:val="auto"/>
          <w:sz w:val="21"/>
          <w:szCs w:val="21"/>
          <w:highlight w:val="none"/>
        </w:rPr>
        <w:t>1.7 联络</w:t>
      </w:r>
      <w:bookmarkEnd w:id="42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default" w:ascii="Times New Roman" w:hAnsi="Times New Roman" w:cs="Times New Roman"/>
          <w:color w:val="auto"/>
          <w:kern w:val="0"/>
          <w:szCs w:val="21"/>
          <w:highlight w:val="none"/>
          <w:u w:val="single"/>
        </w:rPr>
        <w:t>重庆新汇商实业有限公司</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426" w:name="_Hlk528493983"/>
      <w:bookmarkEnd w:id="426"/>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现场代表</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7" w:name="_Toc532377327"/>
      <w:r>
        <w:rPr>
          <w:rFonts w:hint="eastAsia"/>
          <w:color w:val="auto"/>
          <w:sz w:val="21"/>
          <w:szCs w:val="21"/>
          <w:highlight w:val="none"/>
        </w:rPr>
        <w:t>1.8 严禁贿赂</w:t>
      </w:r>
      <w:bookmarkEnd w:id="427"/>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pPr>
        <w:pStyle w:val="7"/>
        <w:spacing w:before="0" w:beforeAutospacing="0" w:after="0" w:afterAutospacing="0" w:line="360" w:lineRule="auto"/>
        <w:ind w:firstLine="422" w:firstLineChars="200"/>
        <w:rPr>
          <w:color w:val="auto"/>
          <w:sz w:val="21"/>
          <w:szCs w:val="21"/>
          <w:highlight w:val="none"/>
        </w:rPr>
      </w:pPr>
      <w:bookmarkStart w:id="428" w:name="_Toc532377328"/>
      <w:r>
        <w:rPr>
          <w:rFonts w:hint="eastAsia"/>
          <w:color w:val="auto"/>
          <w:sz w:val="21"/>
          <w:szCs w:val="21"/>
          <w:highlight w:val="none"/>
        </w:rPr>
        <w:t>1.10 交通运输</w:t>
      </w:r>
      <w:bookmarkEnd w:id="42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29" w:name="_Toc300934943"/>
      <w:bookmarkStart w:id="430" w:name="_Toc304295521"/>
      <w:bookmarkStart w:id="431" w:name="_Toc303539100"/>
      <w:bookmarkStart w:id="432" w:name="_Toc318581155"/>
      <w:bookmarkStart w:id="433" w:name="_Toc312677986"/>
      <w:r>
        <w:rPr>
          <w:rFonts w:hint="eastAsia" w:ascii="宋体" w:hAnsi="宋体"/>
          <w:color w:val="auto"/>
          <w:szCs w:val="21"/>
          <w:highlight w:val="none"/>
        </w:rPr>
        <w:t>.10.1 出入现场的权利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429"/>
    <w:bookmarkEnd w:id="430"/>
    <w:bookmarkEnd w:id="431"/>
    <w:bookmarkEnd w:id="432"/>
    <w:bookmarkEnd w:id="433"/>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34" w:name="_Toc318581156"/>
      <w:bookmarkStart w:id="435" w:name="_Toc303539101"/>
      <w:bookmarkStart w:id="436" w:name="_Toc312677987"/>
      <w:bookmarkStart w:id="437" w:name="_Toc304295522"/>
      <w:bookmarkStart w:id="438" w:name="_Toc300934944"/>
      <w:r>
        <w:rPr>
          <w:rFonts w:hint="eastAsia" w:ascii="宋体" w:hAnsi="宋体"/>
          <w:color w:val="auto"/>
          <w:szCs w:val="21"/>
          <w:highlight w:val="none"/>
        </w:rPr>
        <w:t>.10.3 场内交通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434"/>
    <w:bookmarkEnd w:id="435"/>
    <w:bookmarkEnd w:id="436"/>
    <w:bookmarkEnd w:id="437"/>
    <w:bookmarkEnd w:id="438"/>
    <w:p>
      <w:pPr>
        <w:spacing w:line="360" w:lineRule="auto"/>
        <w:ind w:firstLine="420" w:firstLineChars="200"/>
        <w:jc w:val="left"/>
        <w:rPr>
          <w:rFonts w:ascii="宋体" w:hAnsi="宋体"/>
          <w:color w:val="auto"/>
          <w:szCs w:val="21"/>
          <w:highlight w:val="none"/>
        </w:rPr>
      </w:pPr>
      <w:bookmarkStart w:id="439" w:name="_Toc318581157"/>
      <w:r>
        <w:rPr>
          <w:rFonts w:hint="eastAsia" w:ascii="宋体" w:hAnsi="宋体"/>
          <w:color w:val="auto"/>
          <w:szCs w:val="21"/>
          <w:highlight w:val="none"/>
        </w:rPr>
        <w:t>1.10.4 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439"/>
    <w:p>
      <w:pPr>
        <w:pStyle w:val="7"/>
        <w:spacing w:before="0" w:beforeAutospacing="0" w:after="0" w:afterAutospacing="0" w:line="360" w:lineRule="auto"/>
        <w:ind w:firstLine="422" w:firstLineChars="200"/>
        <w:rPr>
          <w:color w:val="auto"/>
          <w:sz w:val="21"/>
          <w:szCs w:val="21"/>
          <w:highlight w:val="none"/>
        </w:rPr>
      </w:pPr>
      <w:bookmarkStart w:id="440" w:name="_Toc532377329"/>
      <w:r>
        <w:rPr>
          <w:rFonts w:hint="eastAsia"/>
          <w:color w:val="auto"/>
          <w:sz w:val="21"/>
          <w:szCs w:val="21"/>
          <w:highlight w:val="none"/>
        </w:rPr>
        <w:t>1.11 知识产权</w:t>
      </w:r>
      <w:bookmarkEnd w:id="44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41" w:name="_Toc532377330"/>
      <w:r>
        <w:rPr>
          <w:rFonts w:hint="eastAsia"/>
          <w:color w:val="auto"/>
          <w:sz w:val="21"/>
          <w:szCs w:val="21"/>
          <w:highlight w:val="none"/>
        </w:rPr>
        <w:t>1.13工程量清单错误的修正</w:t>
      </w:r>
      <w:bookmarkEnd w:id="44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42" w:name="_Toc351203634"/>
      <w:bookmarkStart w:id="443" w:name="_Toc532377331"/>
      <w:bookmarkStart w:id="444" w:name="_Toc532375609"/>
      <w:r>
        <w:rPr>
          <w:rFonts w:hint="eastAsia"/>
          <w:color w:val="auto"/>
          <w:kern w:val="2"/>
          <w:sz w:val="21"/>
          <w:szCs w:val="21"/>
          <w:highlight w:val="none"/>
        </w:rPr>
        <w:t>2</w:t>
      </w:r>
      <w:bookmarkStart w:id="445" w:name="_Toc297120457"/>
      <w:bookmarkStart w:id="446" w:name="_Toc296890985"/>
      <w:bookmarkStart w:id="447" w:name="_Toc296346658"/>
      <w:bookmarkStart w:id="448" w:name="_Toc296347156"/>
      <w:bookmarkStart w:id="449" w:name="_Toc296944496"/>
      <w:bookmarkStart w:id="450" w:name="_Toc296503157"/>
      <w:bookmarkStart w:id="451" w:name="_Toc292559867"/>
      <w:bookmarkStart w:id="452" w:name="_Toc296891197"/>
      <w:bookmarkStart w:id="453" w:name="_Toc292559362"/>
      <w:bookmarkStart w:id="454" w:name="_Toc297048343"/>
      <w:r>
        <w:rPr>
          <w:rFonts w:hint="eastAsia"/>
          <w:color w:val="auto"/>
          <w:kern w:val="2"/>
          <w:sz w:val="21"/>
          <w:szCs w:val="21"/>
          <w:highlight w:val="none"/>
        </w:rPr>
        <w:t>. 发包人</w:t>
      </w:r>
      <w:bookmarkEnd w:id="442"/>
      <w:bookmarkEnd w:id="443"/>
      <w:bookmarkEnd w:id="444"/>
    </w:p>
    <w:bookmarkEnd w:id="445"/>
    <w:bookmarkEnd w:id="446"/>
    <w:bookmarkEnd w:id="447"/>
    <w:bookmarkEnd w:id="448"/>
    <w:bookmarkEnd w:id="449"/>
    <w:bookmarkEnd w:id="450"/>
    <w:bookmarkEnd w:id="451"/>
    <w:bookmarkEnd w:id="452"/>
    <w:bookmarkEnd w:id="453"/>
    <w:bookmarkEnd w:id="45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55" w:name="_Toc532377332"/>
      <w:r>
        <w:rPr>
          <w:rFonts w:hint="eastAsia"/>
          <w:color w:val="auto"/>
          <w:sz w:val="21"/>
          <w:szCs w:val="21"/>
          <w:highlight w:val="none"/>
        </w:rPr>
        <w:t>2.4 施工现场、施工条件和基础资料的提供</w:t>
      </w:r>
      <w:bookmarkEnd w:id="45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widowControl/>
        <w:adjustRightInd w:val="0"/>
        <w:snapToGrid w:val="0"/>
        <w:spacing w:line="30" w:lineRule="atLeast"/>
        <w:ind w:firstLine="480"/>
        <w:rPr>
          <w:rFonts w:hint="eastAsia" w:ascii="宋体" w:hAnsi="宋体"/>
          <w:color w:val="auto"/>
          <w:szCs w:val="21"/>
          <w:highlight w:val="none"/>
        </w:rPr>
      </w:pPr>
      <w:r>
        <w:rPr>
          <w:rFonts w:hint="eastAsia" w:ascii="宋体" w:hAnsi="宋体"/>
          <w:color w:val="auto"/>
          <w:szCs w:val="21"/>
          <w:highlight w:val="none"/>
        </w:rPr>
        <w:t>关于发包人应负责提供施工所需要的条件：</w:t>
      </w:r>
    </w:p>
    <w:p>
      <w:pPr>
        <w:widowControl/>
        <w:adjustRightInd w:val="0"/>
        <w:snapToGrid w:val="0"/>
        <w:spacing w:line="30" w:lineRule="atLeast"/>
        <w:ind w:firstLine="480"/>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（1）将施工用水、电力、通讯线路等施工所必需的条件接至施工现场内</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由承包人根据本工程实际情况，自行向相关部门申请安装，相关费用由承包人自行承担，发包人不再另行支付。工程完工后，由承包人自行拆除和回收。施工用水接入点及用量应征求发包人意见。</w:t>
      </w:r>
    </w:p>
    <w:p>
      <w:pPr>
        <w:widowControl/>
        <w:adjustRightInd w:val="0"/>
        <w:snapToGrid w:val="0"/>
        <w:spacing w:line="30" w:lineRule="atLeast"/>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szCs w:val="21"/>
          <w:highlight w:val="none"/>
        </w:rPr>
        <w:t>（2）承包人自行负责正常施工所需要的进入施工现场的交通条件，相关费用由承包人自行承担，发包人不再另行支付。</w:t>
      </w:r>
    </w:p>
    <w:p>
      <w:pPr>
        <w:widowControl/>
        <w:adjustRightInd w:val="0"/>
        <w:snapToGrid w:val="0"/>
        <w:spacing w:line="30" w:lineRule="atLeast"/>
        <w:ind w:firstLine="480"/>
        <w:rPr>
          <w:rFonts w:ascii="宋体" w:hAnsi="宋体"/>
          <w:color w:val="auto"/>
          <w:szCs w:val="21"/>
          <w:highlight w:val="none"/>
        </w:rPr>
      </w:pPr>
      <w:r>
        <w:rPr>
          <w:rFonts w:hint="default" w:ascii="Times New Roman" w:hAnsi="Times New Roman" w:cs="Times New Roman"/>
          <w:color w:val="auto"/>
          <w:kern w:val="0"/>
          <w:szCs w:val="21"/>
          <w:highlight w:val="none"/>
        </w:rPr>
        <w:t>（3）委托承包人协调处理施工现场周围地下管线和邻近建筑物、构筑物、古树名木、文物、化石及坟墓等的保护工作，并承担相关费用，相关费用由承包人自行承担，发包人不再另行支付。</w:t>
      </w:r>
    </w:p>
    <w:p>
      <w:pPr>
        <w:pStyle w:val="7"/>
        <w:spacing w:before="0" w:beforeAutospacing="0" w:after="0" w:afterAutospacing="0" w:line="360" w:lineRule="auto"/>
        <w:ind w:firstLine="422" w:firstLineChars="200"/>
        <w:rPr>
          <w:color w:val="auto"/>
          <w:sz w:val="21"/>
          <w:szCs w:val="21"/>
          <w:highlight w:val="none"/>
        </w:rPr>
      </w:pPr>
      <w:bookmarkStart w:id="456" w:name="_Toc532377333"/>
      <w:r>
        <w:rPr>
          <w:rFonts w:hint="eastAsia"/>
          <w:color w:val="auto"/>
          <w:sz w:val="21"/>
          <w:szCs w:val="21"/>
          <w:highlight w:val="none"/>
        </w:rPr>
        <w:t>2.5 资金来源证明及支付担保</w:t>
      </w:r>
      <w:bookmarkEnd w:id="45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eastAsia="宋体" w:cs="Times New Roman"/>
          <w:color w:val="auto"/>
          <w:szCs w:val="21"/>
          <w:highlight w:val="none"/>
          <w:u w:val="single"/>
          <w:lang w:val="en-US" w:eastAsia="zh-CN"/>
        </w:rPr>
        <w:t>不</w:t>
      </w:r>
      <w:r>
        <w:rPr>
          <w:rFonts w:hint="eastAsia" w:ascii="宋体" w:hAnsi="宋体" w:eastAsia="宋体" w:cs="Times New Roman"/>
          <w:color w:val="auto"/>
          <w:szCs w:val="21"/>
          <w:highlight w:val="none"/>
          <w:u w:val="single"/>
        </w:rPr>
        <w:t>提</w:t>
      </w:r>
      <w:r>
        <w:rPr>
          <w:rFonts w:hint="eastAsia" w:ascii="宋体" w:hAnsi="宋体"/>
          <w:color w:val="auto"/>
          <w:szCs w:val="21"/>
          <w:highlight w:val="none"/>
          <w:u w:val="single"/>
        </w:rPr>
        <w:t>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57" w:name="_Toc532375610"/>
      <w:bookmarkStart w:id="458" w:name="_Toc351203635"/>
      <w:bookmarkStart w:id="459" w:name="_Toc532377334"/>
      <w:r>
        <w:rPr>
          <w:rFonts w:hint="eastAsia"/>
          <w:color w:val="auto"/>
          <w:kern w:val="2"/>
          <w:sz w:val="21"/>
          <w:szCs w:val="21"/>
          <w:highlight w:val="none"/>
        </w:rPr>
        <w:t>3</w:t>
      </w:r>
      <w:bookmarkStart w:id="460" w:name="_Toc297120458"/>
      <w:bookmarkStart w:id="461" w:name="_Toc296346659"/>
      <w:bookmarkStart w:id="462" w:name="_Toc292559363"/>
      <w:bookmarkStart w:id="463" w:name="_Toc296890986"/>
      <w:bookmarkStart w:id="464" w:name="_Toc297048344"/>
      <w:bookmarkStart w:id="465" w:name="_Toc296944497"/>
      <w:bookmarkStart w:id="466" w:name="_Toc296347157"/>
      <w:bookmarkStart w:id="467" w:name="_Toc292559868"/>
      <w:bookmarkStart w:id="468" w:name="_Toc296891198"/>
      <w:bookmarkStart w:id="469" w:name="_Toc296503158"/>
      <w:r>
        <w:rPr>
          <w:rFonts w:hint="eastAsia"/>
          <w:color w:val="auto"/>
          <w:kern w:val="2"/>
          <w:sz w:val="21"/>
          <w:szCs w:val="21"/>
          <w:highlight w:val="none"/>
        </w:rPr>
        <w:t>. 承包人</w:t>
      </w:r>
      <w:bookmarkEnd w:id="457"/>
      <w:bookmarkEnd w:id="458"/>
      <w:bookmarkEnd w:id="459"/>
    </w:p>
    <w:bookmarkEnd w:id="460"/>
    <w:bookmarkEnd w:id="461"/>
    <w:bookmarkEnd w:id="462"/>
    <w:bookmarkEnd w:id="463"/>
    <w:bookmarkEnd w:id="464"/>
    <w:bookmarkEnd w:id="465"/>
    <w:bookmarkEnd w:id="466"/>
    <w:bookmarkEnd w:id="467"/>
    <w:bookmarkEnd w:id="468"/>
    <w:bookmarkEnd w:id="469"/>
    <w:p>
      <w:pPr>
        <w:pStyle w:val="7"/>
        <w:spacing w:before="0" w:beforeAutospacing="0" w:after="0" w:afterAutospacing="0" w:line="360" w:lineRule="auto"/>
        <w:ind w:firstLine="422" w:firstLineChars="200"/>
        <w:rPr>
          <w:color w:val="auto"/>
          <w:sz w:val="21"/>
          <w:szCs w:val="21"/>
          <w:highlight w:val="none"/>
        </w:rPr>
      </w:pPr>
      <w:bookmarkStart w:id="470" w:name="_Toc532377335"/>
      <w:r>
        <w:rPr>
          <w:rFonts w:hint="eastAsia"/>
          <w:color w:val="auto"/>
          <w:sz w:val="21"/>
          <w:szCs w:val="21"/>
          <w:highlight w:val="none"/>
        </w:rPr>
        <w:t>3.1 承包人的一般义务</w:t>
      </w:r>
      <w:bookmarkEnd w:id="47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pPr>
        <w:widowControl/>
        <w:shd w:val="clear" w:color="auto" w:fill="FFFFFF"/>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default" w:ascii="宋体" w:hAnsi="宋体" w:eastAsia="宋体" w:cs="Times New Roman"/>
          <w:color w:val="auto"/>
          <w:szCs w:val="21"/>
          <w:highlight w:val="none"/>
        </w:rPr>
        <w:t>承包人在工程相关资料归档时，由承包人提交合格的纸质竣工图三套，纸质技术文字材料竣工档案三套及竣工图AutoCAD光盘、电子扫描光盘各二套。同时按《重庆市建设工程档案编制验收标准》DBJ50-129-2011附表A建设工程文件归档内容一览表中应由承包人提供的相关资料原件两份（不装订）、折叠装订好的施工图纸一套以及发包人要求提供的其他资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个月内移交给发包人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default" w:ascii="宋体" w:hAnsi="宋体" w:eastAsia="宋体" w:cs="Times New Roman"/>
          <w:color w:val="auto"/>
          <w:szCs w:val="21"/>
          <w:highlight w:val="none"/>
          <w:u w:val="single"/>
        </w:rPr>
        <w:t>满足重庆市档案馆存档要求</w:t>
      </w:r>
      <w:r>
        <w:rPr>
          <w:rFonts w:hint="eastAsia" w:ascii="宋体" w:hAnsi="宋体" w:eastAsia="宋体" w:cs="Times New Roman"/>
          <w:color w:val="auto"/>
          <w:szCs w:val="21"/>
          <w:highlight w:val="none"/>
          <w:u w:val="single"/>
          <w:lang w:val="en-US" w:eastAsia="zh-CN"/>
        </w:rPr>
        <w:t>的</w:t>
      </w:r>
      <w:r>
        <w:rPr>
          <w:rFonts w:hint="eastAsia" w:ascii="宋体" w:hAnsi="宋体" w:eastAsia="宋体" w:cs="Times New Roman"/>
          <w:color w:val="auto"/>
          <w:szCs w:val="21"/>
          <w:highlight w:val="none"/>
          <w:u w:val="single"/>
        </w:rPr>
        <w:t>完整的</w:t>
      </w:r>
      <w:r>
        <w:rPr>
          <w:rFonts w:hint="eastAsia" w:ascii="宋体" w:hAnsi="宋体"/>
          <w:color w:val="auto"/>
          <w:szCs w:val="21"/>
          <w:highlight w:val="none"/>
          <w:u w:val="single"/>
        </w:rPr>
        <w:t>书面文件及电子文档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bookmarkStart w:id="471"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471"/>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472" w:name="_Hlk528927599"/>
    </w:p>
    <w:bookmarkEnd w:id="472"/>
    <w:p>
      <w:pPr>
        <w:spacing w:line="360" w:lineRule="auto"/>
        <w:ind w:firstLine="420" w:firstLineChars="200"/>
        <w:jc w:val="left"/>
        <w:rPr>
          <w:rFonts w:ascii="宋体" w:hAnsi="宋体"/>
          <w:color w:val="auto"/>
          <w:szCs w:val="21"/>
          <w:highlight w:val="none"/>
        </w:rPr>
      </w:pPr>
      <w:bookmarkStart w:id="473"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47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color w:val="auto"/>
          <w:sz w:val="21"/>
          <w:szCs w:val="21"/>
          <w:highlight w:val="none"/>
        </w:rPr>
      </w:pPr>
      <w:bookmarkStart w:id="474" w:name="_Toc532377337"/>
      <w:r>
        <w:rPr>
          <w:rFonts w:hint="eastAsia"/>
          <w:color w:val="auto"/>
          <w:sz w:val="21"/>
          <w:szCs w:val="21"/>
          <w:highlight w:val="none"/>
        </w:rPr>
        <w:t>3.3 承包人人员</w:t>
      </w:r>
      <w:bookmarkEnd w:id="47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75" w:name="_Toc532377338"/>
      <w:r>
        <w:rPr>
          <w:rFonts w:hint="eastAsia"/>
          <w:color w:val="auto"/>
          <w:sz w:val="21"/>
          <w:szCs w:val="21"/>
          <w:highlight w:val="none"/>
        </w:rPr>
        <w:t>3</w:t>
      </w:r>
      <w:bookmarkStart w:id="476" w:name="_Toc297123492"/>
      <w:bookmarkStart w:id="477" w:name="_Toc297120459"/>
      <w:bookmarkStart w:id="478" w:name="_Toc297048345"/>
      <w:bookmarkStart w:id="479" w:name="_Toc292559364"/>
      <w:bookmarkStart w:id="480" w:name="_Toc304295523"/>
      <w:bookmarkStart w:id="481" w:name="_Toc296347158"/>
      <w:bookmarkStart w:id="482" w:name="_Toc296890987"/>
      <w:bookmarkStart w:id="483" w:name="_Toc292559869"/>
      <w:bookmarkStart w:id="484" w:name="_Toc296944498"/>
      <w:bookmarkStart w:id="485" w:name="_Toc296503159"/>
      <w:bookmarkStart w:id="486" w:name="_Toc296346660"/>
      <w:bookmarkStart w:id="487" w:name="_Toc300934945"/>
      <w:bookmarkStart w:id="488" w:name="_Toc303539102"/>
      <w:bookmarkStart w:id="489" w:name="_Toc297216151"/>
      <w:bookmarkStart w:id="490" w:name="_Toc296891199"/>
      <w:bookmarkStart w:id="491" w:name="_Toc312677988"/>
      <w:r>
        <w:rPr>
          <w:rFonts w:hint="eastAsia"/>
          <w:color w:val="auto"/>
          <w:sz w:val="21"/>
          <w:szCs w:val="21"/>
          <w:highlight w:val="none"/>
        </w:rPr>
        <w:t>.5 分包</w:t>
      </w:r>
      <w:bookmarkEnd w:id="475"/>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492" w:name="_Toc292559365"/>
      <w:bookmarkStart w:id="493" w:name="_Toc297216152"/>
      <w:bookmarkStart w:id="494" w:name="_Toc296944499"/>
      <w:bookmarkStart w:id="495" w:name="_Toc296347159"/>
      <w:bookmarkStart w:id="496" w:name="_Toc297123493"/>
      <w:bookmarkStart w:id="497" w:name="_Toc297048346"/>
      <w:bookmarkStart w:id="498" w:name="_Toc304295524"/>
      <w:bookmarkStart w:id="499" w:name="_Toc296346661"/>
      <w:bookmarkStart w:id="500" w:name="_Toc296503160"/>
      <w:bookmarkStart w:id="501" w:name="_Toc292559870"/>
      <w:bookmarkStart w:id="502" w:name="_Toc318581158"/>
      <w:bookmarkStart w:id="503" w:name="_Toc296891200"/>
      <w:bookmarkStart w:id="504" w:name="_Toc312677989"/>
      <w:bookmarkStart w:id="505" w:name="_Toc303539103"/>
      <w:bookmarkStart w:id="506" w:name="_Toc296890988"/>
      <w:bookmarkStart w:id="507" w:name="_Toc300934946"/>
      <w:bookmarkStart w:id="508" w:name="_Toc297120460"/>
      <w:r>
        <w:rPr>
          <w:rFonts w:hint="eastAsia" w:ascii="宋体" w:hAnsi="宋体"/>
          <w:color w:val="auto"/>
          <w:szCs w:val="21"/>
          <w:highlight w:val="none"/>
        </w:rPr>
        <w:t>.5.1 分包的一般约定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509" w:name="_Toc300934947"/>
      <w:bookmarkStart w:id="510" w:name="_Toc304295525"/>
      <w:bookmarkStart w:id="511" w:name="_Toc297048347"/>
      <w:bookmarkStart w:id="512" w:name="_Toc303539104"/>
      <w:bookmarkStart w:id="513" w:name="_Toc296944500"/>
      <w:bookmarkStart w:id="514" w:name="_Toc296346662"/>
      <w:bookmarkStart w:id="515" w:name="_Toc297123494"/>
      <w:bookmarkStart w:id="516" w:name="_Toc296503161"/>
      <w:bookmarkStart w:id="517" w:name="_Toc297216153"/>
      <w:bookmarkStart w:id="518" w:name="_Toc296347160"/>
      <w:bookmarkStart w:id="519" w:name="_Toc297120461"/>
      <w:bookmarkStart w:id="520" w:name="_Toc296891201"/>
      <w:bookmarkStart w:id="521" w:name="_Toc296890989"/>
      <w:r>
        <w:rPr>
          <w:rFonts w:hint="eastAsia" w:ascii="宋体" w:hAnsi="宋体"/>
          <w:color w:val="auto"/>
          <w:szCs w:val="21"/>
          <w:highlight w:val="none"/>
        </w:rPr>
        <w:t>；关键性工作指梁、板、柱等部位。</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522" w:name="_Toc312677990"/>
      <w:bookmarkStart w:id="523" w:name="_Toc318581159"/>
      <w:r>
        <w:rPr>
          <w:rFonts w:hint="eastAsia" w:ascii="宋体" w:hAnsi="宋体"/>
          <w:color w:val="auto"/>
          <w:szCs w:val="21"/>
          <w:highlight w:val="none"/>
        </w:rPr>
        <w:t>.5.2分包的确定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522"/>
      <w:bookmarkEnd w:id="523"/>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color w:val="auto"/>
          <w:sz w:val="21"/>
          <w:szCs w:val="21"/>
          <w:highlight w:val="none"/>
        </w:rPr>
      </w:pPr>
      <w:bookmarkStart w:id="524" w:name="_Toc532377339"/>
      <w:r>
        <w:rPr>
          <w:rFonts w:hint="eastAsia"/>
          <w:color w:val="auto"/>
          <w:sz w:val="21"/>
          <w:szCs w:val="21"/>
          <w:highlight w:val="none"/>
        </w:rPr>
        <w:t>3.7 履约担保</w:t>
      </w:r>
      <w:bookmarkEnd w:id="52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（1）履约担保的形式：现金或银行保函或现金+银行保函的组合；采用保函形式的，保函必须为不可撤销且见索即付；</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（2）履约担保的金额：</w:t>
      </w:r>
      <w:r>
        <w:rPr>
          <w:rFonts w:hint="eastAsia" w:ascii="宋体" w:hAnsi="宋体" w:eastAsia="宋体" w:cs="Times New Roman"/>
          <w:color w:val="auto"/>
          <w:szCs w:val="21"/>
          <w:highlight w:val="none"/>
        </w:rPr>
        <w:t xml:space="preserve"> </w:t>
      </w:r>
      <w:r>
        <w:rPr>
          <w:rFonts w:hint="default" w:ascii="宋体" w:hAnsi="宋体" w:eastAsia="宋体" w:cs="Times New Roman"/>
          <w:color w:val="auto"/>
          <w:szCs w:val="21"/>
          <w:highlight w:val="none"/>
          <w:u w:val="single"/>
        </w:rPr>
        <w:t>中标价的10%</w:t>
      </w:r>
      <w:r>
        <w:rPr>
          <w:rFonts w:hint="eastAsia" w:ascii="仿宋_GB2312" w:hAnsi="宋体" w:eastAsia="仿宋_GB2312" w:cs="宋体"/>
          <w:color w:val="auto"/>
          <w:kern w:val="0"/>
          <w:szCs w:val="21"/>
          <w:highlight w:val="none"/>
        </w:rPr>
        <w:t xml:space="preserve"> </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（4）履约担保的期限：</w:t>
      </w:r>
      <w:r>
        <w:rPr>
          <w:rFonts w:hint="eastAsia" w:ascii="宋体" w:hAnsi="宋体"/>
          <w:color w:val="auto"/>
          <w:szCs w:val="21"/>
          <w:highlight w:val="none"/>
          <w:u w:val="single"/>
        </w:rPr>
        <w:t>自我方法定代表人（或其委托代理人）签名并加盖公章之日起至你方签发或应签发工程接收证书之日止</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（5）履约担保的退还时间：</w:t>
      </w:r>
      <w:r>
        <w:rPr>
          <w:rFonts w:hint="eastAsia" w:ascii="宋体" w:hAnsi="宋体"/>
          <w:color w:val="auto"/>
          <w:szCs w:val="21"/>
          <w:highlight w:val="none"/>
          <w:u w:val="single"/>
        </w:rPr>
        <w:t>采用现金担保的，工程竣工验收合格后14天内</w:t>
      </w:r>
      <w:r>
        <w:rPr>
          <w:rFonts w:hint="default" w:ascii="Times New Roman" w:hAnsi="Times New Roman" w:cs="Times New Roman"/>
          <w:color w:val="auto"/>
          <w:kern w:val="0"/>
          <w:highlight w:val="none"/>
          <w:u w:val="single"/>
        </w:rPr>
        <w:t>无息</w:t>
      </w:r>
      <w:r>
        <w:rPr>
          <w:rFonts w:hint="eastAsia" w:ascii="宋体" w:hAnsi="宋体"/>
          <w:color w:val="auto"/>
          <w:szCs w:val="21"/>
          <w:highlight w:val="none"/>
          <w:u w:val="single"/>
        </w:rPr>
        <w:t>退还</w:t>
      </w:r>
      <w:r>
        <w:rPr>
          <w:rFonts w:hint="default" w:ascii="Times New Roman" w:hAnsi="Times New Roman" w:cs="Times New Roman"/>
          <w:color w:val="auto"/>
          <w:kern w:val="0"/>
          <w:highlight w:val="none"/>
          <w:u w:val="single"/>
        </w:rPr>
        <w:t>对应部分</w:t>
      </w:r>
      <w:r>
        <w:rPr>
          <w:rFonts w:hint="eastAsia" w:ascii="宋体" w:hAnsi="宋体"/>
          <w:color w:val="auto"/>
          <w:szCs w:val="21"/>
          <w:highlight w:val="none"/>
          <w:u w:val="single"/>
        </w:rPr>
        <w:t>；采用银行保函的，工程竣工验收合格后14天内退还，或按工程实际情况约定分阶段退还，阶段划分按以下标准执行：</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25" w:name="_Toc351203636"/>
      <w:bookmarkStart w:id="526" w:name="_Toc532377340"/>
      <w:bookmarkStart w:id="527" w:name="_Toc532375611"/>
      <w:r>
        <w:rPr>
          <w:rFonts w:hint="eastAsia"/>
          <w:color w:val="auto"/>
          <w:kern w:val="2"/>
          <w:sz w:val="21"/>
          <w:szCs w:val="21"/>
          <w:highlight w:val="none"/>
        </w:rPr>
        <w:t>4</w:t>
      </w:r>
      <w:bookmarkStart w:id="528" w:name="_Toc296347161"/>
      <w:bookmarkStart w:id="529" w:name="_Toc296890990"/>
      <w:bookmarkStart w:id="530" w:name="_Toc297120462"/>
      <w:bookmarkStart w:id="531" w:name="_Toc296891202"/>
      <w:bookmarkStart w:id="532" w:name="_Toc292559871"/>
      <w:bookmarkStart w:id="533" w:name="_Toc296503162"/>
      <w:bookmarkStart w:id="534" w:name="_Toc297048348"/>
      <w:bookmarkStart w:id="535" w:name="_Toc267251413"/>
      <w:bookmarkStart w:id="536" w:name="_Toc296944501"/>
      <w:bookmarkStart w:id="537" w:name="_Toc296346663"/>
      <w:bookmarkStart w:id="538" w:name="_Toc292559366"/>
      <w:r>
        <w:rPr>
          <w:rFonts w:hint="eastAsia"/>
          <w:color w:val="auto"/>
          <w:kern w:val="2"/>
          <w:sz w:val="21"/>
          <w:szCs w:val="21"/>
          <w:highlight w:val="none"/>
        </w:rPr>
        <w:t>. 监</w:t>
      </w:r>
      <w:bookmarkEnd w:id="528"/>
      <w:bookmarkEnd w:id="529"/>
      <w:bookmarkEnd w:id="530"/>
      <w:bookmarkEnd w:id="531"/>
      <w:bookmarkEnd w:id="532"/>
      <w:bookmarkEnd w:id="533"/>
      <w:bookmarkEnd w:id="534"/>
      <w:bookmarkEnd w:id="535"/>
      <w:bookmarkEnd w:id="536"/>
      <w:bookmarkEnd w:id="537"/>
      <w:bookmarkEnd w:id="538"/>
      <w:r>
        <w:rPr>
          <w:rFonts w:hint="eastAsia"/>
          <w:color w:val="auto"/>
          <w:kern w:val="2"/>
          <w:sz w:val="21"/>
          <w:szCs w:val="21"/>
          <w:highlight w:val="none"/>
        </w:rPr>
        <w:t>理人</w:t>
      </w:r>
      <w:bookmarkEnd w:id="525"/>
      <w:bookmarkEnd w:id="526"/>
      <w:bookmarkEnd w:id="527"/>
    </w:p>
    <w:p>
      <w:pPr>
        <w:pStyle w:val="7"/>
        <w:spacing w:before="0" w:beforeAutospacing="0" w:after="0" w:afterAutospacing="0" w:line="360" w:lineRule="auto"/>
        <w:ind w:firstLine="422" w:firstLineChars="200"/>
        <w:rPr>
          <w:color w:val="auto"/>
          <w:sz w:val="21"/>
          <w:szCs w:val="21"/>
          <w:highlight w:val="none"/>
        </w:rPr>
      </w:pPr>
      <w:bookmarkStart w:id="539" w:name="_Toc532377341"/>
      <w:r>
        <w:rPr>
          <w:rFonts w:hint="eastAsia"/>
          <w:color w:val="auto"/>
          <w:sz w:val="21"/>
          <w:szCs w:val="21"/>
          <w:highlight w:val="none"/>
        </w:rPr>
        <w:t>4.1 监理人的一般规定</w:t>
      </w:r>
      <w:bookmarkEnd w:id="53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自行负责承担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40" w:name="_Toc532377342"/>
      <w:r>
        <w:rPr>
          <w:rFonts w:hint="eastAsia"/>
          <w:color w:val="auto"/>
          <w:sz w:val="21"/>
          <w:szCs w:val="21"/>
          <w:highlight w:val="none"/>
        </w:rPr>
        <w:t>4.2 监理人员</w:t>
      </w:r>
      <w:bookmarkEnd w:id="54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pStyle w:val="7"/>
        <w:spacing w:before="0" w:beforeAutospacing="0" w:after="0" w:afterAutospacing="0" w:line="360" w:lineRule="auto"/>
        <w:ind w:firstLine="420" w:firstLineChars="200"/>
        <w:rPr>
          <w:b w:val="0"/>
          <w:color w:val="auto"/>
          <w:sz w:val="21"/>
          <w:szCs w:val="21"/>
          <w:highlight w:val="none"/>
        </w:rPr>
      </w:pPr>
      <w:bookmarkStart w:id="541" w:name="_Toc532377343"/>
      <w:r>
        <w:rPr>
          <w:rFonts w:hint="eastAsia"/>
          <w:b w:val="0"/>
          <w:color w:val="auto"/>
          <w:sz w:val="21"/>
          <w:szCs w:val="21"/>
          <w:highlight w:val="none"/>
        </w:rPr>
        <w:t>4.4 商定或确定</w:t>
      </w:r>
      <w:bookmarkEnd w:id="541"/>
    </w:p>
    <w:p>
      <w:pPr>
        <w:spacing w:line="360" w:lineRule="auto"/>
        <w:ind w:firstLine="420" w:firstLineChars="200"/>
        <w:jc w:val="left"/>
        <w:rPr>
          <w:rFonts w:ascii="宋体" w:hAnsi="宋体"/>
          <w:color w:val="auto"/>
          <w:szCs w:val="21"/>
          <w:highlight w:val="none"/>
        </w:rPr>
      </w:pPr>
      <w:bookmarkStart w:id="542" w:name="_Toc267251418"/>
      <w:r>
        <w:rPr>
          <w:rFonts w:hint="eastAsia" w:ascii="宋体" w:hAnsi="宋体"/>
          <w:color w:val="auto"/>
          <w:szCs w:val="21"/>
          <w:highlight w:val="none"/>
        </w:rPr>
        <w:t>在发包人和承包人不能通过协商达成一致意见时，发包人授权监理人对以下事项进行确定：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43" w:name="_Toc532375612"/>
      <w:bookmarkStart w:id="544" w:name="_Toc532377344"/>
      <w:bookmarkStart w:id="545" w:name="_Toc351203637"/>
      <w:r>
        <w:rPr>
          <w:rFonts w:hint="eastAsia"/>
          <w:color w:val="auto"/>
          <w:kern w:val="2"/>
          <w:sz w:val="21"/>
          <w:szCs w:val="21"/>
          <w:highlight w:val="none"/>
        </w:rPr>
        <w:t>5</w:t>
      </w:r>
      <w:bookmarkEnd w:id="542"/>
      <w:bookmarkStart w:id="546" w:name="_Toc296944502"/>
      <w:bookmarkStart w:id="547" w:name="_Toc296347162"/>
      <w:bookmarkStart w:id="548" w:name="_Toc297048349"/>
      <w:bookmarkStart w:id="549" w:name="_Toc292559872"/>
      <w:bookmarkStart w:id="550" w:name="_Toc296346664"/>
      <w:bookmarkStart w:id="551" w:name="_Toc296503163"/>
      <w:bookmarkStart w:id="552" w:name="_Toc296891203"/>
      <w:bookmarkStart w:id="553" w:name="_Toc297120463"/>
      <w:bookmarkStart w:id="554" w:name="_Toc292559367"/>
      <w:bookmarkStart w:id="555" w:name="_Toc296890991"/>
      <w:r>
        <w:rPr>
          <w:rFonts w:hint="eastAsia"/>
          <w:color w:val="auto"/>
          <w:kern w:val="2"/>
          <w:sz w:val="21"/>
          <w:szCs w:val="21"/>
          <w:highlight w:val="none"/>
        </w:rPr>
        <w:t>. 工程质量</w:t>
      </w:r>
      <w:bookmarkEnd w:id="543"/>
      <w:bookmarkEnd w:id="544"/>
      <w:bookmarkEnd w:id="545"/>
    </w:p>
    <w:p>
      <w:pPr>
        <w:pStyle w:val="7"/>
        <w:spacing w:before="0" w:beforeAutospacing="0" w:after="0" w:afterAutospacing="0" w:line="360" w:lineRule="auto"/>
        <w:ind w:firstLine="422" w:firstLineChars="200"/>
        <w:rPr>
          <w:color w:val="auto"/>
          <w:sz w:val="21"/>
          <w:szCs w:val="21"/>
          <w:highlight w:val="none"/>
        </w:rPr>
      </w:pPr>
      <w:bookmarkStart w:id="556" w:name="_Toc532377345"/>
      <w:r>
        <w:rPr>
          <w:rFonts w:hint="eastAsia"/>
          <w:color w:val="auto"/>
          <w:sz w:val="21"/>
          <w:szCs w:val="21"/>
          <w:highlight w:val="none"/>
        </w:rPr>
        <w:t>5.1 质量要求</w:t>
      </w:r>
      <w:bookmarkEnd w:id="556"/>
      <w:bookmarkStart w:id="557" w:name="_Hlk528909888"/>
      <w:bookmarkStart w:id="558" w:name="_Toc297123496"/>
      <w:bookmarkStart w:id="559" w:name="_Toc312677997"/>
      <w:bookmarkStart w:id="560" w:name="_Toc300934949"/>
      <w:bookmarkStart w:id="561" w:name="_Toc303539106"/>
      <w:bookmarkStart w:id="562" w:name="_Toc297216155"/>
      <w:bookmarkStart w:id="563" w:name="_Toc304295527"/>
      <w:bookmarkStart w:id="564" w:name="_Toc31858116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557"/>
    <w:p>
      <w:pPr>
        <w:pStyle w:val="7"/>
        <w:spacing w:before="0" w:beforeAutospacing="0" w:after="0" w:afterAutospacing="0" w:line="360" w:lineRule="auto"/>
        <w:ind w:firstLine="422" w:firstLineChars="200"/>
        <w:rPr>
          <w:color w:val="auto"/>
          <w:sz w:val="21"/>
          <w:szCs w:val="21"/>
          <w:highlight w:val="none"/>
        </w:rPr>
      </w:pPr>
      <w:bookmarkStart w:id="565" w:name="_Toc532377346"/>
      <w:r>
        <w:rPr>
          <w:rFonts w:hint="eastAsia"/>
          <w:color w:val="auto"/>
          <w:sz w:val="21"/>
          <w:szCs w:val="21"/>
          <w:highlight w:val="none"/>
        </w:rPr>
        <w:t>5.2 质量保证措施</w:t>
      </w:r>
      <w:bookmarkEnd w:id="56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color w:val="auto"/>
          <w:sz w:val="21"/>
          <w:szCs w:val="21"/>
          <w:highlight w:val="none"/>
        </w:rPr>
      </w:pPr>
      <w:bookmarkStart w:id="566" w:name="_Toc351203536"/>
      <w:bookmarkStart w:id="567" w:name="_Toc532377347"/>
      <w:bookmarkStart w:id="568" w:name="_Hlk528927873"/>
      <w:r>
        <w:rPr>
          <w:rFonts w:hint="eastAsia"/>
          <w:color w:val="auto"/>
          <w:sz w:val="21"/>
          <w:szCs w:val="21"/>
          <w:highlight w:val="none"/>
        </w:rPr>
        <w:t>5.3隐蔽工程检查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569" w:name="_Toc337558762"/>
      <w:r>
        <w:rPr>
          <w:rFonts w:hint="eastAsia"/>
          <w:color w:val="auto"/>
          <w:sz w:val="21"/>
          <w:szCs w:val="21"/>
          <w:highlight w:val="none"/>
        </w:rPr>
        <w:t>.4 不合格工程的处理</w:t>
      </w:r>
      <w:bookmarkEnd w:id="566"/>
      <w:bookmarkEnd w:id="567"/>
    </w:p>
    <w:bookmarkEnd w:id="56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568"/>
    <w:p>
      <w:pPr>
        <w:pStyle w:val="7"/>
        <w:spacing w:before="0" w:beforeAutospacing="0" w:after="0" w:afterAutospacing="0" w:line="360" w:lineRule="auto"/>
        <w:ind w:firstLine="422" w:firstLineChars="200"/>
        <w:rPr>
          <w:color w:val="auto"/>
          <w:sz w:val="21"/>
          <w:szCs w:val="21"/>
          <w:highlight w:val="none"/>
        </w:rPr>
      </w:pPr>
      <w:bookmarkStart w:id="570" w:name="_Toc532377348"/>
      <w:r>
        <w:rPr>
          <w:rFonts w:hint="eastAsia"/>
          <w:color w:val="auto"/>
          <w:sz w:val="21"/>
          <w:szCs w:val="21"/>
          <w:highlight w:val="none"/>
        </w:rPr>
        <w:t>5.6 质量事故的处理</w:t>
      </w:r>
      <w:bookmarkEnd w:id="57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546"/>
    <w:bookmarkEnd w:id="547"/>
    <w:bookmarkEnd w:id="548"/>
    <w:bookmarkEnd w:id="549"/>
    <w:bookmarkEnd w:id="550"/>
    <w:bookmarkEnd w:id="551"/>
    <w:bookmarkEnd w:id="552"/>
    <w:bookmarkEnd w:id="553"/>
    <w:bookmarkEnd w:id="554"/>
    <w:bookmarkEnd w:id="555"/>
    <w:bookmarkEnd w:id="558"/>
    <w:bookmarkEnd w:id="559"/>
    <w:bookmarkEnd w:id="560"/>
    <w:bookmarkEnd w:id="561"/>
    <w:bookmarkEnd w:id="562"/>
    <w:bookmarkEnd w:id="563"/>
    <w:bookmarkEnd w:id="564"/>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71" w:name="_Toc532377349"/>
      <w:bookmarkStart w:id="572" w:name="_Toc351203638"/>
      <w:bookmarkStart w:id="573" w:name="_Toc532375613"/>
      <w:bookmarkStart w:id="574" w:name="_Toc292559378"/>
      <w:bookmarkStart w:id="575" w:name="_Toc296346674"/>
      <w:bookmarkStart w:id="576" w:name="_Toc267251428"/>
      <w:bookmarkStart w:id="577" w:name="_Toc297120473"/>
      <w:bookmarkStart w:id="578" w:name="_Toc296891001"/>
      <w:bookmarkStart w:id="579" w:name="_Toc267251427"/>
      <w:bookmarkStart w:id="580" w:name="_Toc351203642"/>
      <w:bookmarkStart w:id="581" w:name="_Toc296891213"/>
      <w:bookmarkStart w:id="582" w:name="_Toc292559883"/>
      <w:bookmarkStart w:id="583" w:name="_Toc296503173"/>
      <w:bookmarkStart w:id="584" w:name="_Toc297048359"/>
      <w:bookmarkStart w:id="585" w:name="_Toc296347172"/>
      <w:bookmarkStart w:id="586" w:name="_Toc296944512"/>
      <w:r>
        <w:rPr>
          <w:rFonts w:hint="eastAsia"/>
          <w:color w:val="auto"/>
          <w:kern w:val="2"/>
          <w:sz w:val="21"/>
          <w:szCs w:val="21"/>
          <w:highlight w:val="none"/>
        </w:rPr>
        <w:t>6. 安全文明施工与环境保护</w:t>
      </w:r>
      <w:bookmarkEnd w:id="571"/>
      <w:bookmarkEnd w:id="572"/>
      <w:bookmarkEnd w:id="573"/>
    </w:p>
    <w:p>
      <w:pPr>
        <w:pStyle w:val="7"/>
        <w:spacing w:before="0" w:beforeAutospacing="0" w:after="0" w:afterAutospacing="0" w:line="360" w:lineRule="auto"/>
        <w:ind w:firstLine="422" w:firstLineChars="200"/>
        <w:rPr>
          <w:color w:val="auto"/>
          <w:sz w:val="21"/>
          <w:szCs w:val="21"/>
          <w:highlight w:val="none"/>
        </w:rPr>
      </w:pPr>
      <w:bookmarkStart w:id="587" w:name="_Toc532377350"/>
      <w:bookmarkStart w:id="588" w:name="_Toc532375614"/>
      <w:r>
        <w:rPr>
          <w:rFonts w:hint="eastAsia"/>
          <w:color w:val="auto"/>
          <w:sz w:val="21"/>
          <w:szCs w:val="21"/>
          <w:highlight w:val="none"/>
        </w:rPr>
        <w:t>6.1 安全文明施工</w:t>
      </w:r>
      <w:bookmarkEnd w:id="587"/>
      <w:bookmarkEnd w:id="58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89" w:name="_Toc532377351"/>
      <w:bookmarkStart w:id="590" w:name="_Toc532375615"/>
      <w:r>
        <w:rPr>
          <w:rFonts w:hint="eastAsia"/>
          <w:color w:val="auto"/>
          <w:sz w:val="21"/>
          <w:szCs w:val="21"/>
          <w:highlight w:val="none"/>
        </w:rPr>
        <w:t>6.3 环境保护</w:t>
      </w:r>
      <w:bookmarkEnd w:id="589"/>
      <w:bookmarkEnd w:id="590"/>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color w:val="auto"/>
          <w:szCs w:val="21"/>
          <w:highlight w:val="none"/>
        </w:rPr>
      </w:pPr>
      <w:bookmarkStart w:id="591" w:name="_Toc532377352"/>
      <w:bookmarkStart w:id="592" w:name="_Toc532375616"/>
      <w:bookmarkStart w:id="593" w:name="_Toc351203639"/>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591"/>
      <w:bookmarkEnd w:id="592"/>
      <w:bookmarkEnd w:id="593"/>
    </w:p>
    <w:p>
      <w:pPr>
        <w:pStyle w:val="7"/>
        <w:spacing w:before="0" w:beforeAutospacing="0" w:after="0" w:afterAutospacing="0" w:line="360" w:lineRule="auto"/>
        <w:ind w:firstLine="422" w:firstLineChars="200"/>
        <w:rPr>
          <w:color w:val="auto"/>
          <w:sz w:val="21"/>
          <w:szCs w:val="21"/>
          <w:highlight w:val="none"/>
        </w:rPr>
      </w:pPr>
      <w:bookmarkStart w:id="594" w:name="_Toc532375617"/>
      <w:bookmarkStart w:id="595" w:name="_Toc532377353"/>
      <w:r>
        <w:rPr>
          <w:rFonts w:hint="eastAsia"/>
          <w:color w:val="auto"/>
          <w:sz w:val="21"/>
          <w:szCs w:val="21"/>
          <w:highlight w:val="none"/>
        </w:rPr>
        <w:t>7.1 施工组织设计</w:t>
      </w:r>
      <w:bookmarkEnd w:id="594"/>
      <w:bookmarkEnd w:id="595"/>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96" w:name="_Toc532377354"/>
      <w:bookmarkStart w:id="597" w:name="_Toc532375618"/>
      <w:r>
        <w:rPr>
          <w:rFonts w:hint="eastAsia"/>
          <w:color w:val="auto"/>
          <w:sz w:val="21"/>
          <w:szCs w:val="21"/>
          <w:highlight w:val="none"/>
        </w:rPr>
        <w:t>7.2 施工进度计划</w:t>
      </w:r>
      <w:bookmarkEnd w:id="596"/>
      <w:bookmarkEnd w:id="59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98" w:name="_Toc532375619"/>
      <w:bookmarkStart w:id="599" w:name="_Toc532377355"/>
      <w:bookmarkStart w:id="600" w:name="_Toc297123514"/>
      <w:bookmarkStart w:id="601" w:name="_Toc297216173"/>
      <w:bookmarkStart w:id="602" w:name="_Toc304295541"/>
      <w:bookmarkStart w:id="603" w:name="_Toc312677479"/>
      <w:bookmarkStart w:id="604" w:name="_Toc303539123"/>
      <w:bookmarkStart w:id="605" w:name="_Toc300934966"/>
      <w:bookmarkStart w:id="606" w:name="_Toc312678005"/>
      <w:r>
        <w:rPr>
          <w:rFonts w:hint="eastAsia"/>
          <w:color w:val="auto"/>
          <w:sz w:val="21"/>
          <w:szCs w:val="21"/>
          <w:highlight w:val="none"/>
        </w:rPr>
        <w:t>7.3 开工</w:t>
      </w:r>
      <w:bookmarkEnd w:id="598"/>
      <w:bookmarkEnd w:id="59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600"/>
    <w:bookmarkEnd w:id="601"/>
    <w:bookmarkEnd w:id="602"/>
    <w:bookmarkEnd w:id="603"/>
    <w:bookmarkEnd w:id="604"/>
    <w:bookmarkEnd w:id="605"/>
    <w:bookmarkEnd w:id="606"/>
    <w:p>
      <w:pPr>
        <w:pStyle w:val="7"/>
        <w:spacing w:before="0" w:beforeAutospacing="0" w:after="0" w:afterAutospacing="0" w:line="360" w:lineRule="auto"/>
        <w:ind w:firstLine="422" w:firstLineChars="200"/>
        <w:rPr>
          <w:color w:val="auto"/>
          <w:sz w:val="21"/>
          <w:szCs w:val="21"/>
          <w:highlight w:val="none"/>
        </w:rPr>
      </w:pPr>
      <w:bookmarkStart w:id="607" w:name="_Toc532377356"/>
      <w:bookmarkStart w:id="608" w:name="_Toc532375620"/>
      <w:r>
        <w:rPr>
          <w:rFonts w:hint="eastAsia"/>
          <w:color w:val="auto"/>
          <w:sz w:val="21"/>
          <w:szCs w:val="21"/>
          <w:highlight w:val="none"/>
        </w:rPr>
        <w:t>7.4 测量放线</w:t>
      </w:r>
      <w:bookmarkEnd w:id="607"/>
      <w:bookmarkEnd w:id="60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09" w:name="_Toc532377357"/>
      <w:bookmarkStart w:id="610" w:name="_Toc532375621"/>
      <w:r>
        <w:rPr>
          <w:rFonts w:hint="eastAsia"/>
          <w:color w:val="auto"/>
          <w:sz w:val="21"/>
          <w:szCs w:val="21"/>
          <w:highlight w:val="none"/>
        </w:rPr>
        <w:t>7</w:t>
      </w:r>
      <w:bookmarkStart w:id="611" w:name="_Toc300934968"/>
      <w:bookmarkStart w:id="612" w:name="_Toc312677484"/>
      <w:bookmarkStart w:id="613" w:name="_Toc297216175"/>
      <w:bookmarkStart w:id="614" w:name="_Toc297123516"/>
      <w:bookmarkStart w:id="615" w:name="_Toc303539125"/>
      <w:bookmarkStart w:id="616" w:name="_Toc304295546"/>
      <w:bookmarkStart w:id="617" w:name="_Toc312678010"/>
      <w:r>
        <w:rPr>
          <w:rFonts w:hint="eastAsia"/>
          <w:color w:val="auto"/>
          <w:sz w:val="21"/>
          <w:szCs w:val="21"/>
          <w:highlight w:val="none"/>
        </w:rPr>
        <w:t>.5 工期延误</w:t>
      </w:r>
      <w:bookmarkEnd w:id="609"/>
      <w:bookmarkEnd w:id="610"/>
    </w:p>
    <w:bookmarkEnd w:id="611"/>
    <w:bookmarkEnd w:id="612"/>
    <w:bookmarkEnd w:id="613"/>
    <w:bookmarkEnd w:id="614"/>
    <w:bookmarkEnd w:id="615"/>
    <w:bookmarkEnd w:id="616"/>
    <w:bookmarkEnd w:id="617"/>
    <w:p>
      <w:pPr>
        <w:spacing w:line="360" w:lineRule="auto"/>
        <w:ind w:firstLine="420" w:firstLineChars="200"/>
        <w:jc w:val="left"/>
        <w:rPr>
          <w:rFonts w:ascii="宋体" w:hAnsi="宋体"/>
          <w:color w:val="auto"/>
          <w:szCs w:val="21"/>
          <w:highlight w:val="none"/>
        </w:rPr>
      </w:pPr>
      <w:bookmarkStart w:id="618" w:name="_Hlk528927940"/>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618"/>
    <w:p>
      <w:pPr>
        <w:pStyle w:val="7"/>
        <w:spacing w:before="0" w:beforeAutospacing="0" w:after="0" w:afterAutospacing="0" w:line="360" w:lineRule="auto"/>
        <w:ind w:firstLine="422" w:firstLineChars="200"/>
        <w:rPr>
          <w:color w:val="auto"/>
          <w:sz w:val="21"/>
          <w:szCs w:val="21"/>
          <w:highlight w:val="none"/>
        </w:rPr>
      </w:pPr>
      <w:bookmarkStart w:id="619" w:name="_Toc532375622"/>
      <w:bookmarkStart w:id="620" w:name="_Toc532377358"/>
      <w:bookmarkStart w:id="621" w:name="_Hlk528927997"/>
      <w:r>
        <w:rPr>
          <w:rFonts w:hint="eastAsia"/>
          <w:color w:val="auto"/>
          <w:sz w:val="21"/>
          <w:szCs w:val="21"/>
          <w:highlight w:val="none"/>
        </w:rPr>
        <w:t>7</w:t>
      </w:r>
      <w:bookmarkStart w:id="622" w:name="_Toc304295549"/>
      <w:bookmarkStart w:id="623" w:name="_Toc312678015"/>
      <w:bookmarkStart w:id="624" w:name="_Toc297216178"/>
      <w:bookmarkStart w:id="625" w:name="_Toc300934971"/>
      <w:bookmarkStart w:id="626" w:name="_Toc303539128"/>
      <w:bookmarkStart w:id="627" w:name="_Toc297123519"/>
      <w:r>
        <w:rPr>
          <w:rFonts w:hint="eastAsia"/>
          <w:color w:val="auto"/>
          <w:sz w:val="21"/>
          <w:szCs w:val="21"/>
          <w:highlight w:val="none"/>
        </w:rPr>
        <w:t>.6 不</w:t>
      </w:r>
      <w:bookmarkEnd w:id="622"/>
      <w:bookmarkEnd w:id="623"/>
      <w:bookmarkEnd w:id="624"/>
      <w:bookmarkEnd w:id="625"/>
      <w:bookmarkEnd w:id="626"/>
      <w:bookmarkEnd w:id="627"/>
      <w:r>
        <w:rPr>
          <w:rFonts w:hint="eastAsia"/>
          <w:color w:val="auto"/>
          <w:sz w:val="21"/>
          <w:szCs w:val="21"/>
          <w:highlight w:val="none"/>
        </w:rPr>
        <w:t>利物质条件</w:t>
      </w:r>
      <w:bookmarkEnd w:id="619"/>
      <w:bookmarkEnd w:id="620"/>
    </w:p>
    <w:bookmarkEnd w:id="621"/>
    <w:p>
      <w:pPr>
        <w:spacing w:line="360" w:lineRule="auto"/>
        <w:ind w:firstLine="420" w:firstLineChars="200"/>
        <w:jc w:val="left"/>
        <w:rPr>
          <w:rFonts w:ascii="宋体" w:hAnsi="宋体"/>
          <w:bCs/>
          <w:color w:val="auto"/>
          <w:szCs w:val="21"/>
          <w:highlight w:val="none"/>
        </w:rPr>
      </w:pPr>
      <w:bookmarkStart w:id="628" w:name="_Toc297216179"/>
      <w:bookmarkStart w:id="629" w:name="_Toc300934972"/>
      <w:bookmarkStart w:id="630" w:name="_Toc304295550"/>
      <w:bookmarkStart w:id="631" w:name="_Toc312678016"/>
      <w:bookmarkStart w:id="632" w:name="_Toc297123520"/>
      <w:bookmarkStart w:id="633" w:name="_Toc318581172"/>
      <w:bookmarkStart w:id="634" w:name="_Toc303539129"/>
      <w:r>
        <w:rPr>
          <w:rFonts w:hint="eastAsia" w:ascii="宋体" w:hAnsi="宋体"/>
          <w:color w:val="auto"/>
          <w:szCs w:val="21"/>
          <w:highlight w:val="none"/>
        </w:rPr>
        <w:t>不利物质条件的其他情形和有关约定：</w:t>
      </w:r>
      <w:bookmarkStart w:id="635" w:name="_Hlk528910274"/>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628"/>
    <w:bookmarkEnd w:id="629"/>
    <w:bookmarkEnd w:id="630"/>
    <w:bookmarkEnd w:id="631"/>
    <w:bookmarkEnd w:id="632"/>
    <w:bookmarkEnd w:id="633"/>
    <w:bookmarkEnd w:id="634"/>
    <w:bookmarkEnd w:id="635"/>
    <w:p>
      <w:pPr>
        <w:pStyle w:val="7"/>
        <w:spacing w:before="0" w:beforeAutospacing="0" w:after="0" w:afterAutospacing="0" w:line="360" w:lineRule="auto"/>
        <w:ind w:firstLine="422" w:firstLineChars="200"/>
        <w:rPr>
          <w:color w:val="auto"/>
          <w:sz w:val="21"/>
          <w:szCs w:val="21"/>
          <w:highlight w:val="none"/>
        </w:rPr>
      </w:pPr>
      <w:bookmarkStart w:id="636" w:name="_Toc532375623"/>
      <w:bookmarkStart w:id="637" w:name="_Toc532377359"/>
      <w:r>
        <w:rPr>
          <w:rFonts w:hint="eastAsia"/>
          <w:color w:val="auto"/>
          <w:sz w:val="21"/>
          <w:szCs w:val="21"/>
          <w:highlight w:val="none"/>
        </w:rPr>
        <w:t>7</w:t>
      </w:r>
      <w:bookmarkStart w:id="638" w:name="_Toc297216180"/>
      <w:bookmarkStart w:id="639" w:name="_Toc297123521"/>
      <w:bookmarkStart w:id="640" w:name="_Toc312678017"/>
      <w:bookmarkStart w:id="641" w:name="_Toc303539130"/>
      <w:bookmarkStart w:id="642" w:name="_Toc304295551"/>
      <w:bookmarkStart w:id="643" w:name="_Toc300934973"/>
      <w:r>
        <w:rPr>
          <w:rFonts w:hint="eastAsia"/>
          <w:color w:val="auto"/>
          <w:sz w:val="21"/>
          <w:szCs w:val="21"/>
          <w:highlight w:val="none"/>
        </w:rPr>
        <w:t>.7异常恶劣的气候条件</w:t>
      </w:r>
      <w:bookmarkEnd w:id="636"/>
      <w:bookmarkEnd w:id="637"/>
    </w:p>
    <w:bookmarkEnd w:id="638"/>
    <w:bookmarkEnd w:id="639"/>
    <w:bookmarkEnd w:id="640"/>
    <w:bookmarkEnd w:id="641"/>
    <w:bookmarkEnd w:id="642"/>
    <w:bookmarkEnd w:id="643"/>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44" w:name="_Toc532377360"/>
      <w:bookmarkStart w:id="645" w:name="_Toc532375624"/>
      <w:r>
        <w:rPr>
          <w:rFonts w:hint="eastAsia"/>
          <w:color w:val="auto"/>
          <w:sz w:val="21"/>
          <w:szCs w:val="21"/>
          <w:highlight w:val="none"/>
        </w:rPr>
        <w:t>7.9 提前竣工</w:t>
      </w:r>
      <w:bookmarkEnd w:id="644"/>
      <w:bookmarkEnd w:id="64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不采用</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46" w:name="_Toc532377361"/>
      <w:bookmarkStart w:id="647" w:name="_Toc532375625"/>
      <w:bookmarkStart w:id="648" w:name="_Toc351203640"/>
      <w:r>
        <w:rPr>
          <w:rFonts w:hint="eastAsia"/>
          <w:color w:val="auto"/>
          <w:kern w:val="2"/>
          <w:sz w:val="21"/>
          <w:szCs w:val="21"/>
          <w:highlight w:val="none"/>
        </w:rPr>
        <w:t>8. 材料与设备</w:t>
      </w:r>
      <w:bookmarkEnd w:id="646"/>
      <w:bookmarkEnd w:id="647"/>
      <w:bookmarkEnd w:id="648"/>
    </w:p>
    <w:p>
      <w:pPr>
        <w:pStyle w:val="7"/>
        <w:spacing w:before="0" w:beforeAutospacing="0" w:after="0" w:afterAutospacing="0" w:line="360" w:lineRule="auto"/>
        <w:ind w:firstLine="422" w:firstLineChars="200"/>
        <w:rPr>
          <w:color w:val="auto"/>
          <w:sz w:val="21"/>
          <w:szCs w:val="21"/>
          <w:highlight w:val="none"/>
        </w:rPr>
      </w:pPr>
      <w:bookmarkStart w:id="649" w:name="_Toc532377362"/>
      <w:bookmarkStart w:id="650" w:name="_Toc532375626"/>
      <w:r>
        <w:rPr>
          <w:rFonts w:hint="eastAsia"/>
          <w:color w:val="auto"/>
          <w:sz w:val="21"/>
          <w:szCs w:val="21"/>
          <w:highlight w:val="none"/>
        </w:rPr>
        <w:t>8.1发包人供应材料与工程设备</w:t>
      </w:r>
      <w:bookmarkEnd w:id="649"/>
      <w:bookmarkEnd w:id="65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51" w:name="_Toc351203554"/>
      <w:bookmarkStart w:id="652" w:name="_Toc532377363"/>
      <w:bookmarkStart w:id="653" w:name="_Toc532375627"/>
      <w:r>
        <w:rPr>
          <w:rFonts w:hint="eastAsia"/>
          <w:color w:val="auto"/>
          <w:sz w:val="21"/>
          <w:szCs w:val="21"/>
          <w:highlight w:val="none"/>
        </w:rPr>
        <w:t>8</w:t>
      </w:r>
      <w:bookmarkStart w:id="654" w:name="_Toc296346561"/>
      <w:bookmarkStart w:id="655" w:name="_Toc296503060"/>
      <w:bookmarkStart w:id="656" w:name="_Toc337558778"/>
      <w:r>
        <w:rPr>
          <w:rFonts w:hint="eastAsia"/>
          <w:color w:val="auto"/>
          <w:sz w:val="21"/>
          <w:szCs w:val="21"/>
          <w:highlight w:val="none"/>
        </w:rPr>
        <w:t>.2 承包人采购材料与工程设备</w:t>
      </w:r>
      <w:bookmarkEnd w:id="651"/>
      <w:bookmarkEnd w:id="652"/>
      <w:bookmarkEnd w:id="653"/>
    </w:p>
    <w:bookmarkEnd w:id="654"/>
    <w:bookmarkEnd w:id="655"/>
    <w:bookmarkEnd w:id="65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default" w:ascii="Times New Roman" w:hAnsi="Times New Roman" w:cs="Times New Roman"/>
          <w:color w:val="auto"/>
          <w:kern w:val="0"/>
          <w:szCs w:val="21"/>
          <w:highlight w:val="none"/>
          <w:u w:val="single"/>
        </w:rPr>
        <w:t>符合设计图纸及有关标准、规范的要求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default" w:ascii="Times New Roman" w:hAnsi="Times New Roman" w:cs="Times New Roman"/>
          <w:color w:val="auto"/>
          <w:kern w:val="0"/>
          <w:szCs w:val="21"/>
          <w:highlight w:val="none"/>
          <w:u w:val="single"/>
        </w:rPr>
        <w:t>符合设计图纸及有关标准、规范的要求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default" w:ascii="Times New Roman" w:hAnsi="Times New Roman" w:cs="Times New Roman"/>
          <w:color w:val="auto"/>
          <w:kern w:val="0"/>
          <w:szCs w:val="21"/>
          <w:highlight w:val="none"/>
          <w:u w:val="single"/>
        </w:rPr>
        <w:t>符合设计图纸及有关标准、规范的要求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57" w:name="_Toc532377364"/>
      <w:bookmarkStart w:id="658" w:name="_Toc532375628"/>
      <w:r>
        <w:rPr>
          <w:rFonts w:hint="eastAsia"/>
          <w:color w:val="auto"/>
          <w:sz w:val="21"/>
          <w:szCs w:val="21"/>
          <w:highlight w:val="none"/>
        </w:rPr>
        <w:t>8</w:t>
      </w:r>
      <w:bookmarkStart w:id="659" w:name="_Toc312677493"/>
      <w:bookmarkStart w:id="660" w:name="_Toc304295556"/>
      <w:bookmarkStart w:id="661" w:name="_Toc296944506"/>
      <w:bookmarkStart w:id="662" w:name="_Toc300934979"/>
      <w:bookmarkStart w:id="663" w:name="_Toc312678019"/>
      <w:bookmarkStart w:id="664" w:name="_Toc296347166"/>
      <w:bookmarkStart w:id="665" w:name="_Toc296503167"/>
      <w:bookmarkStart w:id="666" w:name="_Toc297120467"/>
      <w:bookmarkStart w:id="667" w:name="_Toc297123527"/>
      <w:bookmarkStart w:id="668" w:name="_Toc292559877"/>
      <w:bookmarkStart w:id="669" w:name="_Toc297048353"/>
      <w:bookmarkStart w:id="670" w:name="_Toc292559372"/>
      <w:bookmarkStart w:id="671" w:name="_Toc296891207"/>
      <w:bookmarkStart w:id="672" w:name="_Toc303539136"/>
      <w:bookmarkStart w:id="673" w:name="_Toc297216186"/>
      <w:bookmarkStart w:id="674" w:name="_Toc296346668"/>
      <w:bookmarkStart w:id="675" w:name="_Toc296890995"/>
      <w:bookmarkStart w:id="676" w:name="_Toc280868654"/>
      <w:bookmarkStart w:id="677" w:name="_Toc280868655"/>
      <w:bookmarkStart w:id="678" w:name="_Toc280868656"/>
      <w:bookmarkStart w:id="679" w:name="_Toc267251424"/>
      <w:r>
        <w:rPr>
          <w:rFonts w:hint="eastAsia"/>
          <w:color w:val="auto"/>
          <w:sz w:val="21"/>
          <w:szCs w:val="21"/>
          <w:highlight w:val="none"/>
        </w:rPr>
        <w:t>.4 材料与工程设备的保管与使用</w:t>
      </w:r>
      <w:bookmarkEnd w:id="657"/>
      <w:bookmarkEnd w:id="658"/>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680" w:name="_Toc292559373"/>
      <w:bookmarkStart w:id="681" w:name="_Toc292559878"/>
      <w:bookmarkStart w:id="682" w:name="_Toc296891208"/>
      <w:bookmarkStart w:id="683" w:name="_Toc297048354"/>
      <w:bookmarkStart w:id="684" w:name="_Toc303539137"/>
      <w:bookmarkStart w:id="685" w:name="_Toc297216187"/>
      <w:bookmarkStart w:id="686" w:name="_Toc296890996"/>
      <w:bookmarkStart w:id="687" w:name="_Toc296503168"/>
      <w:bookmarkStart w:id="688" w:name="_Toc312678020"/>
      <w:bookmarkStart w:id="689" w:name="_Toc300934980"/>
      <w:bookmarkStart w:id="690" w:name="_Toc296347167"/>
      <w:bookmarkStart w:id="691" w:name="_Toc304295557"/>
      <w:bookmarkStart w:id="692" w:name="_Toc312677494"/>
      <w:bookmarkStart w:id="693" w:name="_Toc297123528"/>
      <w:bookmarkStart w:id="694" w:name="_Toc296346669"/>
      <w:bookmarkStart w:id="695" w:name="_Toc318581173"/>
      <w:bookmarkStart w:id="696" w:name="_Toc296944507"/>
      <w:bookmarkStart w:id="697" w:name="_Toc297120468"/>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680"/>
      <w:bookmarkEnd w:id="681"/>
    </w:p>
    <w:p>
      <w:pPr>
        <w:pStyle w:val="7"/>
        <w:spacing w:before="0" w:beforeAutospacing="0" w:after="0" w:afterAutospacing="0" w:line="360" w:lineRule="auto"/>
        <w:ind w:firstLine="422" w:firstLineChars="200"/>
        <w:rPr>
          <w:color w:val="auto"/>
          <w:sz w:val="21"/>
          <w:szCs w:val="21"/>
          <w:highlight w:val="none"/>
        </w:rPr>
      </w:pPr>
      <w:bookmarkStart w:id="698" w:name="_Toc532377365"/>
      <w:bookmarkStart w:id="699" w:name="_Toc532375629"/>
      <w:r>
        <w:rPr>
          <w:rFonts w:hint="eastAsia"/>
          <w:color w:val="auto"/>
          <w:sz w:val="21"/>
          <w:szCs w:val="21"/>
          <w:highlight w:val="none"/>
        </w:rPr>
        <w:t>8.6 样品</w:t>
      </w:r>
      <w:bookmarkEnd w:id="698"/>
      <w:bookmarkEnd w:id="699"/>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pPr>
        <w:snapToGrid w:val="0"/>
        <w:spacing w:line="360" w:lineRule="auto"/>
        <w:ind w:firstLine="525" w:firstLineChars="250"/>
        <w:rPr>
          <w:rFonts w:hint="default" w:ascii="Times New Roman" w:hAnsi="Times New Roman" w:cs="Times New Roman"/>
          <w:color w:val="auto"/>
          <w:kern w:val="0"/>
          <w:szCs w:val="21"/>
          <w:highlight w:val="none"/>
          <w:u w:val="single"/>
        </w:rPr>
      </w:pPr>
      <w:r>
        <w:rPr>
          <w:rFonts w:hint="eastAsia" w:ascii="宋体" w:hAnsi="宋体"/>
          <w:color w:val="auto"/>
          <w:szCs w:val="21"/>
          <w:highlight w:val="none"/>
        </w:rPr>
        <w:t>需要承包人报送样品的材料或工程设备，样品的种类、名称、规格、数量要求：</w:t>
      </w:r>
      <w:r>
        <w:rPr>
          <w:rFonts w:hint="default" w:ascii="Times New Roman" w:hAnsi="Times New Roman" w:cs="Times New Roman"/>
          <w:color w:val="auto"/>
          <w:kern w:val="0"/>
          <w:szCs w:val="21"/>
          <w:highlight w:val="none"/>
          <w:u w:val="single"/>
        </w:rPr>
        <w:t>本项目的材料、设备在采购前承包人应将列为</w:t>
      </w:r>
      <w:r>
        <w:rPr>
          <w:rFonts w:hint="default" w:ascii="Times New Roman" w:hAnsi="Times New Roman" w:eastAsia="Arial Unicode MS" w:cs="Times New Roman"/>
          <w:color w:val="auto"/>
          <w:kern w:val="0"/>
          <w:sz w:val="21"/>
          <w:szCs w:val="21"/>
          <w:highlight w:val="none"/>
          <w:lang w:val="en-US" w:eastAsia="zh-CN"/>
        </w:rPr>
        <w:t>需要认质</w:t>
      </w:r>
      <w:r>
        <w:rPr>
          <w:rFonts w:hint="default" w:ascii="Times New Roman" w:hAnsi="Times New Roman" w:cs="Times New Roman"/>
          <w:color w:val="auto"/>
          <w:kern w:val="0"/>
          <w:szCs w:val="21"/>
          <w:highlight w:val="none"/>
          <w:u w:val="single"/>
        </w:rPr>
        <w:t>的材料、设备的厂家、技术参数、品牌、质量等级等指标以书面形式通知发包人，发包人收到承包人的书面报告后予以认质、封样后，承包人方可采购进场；对需要认价的材料、设备若承包人在发包人核价后5个工作日内，承包人拒绝签字确认发包人核定的价格或拒绝按发包人核定的价格采购的，则该种材料或设备改为第三方供货，发包人收取承包人该类材料或设备费的20%作为违约金，并按发包人实际支付的货款从承包人的进度款中扣除，同时并不解除承包人对工程质量保修责任。</w:t>
      </w:r>
    </w:p>
    <w:p>
      <w:pPr>
        <w:pStyle w:val="7"/>
        <w:spacing w:before="0" w:beforeAutospacing="0" w:after="0" w:afterAutospacing="0" w:line="360" w:lineRule="auto"/>
        <w:ind w:firstLine="422" w:firstLineChars="200"/>
        <w:rPr>
          <w:color w:val="auto"/>
          <w:sz w:val="21"/>
          <w:szCs w:val="21"/>
          <w:highlight w:val="none"/>
        </w:rPr>
      </w:pPr>
      <w:bookmarkStart w:id="700" w:name="_Toc532375630"/>
      <w:bookmarkStart w:id="701" w:name="_Toc532377366"/>
      <w:r>
        <w:rPr>
          <w:rFonts w:hint="eastAsia"/>
          <w:color w:val="auto"/>
          <w:sz w:val="21"/>
          <w:szCs w:val="21"/>
          <w:highlight w:val="none"/>
        </w:rPr>
        <w:t>8.8 施工设备和临时设施</w:t>
      </w:r>
      <w:bookmarkEnd w:id="700"/>
      <w:bookmarkEnd w:id="701"/>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02" w:name="_Toc532375631"/>
      <w:bookmarkStart w:id="703" w:name="_Toc351203641"/>
      <w:bookmarkStart w:id="704" w:name="_Toc532377367"/>
      <w:r>
        <w:rPr>
          <w:rFonts w:hint="eastAsia"/>
          <w:color w:val="auto"/>
          <w:kern w:val="2"/>
          <w:sz w:val="21"/>
          <w:szCs w:val="21"/>
          <w:highlight w:val="none"/>
        </w:rPr>
        <w:t>9</w:t>
      </w:r>
      <w:bookmarkEnd w:id="677"/>
      <w:bookmarkEnd w:id="678"/>
      <w:bookmarkEnd w:id="679"/>
      <w:bookmarkStart w:id="705" w:name="_Toc297216192"/>
      <w:bookmarkStart w:id="706" w:name="_Toc312677495"/>
      <w:bookmarkStart w:id="707" w:name="_Toc300934982"/>
      <w:bookmarkStart w:id="708" w:name="_Toc304295559"/>
      <w:bookmarkStart w:id="709" w:name="_Toc303539139"/>
      <w:bookmarkStart w:id="710" w:name="_Toc297123533"/>
      <w:bookmarkStart w:id="711" w:name="_Toc312678021"/>
      <w:r>
        <w:rPr>
          <w:rFonts w:hint="eastAsia"/>
          <w:color w:val="auto"/>
          <w:kern w:val="2"/>
          <w:sz w:val="21"/>
          <w:szCs w:val="21"/>
          <w:highlight w:val="none"/>
        </w:rPr>
        <w:t>. 试验与检验</w:t>
      </w:r>
      <w:bookmarkEnd w:id="702"/>
      <w:bookmarkEnd w:id="703"/>
      <w:bookmarkEnd w:id="704"/>
    </w:p>
    <w:bookmarkEnd w:id="705"/>
    <w:bookmarkEnd w:id="706"/>
    <w:bookmarkEnd w:id="707"/>
    <w:bookmarkEnd w:id="708"/>
    <w:bookmarkEnd w:id="709"/>
    <w:bookmarkEnd w:id="710"/>
    <w:bookmarkEnd w:id="711"/>
    <w:p>
      <w:pPr>
        <w:pStyle w:val="7"/>
        <w:spacing w:before="0" w:beforeAutospacing="0" w:after="0" w:afterAutospacing="0" w:line="360" w:lineRule="auto"/>
        <w:ind w:firstLine="422" w:firstLineChars="200"/>
        <w:rPr>
          <w:color w:val="auto"/>
          <w:sz w:val="21"/>
          <w:szCs w:val="21"/>
          <w:highlight w:val="none"/>
        </w:rPr>
      </w:pPr>
      <w:bookmarkStart w:id="712" w:name="_Toc532377368"/>
      <w:bookmarkStart w:id="713" w:name="_Toc532375632"/>
      <w:r>
        <w:rPr>
          <w:rFonts w:hint="eastAsia"/>
          <w:color w:val="auto"/>
          <w:sz w:val="21"/>
          <w:szCs w:val="21"/>
          <w:highlight w:val="none"/>
        </w:rPr>
        <w:t>9</w:t>
      </w:r>
      <w:bookmarkStart w:id="714" w:name="_Toc300934983"/>
      <w:bookmarkStart w:id="715" w:name="_Toc297216193"/>
      <w:bookmarkStart w:id="716" w:name="_Toc297123534"/>
      <w:bookmarkStart w:id="717" w:name="_Toc312677496"/>
      <w:bookmarkStart w:id="718" w:name="_Toc303539140"/>
      <w:bookmarkStart w:id="719" w:name="_Toc312678022"/>
      <w:bookmarkStart w:id="720" w:name="_Toc304295560"/>
      <w:r>
        <w:rPr>
          <w:rFonts w:hint="eastAsia"/>
          <w:color w:val="auto"/>
          <w:sz w:val="21"/>
          <w:szCs w:val="21"/>
          <w:highlight w:val="none"/>
        </w:rPr>
        <w:t>.1 试验设备与试验人员</w:t>
      </w:r>
      <w:bookmarkEnd w:id="712"/>
      <w:bookmarkEnd w:id="713"/>
    </w:p>
    <w:bookmarkEnd w:id="714"/>
    <w:bookmarkEnd w:id="715"/>
    <w:bookmarkEnd w:id="716"/>
    <w:bookmarkEnd w:id="717"/>
    <w:bookmarkEnd w:id="718"/>
    <w:bookmarkEnd w:id="719"/>
    <w:bookmarkEnd w:id="72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721" w:name="_Toc312677497"/>
      <w:bookmarkStart w:id="722" w:name="_Toc303539141"/>
      <w:bookmarkStart w:id="723" w:name="_Toc312678023"/>
      <w:bookmarkStart w:id="724" w:name="_Toc304295561"/>
      <w:bookmarkStart w:id="725" w:name="_Toc297123535"/>
      <w:bookmarkStart w:id="726" w:name="_Toc297216194"/>
      <w:bookmarkStart w:id="727" w:name="_Toc300934984"/>
      <w:bookmarkStart w:id="728" w:name="_Toc318581174"/>
      <w:r>
        <w:rPr>
          <w:rFonts w:hint="eastAsia" w:ascii="宋体" w:hAnsi="宋体"/>
          <w:color w:val="auto"/>
          <w:szCs w:val="21"/>
          <w:highlight w:val="none"/>
        </w:rPr>
        <w:t>.1.2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721"/>
      <w:bookmarkEnd w:id="722"/>
      <w:bookmarkEnd w:id="723"/>
      <w:bookmarkEnd w:id="724"/>
      <w:bookmarkEnd w:id="725"/>
      <w:bookmarkEnd w:id="726"/>
      <w:bookmarkEnd w:id="727"/>
      <w:bookmarkStart w:id="729" w:name="_Toc312678024"/>
      <w:bookmarkStart w:id="730" w:name="_Toc312677498"/>
      <w:bookmarkStart w:id="731" w:name="_Toc300934985"/>
      <w:bookmarkStart w:id="732" w:name="_Toc297216195"/>
      <w:bookmarkStart w:id="733" w:name="_Toc304295562"/>
      <w:bookmarkStart w:id="734" w:name="_Toc303539142"/>
      <w:bookmarkStart w:id="735" w:name="_Toc297123536"/>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736" w:name="_Toc532377369"/>
      <w:bookmarkStart w:id="737" w:name="_Toc532375633"/>
      <w:r>
        <w:rPr>
          <w:rFonts w:hint="eastAsia"/>
          <w:color w:val="auto"/>
          <w:sz w:val="21"/>
          <w:szCs w:val="21"/>
          <w:highlight w:val="none"/>
        </w:rPr>
        <w:t>9.4 现场工艺试验</w:t>
      </w:r>
      <w:bookmarkEnd w:id="736"/>
      <w:bookmarkEnd w:id="73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w:t>
      </w:r>
      <w:r>
        <w:rPr>
          <w:rFonts w:hint="eastAsia" w:ascii="宋体" w:hAnsi="宋体"/>
          <w:color w:val="auto"/>
          <w:szCs w:val="21"/>
          <w:highlight w:val="none"/>
          <w:lang w:val="en-US" w:eastAsia="zh-CN"/>
        </w:rPr>
        <w:t>6</w:t>
      </w:r>
      <w:r>
        <w:rPr>
          <w:rFonts w:hint="eastAsia" w:ascii="宋体" w:hAnsi="宋体"/>
          <w:color w:val="auto"/>
          <w:szCs w:val="21"/>
          <w:highlight w:val="none"/>
        </w:rPr>
        <w:t>项：</w:t>
      </w:r>
    </w:p>
    <w:bookmarkEnd w:id="728"/>
    <w:bookmarkEnd w:id="729"/>
    <w:bookmarkEnd w:id="730"/>
    <w:bookmarkEnd w:id="731"/>
    <w:bookmarkEnd w:id="732"/>
    <w:bookmarkEnd w:id="733"/>
    <w:bookmarkEnd w:id="734"/>
    <w:bookmarkEnd w:id="735"/>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default" w:ascii="Times New Roman" w:hAnsi="Times New Roman" w:cs="Times New Roman"/>
          <w:color w:val="auto"/>
          <w:kern w:val="0"/>
          <w:szCs w:val="21"/>
          <w:highlight w:val="none"/>
          <w:u w:val="single"/>
        </w:rPr>
        <w:t>按工程实际需要发生时由承包人负责实施，其费用由承包人承担或由发包人支付给检测单位并在承包人工程款中扣除</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9.4.5检测试验不合格的项目，其缺陷处理和复测费用由承包人承担，工期不予延长。</w:t>
      </w:r>
    </w:p>
    <w:p>
      <w:pPr>
        <w:pStyle w:val="45"/>
        <w:ind w:left="0" w:leftChars="0"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9.4.6</w:t>
      </w:r>
      <w:r>
        <w:rPr>
          <w:rFonts w:hint="default" w:ascii="宋体" w:hAnsi="宋体" w:eastAsia="宋体" w:cs="Times New Roman"/>
          <w:color w:val="auto"/>
          <w:kern w:val="2"/>
          <w:sz w:val="21"/>
          <w:szCs w:val="21"/>
          <w:highlight w:val="none"/>
          <w:lang w:val="en-US" w:eastAsia="zh-CN" w:bidi="ar-SA"/>
        </w:rPr>
        <w:t>监测费</w:t>
      </w:r>
    </w:p>
    <w:p>
      <w:pPr>
        <w:tabs>
          <w:tab w:val="left" w:pos="711"/>
          <w:tab w:val="left" w:pos="2580"/>
        </w:tabs>
        <w:spacing w:line="360" w:lineRule="auto"/>
        <w:ind w:firstLine="420" w:firstLineChars="200"/>
        <w:jc w:val="left"/>
        <w:textAlignment w:val="baseline"/>
        <w:rPr>
          <w:rFonts w:hint="default" w:ascii="宋体" w:hAnsi="宋体"/>
          <w:color w:val="auto"/>
          <w:szCs w:val="21"/>
          <w:highlight w:val="none"/>
        </w:rPr>
      </w:pPr>
      <w:r>
        <w:rPr>
          <w:rFonts w:hint="eastAsia" w:ascii="宋体" w:hAnsi="宋体"/>
          <w:color w:val="auto"/>
          <w:szCs w:val="21"/>
          <w:highlight w:val="none"/>
          <w:lang w:val="en-US" w:eastAsia="zh-CN"/>
        </w:rPr>
        <w:t>承包人</w:t>
      </w:r>
      <w:r>
        <w:rPr>
          <w:rFonts w:hint="default" w:ascii="宋体" w:hAnsi="宋体"/>
          <w:color w:val="auto"/>
          <w:szCs w:val="21"/>
          <w:highlight w:val="none"/>
        </w:rPr>
        <w:t>应按照设计及相关规范、规定，做好危大项目、高边坡、深基坑、轨道和附近构筑物等的监测工作。相关费用由</w:t>
      </w:r>
      <w:r>
        <w:rPr>
          <w:rFonts w:hint="eastAsia" w:ascii="宋体" w:hAnsi="宋体"/>
          <w:color w:val="auto"/>
          <w:szCs w:val="21"/>
          <w:highlight w:val="none"/>
          <w:lang w:val="en-US" w:eastAsia="zh-CN"/>
        </w:rPr>
        <w:t>承包人</w:t>
      </w:r>
      <w:r>
        <w:rPr>
          <w:rFonts w:hint="default" w:ascii="宋体" w:hAnsi="宋体"/>
          <w:color w:val="auto"/>
          <w:szCs w:val="21"/>
          <w:highlight w:val="none"/>
        </w:rPr>
        <w:t>自行测算，其费用纳入投标报价中，不再另行计价。</w:t>
      </w:r>
    </w:p>
    <w:p>
      <w:pPr>
        <w:tabs>
          <w:tab w:val="left" w:pos="711"/>
          <w:tab w:val="left" w:pos="2580"/>
        </w:tabs>
        <w:spacing w:line="360" w:lineRule="auto"/>
        <w:ind w:firstLine="420" w:firstLineChars="200"/>
        <w:jc w:val="left"/>
        <w:textAlignment w:val="baseline"/>
        <w:rPr>
          <w:rFonts w:hint="default" w:ascii="宋体" w:hAnsi="宋体"/>
          <w:color w:val="auto"/>
          <w:szCs w:val="21"/>
          <w:highlight w:val="none"/>
        </w:rPr>
      </w:pPr>
      <w:r>
        <w:rPr>
          <w:rFonts w:hint="eastAsia" w:ascii="宋体" w:hAnsi="宋体"/>
          <w:color w:val="auto"/>
          <w:szCs w:val="21"/>
          <w:highlight w:val="none"/>
          <w:lang w:val="en-US" w:eastAsia="zh-CN"/>
        </w:rPr>
        <w:t>承包人</w:t>
      </w:r>
      <w:r>
        <w:rPr>
          <w:rFonts w:hint="default" w:ascii="宋体" w:hAnsi="宋体"/>
          <w:color w:val="auto"/>
          <w:szCs w:val="21"/>
          <w:highlight w:val="none"/>
        </w:rPr>
        <w:t>应根据招标资料及现场情况做施工方案，施工时</w:t>
      </w:r>
      <w:r>
        <w:rPr>
          <w:rFonts w:hint="eastAsia" w:ascii="宋体" w:hAnsi="宋体"/>
          <w:color w:val="auto"/>
          <w:szCs w:val="21"/>
          <w:highlight w:val="none"/>
          <w:lang w:val="en-US" w:eastAsia="zh-CN"/>
        </w:rPr>
        <w:t>承包人</w:t>
      </w:r>
      <w:r>
        <w:rPr>
          <w:rFonts w:hint="default" w:ascii="宋体" w:hAnsi="宋体"/>
          <w:color w:val="auto"/>
          <w:szCs w:val="21"/>
          <w:highlight w:val="none"/>
        </w:rPr>
        <w:t>委托有资质的第三方单位开展监测，应符合国家、重庆市、住建部的相关规定，并确保周边建筑及人员、本工程施工人员、机械等安全，其费用纳入投标报价中，不再另行计价。</w:t>
      </w:r>
    </w:p>
    <w:p>
      <w:pPr>
        <w:pStyle w:val="45"/>
        <w:ind w:left="0" w:leftChars="0"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9.4.7</w:t>
      </w:r>
      <w:r>
        <w:rPr>
          <w:rFonts w:hint="default" w:ascii="Times New Roman" w:hAnsi="Times New Roman" w:eastAsia="宋体" w:cs="Times New Roman"/>
          <w:color w:val="auto"/>
          <w:kern w:val="2"/>
          <w:sz w:val="21"/>
          <w:szCs w:val="21"/>
          <w:highlight w:val="none"/>
          <w:lang w:val="en-US" w:eastAsia="zh-CN" w:bidi="ar-SA"/>
        </w:rPr>
        <w:t>按政策和合同约定的由承包人缴纳的各种保险费由</w:t>
      </w:r>
      <w:r>
        <w:rPr>
          <w:rFonts w:hint="eastAsia" w:ascii="Times New Roman" w:hAnsi="Times New Roman" w:eastAsia="宋体" w:cs="Times New Roman"/>
          <w:color w:val="auto"/>
          <w:kern w:val="2"/>
          <w:sz w:val="21"/>
          <w:szCs w:val="21"/>
          <w:highlight w:val="none"/>
          <w:lang w:val="en-US" w:eastAsia="zh-CN" w:bidi="ar-SA"/>
        </w:rPr>
        <w:t>承包</w:t>
      </w:r>
      <w:r>
        <w:rPr>
          <w:rFonts w:hint="default" w:ascii="Times New Roman" w:hAnsi="Times New Roman" w:eastAsia="宋体" w:cs="Times New Roman"/>
          <w:color w:val="auto"/>
          <w:kern w:val="2"/>
          <w:sz w:val="21"/>
          <w:szCs w:val="21"/>
          <w:highlight w:val="none"/>
          <w:lang w:val="en-US" w:eastAsia="zh-CN" w:bidi="ar-SA"/>
        </w:rPr>
        <w:t>人自行投保，保险费由承包人承担并支付，并根据自身实力和本工程情况，综合考虑在投标报价中，不再另行计价。</w:t>
      </w:r>
    </w:p>
    <w:p>
      <w:pPr>
        <w:pStyle w:val="45"/>
        <w:ind w:left="0" w:leftChars="0"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9.4.8</w:t>
      </w:r>
      <w:r>
        <w:rPr>
          <w:rFonts w:hint="default" w:ascii="Times New Roman" w:hAnsi="Times New Roman" w:eastAsia="宋体" w:cs="Times New Roman"/>
          <w:color w:val="auto"/>
          <w:kern w:val="2"/>
          <w:sz w:val="21"/>
          <w:szCs w:val="21"/>
          <w:highlight w:val="none"/>
          <w:lang w:val="en-US" w:eastAsia="zh-CN" w:bidi="ar-SA"/>
        </w:rPr>
        <w:t>本项目移交发包人前的永久通水、电、气、通讯等的表后线部分工作，由承包人实施。实施方案图纸须经监理人、发包人（或发包人委托的咨询机构）、以及水电气通讯的运营商审定，其费用纳入投标报价中，不再另行计价。</w:t>
      </w:r>
    </w:p>
    <w:bookmarkEnd w:id="574"/>
    <w:bookmarkEnd w:id="575"/>
    <w:bookmarkEnd w:id="576"/>
    <w:bookmarkEnd w:id="577"/>
    <w:bookmarkEnd w:id="578"/>
    <w:bookmarkEnd w:id="579"/>
    <w:bookmarkEnd w:id="580"/>
    <w:bookmarkEnd w:id="581"/>
    <w:bookmarkEnd w:id="582"/>
    <w:bookmarkEnd w:id="583"/>
    <w:bookmarkEnd w:id="584"/>
    <w:bookmarkEnd w:id="585"/>
    <w:bookmarkEnd w:id="586"/>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38" w:name="_Toc532375634"/>
      <w:bookmarkStart w:id="739" w:name="_Toc532377370"/>
      <w:bookmarkStart w:id="740" w:name="_Toc267251490"/>
      <w:bookmarkStart w:id="741" w:name="_Toc267251482"/>
      <w:bookmarkStart w:id="742" w:name="_Toc267251485"/>
      <w:bookmarkStart w:id="743" w:name="_Hlk524298112"/>
      <w:bookmarkStart w:id="744" w:name="_Toc267251488"/>
      <w:bookmarkStart w:id="745" w:name="_Toc267251484"/>
      <w:bookmarkStart w:id="746" w:name="_Toc267251486"/>
      <w:bookmarkStart w:id="747" w:name="_Toc267251489"/>
      <w:bookmarkStart w:id="748" w:name="_Toc267251510"/>
      <w:bookmarkStart w:id="749" w:name="_Toc267251508"/>
      <w:bookmarkStart w:id="750" w:name="_Toc267251509"/>
      <w:bookmarkStart w:id="751" w:name="_Toc267251511"/>
      <w:bookmarkStart w:id="752" w:name="_Toc267251492"/>
      <w:bookmarkStart w:id="753" w:name="_Toc267251491"/>
      <w:bookmarkStart w:id="754" w:name="_Toc267251507"/>
      <w:bookmarkStart w:id="755" w:name="_Toc267251514"/>
      <w:bookmarkStart w:id="756" w:name="_Toc267251493"/>
      <w:bookmarkStart w:id="757" w:name="_Toc267251497"/>
      <w:bookmarkStart w:id="758" w:name="_Toc267251495"/>
      <w:bookmarkStart w:id="759" w:name="_Toc267251503"/>
      <w:bookmarkStart w:id="760" w:name="_Toc267251504"/>
      <w:bookmarkStart w:id="761" w:name="_Toc267251515"/>
      <w:bookmarkStart w:id="762" w:name="_Toc267251501"/>
      <w:bookmarkStart w:id="763" w:name="_Toc267251513"/>
      <w:bookmarkStart w:id="764" w:name="_Toc267251499"/>
      <w:bookmarkStart w:id="765" w:name="_Toc267251502"/>
      <w:bookmarkStart w:id="766" w:name="_Toc267251498"/>
      <w:bookmarkStart w:id="767" w:name="_Toc267251506"/>
      <w:bookmarkStart w:id="768" w:name="_Toc267251496"/>
      <w:bookmarkStart w:id="769" w:name="_Toc267251494"/>
      <w:r>
        <w:rPr>
          <w:rFonts w:hint="eastAsia"/>
          <w:color w:val="auto"/>
          <w:kern w:val="2"/>
          <w:sz w:val="21"/>
          <w:szCs w:val="21"/>
          <w:highlight w:val="none"/>
        </w:rPr>
        <w:t>1</w:t>
      </w:r>
      <w:bookmarkStart w:id="770" w:name="_Toc292559398"/>
      <w:bookmarkStart w:id="771" w:name="_Toc297216199"/>
      <w:bookmarkStart w:id="772" w:name="_Toc296891021"/>
      <w:bookmarkStart w:id="773" w:name="_Toc296503193"/>
      <w:bookmarkStart w:id="774" w:name="_Toc297123540"/>
      <w:bookmarkStart w:id="775" w:name="_Toc297120493"/>
      <w:bookmarkStart w:id="776" w:name="_Toc296944532"/>
      <w:bookmarkStart w:id="777" w:name="_Toc300934989"/>
      <w:bookmarkStart w:id="778" w:name="_Toc303539146"/>
      <w:bookmarkStart w:id="779" w:name="_Toc304295566"/>
      <w:bookmarkStart w:id="780" w:name="_Toc292559903"/>
      <w:bookmarkStart w:id="781" w:name="_Toc296346694"/>
      <w:bookmarkStart w:id="782" w:name="_Toc297048379"/>
      <w:bookmarkStart w:id="783" w:name="_Toc296891233"/>
      <w:bookmarkStart w:id="784" w:name="_Toc296347192"/>
      <w:bookmarkStart w:id="785" w:name="_Toc312678025"/>
      <w:bookmarkStart w:id="786" w:name="_Toc312677499"/>
      <w:bookmarkStart w:id="787" w:name="_Toc267251437"/>
      <w:bookmarkStart w:id="788" w:name="_Toc267251439"/>
      <w:bookmarkStart w:id="789" w:name="_Toc267251433"/>
      <w:bookmarkStart w:id="790" w:name="_Toc267251441"/>
      <w:bookmarkStart w:id="791" w:name="_Toc267251435"/>
      <w:bookmarkStart w:id="792" w:name="_Toc267251440"/>
      <w:r>
        <w:rPr>
          <w:rFonts w:hint="eastAsia"/>
          <w:color w:val="auto"/>
          <w:kern w:val="2"/>
          <w:sz w:val="21"/>
          <w:szCs w:val="21"/>
          <w:highlight w:val="none"/>
        </w:rPr>
        <w:t>0. 变更</w:t>
      </w:r>
      <w:bookmarkEnd w:id="738"/>
      <w:bookmarkEnd w:id="73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bookmarkEnd w:id="785"/>
    <w:bookmarkEnd w:id="786"/>
    <w:p>
      <w:pPr>
        <w:pStyle w:val="7"/>
        <w:spacing w:before="0" w:beforeAutospacing="0" w:after="0" w:afterAutospacing="0" w:line="360" w:lineRule="auto"/>
        <w:ind w:firstLine="422" w:firstLineChars="200"/>
        <w:rPr>
          <w:color w:val="auto"/>
          <w:sz w:val="21"/>
          <w:szCs w:val="21"/>
          <w:highlight w:val="none"/>
        </w:rPr>
      </w:pPr>
      <w:bookmarkStart w:id="793" w:name="_Toc532377372"/>
      <w:bookmarkStart w:id="794" w:name="_Toc532375636"/>
      <w:bookmarkStart w:id="795" w:name="_Toc351203569"/>
      <w:bookmarkStart w:id="796" w:name="_Toc292559904"/>
      <w:bookmarkStart w:id="797" w:name="_Toc312678026"/>
      <w:bookmarkStart w:id="798" w:name="_Toc296347193"/>
      <w:bookmarkStart w:id="799" w:name="_Toc296503194"/>
      <w:bookmarkStart w:id="800" w:name="_Toc304295567"/>
      <w:bookmarkStart w:id="801" w:name="_Toc303539147"/>
      <w:bookmarkStart w:id="802" w:name="_Toc297216200"/>
      <w:bookmarkStart w:id="803" w:name="_Toc300934990"/>
      <w:bookmarkStart w:id="804" w:name="_Toc292559399"/>
      <w:bookmarkStart w:id="805" w:name="_Toc296346695"/>
      <w:bookmarkStart w:id="806" w:name="_Toc297048380"/>
      <w:bookmarkStart w:id="807" w:name="_Toc296944533"/>
      <w:bookmarkStart w:id="808" w:name="_Toc296891022"/>
      <w:bookmarkStart w:id="809" w:name="_Toc312677500"/>
      <w:bookmarkStart w:id="810" w:name="_Toc297120494"/>
      <w:bookmarkStart w:id="811" w:name="_Toc297123541"/>
      <w:bookmarkStart w:id="812" w:name="_Toc296891234"/>
      <w:r>
        <w:rPr>
          <w:rFonts w:hint="eastAsia"/>
          <w:color w:val="auto"/>
          <w:sz w:val="21"/>
          <w:szCs w:val="21"/>
          <w:highlight w:val="none"/>
        </w:rPr>
        <w:t>1</w:t>
      </w:r>
      <w:bookmarkStart w:id="813" w:name="_Toc337558789"/>
      <w:bookmarkStart w:id="814" w:name="_Toc296346586"/>
      <w:bookmarkStart w:id="815" w:name="_Toc296503085"/>
      <w:r>
        <w:rPr>
          <w:rFonts w:hint="eastAsia"/>
          <w:color w:val="auto"/>
          <w:sz w:val="21"/>
          <w:szCs w:val="21"/>
          <w:highlight w:val="none"/>
        </w:rPr>
        <w:t>0.2</w:t>
      </w:r>
      <w:bookmarkEnd w:id="793"/>
      <w:bookmarkEnd w:id="794"/>
      <w:bookmarkEnd w:id="795"/>
      <w:r>
        <w:rPr>
          <w:rFonts w:hint="default" w:ascii="Times New Roman" w:hAnsi="Times New Roman" w:cs="Times New Roman"/>
          <w:color w:val="auto"/>
          <w:kern w:val="0"/>
          <w:highlight w:val="none"/>
        </w:rPr>
        <w:t>承包人的合理化建议</w:t>
      </w:r>
    </w:p>
    <w:bookmarkEnd w:id="813"/>
    <w:bookmarkEnd w:id="814"/>
    <w:bookmarkEnd w:id="815"/>
    <w:p>
      <w:pPr>
        <w:widowControl/>
        <w:adjustRightInd w:val="0"/>
        <w:snapToGrid w:val="0"/>
        <w:spacing w:line="360" w:lineRule="auto"/>
        <w:ind w:firstLine="482"/>
        <w:rPr>
          <w:rFonts w:hint="default" w:ascii="Times New Roman" w:hAnsi="Times New Roman" w:cs="Times New Roman"/>
          <w:color w:val="auto"/>
          <w:kern w:val="0"/>
          <w:highlight w:val="none"/>
        </w:rPr>
      </w:pPr>
      <w:bookmarkStart w:id="816" w:name="_Toc532377373"/>
      <w:bookmarkStart w:id="817" w:name="_Toc532375637"/>
      <w:bookmarkStart w:id="818" w:name="_Toc351203570"/>
      <w:bookmarkStart w:id="819" w:name="_Hlk528928195"/>
      <w:r>
        <w:rPr>
          <w:rFonts w:hint="default" w:ascii="Times New Roman" w:hAnsi="Times New Roman" w:cs="Times New Roman"/>
          <w:color w:val="auto"/>
          <w:kern w:val="0"/>
          <w:highlight w:val="none"/>
        </w:rPr>
        <w:t>1</w:t>
      </w:r>
      <w:r>
        <w:rPr>
          <w:rFonts w:hint="eastAsia" w:ascii="Times New Roman" w:hAnsi="Times New Roman" w:cs="Times New Roman"/>
          <w:color w:val="auto"/>
          <w:kern w:val="0"/>
          <w:highlight w:val="none"/>
          <w:lang w:val="en-US" w:eastAsia="zh-CN"/>
        </w:rPr>
        <w:t>0</w:t>
      </w:r>
      <w:r>
        <w:rPr>
          <w:rFonts w:hint="default" w:ascii="Times New Roman" w:hAnsi="Times New Roman" w:cs="Times New Roman"/>
          <w:color w:val="auto"/>
          <w:kern w:val="0"/>
          <w:highlight w:val="none"/>
        </w:rPr>
        <w:t>.2.1承包人可以以单位名义向发包人提交书面合理化建议，详细说明建议的内容、理由，以及该建议对项目的工期、投资、质量、安全、运营管理、生态环境等的影响，客观反映项目合同变更的必要性和可行性，包括：</w:t>
      </w:r>
      <w:r>
        <w:rPr>
          <w:rFonts w:hint="default" w:ascii="Times New Roman" w:hAnsi="Times New Roman" w:cs="Times New Roman"/>
          <w:color w:val="auto"/>
          <w:kern w:val="0"/>
          <w:highlight w:val="none"/>
          <w:u w:val="single"/>
        </w:rPr>
        <w:t>缩短工期，降低发包人的工程、施工、维护、营运的费用，提高竣工工程的效率或价值，给发包人带来的长远利益和其他利益。发包人接到此类建议后，可以选择：不采纳/采纳/要求补充进一步资料的书面通知</w:t>
      </w:r>
      <w:r>
        <w:rPr>
          <w:rFonts w:hint="default" w:ascii="Times New Roman" w:hAnsi="Times New Roman" w:cs="Times New Roman"/>
          <w:color w:val="auto"/>
          <w:kern w:val="0"/>
          <w:highlight w:val="none"/>
        </w:rPr>
        <w:t>。</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如果发包人对承包人已实施的项目在发出重大设计变更之前要求承包人提出一份建议，则承包人应尽快提出包括但不限于以下内容：</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（1）对所提方案和（或）待做工作及其实施计划的说明；</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（2）承包人按照对工程进度计划进行必要修改的建议；</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（3）承包人发生较大返工损失增加费用的建议。</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发包人在收到上述建议书后，应尽快给予批准、否决或提出意见。</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r>
        <w:rPr>
          <w:rFonts w:hint="eastAsia" w:ascii="Times New Roman" w:hAnsi="Times New Roman" w:cs="Times New Roman"/>
          <w:color w:val="auto"/>
          <w:kern w:val="0"/>
          <w:highlight w:val="none"/>
          <w:lang w:val="en-US" w:eastAsia="zh-CN"/>
        </w:rPr>
        <w:t>0</w:t>
      </w:r>
      <w:r>
        <w:rPr>
          <w:rFonts w:hint="default" w:ascii="Times New Roman" w:hAnsi="Times New Roman" w:cs="Times New Roman"/>
          <w:color w:val="auto"/>
          <w:kern w:val="0"/>
          <w:highlight w:val="none"/>
        </w:rPr>
        <w:t>2.2监理人应在收到承包人提交的合理化建议后</w:t>
      </w:r>
      <w:r>
        <w:rPr>
          <w:rFonts w:hint="default" w:ascii="Times New Roman" w:hAnsi="Times New Roman" w:cs="Times New Roman"/>
          <w:color w:val="auto"/>
          <w:kern w:val="0"/>
          <w:highlight w:val="none"/>
          <w:u w:val="single"/>
        </w:rPr>
        <w:t>7</w:t>
      </w:r>
      <w:r>
        <w:rPr>
          <w:rFonts w:hint="default" w:ascii="Times New Roman" w:hAnsi="Times New Roman" w:cs="Times New Roman"/>
          <w:color w:val="auto"/>
          <w:kern w:val="0"/>
          <w:highlight w:val="none"/>
        </w:rPr>
        <w:t>日内审查完毕并报送发包人，发现其中存在技术上的缺陷，应通知承包人修改。发包人应在收到监理人报送的合理化建议后</w:t>
      </w:r>
      <w:r>
        <w:rPr>
          <w:rFonts w:hint="default" w:ascii="Times New Roman" w:hAnsi="Times New Roman" w:cs="Times New Roman"/>
          <w:color w:val="auto"/>
          <w:kern w:val="0"/>
          <w:highlight w:val="none"/>
          <w:u w:val="single"/>
        </w:rPr>
        <w:t>7</w:t>
      </w:r>
      <w:r>
        <w:rPr>
          <w:rFonts w:hint="default" w:ascii="Times New Roman" w:hAnsi="Times New Roman" w:cs="Times New Roman"/>
          <w:color w:val="auto"/>
          <w:kern w:val="0"/>
          <w:highlight w:val="none"/>
        </w:rPr>
        <w:t>日内审批完毕。合理化建议经发包人批准的，监理人应及时发出变更指示，由此引起的合同价格调整按照执行。发包人不同意变更的，监理人应书面通知承包人。</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r>
        <w:rPr>
          <w:rFonts w:hint="eastAsia" w:ascii="Times New Roman" w:hAnsi="Times New Roman" w:cs="Times New Roman"/>
          <w:color w:val="auto"/>
          <w:kern w:val="0"/>
          <w:highlight w:val="none"/>
          <w:lang w:val="en-US" w:eastAsia="zh-CN"/>
        </w:rPr>
        <w:t>0</w:t>
      </w:r>
      <w:r>
        <w:rPr>
          <w:rFonts w:hint="default" w:ascii="Times New Roman" w:hAnsi="Times New Roman" w:cs="Times New Roman"/>
          <w:color w:val="auto"/>
          <w:kern w:val="0"/>
          <w:highlight w:val="none"/>
        </w:rPr>
        <w:t>.2.3承包人提出的合理化变更建议的利益分享约定：</w:t>
      </w:r>
      <w:r>
        <w:rPr>
          <w:rFonts w:hint="default" w:ascii="Times New Roman" w:hAnsi="Times New Roman" w:cs="Times New Roman"/>
          <w:color w:val="auto"/>
          <w:kern w:val="0"/>
          <w:highlight w:val="none"/>
          <w:u w:val="single"/>
        </w:rPr>
        <w:t>发包人分享合理化变更建议带来的合同价格降低、工期缩短、工程经济效益提高等实惠，经济效益奖励不采用</w:t>
      </w:r>
      <w:r>
        <w:rPr>
          <w:rFonts w:hint="default" w:ascii="Times New Roman" w:hAnsi="Times New Roman" w:cs="Times New Roman"/>
          <w:color w:val="auto"/>
          <w:kern w:val="0"/>
          <w:highlight w:val="none"/>
        </w:rPr>
        <w:t>。</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w:t>
      </w:r>
      <w:bookmarkStart w:id="820" w:name="_Toc337558790"/>
      <w:bookmarkStart w:id="821" w:name="_Toc296503086"/>
      <w:bookmarkStart w:id="822" w:name="_Toc296346587"/>
      <w:r>
        <w:rPr>
          <w:rFonts w:hint="eastAsia"/>
          <w:color w:val="auto"/>
          <w:sz w:val="21"/>
          <w:szCs w:val="21"/>
          <w:highlight w:val="none"/>
        </w:rPr>
        <w:t>0.3变更程序</w:t>
      </w:r>
      <w:bookmarkEnd w:id="816"/>
      <w:bookmarkEnd w:id="817"/>
    </w:p>
    <w:bookmarkEnd w:id="820"/>
    <w:bookmarkEnd w:id="821"/>
    <w:bookmarkEnd w:id="822"/>
    <w:p>
      <w:pPr>
        <w:autoSpaceDE w:val="0"/>
        <w:autoSpaceDN w:val="0"/>
        <w:spacing w:line="360" w:lineRule="auto"/>
        <w:ind w:firstLine="420" w:firstLineChars="200"/>
        <w:jc w:val="left"/>
        <w:rPr>
          <w:rFonts w:hint="eastAsia"/>
          <w:color w:val="auto"/>
          <w:highlight w:val="none"/>
          <w:lang w:eastAsia="zh-CN"/>
        </w:rPr>
      </w:pPr>
      <w:bookmarkStart w:id="823" w:name="_Hlk524353972"/>
      <w:r>
        <w:rPr>
          <w:rFonts w:hint="eastAsia" w:ascii="宋体" w:hAnsi="宋体"/>
          <w:color w:val="auto"/>
          <w:szCs w:val="21"/>
          <w:highlight w:val="none"/>
        </w:rPr>
        <w:t>10.3.3 变更执行</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pPr>
        <w:autoSpaceDE w:val="0"/>
        <w:autoSpaceDN w:val="0"/>
        <w:spacing w:line="360" w:lineRule="auto"/>
        <w:ind w:firstLine="420" w:firstLineChars="200"/>
        <w:jc w:val="left"/>
        <w:rPr>
          <w:rFonts w:hint="default" w:ascii="Times New Roman" w:hAnsi="Times New Roman" w:cs="Times New Roman"/>
          <w:color w:val="auto"/>
          <w:szCs w:val="21"/>
          <w:highlight w:val="none"/>
        </w:rPr>
      </w:pPr>
      <w:r>
        <w:rPr>
          <w:rFonts w:hint="default" w:ascii="宋体" w:hAnsi="宋体" w:eastAsia="宋体" w:cs="Times New Roman"/>
          <w:color w:val="auto"/>
          <w:szCs w:val="21"/>
          <w:highlight w:val="none"/>
        </w:rPr>
        <w:t>其它变更</w:t>
      </w:r>
      <w:r>
        <w:rPr>
          <w:rFonts w:hint="eastAsia" w:ascii="宋体" w:hAnsi="宋体" w:eastAsia="宋体" w:cs="Times New Roman"/>
          <w:color w:val="auto"/>
          <w:szCs w:val="21"/>
          <w:highlight w:val="none"/>
          <w:lang w:eastAsia="zh-CN"/>
        </w:rPr>
        <w:t>：</w:t>
      </w:r>
      <w:r>
        <w:rPr>
          <w:rFonts w:hint="default" w:ascii="Times New Roman" w:hAnsi="Times New Roman" w:cs="Times New Roman"/>
          <w:color w:val="auto"/>
          <w:szCs w:val="21"/>
          <w:highlight w:val="none"/>
        </w:rPr>
        <w:t>双方根据本工程特点，商定的其它变更范围：</w:t>
      </w:r>
    </w:p>
    <w:p>
      <w:pPr>
        <w:snapToGrid w:val="0"/>
        <w:spacing w:line="360" w:lineRule="auto"/>
        <w:ind w:firstLine="315" w:firstLineChars="150"/>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szCs w:val="21"/>
          <w:highlight w:val="none"/>
        </w:rPr>
        <w:t>（1）</w:t>
      </w:r>
      <w:r>
        <w:rPr>
          <w:rFonts w:hint="eastAsia" w:ascii="宋体" w:hAnsi="宋体" w:eastAsia="宋体" w:cs="Times New Roman"/>
          <w:b w:val="0"/>
          <w:bCs w:val="0"/>
          <w:color w:val="auto"/>
          <w:szCs w:val="21"/>
          <w:highlight w:val="none"/>
          <w:lang w:val="en-US" w:eastAsia="zh-CN"/>
        </w:rPr>
        <w:t>有效工程变更：</w:t>
      </w:r>
      <w:r>
        <w:rPr>
          <w:rFonts w:hint="default" w:ascii="宋体" w:hAnsi="宋体" w:eastAsia="宋体" w:cs="Times New Roman"/>
          <w:b w:val="0"/>
          <w:bCs w:val="0"/>
          <w:color w:val="auto"/>
          <w:szCs w:val="21"/>
          <w:highlight w:val="none"/>
        </w:rPr>
        <w:t>在项目实施过程中，对</w:t>
      </w:r>
      <w:r>
        <w:rPr>
          <w:rFonts w:hint="default" w:ascii="宋体" w:hAnsi="宋体" w:eastAsia="宋体" w:cs="Times New Roman"/>
          <w:b w:val="0"/>
          <w:bCs w:val="0"/>
          <w:color w:val="auto"/>
          <w:szCs w:val="21"/>
          <w:highlight w:val="none"/>
          <w:lang w:val="en-US" w:eastAsia="zh-CN"/>
        </w:rPr>
        <w:t>发包</w:t>
      </w:r>
      <w:r>
        <w:rPr>
          <w:rFonts w:hint="default" w:ascii="宋体" w:hAnsi="宋体" w:eastAsia="宋体" w:cs="Times New Roman"/>
          <w:b w:val="0"/>
          <w:bCs w:val="0"/>
          <w:color w:val="auto"/>
          <w:szCs w:val="21"/>
          <w:highlight w:val="none"/>
        </w:rPr>
        <w:t>人提出增加范围、提高或降低建设标准（规模、能力、工艺、技术要求及工期）、因不可抗力因素、政策、法律发生变化或非承包人的原因导致的设计变更、材料变更及委托人提出的工程变更才被视为有效变更。若有效变更内容与</w:t>
      </w:r>
      <w:r>
        <w:rPr>
          <w:rFonts w:hint="eastAsia" w:ascii="宋体" w:hAnsi="宋体" w:eastAsia="宋体" w:cs="Times New Roman"/>
          <w:b w:val="0"/>
          <w:bCs w:val="0"/>
          <w:color w:val="auto"/>
          <w:szCs w:val="21"/>
          <w:highlight w:val="none"/>
          <w:lang w:eastAsia="zh-CN"/>
        </w:rPr>
        <w:t>预算清单及图纸</w:t>
      </w:r>
      <w:r>
        <w:rPr>
          <w:rFonts w:hint="default" w:ascii="宋体" w:hAnsi="宋体" w:eastAsia="宋体" w:cs="Times New Roman"/>
          <w:b w:val="0"/>
          <w:bCs w:val="0"/>
          <w:color w:val="auto"/>
          <w:szCs w:val="21"/>
          <w:highlight w:val="none"/>
        </w:rPr>
        <w:t>内容存在重复，发包人有权对包干价中的重复部分在有效变更中进行品迭调整。</w:t>
      </w:r>
    </w:p>
    <w:p>
      <w:pPr>
        <w:snapToGrid w:val="0"/>
        <w:spacing w:line="360" w:lineRule="auto"/>
        <w:ind w:firstLine="420" w:firstLineChars="200"/>
        <w:rPr>
          <w:rFonts w:hint="default" w:ascii="宋体" w:hAnsi="宋体" w:eastAsia="宋体" w:cs="Times New Roman"/>
          <w:color w:val="auto"/>
          <w:szCs w:val="21"/>
          <w:highlight w:val="none"/>
        </w:rPr>
      </w:pPr>
      <w:r>
        <w:rPr>
          <w:rFonts w:hint="default" w:ascii="Times New Roman" w:hAnsi="Times New Roman" w:cs="Times New Roman"/>
          <w:b w:val="0"/>
          <w:bCs w:val="0"/>
          <w:color w:val="auto"/>
          <w:kern w:val="0"/>
          <w:szCs w:val="21"/>
          <w:highlight w:val="none"/>
        </w:rPr>
        <w:t>（2）</w:t>
      </w:r>
      <w:r>
        <w:rPr>
          <w:rFonts w:hint="default" w:ascii="宋体" w:hAnsi="宋体" w:eastAsia="宋体" w:cs="Times New Roman"/>
          <w:b w:val="0"/>
          <w:bCs w:val="0"/>
          <w:color w:val="auto"/>
          <w:szCs w:val="21"/>
          <w:highlight w:val="none"/>
        </w:rPr>
        <w:t>无效工程变更：在项目实施过程中，在图纸不变的情况下，由于</w:t>
      </w:r>
      <w:r>
        <w:rPr>
          <w:rFonts w:hint="default" w:ascii="宋体" w:hAnsi="宋体" w:eastAsia="宋体" w:cs="Times New Roman"/>
          <w:b w:val="0"/>
          <w:bCs w:val="0"/>
          <w:color w:val="auto"/>
          <w:szCs w:val="21"/>
          <w:highlight w:val="none"/>
          <w:lang w:val="en-US" w:eastAsia="zh-CN"/>
        </w:rPr>
        <w:t>预算</w:t>
      </w:r>
      <w:r>
        <w:rPr>
          <w:rFonts w:hint="default" w:ascii="宋体" w:hAnsi="宋体" w:eastAsia="宋体" w:cs="Times New Roman"/>
          <w:b w:val="0"/>
          <w:bCs w:val="0"/>
          <w:color w:val="auto"/>
          <w:szCs w:val="21"/>
          <w:highlight w:val="none"/>
        </w:rPr>
        <w:t>清单工程量和实际完成工程量不一致导致的工程量变化；实际施工工艺与</w:t>
      </w:r>
      <w:r>
        <w:rPr>
          <w:rFonts w:hint="default" w:ascii="宋体" w:hAnsi="宋体" w:eastAsia="宋体" w:cs="Times New Roman"/>
          <w:b w:val="0"/>
          <w:bCs w:val="0"/>
          <w:color w:val="auto"/>
          <w:szCs w:val="21"/>
          <w:highlight w:val="none"/>
          <w:lang w:val="en-US" w:eastAsia="zh-CN"/>
        </w:rPr>
        <w:t>预算</w:t>
      </w:r>
      <w:r>
        <w:rPr>
          <w:rFonts w:hint="default" w:ascii="宋体" w:hAnsi="宋体" w:eastAsia="宋体" w:cs="Times New Roman"/>
          <w:b w:val="0"/>
          <w:bCs w:val="0"/>
          <w:color w:val="auto"/>
          <w:szCs w:val="21"/>
          <w:highlight w:val="none"/>
        </w:rPr>
        <w:t>清单描述工艺不一致等因</w:t>
      </w:r>
      <w:r>
        <w:rPr>
          <w:rFonts w:hint="eastAsia" w:ascii="宋体" w:hAnsi="宋体" w:eastAsia="宋体" w:cs="Times New Roman"/>
          <w:b w:val="0"/>
          <w:bCs w:val="0"/>
          <w:color w:val="auto"/>
          <w:szCs w:val="21"/>
          <w:highlight w:val="none"/>
          <w:lang w:eastAsia="zh-CN"/>
        </w:rPr>
        <w:t>预算</w:t>
      </w:r>
      <w:r>
        <w:rPr>
          <w:rFonts w:hint="default" w:ascii="宋体" w:hAnsi="宋体" w:eastAsia="宋体" w:cs="Times New Roman"/>
          <w:b w:val="0"/>
          <w:bCs w:val="0"/>
          <w:color w:val="auto"/>
          <w:szCs w:val="21"/>
          <w:highlight w:val="none"/>
        </w:rPr>
        <w:t>清单原因造成的工程量变化和价格变化；未经委托人同意的变更均视为无效变</w:t>
      </w:r>
      <w:r>
        <w:rPr>
          <w:rFonts w:hint="default" w:ascii="宋体" w:hAnsi="宋体" w:eastAsia="宋体" w:cs="Times New Roman"/>
          <w:color w:val="auto"/>
          <w:szCs w:val="21"/>
          <w:highlight w:val="none"/>
        </w:rPr>
        <w:t>更，无效变更承包人均须完成，由此引起的工程变更价款由承包人自行承担，发包人将不予支付。</w:t>
      </w:r>
    </w:p>
    <w:p>
      <w:pPr>
        <w:pStyle w:val="45"/>
        <w:ind w:left="0" w:leftChars="0"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Arial Unicode MS" w:cs="Times New Roman"/>
          <w:b w:val="0"/>
          <w:bCs w:val="0"/>
          <w:color w:val="auto"/>
          <w:kern w:val="0"/>
          <w:sz w:val="21"/>
          <w:szCs w:val="21"/>
          <w:highlight w:val="none"/>
          <w:u w:val="none" w:color="000000"/>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在项目实施过程中，发包人提出减少实施工程内容、降低建设标准、或发现承包人未按批准的施工方案实施，对减少部分的工程造价（含税金及相应规费）发包人将从结算价中扣除。</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818"/>
    <w:bookmarkEnd w:id="819"/>
    <w:bookmarkEnd w:id="823"/>
    <w:p>
      <w:pPr>
        <w:pStyle w:val="7"/>
        <w:spacing w:before="0" w:beforeAutospacing="0" w:after="0" w:afterAutospacing="0" w:line="360" w:lineRule="auto"/>
        <w:ind w:firstLine="422" w:firstLineChars="200"/>
        <w:rPr>
          <w:color w:val="auto"/>
          <w:sz w:val="21"/>
          <w:szCs w:val="21"/>
          <w:highlight w:val="none"/>
        </w:rPr>
      </w:pPr>
      <w:bookmarkStart w:id="824" w:name="_Toc532375638"/>
      <w:bookmarkStart w:id="825" w:name="_Toc532377374"/>
      <w:r>
        <w:rPr>
          <w:rFonts w:hint="eastAsia"/>
          <w:color w:val="auto"/>
          <w:sz w:val="21"/>
          <w:szCs w:val="21"/>
          <w:highlight w:val="none"/>
        </w:rPr>
        <w:t>10.4 变更估价</w:t>
      </w:r>
      <w:bookmarkEnd w:id="824"/>
      <w:bookmarkEnd w:id="825"/>
    </w:p>
    <w:p>
      <w:pPr>
        <w:spacing w:line="360" w:lineRule="auto"/>
        <w:ind w:firstLine="420" w:firstLineChars="200"/>
        <w:jc w:val="left"/>
        <w:rPr>
          <w:rFonts w:ascii="宋体" w:hAnsi="宋体"/>
          <w:color w:val="auto"/>
          <w:szCs w:val="21"/>
          <w:highlight w:val="none"/>
        </w:rPr>
      </w:pPr>
      <w:bookmarkStart w:id="826" w:name="_Hlk524296629"/>
      <w:r>
        <w:rPr>
          <w:rFonts w:hint="eastAsia" w:ascii="宋体" w:hAnsi="宋体"/>
          <w:color w:val="auto"/>
          <w:szCs w:val="21"/>
          <w:highlight w:val="none"/>
        </w:rPr>
        <w:t>10.4.1 变更估价原则</w:t>
      </w:r>
    </w:p>
    <w:bookmarkEnd w:id="826"/>
    <w:p>
      <w:pPr>
        <w:spacing w:line="360" w:lineRule="auto"/>
        <w:ind w:firstLine="420" w:firstLineChars="200"/>
        <w:jc w:val="left"/>
        <w:rPr>
          <w:rFonts w:hint="default" w:ascii="宋体" w:hAnsi="宋体" w:eastAsia="宋体" w:cs="Times New Roman"/>
          <w:color w:val="auto"/>
          <w:szCs w:val="21"/>
          <w:highlight w:val="none"/>
        </w:rPr>
      </w:pPr>
      <w:bookmarkStart w:id="827" w:name="_Toc532375639"/>
      <w:bookmarkStart w:id="828" w:name="_Toc532377375"/>
      <w:r>
        <w:rPr>
          <w:rFonts w:hint="default" w:ascii="宋体" w:hAnsi="宋体" w:eastAsia="宋体" w:cs="Times New Roman"/>
          <w:color w:val="auto"/>
          <w:szCs w:val="21"/>
          <w:highlight w:val="none"/>
        </w:rPr>
        <w:t>工程有效变更、新增项目价款计价办法按[竣工结算原则]相应条款执行。</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eastAsia" w:ascii="宋体" w:hAnsi="宋体" w:eastAsia="宋体" w:cs="Times New Roman"/>
          <w:color w:val="auto"/>
          <w:szCs w:val="21"/>
          <w:highlight w:val="none"/>
          <w:lang w:val="en-US" w:eastAsia="zh-CN"/>
        </w:rPr>
        <w:t>10.4.2</w:t>
      </w:r>
      <w:r>
        <w:rPr>
          <w:rFonts w:hint="default" w:ascii="Times New Roman" w:hAnsi="Times New Roman" w:cs="Times New Roman"/>
          <w:color w:val="auto"/>
          <w:kern w:val="0"/>
          <w:highlight w:val="none"/>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（1）安全文明施工费应</w:t>
      </w:r>
      <w:r>
        <w:rPr>
          <w:rFonts w:hint="eastAsia" w:ascii="Times New Roman" w:hAnsi="Times New Roman" w:cs="Times New Roman"/>
          <w:color w:val="auto"/>
          <w:kern w:val="0"/>
          <w:highlight w:val="none"/>
        </w:rPr>
        <w:t>按《重庆市建设工程费用定额》（CQFYDE-2018）规定及相关部门审定的金额结算，不得浮动</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（2）措施项目费</w:t>
      </w:r>
      <w:r>
        <w:rPr>
          <w:rFonts w:hint="eastAsia" w:ascii="Times New Roman" w:hAnsi="Times New Roman" w:cs="Times New Roman"/>
          <w:color w:val="auto"/>
          <w:kern w:val="0"/>
          <w:highlight w:val="none"/>
        </w:rPr>
        <w:t>（除安全文明施工费外）</w:t>
      </w:r>
      <w:r>
        <w:rPr>
          <w:rFonts w:hint="eastAsia" w:ascii="Times New Roman" w:hAnsi="Times New Roman" w:cs="Times New Roman"/>
          <w:color w:val="auto"/>
          <w:kern w:val="0"/>
          <w:highlight w:val="none"/>
          <w:lang w:eastAsia="zh-CN"/>
        </w:rPr>
        <w:t>：</w:t>
      </w:r>
    </w:p>
    <w:p>
      <w:pPr>
        <w:widowControl/>
        <w:adjustRightInd w:val="0"/>
        <w:snapToGrid w:val="0"/>
        <w:spacing w:line="360" w:lineRule="auto"/>
        <w:ind w:firstLine="480"/>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A、施工组织措施项目费：无论因设计变更或施工工艺变化等任何因素而引起实际措施费的变化，均按</w:t>
      </w:r>
      <w:r>
        <w:rPr>
          <w:rFonts w:hint="eastAsia" w:ascii="Times New Roman" w:hAnsi="Times New Roman" w:cs="Times New Roman"/>
          <w:color w:val="auto"/>
          <w:kern w:val="0"/>
          <w:highlight w:val="none"/>
          <w:lang w:eastAsia="zh-CN"/>
        </w:rPr>
        <w:t>经开投资集团成本管理部预算审核</w:t>
      </w:r>
      <w:r>
        <w:rPr>
          <w:rFonts w:hint="eastAsia" w:ascii="Times New Roman" w:hAnsi="Times New Roman" w:cs="Times New Roman"/>
          <w:color w:val="auto"/>
          <w:kern w:val="0"/>
          <w:highlight w:val="none"/>
        </w:rPr>
        <w:t>的施工组织措施项目费×（1-工程费下浮比例）进行结算。</w:t>
      </w:r>
    </w:p>
    <w:p>
      <w:pPr>
        <w:widowControl/>
        <w:adjustRightInd w:val="0"/>
        <w:snapToGrid w:val="0"/>
        <w:spacing w:line="360" w:lineRule="auto"/>
        <w:ind w:firstLine="480"/>
        <w:rPr>
          <w:rFonts w:hint="default"/>
          <w:color w:val="auto"/>
          <w:highlight w:val="none"/>
        </w:rPr>
      </w:pPr>
      <w:r>
        <w:rPr>
          <w:rFonts w:hint="eastAsia" w:ascii="Times New Roman" w:hAnsi="Times New Roman" w:cs="Times New Roman"/>
          <w:color w:val="auto"/>
          <w:kern w:val="0"/>
          <w:highlight w:val="none"/>
        </w:rPr>
        <w:t>B、施工技术措施项目费：无论因设计变更或施工工艺变化等任何因素而引起实际措施费的变化，均按</w:t>
      </w:r>
      <w:r>
        <w:rPr>
          <w:rFonts w:hint="eastAsia" w:ascii="Times New Roman" w:hAnsi="Times New Roman" w:cs="Times New Roman"/>
          <w:color w:val="auto"/>
          <w:kern w:val="0"/>
          <w:highlight w:val="none"/>
          <w:lang w:eastAsia="zh-CN"/>
        </w:rPr>
        <w:t>经开投资集团成本管理部预算审核</w:t>
      </w:r>
      <w:r>
        <w:rPr>
          <w:rFonts w:hint="eastAsia" w:ascii="Times New Roman" w:hAnsi="Times New Roman" w:cs="Times New Roman"/>
          <w:color w:val="auto"/>
          <w:kern w:val="0"/>
          <w:highlight w:val="none"/>
        </w:rPr>
        <w:t>的施工技术措施项目费×（1-工程费下浮比例）进行结算。</w:t>
      </w:r>
    </w:p>
    <w:p>
      <w:pPr>
        <w:pStyle w:val="23"/>
        <w:spacing w:line="360" w:lineRule="auto"/>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（3）如果承包人未事前将拟实施的方案提交给发包人确认，则应视为工程变更不引起措施项目费的调整或承包人放弃调整措施项目费的权利。</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0.4.3</w:t>
      </w:r>
      <w:r>
        <w:rPr>
          <w:rFonts w:hint="default" w:ascii="宋体" w:hAnsi="宋体" w:eastAsia="宋体" w:cs="Times New Roman"/>
          <w:color w:val="auto"/>
          <w:szCs w:val="21"/>
          <w:highlight w:val="none"/>
        </w:rPr>
        <w:t xml:space="preserve"> 变更估价程序</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因变更引起的价格调整应计入最近一期的进度款中支付。</w:t>
      </w:r>
    </w:p>
    <w:p>
      <w:pPr>
        <w:spacing w:line="360" w:lineRule="auto"/>
        <w:ind w:firstLine="420" w:firstLineChars="20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10.4.4</w:t>
      </w:r>
      <w:r>
        <w:rPr>
          <w:rFonts w:hint="default" w:ascii="宋体" w:hAnsi="宋体" w:eastAsia="宋体" w:cs="Times New Roman"/>
          <w:color w:val="auto"/>
          <w:szCs w:val="21"/>
          <w:highlight w:val="none"/>
        </w:rPr>
        <w:t>变更引起的工期调整</w:t>
      </w:r>
    </w:p>
    <w:p>
      <w:pPr>
        <w:spacing w:line="360" w:lineRule="auto"/>
        <w:ind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rPr>
        <w:t>因变更引起工期变化的，合同当事人均可要求调整合同工期，由合同当事人按照第3.6款[商定或确定]并参考工程所在地的工期定额标准确定增减工期天数。</w:t>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27"/>
    <w:bookmarkEnd w:id="828"/>
    <w:p>
      <w:pPr>
        <w:pStyle w:val="7"/>
        <w:spacing w:before="0" w:beforeAutospacing="0" w:after="0" w:afterAutospacing="0" w:line="360" w:lineRule="auto"/>
        <w:ind w:firstLine="422" w:firstLineChars="200"/>
        <w:rPr>
          <w:color w:val="auto"/>
          <w:sz w:val="21"/>
          <w:szCs w:val="21"/>
          <w:highlight w:val="none"/>
        </w:rPr>
      </w:pPr>
      <w:bookmarkStart w:id="829" w:name="_Toc532375640"/>
      <w:bookmarkStart w:id="830" w:name="_Toc532377376"/>
      <w:r>
        <w:rPr>
          <w:rFonts w:hint="eastAsia"/>
          <w:color w:val="auto"/>
          <w:sz w:val="21"/>
          <w:szCs w:val="21"/>
          <w:highlight w:val="none"/>
        </w:rPr>
        <w:t>1</w:t>
      </w:r>
      <w:bookmarkStart w:id="831" w:name="_Toc296346700"/>
      <w:bookmarkStart w:id="832" w:name="_Toc292559909"/>
      <w:bookmarkStart w:id="833" w:name="_Toc296944538"/>
      <w:bookmarkStart w:id="834" w:name="_Toc296503199"/>
      <w:bookmarkStart w:id="835" w:name="_Toc296891027"/>
      <w:bookmarkStart w:id="836" w:name="_Toc297123548"/>
      <w:bookmarkStart w:id="837" w:name="_Toc296891239"/>
      <w:bookmarkStart w:id="838" w:name="_Toc300934997"/>
      <w:bookmarkStart w:id="839" w:name="_Toc304295574"/>
      <w:bookmarkStart w:id="840" w:name="_Toc303539154"/>
      <w:bookmarkStart w:id="841" w:name="_Toc297216207"/>
      <w:bookmarkStart w:id="842" w:name="_Toc292559404"/>
      <w:bookmarkStart w:id="843" w:name="_Toc297120499"/>
      <w:bookmarkStart w:id="844" w:name="_Toc296347198"/>
      <w:bookmarkStart w:id="845" w:name="_Toc312678033"/>
      <w:bookmarkStart w:id="846" w:name="_Toc297048385"/>
      <w:bookmarkStart w:id="847" w:name="_Toc312677507"/>
      <w:r>
        <w:rPr>
          <w:rFonts w:hint="eastAsia"/>
          <w:color w:val="auto"/>
          <w:sz w:val="21"/>
          <w:szCs w:val="21"/>
          <w:highlight w:val="none"/>
        </w:rPr>
        <w:t>0.7 暂估价</w:t>
      </w:r>
      <w:bookmarkEnd w:id="829"/>
      <w:bookmarkEnd w:id="830"/>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pPr>
        <w:pStyle w:val="7"/>
        <w:spacing w:before="0" w:beforeAutospacing="0" w:after="0" w:afterAutospacing="0" w:line="360" w:lineRule="auto"/>
        <w:ind w:firstLine="422" w:firstLineChars="200"/>
        <w:rPr>
          <w:color w:val="auto"/>
          <w:sz w:val="21"/>
          <w:szCs w:val="21"/>
          <w:highlight w:val="none"/>
        </w:rPr>
      </w:pPr>
      <w:bookmarkStart w:id="848" w:name="_Toc532375641"/>
      <w:bookmarkStart w:id="849" w:name="_Toc532377377"/>
      <w:r>
        <w:rPr>
          <w:rFonts w:hint="eastAsia"/>
          <w:color w:val="auto"/>
          <w:sz w:val="21"/>
          <w:szCs w:val="21"/>
          <w:highlight w:val="none"/>
        </w:rPr>
        <w:t>10.8 暂列金额</w:t>
      </w:r>
      <w:bookmarkEnd w:id="848"/>
      <w:bookmarkEnd w:id="849"/>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widowControl/>
        <w:adjustRightInd w:val="0"/>
        <w:snapToGrid w:val="0"/>
        <w:spacing w:line="30" w:lineRule="atLeast"/>
        <w:ind w:firstLine="422" w:firstLineChars="200"/>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10.9</w:t>
      </w:r>
      <w:r>
        <w:rPr>
          <w:rFonts w:hint="default" w:ascii="宋体" w:hAnsi="宋体" w:eastAsia="宋体" w:cs="宋体"/>
          <w:b/>
          <w:bCs/>
          <w:color w:val="auto"/>
          <w:kern w:val="0"/>
          <w:sz w:val="21"/>
          <w:szCs w:val="21"/>
          <w:highlight w:val="none"/>
          <w:lang w:val="en-US" w:eastAsia="zh-CN" w:bidi="ar-SA"/>
        </w:rPr>
        <w:t>计日工</w:t>
      </w:r>
    </w:p>
    <w:p>
      <w:pPr>
        <w:widowControl/>
        <w:adjustRightInd w:val="0"/>
        <w:snapToGrid w:val="0"/>
        <w:spacing w:line="30" w:lineRule="atLeas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计价原则：</w:t>
      </w:r>
      <w:r>
        <w:rPr>
          <w:rFonts w:hint="default" w:ascii="Times New Roman" w:hAnsi="Times New Roman" w:cs="Times New Roman"/>
          <w:color w:val="auto"/>
          <w:kern w:val="0"/>
          <w:highlight w:val="none"/>
          <w:u w:val="single"/>
        </w:rPr>
        <w:t>按《重庆市建设工程费用定额》（CQFYDE-2018）。</w:t>
      </w:r>
    </w:p>
    <w:p>
      <w:pPr>
        <w:pStyle w:val="45"/>
        <w:rPr>
          <w:color w:val="auto"/>
          <w:highlight w:val="none"/>
        </w:rPr>
      </w:pP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50" w:name="_Toc532375642"/>
      <w:bookmarkStart w:id="851" w:name="_Toc532377378"/>
      <w:bookmarkStart w:id="852" w:name="_Toc351203643"/>
      <w:r>
        <w:rPr>
          <w:rFonts w:hint="eastAsia"/>
          <w:color w:val="auto"/>
          <w:kern w:val="2"/>
          <w:sz w:val="21"/>
          <w:szCs w:val="21"/>
          <w:highlight w:val="none"/>
        </w:rPr>
        <w:t>11. 价格调整</w:t>
      </w:r>
      <w:bookmarkEnd w:id="850"/>
      <w:bookmarkEnd w:id="851"/>
      <w:bookmarkEnd w:id="852"/>
    </w:p>
    <w:p>
      <w:pPr>
        <w:pStyle w:val="7"/>
        <w:spacing w:before="0" w:beforeAutospacing="0" w:after="0" w:afterAutospacing="0" w:line="360" w:lineRule="auto"/>
        <w:ind w:firstLine="422" w:firstLineChars="200"/>
        <w:rPr>
          <w:color w:val="auto"/>
          <w:sz w:val="21"/>
          <w:szCs w:val="21"/>
          <w:highlight w:val="none"/>
        </w:rPr>
      </w:pPr>
      <w:bookmarkStart w:id="853" w:name="_Toc532375643"/>
      <w:bookmarkStart w:id="854" w:name="_Toc532377379"/>
      <w:bookmarkStart w:id="855" w:name="_Toc296891029"/>
      <w:bookmarkStart w:id="856" w:name="_Toc303539157"/>
      <w:bookmarkStart w:id="857" w:name="_Toc292559911"/>
      <w:bookmarkStart w:id="858" w:name="_Toc297120501"/>
      <w:bookmarkStart w:id="859" w:name="_Toc304295577"/>
      <w:bookmarkStart w:id="860" w:name="_Toc296503201"/>
      <w:bookmarkStart w:id="861" w:name="_Toc296346702"/>
      <w:bookmarkStart w:id="862" w:name="_Toc297048387"/>
      <w:bookmarkStart w:id="863" w:name="_Toc300935000"/>
      <w:bookmarkStart w:id="864" w:name="_Toc296944540"/>
      <w:bookmarkStart w:id="865" w:name="_Toc297216209"/>
      <w:bookmarkStart w:id="866" w:name="_Toc297123550"/>
      <w:bookmarkStart w:id="867" w:name="_Toc292559406"/>
      <w:bookmarkStart w:id="868" w:name="_Toc312678039"/>
      <w:bookmarkStart w:id="869" w:name="_Toc296347200"/>
      <w:bookmarkStart w:id="870" w:name="_Toc296891241"/>
      <w:r>
        <w:rPr>
          <w:rFonts w:hint="eastAsia"/>
          <w:color w:val="auto"/>
          <w:sz w:val="21"/>
          <w:szCs w:val="21"/>
          <w:highlight w:val="none"/>
        </w:rPr>
        <w:t>11.1 市场价格波动引起的调整</w:t>
      </w:r>
      <w:bookmarkEnd w:id="853"/>
      <w:bookmarkEnd w:id="854"/>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Pr>
        <w:spacing w:line="360" w:lineRule="auto"/>
        <w:ind w:firstLine="420" w:firstLineChars="200"/>
        <w:jc w:val="left"/>
        <w:rPr>
          <w:rFonts w:hint="eastAsia" w:ascii="宋体" w:hAnsi="宋体"/>
          <w:szCs w:val="21"/>
        </w:rPr>
      </w:pPr>
      <w:bookmarkStart w:id="871" w:name="_Toc466913963"/>
      <w:bookmarkStart w:id="872" w:name="_Toc466911545"/>
      <w:bookmarkStart w:id="873" w:name="_Toc466913513"/>
      <w:bookmarkStart w:id="874" w:name="_Toc467689641"/>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种</w:t>
      </w:r>
      <w:r>
        <w:rPr>
          <w:rFonts w:hint="eastAsia" w:ascii="宋体" w:hAnsi="宋体"/>
          <w:color w:val="auto"/>
          <w:szCs w:val="21"/>
          <w:highlight w:val="none"/>
        </w:rPr>
        <w:t>方式对合同价格进行调整：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第1种方式：采用价格指数进行价格调整。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第2种方式：采用造价信息进行价格调整，调整方法如下：</w:t>
      </w:r>
    </w:p>
    <w:p>
      <w:pPr>
        <w:spacing w:line="360" w:lineRule="auto"/>
        <w:ind w:firstLine="420" w:firstLineChars="200"/>
        <w:jc w:val="left"/>
        <w:rPr>
          <w:rFonts w:hint="eastAsia" w:ascii="宋体" w:hAnsi="宋体" w:eastAsia="宋体"/>
          <w:color w:val="auto"/>
          <w:szCs w:val="21"/>
          <w:highlight w:val="none"/>
          <w:lang w:eastAsia="zh-CN"/>
        </w:rPr>
      </w:pPr>
      <w:bookmarkStart w:id="875" w:name="_Hlk524296901"/>
      <w:r>
        <w:rPr>
          <w:rFonts w:hint="eastAsia" w:ascii="宋体" w:hAnsi="宋体"/>
          <w:color w:val="auto"/>
          <w:szCs w:val="21"/>
          <w:highlight w:val="none"/>
        </w:rPr>
        <w:t>11.1.1人工费价差调整办法</w:t>
      </w:r>
      <w:bookmarkEnd w:id="871"/>
      <w:bookmarkEnd w:id="872"/>
      <w:bookmarkEnd w:id="873"/>
      <w:bookmarkEnd w:id="874"/>
      <w:r>
        <w:rPr>
          <w:rFonts w:hint="eastAsia" w:ascii="宋体" w:hAnsi="宋体"/>
          <w:color w:val="auto"/>
          <w:szCs w:val="21"/>
          <w:highlight w:val="none"/>
          <w:lang w:eastAsia="zh-CN"/>
        </w:rPr>
        <w:t>：</w:t>
      </w:r>
      <w:r>
        <w:rPr>
          <w:rFonts w:hint="default" w:ascii="Times New Roman" w:hAnsi="Times New Roman" w:cs="Times New Roman"/>
          <w:color w:val="auto"/>
          <w:kern w:val="0"/>
          <w:highlight w:val="none"/>
        </w:rPr>
        <w:t>不调整</w:t>
      </w:r>
      <w:r>
        <w:rPr>
          <w:rFonts w:hint="eastAsia" w:ascii="Times New Roman" w:hAnsi="Times New Roman" w:cs="Times New Roman"/>
          <w:color w:val="auto"/>
          <w:kern w:val="0"/>
          <w:highlight w:val="none"/>
          <w:lang w:eastAsia="zh-CN"/>
        </w:rPr>
        <w:t>。</w:t>
      </w:r>
    </w:p>
    <w:bookmarkEnd w:id="875"/>
    <w:p>
      <w:pPr>
        <w:spacing w:line="360" w:lineRule="auto"/>
        <w:ind w:firstLine="420" w:firstLineChars="200"/>
        <w:jc w:val="left"/>
        <w:rPr>
          <w:rFonts w:hint="eastAsia" w:ascii="宋体" w:hAnsi="宋体" w:eastAsia="宋体"/>
          <w:color w:val="auto"/>
          <w:szCs w:val="21"/>
          <w:highlight w:val="none"/>
          <w:lang w:eastAsia="zh-CN"/>
        </w:rPr>
      </w:pPr>
      <w:bookmarkStart w:id="876" w:name="_Toc466913966"/>
      <w:bookmarkStart w:id="877" w:name="_Toc466911548"/>
      <w:bookmarkStart w:id="878" w:name="_Toc467689644"/>
      <w:bookmarkStart w:id="879" w:name="_Toc466913516"/>
      <w:bookmarkStart w:id="880" w:name="_Hlk524297138"/>
      <w:r>
        <w:rPr>
          <w:rFonts w:hint="eastAsia" w:ascii="宋体" w:hAnsi="宋体"/>
          <w:color w:val="auto"/>
          <w:szCs w:val="21"/>
          <w:highlight w:val="none"/>
        </w:rPr>
        <w:t>11.1.2 材料费价差调整</w:t>
      </w:r>
      <w:bookmarkEnd w:id="876"/>
      <w:bookmarkEnd w:id="877"/>
      <w:bookmarkEnd w:id="878"/>
      <w:bookmarkEnd w:id="879"/>
      <w:r>
        <w:rPr>
          <w:rFonts w:hint="eastAsia" w:ascii="宋体" w:hAnsi="宋体"/>
          <w:color w:val="auto"/>
          <w:szCs w:val="21"/>
          <w:highlight w:val="none"/>
        </w:rPr>
        <w:t>办法</w:t>
      </w:r>
      <w:r>
        <w:rPr>
          <w:rFonts w:hint="eastAsia" w:ascii="宋体" w:hAnsi="宋体"/>
          <w:color w:val="auto"/>
          <w:szCs w:val="21"/>
          <w:highlight w:val="none"/>
          <w:lang w:eastAsia="zh-CN"/>
        </w:rPr>
        <w:t>：</w:t>
      </w:r>
      <w:r>
        <w:rPr>
          <w:rFonts w:hint="default" w:ascii="Times New Roman" w:hAnsi="Times New Roman" w:cs="Times New Roman"/>
          <w:color w:val="auto"/>
          <w:kern w:val="0"/>
          <w:highlight w:val="none"/>
        </w:rPr>
        <w:t>按</w:t>
      </w:r>
      <w:r>
        <w:rPr>
          <w:rFonts w:hint="eastAsia" w:ascii="宋体" w:hAnsi="宋体"/>
          <w:color w:val="auto"/>
          <w:szCs w:val="21"/>
          <w:highlight w:val="none"/>
        </w:rPr>
        <w:t>14.2.1.2</w:t>
      </w:r>
      <w:r>
        <w:rPr>
          <w:rFonts w:hint="default" w:ascii="Times New Roman" w:hAnsi="Times New Roman" w:cs="Times New Roman"/>
          <w:color w:val="auto"/>
          <w:kern w:val="0"/>
          <w:highlight w:val="none"/>
        </w:rPr>
        <w:t>目[竣工结算原则]执行</w:t>
      </w:r>
    </w:p>
    <w:bookmarkEnd w:id="787"/>
    <w:bookmarkEnd w:id="788"/>
    <w:bookmarkEnd w:id="789"/>
    <w:bookmarkEnd w:id="790"/>
    <w:bookmarkEnd w:id="791"/>
    <w:bookmarkEnd w:id="792"/>
    <w:bookmarkEnd w:id="880"/>
    <w:p>
      <w:pPr>
        <w:spacing w:line="360" w:lineRule="auto"/>
        <w:ind w:firstLine="420" w:firstLineChars="200"/>
        <w:jc w:val="left"/>
        <w:rPr>
          <w:rFonts w:ascii="宋体" w:hAnsi="宋体"/>
          <w:color w:val="auto"/>
          <w:szCs w:val="21"/>
          <w:highlight w:val="none"/>
        </w:rPr>
      </w:pPr>
      <w:bookmarkStart w:id="881" w:name="_Toc296944544"/>
      <w:bookmarkStart w:id="882" w:name="_Toc292559410"/>
      <w:bookmarkStart w:id="883" w:name="_Toc297120505"/>
      <w:bookmarkStart w:id="884" w:name="_Toc296346706"/>
      <w:bookmarkStart w:id="885" w:name="_Toc296891033"/>
      <w:bookmarkStart w:id="886" w:name="_Toc297048391"/>
      <w:bookmarkStart w:id="887" w:name="_Toc296347204"/>
      <w:bookmarkStart w:id="888" w:name="_Toc296891245"/>
      <w:bookmarkStart w:id="889" w:name="_Toc292559915"/>
      <w:bookmarkStart w:id="890" w:name="_Toc296503205"/>
      <w:bookmarkStart w:id="891" w:name="_Toc351203644"/>
      <w:bookmarkStart w:id="892" w:name="_Toc297216211"/>
      <w:bookmarkStart w:id="893" w:name="_Toc304295579"/>
      <w:bookmarkStart w:id="894" w:name="_Toc312678040"/>
      <w:bookmarkStart w:id="895" w:name="_Toc300935002"/>
      <w:bookmarkStart w:id="896" w:name="_Toc297123552"/>
      <w:bookmarkStart w:id="897" w:name="_Toc303539159"/>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不调整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98" w:name="_Toc532375646"/>
      <w:bookmarkStart w:id="899" w:name="_Toc532377382"/>
      <w:r>
        <w:rPr>
          <w:rFonts w:hint="eastAsia"/>
          <w:color w:val="auto"/>
          <w:kern w:val="2"/>
          <w:sz w:val="21"/>
          <w:szCs w:val="21"/>
          <w:highlight w:val="none"/>
        </w:rPr>
        <w:t xml:space="preserve">12. </w:t>
      </w:r>
      <w:bookmarkEnd w:id="881"/>
      <w:bookmarkEnd w:id="882"/>
      <w:bookmarkEnd w:id="883"/>
      <w:bookmarkEnd w:id="884"/>
      <w:bookmarkEnd w:id="885"/>
      <w:bookmarkEnd w:id="886"/>
      <w:bookmarkEnd w:id="887"/>
      <w:bookmarkEnd w:id="888"/>
      <w:bookmarkEnd w:id="889"/>
      <w:bookmarkEnd w:id="890"/>
      <w:r>
        <w:rPr>
          <w:rFonts w:hint="eastAsia"/>
          <w:color w:val="auto"/>
          <w:kern w:val="2"/>
          <w:sz w:val="21"/>
          <w:szCs w:val="21"/>
          <w:highlight w:val="none"/>
        </w:rPr>
        <w:t>合同价格、计量与支付</w:t>
      </w:r>
      <w:bookmarkEnd w:id="891"/>
      <w:bookmarkEnd w:id="898"/>
      <w:bookmarkEnd w:id="899"/>
    </w:p>
    <w:bookmarkEnd w:id="892"/>
    <w:bookmarkEnd w:id="893"/>
    <w:bookmarkEnd w:id="894"/>
    <w:bookmarkEnd w:id="895"/>
    <w:bookmarkEnd w:id="896"/>
    <w:bookmarkEnd w:id="897"/>
    <w:p>
      <w:pPr>
        <w:pStyle w:val="7"/>
        <w:spacing w:before="0" w:beforeAutospacing="0" w:after="0" w:afterAutospacing="0" w:line="360" w:lineRule="auto"/>
        <w:ind w:firstLine="422" w:firstLineChars="200"/>
        <w:rPr>
          <w:color w:val="auto"/>
          <w:sz w:val="21"/>
          <w:szCs w:val="21"/>
          <w:highlight w:val="none"/>
        </w:rPr>
      </w:pPr>
      <w:bookmarkStart w:id="900" w:name="_Toc292559916"/>
      <w:bookmarkStart w:id="901" w:name="_Toc267251461"/>
      <w:bookmarkStart w:id="902" w:name="_Toc292559411"/>
      <w:bookmarkStart w:id="903" w:name="_Toc296503206"/>
      <w:bookmarkStart w:id="904" w:name="_Toc296891034"/>
      <w:bookmarkStart w:id="905" w:name="_Toc296347205"/>
      <w:bookmarkStart w:id="906" w:name="_Toc296944545"/>
      <w:bookmarkStart w:id="907" w:name="_Toc297120506"/>
      <w:bookmarkStart w:id="908" w:name="_Toc296891246"/>
      <w:bookmarkStart w:id="909" w:name="_Toc297048392"/>
      <w:bookmarkStart w:id="910" w:name="_Toc296346707"/>
      <w:bookmarkStart w:id="911" w:name="_Toc532377383"/>
      <w:bookmarkStart w:id="912" w:name="_Toc532375647"/>
      <w:bookmarkStart w:id="913" w:name="_Toc300935003"/>
      <w:bookmarkStart w:id="914" w:name="_Toc303539160"/>
      <w:bookmarkStart w:id="915" w:name="_Toc304295580"/>
      <w:bookmarkStart w:id="916" w:name="_Toc297123553"/>
      <w:bookmarkStart w:id="917" w:name="_Toc312678041"/>
      <w:bookmarkStart w:id="918" w:name="_Toc297216212"/>
      <w:r>
        <w:rPr>
          <w:rFonts w:hint="eastAsia"/>
          <w:color w:val="auto"/>
          <w:sz w:val="21"/>
          <w:szCs w:val="21"/>
          <w:highlight w:val="none"/>
        </w:rPr>
        <w:t>12.1 合</w:t>
      </w:r>
      <w:bookmarkEnd w:id="900"/>
      <w:bookmarkEnd w:id="901"/>
      <w:bookmarkEnd w:id="902"/>
      <w:r>
        <w:rPr>
          <w:rFonts w:hint="eastAsia"/>
          <w:color w:val="auto"/>
          <w:sz w:val="21"/>
          <w:szCs w:val="21"/>
          <w:highlight w:val="none"/>
        </w:rPr>
        <w:t>同价</w:t>
      </w:r>
      <w:bookmarkEnd w:id="903"/>
      <w:bookmarkEnd w:id="904"/>
      <w:bookmarkEnd w:id="905"/>
      <w:bookmarkEnd w:id="906"/>
      <w:bookmarkEnd w:id="907"/>
      <w:bookmarkEnd w:id="908"/>
      <w:bookmarkEnd w:id="909"/>
      <w:bookmarkEnd w:id="910"/>
      <w:r>
        <w:rPr>
          <w:rFonts w:hint="eastAsia"/>
          <w:color w:val="auto"/>
          <w:sz w:val="21"/>
          <w:szCs w:val="21"/>
          <w:highlight w:val="none"/>
        </w:rPr>
        <w:t>格形式</w:t>
      </w:r>
      <w:bookmarkEnd w:id="911"/>
      <w:bookmarkEnd w:id="912"/>
    </w:p>
    <w:bookmarkEnd w:id="913"/>
    <w:bookmarkEnd w:id="914"/>
    <w:bookmarkEnd w:id="915"/>
    <w:bookmarkEnd w:id="916"/>
    <w:bookmarkEnd w:id="917"/>
    <w:bookmarkEnd w:id="918"/>
    <w:p>
      <w:pPr>
        <w:spacing w:line="360" w:lineRule="auto"/>
        <w:ind w:firstLine="420" w:firstLineChars="200"/>
        <w:jc w:val="left"/>
        <w:rPr>
          <w:rFonts w:ascii="宋体" w:hAnsi="宋体"/>
          <w:szCs w:val="21"/>
        </w:rPr>
      </w:pPr>
      <w:r>
        <w:rPr>
          <w:rFonts w:hint="eastAsia" w:ascii="宋体" w:hAnsi="宋体"/>
          <w:szCs w:val="21"/>
        </w:rPr>
        <w:t>1、单价合同。</w:t>
      </w:r>
    </w:p>
    <w:p>
      <w:pPr>
        <w:spacing w:line="24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w:t>
      </w:r>
      <w:r>
        <w:rPr>
          <w:rFonts w:hint="eastAsia"/>
          <w:color w:val="auto"/>
          <w:highlight w:val="none"/>
        </w:rPr>
        <w:t>人工费、材料费、施工机具使用费、企业管理费、利润、风险费、措施项目费、其他项目费、规费、税金、室内空气质量检测、装修保证金、配合消防验收（联动）和通过二次消防验收</w:t>
      </w:r>
      <w:r>
        <w:rPr>
          <w:rFonts w:hint="eastAsia"/>
          <w:color w:val="auto"/>
          <w:highlight w:val="none"/>
          <w:lang w:eastAsia="zh-CN"/>
        </w:rPr>
        <w:t>（</w:t>
      </w:r>
      <w:r>
        <w:rPr>
          <w:rFonts w:hint="eastAsia"/>
          <w:color w:val="auto"/>
          <w:highlight w:val="none"/>
          <w:lang w:val="en-US" w:eastAsia="zh-CN"/>
        </w:rPr>
        <w:t>如需要</w:t>
      </w:r>
      <w:r>
        <w:rPr>
          <w:rFonts w:hint="eastAsia"/>
          <w:color w:val="auto"/>
          <w:highlight w:val="none"/>
          <w:lang w:eastAsia="zh-CN"/>
        </w:rPr>
        <w:t>）、</w:t>
      </w:r>
      <w:r>
        <w:rPr>
          <w:rFonts w:hint="eastAsia"/>
          <w:color w:val="auto"/>
          <w:highlight w:val="none"/>
        </w:rPr>
        <w:t>政策性文件及装饰地点物业公司规定的所有费用</w:t>
      </w:r>
      <w:r>
        <w:rPr>
          <w:rFonts w:hint="eastAsia" w:ascii="宋体" w:hAnsi="宋体"/>
          <w:szCs w:val="21"/>
          <w:u w:val="single"/>
        </w:rPr>
        <w:t>，以及第11.1款〔市场价格波动引起的调整〕约定范围内的市场价格波动风险、政策性文件规定的各项应有费用、招标文件和合同明示或暗示的应由承包人承担的所有责任、义务和风险等所需的费用。</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color w:val="auto"/>
          <w:sz w:val="21"/>
          <w:szCs w:val="21"/>
          <w:highlight w:val="none"/>
        </w:rPr>
      </w:pPr>
      <w:bookmarkStart w:id="919" w:name="_Toc532377384"/>
      <w:bookmarkStart w:id="920" w:name="_Toc532375648"/>
      <w:bookmarkStart w:id="921" w:name="_Toc297123554"/>
      <w:bookmarkStart w:id="922" w:name="_Toc303539161"/>
      <w:bookmarkStart w:id="923" w:name="_Toc300935004"/>
      <w:bookmarkStart w:id="924" w:name="_Toc304295581"/>
      <w:bookmarkStart w:id="925" w:name="_Toc297216213"/>
      <w:bookmarkStart w:id="926" w:name="_Toc312678042"/>
      <w:bookmarkStart w:id="927" w:name="_Toc297120507"/>
      <w:bookmarkStart w:id="928" w:name="_Toc296944546"/>
      <w:bookmarkStart w:id="929" w:name="_Toc297048393"/>
      <w:bookmarkStart w:id="930" w:name="_Toc296891035"/>
      <w:bookmarkStart w:id="931" w:name="_Toc296503207"/>
      <w:bookmarkStart w:id="932" w:name="_Toc292559412"/>
      <w:bookmarkStart w:id="933" w:name="_Toc296891247"/>
      <w:bookmarkStart w:id="934" w:name="_Toc296347206"/>
      <w:bookmarkStart w:id="935" w:name="_Toc292559917"/>
      <w:bookmarkStart w:id="936" w:name="_Toc296346708"/>
      <w:r>
        <w:rPr>
          <w:rFonts w:hint="eastAsia"/>
          <w:color w:val="auto"/>
          <w:sz w:val="21"/>
          <w:szCs w:val="21"/>
          <w:highlight w:val="none"/>
        </w:rPr>
        <w:t>12.2 预付款</w:t>
      </w:r>
      <w:bookmarkEnd w:id="919"/>
      <w:bookmarkEnd w:id="920"/>
    </w:p>
    <w:bookmarkEnd w:id="921"/>
    <w:bookmarkEnd w:id="922"/>
    <w:bookmarkEnd w:id="923"/>
    <w:bookmarkEnd w:id="924"/>
    <w:bookmarkEnd w:id="925"/>
    <w:bookmarkEnd w:id="92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r>
        <w:rPr>
          <w:rFonts w:hint="eastAsia" w:ascii="宋体" w:hAnsi="宋体"/>
          <w:szCs w:val="21"/>
        </w:rPr>
        <w:t>:</w:t>
      </w:r>
      <w:r>
        <w:rPr>
          <w:rFonts w:hint="eastAsia" w:ascii="宋体" w:hAnsi="宋体"/>
          <w:szCs w:val="21"/>
          <w:u w:val="single"/>
        </w:rPr>
        <w:t>不采用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bookmarkEnd w:id="927"/>
    <w:bookmarkEnd w:id="928"/>
    <w:bookmarkEnd w:id="929"/>
    <w:bookmarkEnd w:id="930"/>
    <w:bookmarkEnd w:id="931"/>
    <w:bookmarkEnd w:id="932"/>
    <w:bookmarkEnd w:id="933"/>
    <w:bookmarkEnd w:id="934"/>
    <w:bookmarkEnd w:id="935"/>
    <w:bookmarkEnd w:id="936"/>
    <w:p>
      <w:pPr>
        <w:pStyle w:val="7"/>
        <w:spacing w:before="0" w:beforeAutospacing="0" w:after="0" w:afterAutospacing="0" w:line="360" w:lineRule="auto"/>
        <w:ind w:firstLine="422" w:firstLineChars="200"/>
        <w:rPr>
          <w:color w:val="auto"/>
          <w:sz w:val="21"/>
          <w:szCs w:val="21"/>
          <w:highlight w:val="none"/>
        </w:rPr>
      </w:pPr>
      <w:bookmarkStart w:id="937" w:name="_Toc532377385"/>
      <w:bookmarkStart w:id="938" w:name="_Toc532375649"/>
      <w:r>
        <w:rPr>
          <w:rFonts w:hint="eastAsia"/>
          <w:color w:val="auto"/>
          <w:sz w:val="21"/>
          <w:szCs w:val="21"/>
          <w:highlight w:val="none"/>
        </w:rPr>
        <w:t>12.3 计量</w:t>
      </w:r>
      <w:bookmarkEnd w:id="937"/>
      <w:bookmarkEnd w:id="938"/>
    </w:p>
    <w:p>
      <w:pPr>
        <w:spacing w:line="360" w:lineRule="auto"/>
        <w:ind w:firstLine="420" w:firstLineChars="200"/>
        <w:jc w:val="left"/>
        <w:rPr>
          <w:rFonts w:ascii="宋体" w:hAnsi="宋体"/>
          <w:color w:val="auto"/>
          <w:szCs w:val="21"/>
          <w:highlight w:val="none"/>
        </w:rPr>
      </w:pPr>
      <w:bookmarkStart w:id="939" w:name="_Hlk528928260"/>
      <w:r>
        <w:rPr>
          <w:rFonts w:hint="eastAsia" w:ascii="宋体" w:hAnsi="宋体"/>
          <w:color w:val="auto"/>
          <w:szCs w:val="21"/>
          <w:highlight w:val="none"/>
        </w:rPr>
        <w:t>12.3.1 计量原则</w:t>
      </w:r>
    </w:p>
    <w:p>
      <w:pPr>
        <w:snapToGrid w:val="0"/>
        <w:spacing w:line="360" w:lineRule="auto"/>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A、</w:t>
      </w:r>
      <w:r>
        <w:rPr>
          <w:rFonts w:hint="default" w:ascii="宋体" w:hAnsi="宋体" w:eastAsia="宋体" w:cs="Times New Roman"/>
          <w:color w:val="auto"/>
          <w:szCs w:val="21"/>
          <w:highlight w:val="none"/>
        </w:rPr>
        <w:t>设计施工图图示尺寸清楚、准确，无设计变更，承包人应按图施工，则按《重庆市建设工程量计算规则》（CQJLGZ-2013）工程量计算规范【以下简称（CQJLGZ-2013）规范】计算的设计施工图图示工程量为子项实际工程量；</w:t>
      </w:r>
    </w:p>
    <w:p>
      <w:pPr>
        <w:snapToGrid w:val="0"/>
        <w:spacing w:line="360" w:lineRule="auto"/>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B、</w:t>
      </w:r>
      <w:r>
        <w:rPr>
          <w:rFonts w:hint="default" w:ascii="宋体" w:hAnsi="宋体" w:eastAsia="宋体" w:cs="Times New Roman"/>
          <w:color w:val="auto"/>
          <w:szCs w:val="21"/>
          <w:highlight w:val="none"/>
        </w:rPr>
        <w:t>设计施工图图示尺寸清楚、准确，但有设计变更，则按（CQJLGZ-2013）规则计算的设计变更后的图示工程量为子项实际工程量；</w:t>
      </w:r>
    </w:p>
    <w:p>
      <w:pPr>
        <w:snapToGrid w:val="0"/>
        <w:spacing w:line="360" w:lineRule="auto"/>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C、</w:t>
      </w:r>
      <w:r>
        <w:rPr>
          <w:rFonts w:hint="default" w:ascii="宋体" w:hAnsi="宋体" w:eastAsia="宋体" w:cs="Times New Roman"/>
          <w:color w:val="auto"/>
          <w:szCs w:val="21"/>
          <w:highlight w:val="none"/>
        </w:rPr>
        <w:t>设计施工图图示尺寸存在区间范围（或注明按现场实际确定或图示尺寸不清）：有设计变更的，以设计变更和施工实际，按（CQJLGZ-2013）规则计算的设计变更后的施工图图示工程量为子项实际工程量；无设计变更的，以承包人、监理人、全过程审核单位、发包人共同签认的隐蔽验收记录等相关资料，按（CQJLGZ0-2013）规则计算的实际工程量为子项实际工程量；</w:t>
      </w:r>
    </w:p>
    <w:p>
      <w:pPr>
        <w:snapToGrid w:val="0"/>
        <w:spacing w:line="360" w:lineRule="auto"/>
        <w:ind w:firstLine="315" w:firstLineChars="150"/>
        <w:rPr>
          <w:rFonts w:ascii="宋体" w:hAnsi="宋体"/>
          <w:color w:val="auto"/>
          <w:szCs w:val="21"/>
          <w:highlight w:val="none"/>
        </w:rPr>
      </w:pPr>
      <w:r>
        <w:rPr>
          <w:rFonts w:hint="default" w:ascii="Times New Roman" w:hAnsi="Times New Roman" w:cs="Times New Roman"/>
          <w:color w:val="auto"/>
          <w:kern w:val="0"/>
          <w:szCs w:val="21"/>
          <w:highlight w:val="none"/>
        </w:rPr>
        <w:t>D、</w:t>
      </w:r>
      <w:r>
        <w:rPr>
          <w:rFonts w:hint="default" w:ascii="宋体" w:hAnsi="宋体" w:eastAsia="宋体" w:cs="Times New Roman"/>
          <w:color w:val="auto"/>
          <w:szCs w:val="21"/>
          <w:highlight w:val="none"/>
        </w:rPr>
        <w:t>设计施工图、设计变更（含类似子项变更）、新增项目、隐蔽记录、验收记录及材料、半成品检验等资料，应与工程竣工图相一致，当前后矛盾时，则取按（CQJLGZ-2013）规则计算的工程量为子项实际工程量；</w:t>
      </w:r>
    </w:p>
    <w:bookmarkEnd w:id="939"/>
    <w:p>
      <w:pPr>
        <w:pStyle w:val="7"/>
        <w:spacing w:before="0" w:beforeAutospacing="0" w:after="0" w:afterAutospacing="0" w:line="360" w:lineRule="auto"/>
        <w:ind w:firstLine="422" w:firstLineChars="200"/>
        <w:rPr>
          <w:color w:val="auto"/>
          <w:sz w:val="21"/>
          <w:szCs w:val="21"/>
          <w:highlight w:val="none"/>
        </w:rPr>
      </w:pPr>
      <w:bookmarkStart w:id="940" w:name="_Toc532377386"/>
      <w:bookmarkStart w:id="941" w:name="_Toc532375650"/>
      <w:bookmarkStart w:id="942" w:name="_Hlk528928289"/>
      <w:r>
        <w:rPr>
          <w:rFonts w:hint="eastAsia"/>
          <w:color w:val="auto"/>
          <w:sz w:val="21"/>
          <w:szCs w:val="21"/>
          <w:highlight w:val="none"/>
        </w:rPr>
        <w:t>12.4 工程进度款支付</w:t>
      </w:r>
      <w:bookmarkEnd w:id="940"/>
      <w:bookmarkEnd w:id="941"/>
    </w:p>
    <w:bookmarkEnd w:id="942"/>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default" w:ascii="Times New Roman" w:hAnsi="Times New Roman" w:cs="Times New Roman"/>
          <w:color w:val="auto"/>
          <w:kern w:val="0"/>
          <w:highlight w:val="none"/>
        </w:rPr>
        <w:t>工程进度付款申请</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工程进度付款申请方式：</w:t>
      </w:r>
      <w:r>
        <w:rPr>
          <w:rFonts w:hint="default" w:ascii="宋体" w:hAnsi="宋体" w:eastAsia="宋体" w:cs="Times New Roman"/>
          <w:color w:val="auto"/>
          <w:szCs w:val="21"/>
          <w:highlight w:val="none"/>
          <w:u w:val="single"/>
        </w:rPr>
        <w:t>提交进度付款申请单。</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付款申请报告的格式、内容、份数和提交时间：</w:t>
      </w:r>
      <w:r>
        <w:rPr>
          <w:rFonts w:hint="default" w:ascii="宋体" w:hAnsi="宋体" w:eastAsia="宋体" w:cs="Times New Roman"/>
          <w:color w:val="auto"/>
          <w:szCs w:val="21"/>
          <w:highlight w:val="none"/>
          <w:u w:val="single"/>
        </w:rPr>
        <w:t>承包人对已完成的工程进行计量，向发包人提交进度付款申请单、已完成工程量报表和有关计量资料；一式四份</w:t>
      </w:r>
      <w:r>
        <w:rPr>
          <w:rFonts w:hint="default" w:ascii="宋体" w:hAnsi="宋体" w:eastAsia="宋体" w:cs="Times New Roman"/>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r>
        <w:rPr>
          <w:rFonts w:hint="eastAsia" w:asciiTheme="minorEastAsia" w:hAnsiTheme="minorEastAsia" w:eastAsiaTheme="minorEastAsia" w:cstheme="minorEastAsia"/>
          <w:color w:val="auto"/>
          <w:sz w:val="21"/>
          <w:szCs w:val="21"/>
        </w:rPr>
        <w:t>每月按照实际完成工程量的80%进行支付，待工程竣工验收后支付至审定金额的97%；剩余3%作为质保金，待工程两年缺陷责任期期满后付清剩余质保金（不计利息）。</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43" w:name="_Toc532375651"/>
      <w:bookmarkStart w:id="944" w:name="_Toc351203645"/>
      <w:bookmarkStart w:id="945" w:name="_Toc532377388"/>
      <w:bookmarkStart w:id="946" w:name="_Toc292559424"/>
      <w:bookmarkStart w:id="947" w:name="_Toc296503219"/>
      <w:bookmarkStart w:id="948" w:name="_Toc300935015"/>
      <w:bookmarkStart w:id="949" w:name="_Toc296944558"/>
      <w:bookmarkStart w:id="950" w:name="_Toc297048405"/>
      <w:bookmarkStart w:id="951" w:name="_Toc296891047"/>
      <w:bookmarkStart w:id="952" w:name="_Toc292559929"/>
      <w:bookmarkStart w:id="953" w:name="_Toc297123564"/>
      <w:bookmarkStart w:id="954" w:name="_Toc297120519"/>
      <w:bookmarkStart w:id="955" w:name="_Toc296891259"/>
      <w:bookmarkStart w:id="956" w:name="_Toc297216223"/>
      <w:bookmarkStart w:id="957" w:name="_Toc303539172"/>
      <w:bookmarkStart w:id="958" w:name="_Toc304295593"/>
      <w:bookmarkStart w:id="959" w:name="_Toc296346720"/>
      <w:bookmarkStart w:id="960" w:name="_Toc296347218"/>
      <w:bookmarkStart w:id="961" w:name="_Toc312678053"/>
      <w:r>
        <w:rPr>
          <w:rFonts w:hint="eastAsia"/>
          <w:color w:val="auto"/>
          <w:kern w:val="2"/>
          <w:sz w:val="21"/>
          <w:szCs w:val="21"/>
          <w:highlight w:val="none"/>
        </w:rPr>
        <w:t>13. 验收和工程试车</w:t>
      </w:r>
      <w:bookmarkEnd w:id="943"/>
      <w:bookmarkEnd w:id="944"/>
      <w:bookmarkEnd w:id="945"/>
    </w:p>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Pr>
        <w:pStyle w:val="7"/>
        <w:spacing w:before="0" w:beforeAutospacing="0" w:after="0" w:afterAutospacing="0" w:line="360" w:lineRule="auto"/>
        <w:ind w:firstLine="422" w:firstLineChars="200"/>
        <w:rPr>
          <w:color w:val="auto"/>
          <w:sz w:val="21"/>
          <w:szCs w:val="21"/>
          <w:highlight w:val="none"/>
        </w:rPr>
      </w:pPr>
      <w:bookmarkStart w:id="962" w:name="_Toc532375652"/>
      <w:bookmarkStart w:id="963" w:name="_Toc532377389"/>
      <w:bookmarkStart w:id="964" w:name="_Toc280868704"/>
      <w:bookmarkStart w:id="965" w:name="_Toc280868705"/>
      <w:bookmarkStart w:id="966" w:name="_Toc280868706"/>
      <w:bookmarkStart w:id="967" w:name="_Toc280868707"/>
      <w:bookmarkStart w:id="968" w:name="_Toc280868708"/>
      <w:bookmarkStart w:id="969" w:name="_Toc280868709"/>
      <w:bookmarkStart w:id="970" w:name="_Toc267251473"/>
      <w:bookmarkStart w:id="971" w:name="_Toc267251472"/>
      <w:bookmarkStart w:id="972" w:name="_Toc267251476"/>
      <w:bookmarkStart w:id="973" w:name="_Toc267251471"/>
      <w:bookmarkStart w:id="974" w:name="_Toc267251470"/>
      <w:bookmarkStart w:id="975" w:name="_Toc267251475"/>
      <w:bookmarkStart w:id="976" w:name="_Toc267251474"/>
      <w:r>
        <w:rPr>
          <w:rFonts w:hint="eastAsia"/>
          <w:color w:val="auto"/>
          <w:sz w:val="21"/>
          <w:szCs w:val="21"/>
          <w:highlight w:val="none"/>
        </w:rPr>
        <w:t>13.1 分部分项工程验收</w:t>
      </w:r>
      <w:bookmarkEnd w:id="962"/>
      <w:bookmarkEnd w:id="96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pPr>
        <w:pStyle w:val="7"/>
        <w:spacing w:before="0" w:beforeAutospacing="0" w:after="0" w:afterAutospacing="0" w:line="360" w:lineRule="auto"/>
        <w:ind w:firstLine="422" w:firstLineChars="200"/>
        <w:rPr>
          <w:color w:val="auto"/>
          <w:sz w:val="21"/>
          <w:szCs w:val="21"/>
          <w:highlight w:val="none"/>
        </w:rPr>
      </w:pPr>
      <w:bookmarkStart w:id="977" w:name="_Toc532375653"/>
      <w:bookmarkStart w:id="978" w:name="_Toc532377390"/>
      <w:bookmarkStart w:id="979" w:name="_Toc297123565"/>
      <w:bookmarkStart w:id="980" w:name="_Toc303539173"/>
      <w:bookmarkStart w:id="981" w:name="_Toc297216224"/>
      <w:bookmarkStart w:id="982" w:name="_Toc296347222"/>
      <w:bookmarkStart w:id="983" w:name="_Toc296891263"/>
      <w:bookmarkStart w:id="984" w:name="_Toc304295596"/>
      <w:bookmarkStart w:id="985" w:name="_Toc296944562"/>
      <w:bookmarkStart w:id="986" w:name="_Toc296503223"/>
      <w:bookmarkStart w:id="987" w:name="_Toc296346724"/>
      <w:bookmarkStart w:id="988" w:name="_Toc312678056"/>
      <w:bookmarkStart w:id="989" w:name="_Toc297048409"/>
      <w:bookmarkStart w:id="990" w:name="_Toc297120523"/>
      <w:bookmarkStart w:id="991" w:name="_Toc300935016"/>
      <w:bookmarkStart w:id="992" w:name="_Toc296891051"/>
      <w:bookmarkStart w:id="993" w:name="_Toc292559933"/>
      <w:bookmarkStart w:id="994" w:name="_Toc292559428"/>
      <w:r>
        <w:rPr>
          <w:rFonts w:hint="eastAsia"/>
          <w:color w:val="auto"/>
          <w:sz w:val="21"/>
          <w:szCs w:val="21"/>
          <w:highlight w:val="none"/>
        </w:rPr>
        <w:t>13.2 竣工验收</w:t>
      </w:r>
      <w:bookmarkEnd w:id="977"/>
      <w:bookmarkEnd w:id="978"/>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964"/>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实际</w:t>
      </w:r>
      <w:r>
        <w:rPr>
          <w:rFonts w:hint="default" w:ascii="Times New Roman" w:hAnsi="Times New Roman" w:cs="Times New Roman"/>
          <w:color w:val="auto"/>
          <w:highlight w:val="none"/>
          <w:u w:val="single"/>
        </w:rPr>
        <w:t>按发包人要求提供</w:t>
      </w:r>
      <w:r>
        <w:rPr>
          <w:rFonts w:hint="eastAsia" w:ascii="宋体" w:hAnsi="宋体"/>
          <w:color w:val="auto"/>
          <w:szCs w:val="21"/>
          <w:highlight w:val="none"/>
        </w:rPr>
        <w:t>。</w:t>
      </w:r>
    </w:p>
    <w:bookmarkEnd w:id="965"/>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966"/>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w:t>
      </w:r>
      <w:r>
        <w:rPr>
          <w:rFonts w:hint="default" w:ascii="Times New Roman" w:hAnsi="Times New Roman" w:cs="Times New Roman"/>
          <w:color w:val="auto"/>
          <w:kern w:val="0"/>
          <w:highlight w:val="none"/>
          <w:u w:val="single"/>
        </w:rPr>
        <w:t>不采用</w:t>
      </w:r>
      <w:r>
        <w:rPr>
          <w:rFonts w:hint="eastAsia" w:ascii="宋体" w:hAnsi="宋体"/>
          <w:color w:val="auto"/>
          <w:szCs w:val="21"/>
          <w:highlight w:val="none"/>
          <w:u w:val="single"/>
        </w:rPr>
        <w:t>。</w:t>
      </w:r>
    </w:p>
    <w:bookmarkEnd w:id="967"/>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995" w:name="_Toc532375654"/>
      <w:bookmarkStart w:id="996" w:name="_Toc532377391"/>
      <w:r>
        <w:rPr>
          <w:rFonts w:hint="eastAsia"/>
          <w:color w:val="auto"/>
          <w:sz w:val="21"/>
          <w:szCs w:val="21"/>
          <w:highlight w:val="none"/>
        </w:rPr>
        <w:t>13.3 工程试车</w:t>
      </w:r>
      <w:bookmarkEnd w:id="995"/>
      <w:bookmarkEnd w:id="996"/>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pStyle w:val="7"/>
        <w:spacing w:before="0" w:beforeAutospacing="0" w:after="0" w:afterAutospacing="0" w:line="360" w:lineRule="auto"/>
        <w:ind w:firstLine="422" w:firstLineChars="200"/>
        <w:rPr>
          <w:color w:val="auto"/>
          <w:sz w:val="21"/>
          <w:szCs w:val="21"/>
          <w:highlight w:val="none"/>
        </w:rPr>
      </w:pPr>
      <w:bookmarkStart w:id="997" w:name="_Toc532375655"/>
      <w:bookmarkStart w:id="998" w:name="_Toc532377392"/>
      <w:r>
        <w:rPr>
          <w:rFonts w:hint="eastAsia"/>
          <w:color w:val="auto"/>
          <w:sz w:val="21"/>
          <w:szCs w:val="21"/>
          <w:highlight w:val="none"/>
        </w:rPr>
        <w:t>13.6 竣工退场</w:t>
      </w:r>
      <w:bookmarkEnd w:id="997"/>
      <w:bookmarkEnd w:id="99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968"/>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99" w:name="_Toc351203646"/>
      <w:bookmarkStart w:id="1000" w:name="_Toc532375656"/>
      <w:bookmarkStart w:id="1001" w:name="_Toc532377393"/>
      <w:r>
        <w:rPr>
          <w:rFonts w:hint="eastAsia"/>
          <w:color w:val="auto"/>
          <w:kern w:val="2"/>
          <w:sz w:val="21"/>
          <w:szCs w:val="21"/>
          <w:highlight w:val="none"/>
        </w:rPr>
        <w:t>14. 竣工结算</w:t>
      </w:r>
      <w:bookmarkEnd w:id="999"/>
      <w:bookmarkEnd w:id="1000"/>
      <w:bookmarkEnd w:id="1001"/>
    </w:p>
    <w:p>
      <w:pPr>
        <w:pStyle w:val="7"/>
        <w:spacing w:before="0" w:beforeAutospacing="0" w:after="0" w:afterAutospacing="0" w:line="360" w:lineRule="auto"/>
        <w:ind w:firstLine="422" w:firstLineChars="200"/>
        <w:rPr>
          <w:color w:val="auto"/>
          <w:sz w:val="21"/>
          <w:szCs w:val="21"/>
          <w:highlight w:val="none"/>
        </w:rPr>
      </w:pPr>
      <w:bookmarkStart w:id="1002" w:name="_Toc532377394"/>
      <w:bookmarkStart w:id="1003" w:name="_Toc532375657"/>
      <w:r>
        <w:rPr>
          <w:rFonts w:hint="eastAsia"/>
          <w:color w:val="auto"/>
          <w:sz w:val="21"/>
          <w:szCs w:val="21"/>
          <w:highlight w:val="none"/>
        </w:rPr>
        <w:t>14.1 竣工结算申请</w:t>
      </w:r>
      <w:bookmarkEnd w:id="1002"/>
      <w:bookmarkEnd w:id="1003"/>
    </w:p>
    <w:p>
      <w:pPr>
        <w:widowControl/>
        <w:spacing w:line="360" w:lineRule="auto"/>
        <w:ind w:firstLine="420" w:firstLineChars="200"/>
        <w:jc w:val="left"/>
        <w:textAlignment w:val="top"/>
        <w:rPr>
          <w:rFonts w:hint="default" w:ascii="Times New Roman" w:hAnsi="Times New Roman" w:cs="Times New Roman"/>
          <w:color w:val="auto"/>
          <w:kern w:val="0"/>
          <w:szCs w:val="21"/>
          <w:highlight w:val="none"/>
        </w:rPr>
      </w:pPr>
      <w:bookmarkStart w:id="1004" w:name="_Toc532375658"/>
      <w:bookmarkStart w:id="1005" w:name="_Toc532377395"/>
      <w:r>
        <w:rPr>
          <w:rFonts w:hint="default" w:ascii="Times New Roman" w:hAnsi="Times New Roman" w:cs="Times New Roman"/>
          <w:color w:val="auto"/>
          <w:kern w:val="0"/>
          <w:szCs w:val="21"/>
          <w:highlight w:val="none"/>
        </w:rPr>
        <w:t>（1）</w:t>
      </w:r>
      <w:r>
        <w:rPr>
          <w:rFonts w:hint="default" w:ascii="宋体" w:hAnsi="宋体" w:eastAsia="宋体" w:cs="Times New Roman"/>
          <w:color w:val="auto"/>
          <w:szCs w:val="21"/>
          <w:highlight w:val="none"/>
        </w:rPr>
        <w:t>承包人提交竣工结算申请单的期限：竣工验收后，承包人应在30日内以书面方式向发包人提出结算报告以及真实、完整、齐全、有效的结算资料壹套（含纸质、电子档），申请办理竣工结算。并：承包人若在竣工验收通过后四个月后仍未能按时提交结算资料且无合理理由时，则发包人有权将能提供的结算资料经监理单位确认后，直接委托咨询单位进行工程结算，承包人无权对结算资料提出疑义；同时发包人也有权认为承包人对本项目放弃了工程结算，结束并完结了本合同除保修书外双方应履行的义务与责任。工程量如发生变化，可作调整，若项目的遗漏，承包人均作让利给发包人，不作增加调整。</w:t>
      </w:r>
    </w:p>
    <w:p>
      <w:pPr>
        <w:widowControl/>
        <w:spacing w:line="360" w:lineRule="auto"/>
        <w:ind w:firstLine="420" w:firstLineChars="200"/>
        <w:jc w:val="left"/>
        <w:textAlignment w:val="top"/>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（2）竣工结算申请单应包括的内容：</w:t>
      </w:r>
      <w:r>
        <w:rPr>
          <w:rFonts w:hint="default" w:ascii="Times New Roman" w:hAnsi="Times New Roman" w:cs="Times New Roman"/>
          <w:color w:val="auto"/>
          <w:szCs w:val="21"/>
          <w:highlight w:val="none"/>
        </w:rPr>
        <w:t>除按通用条款外，还须包括材料单价确价文件，材差调整审定文件，设计变更单、收方单、隐蔽资料、施工图蓝图、现场签证（原件）、投标文件、隐蔽记录、检验试验记录、支付审批单及对应发票、竣工图及相应的预算书、开工报告、工程竣工验收单、单项工程竣工验收报告（工期或者质量未达到合同要求的项目应提供相应的明确责任的说明）、结算移交表、工程结算申请书、其他与工程结算相关的双方确认的协议书、备忘录等有效证明文件，等等。结算时承包人承诺在送审资料交接完成后：①在审价过程中不再增加任何结算资料，包括图纸、联系单、签证单、价格凭证等；②在送审结算书中项目的工程量如发生变化，可作调整，若项目的遗漏，承包人均作让利给发包人，不作增加调整。</w:t>
      </w:r>
    </w:p>
    <w:p>
      <w:pPr>
        <w:pStyle w:val="23"/>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（3）承包人提交竣工结算的其他事项：</w:t>
      </w:r>
    </w:p>
    <w:p>
      <w:pPr>
        <w:tabs>
          <w:tab w:val="left" w:pos="1418"/>
        </w:tabs>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1、承包人应于报送结算资料前14天内，会同发包人、监理单位落实合同范围内未实施或未完全实施的项目，作为竣工结算的依据；若承包人未按此要求办理，则以发包人收集的资料为结算依据。其未实施部分项目，若承包人隐瞒上报，且造成发包人已支付该费用的，按发包人实际支付金额或合同约定计价原则计算金额的200%从结算金额中扣取，二者取大值作为对承包人的违约处理；</w:t>
      </w:r>
    </w:p>
    <w:p>
      <w:pPr>
        <w:tabs>
          <w:tab w:val="left" w:pos="1418"/>
        </w:tabs>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2、承包人报送的结算资料必须通过发包人转送发包人委托的第三方造价机构，承包人不得私自递交任何结算资料给造价机构；若发包人发现有此现象，则按2万元/次从结算款中扣取。</w:t>
      </w:r>
    </w:p>
    <w:p>
      <w:pPr>
        <w:tabs>
          <w:tab w:val="left" w:pos="1418"/>
        </w:tabs>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3、如因承包人原因未能在规定时间内按发包人的要求提交完整的结算资料的，自规定时间的第二日起，每超期一天，向发包人支付违约金2000元。</w:t>
      </w:r>
    </w:p>
    <w:p>
      <w:pPr>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4、承包人报送的结算金额应尽可能准确，经造价咨询机构审核后，若审减金额超过送审金额的4%（含4%），超过4%部分的审核费用按相关文件计算，由承包人负责；若审减金额超过送审金额的10%（含10%)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则所有的审核费用均由承包人承担。</w:t>
      </w:r>
    </w:p>
    <w:p>
      <w:pPr>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5、承包人不得擅自与第三方造价机构或成员在非办公场所接触。承包人违反的视为根本性违反合同。</w:t>
      </w:r>
    </w:p>
    <w:p>
      <w:pPr>
        <w:pStyle w:val="7"/>
        <w:spacing w:before="0" w:beforeAutospacing="0" w:after="0" w:afterAutospacing="0" w:line="360" w:lineRule="auto"/>
        <w:ind w:firstLine="422" w:firstLineChars="200"/>
        <w:rPr>
          <w:rFonts w:hint="eastAsia" w:ascii="宋体" w:hAnsi="宋体"/>
          <w:color w:val="auto"/>
          <w:szCs w:val="21"/>
          <w:highlight w:val="none"/>
        </w:rPr>
      </w:pPr>
      <w:r>
        <w:rPr>
          <w:rFonts w:hint="eastAsia"/>
          <w:color w:val="auto"/>
          <w:sz w:val="21"/>
          <w:szCs w:val="21"/>
          <w:highlight w:val="none"/>
        </w:rPr>
        <w:t>14.2 竣工结算审核</w:t>
      </w:r>
      <w:bookmarkEnd w:id="1004"/>
      <w:bookmarkEnd w:id="100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w:t>
      </w:r>
      <w:r>
        <w:rPr>
          <w:rFonts w:hint="default" w:ascii="Times New Roman" w:hAnsi="Times New Roman" w:cs="Times New Roman"/>
          <w:color w:val="auto"/>
          <w:kern w:val="0"/>
          <w:highlight w:val="none"/>
        </w:rPr>
        <w:t>竣工结算</w:t>
      </w:r>
      <w:r>
        <w:rPr>
          <w:rFonts w:hint="eastAsia" w:ascii="宋体" w:hAnsi="宋体"/>
          <w:color w:val="auto"/>
          <w:szCs w:val="21"/>
          <w:highlight w:val="none"/>
        </w:rPr>
        <w:t>原则</w:t>
      </w:r>
    </w:p>
    <w:p>
      <w:pPr>
        <w:spacing w:line="360" w:lineRule="auto"/>
        <w:ind w:right="105" w:rightChars="5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一、承包人严格按照施工图施工，在施工过程中，施工图纸外的所有变化，须经四方签证认可（承包人、监理、发包人、全过程跟踪审计），未签证认可的有效变更不予结算。</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default" w:ascii="宋体" w:hAnsi="宋体" w:eastAsia="宋体" w:cs="Times New Roman"/>
          <w:color w:val="auto"/>
          <w:szCs w:val="21"/>
          <w:highlight w:val="yellow"/>
          <w:lang w:val="en-US" w:eastAsia="zh-CN"/>
        </w:rPr>
        <w:t>二、</w:t>
      </w:r>
      <w:r>
        <w:rPr>
          <w:rFonts w:hint="eastAsia" w:asciiTheme="minorEastAsia" w:hAnsiTheme="minorEastAsia" w:eastAsiaTheme="minorEastAsia" w:cstheme="minorEastAsia"/>
          <w:color w:val="auto"/>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全费用清单综合单价中的安全文明施工费、规费、税金投标时均视为已按照本市相关部门的规定计取。结算时中标全费用清单综合单价一律不做调整。</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据实结算后不得超过限价，超过限价部分不予结算。</w:t>
      </w:r>
    </w:p>
    <w:p>
      <w:pPr>
        <w:spacing w:line="360" w:lineRule="auto"/>
        <w:ind w:firstLine="422" w:firstLineChars="20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审计费：</w:t>
      </w:r>
    </w:p>
    <w:p>
      <w:pPr>
        <w:spacing w:line="360" w:lineRule="auto"/>
        <w:ind w:right="105" w:rightChars="50"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p>
      <w:pPr>
        <w:spacing w:line="360" w:lineRule="auto"/>
        <w:ind w:right="105" w:rightChars="50" w:firstLine="420" w:firstLineChars="200"/>
        <w:jc w:val="left"/>
        <w:rPr>
          <w:rFonts w:ascii="宋体" w:hAnsi="宋体"/>
          <w:szCs w:val="21"/>
          <w:u w:val="single"/>
        </w:rPr>
      </w:pPr>
      <w:r>
        <w:rPr>
          <w:rFonts w:hint="eastAsia" w:ascii="宋体" w:hAnsi="宋体"/>
          <w:color w:val="auto"/>
          <w:szCs w:val="21"/>
          <w:u w:val="single"/>
        </w:rPr>
        <w:t>7）本工程如下费用已综合考虑在投标取费比例或投标报价中，中标后发包人不再另行支</w:t>
      </w:r>
      <w:r>
        <w:rPr>
          <w:rFonts w:hint="eastAsia" w:ascii="宋体" w:hAnsi="宋体"/>
          <w:szCs w:val="21"/>
          <w:u w:val="single"/>
        </w:rPr>
        <w:t>付。具体如下：</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7.1为保证本工程的合同工期所发生的抢工措施费(如使用砼早强剂、周转材料和机具设备以及人工的大量投入等)，以及抢工状况下的工程质量和安全保证措施费。</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7.2因发包人变更、认质认价不及时造成的停、窝工损失。</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7.3本工程临时施工用地的占用及恢复费(含施工便道、作业场地建设)包括因工程建设需要（如施工便道、作业场地）的占道、设备及材料运输、附着物及青苗补偿、建（构）筑物拆除、道路及重要设施的保护与修复（不低于原标准）、土地租用（如需要）、用地及协调等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7.4承包人应充分调查招标工程范围内及周边的现有地方路网并踏勘现场，自行考虑进场道路和施工便道布设方案（含到弃渣场的道路），如使用现有道路造成道路破坏的恢复费用。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7.5承包人施工期间，各种来源的水、场外水流入施工现场所采取的各种排水措施及施工降效等所发生的费用，但不包括承包人获得“合同竣工验收日确认书”之后的抽排水费用。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7.6施工条件的改变包括承包人对施工现场的了解不够等而改变施工组织设计的施工方法所增加的各种费用。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7.7承包人实际发生的安全文明施工费用超出文件规定的安全文明施工费用。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7.8施工中如遇施工场地建筑物(构筑物)等(除专项保护措施外)的探测及保护费用；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7.9与在场其它施工单位配合所发生的施工交叉、挡、停工、安全防护等所增加的费用。由于施工措施或防护不当造成的关联工程问题处理。</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7.10工程竣工验收和工程移交前承包人对整个施工现场各项工程（包括专业分包工程等在内）的安全保卫、成品保护的费用和交工前清理现场达到发包人移交要求而发生的费用，以及因提前提交专业分包工程施工场地和工作面而使承包人所增加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7.11承包人承担配合工程的配合责任所发生的费用超出本合同规定的费用。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7.12承包人施工用水、电的价格变化价差以及承包人自行解决场内施工用水电设施所发生的费用。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7.13承包人按物业公司的规定办理并取得道路通行权，按要求对道路和交通设施维修、维护、养护和管理，同时承包人还需按有关规定对超大件和超重件运输临时加固改造以及办理相关手续等；承包人应遵守政府有关主管部门和物业公司对施工噪音以及环境保护和安全生产等的管理规定，并按规定办理有关手续；由此发生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7.14承包人为迎接相关职能、主管部门的检查、参观学习由承包人完成的安全文明措施费用；承包人为发包人、咨询单位等提供的临时办公设施；大门及装饰的费用。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7.15发包人指定水、电接口，施工所需水、电线路由承包人自行向供水、供电部门以及物业公司申请安装，项目完工后由承包人自行拆除和回收，相关费用（设备及安装费、土建费、协调费、拆除和回收费等）综合考虑在投标取费比例报价中，中标后发包人不再另行支付。</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7.16因承包人以及其它原因造成临时设施及围墙、施工道路等二次及多次安拆、搬运、搭设等内容的费用。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7.17承包人施工场地以及相邻出入口的施工道路的维修、场地和道路的排水、维修，宣传工作和标准化的现场制作标牌以及发生的费用。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7.18远地施工增加费、施工机构迁移费，工程施工的周转性材料、中小型机械30公里以上超定额规定运距的费用；材料、设备场内外运输超定额规定运距增加的费用。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7.19夏季高温施工补贴费用《关于建筑工程计取和发放高温补贴费用的通知》渝建发（2013）77号文的相关费用。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7.20编制完成三套以上的施工图、竣工档案以及所有工程的档案汇总及移交费用；工程竣工验收的相关费用）。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7.21本工程定额风险费以外连续停水、停电7天造成承包人增加的费用，发包人不承担任何费用索赔。因市网停水、停电，承包人应自备发电机和储水设备，且其配置的发电机和储水设备应满足工程的需要，承包人不得因市网停水、停电而停工。</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7.22由于施工场地制约导致承包人在场外租用其他场地搭设或租用设施的一切费用(不管何种原因)。</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7.23材料、成品、半成品必须发生的多次搬运费用。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7.24承包人进场后与该栋大楼物业公司之间需要协商并交纳的所有相关费用。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7.25提交室内环境空气质量报告涉及的监测费等，未达到室内环境污染、甲醛释放限量等相关环保标准，所采取的治理、整改等措施费用。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7.26材料设备检验试验、检测、工程质量鉴定、空气检测、消防验收评定所产生的相关费用（包括使用单位要求进行空气治理的相关费用）。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8 工程一切险和第三方责任险，由承包人自行投保，费用已包含在取费比例中，不再单独结算，并由承包人负责理赔事宜。承包人装备险和承包人职工的（人身）事故险由承包人自行投保，保险费由承包人承担并支付，并包含在取费比例中不再另行结算。</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监理人</w:t>
      </w:r>
      <w:r>
        <w:rPr>
          <w:rFonts w:hint="eastAsia" w:ascii="宋体" w:hAnsi="宋体"/>
          <w:color w:val="auto"/>
          <w:szCs w:val="21"/>
          <w:highlight w:val="none"/>
        </w:rPr>
        <w:t>审核竣工付款申请单的期限：</w:t>
      </w:r>
      <w:r>
        <w:rPr>
          <w:rFonts w:hint="default" w:ascii="Times New Roman" w:hAnsi="Times New Roman" w:cs="Times New Roman"/>
          <w:color w:val="auto"/>
          <w:kern w:val="0"/>
          <w:highlight w:val="none"/>
          <w:u w:val="single"/>
        </w:rPr>
        <w:t>在收到竣工结算申请单后28天内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default" w:ascii="Times New Roman" w:hAnsi="Times New Roman" w:cs="Times New Roman"/>
          <w:color w:val="auto"/>
          <w:szCs w:val="21"/>
          <w:highlight w:val="none"/>
          <w:u w:val="single"/>
        </w:rPr>
        <w:t>发包人应在收到上级部门审计完成提交的审核报告后14天内完成审批</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default" w:ascii="Times New Roman" w:hAnsi="Times New Roman" w:cs="Times New Roman"/>
          <w:color w:val="auto"/>
          <w:kern w:val="0"/>
          <w:highlight w:val="none"/>
          <w:u w:val="single"/>
        </w:rPr>
        <w:t>在签发竣工付款证书后的28天内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pPr>
        <w:pStyle w:val="45"/>
        <w:rPr>
          <w:color w:val="auto"/>
          <w:highlight w:val="none"/>
        </w:rPr>
      </w:pPr>
      <w:r>
        <w:rPr>
          <w:rFonts w:hint="default" w:ascii="宋体" w:hAnsi="宋体" w:eastAsia="宋体" w:cs="Times New Roman"/>
          <w:color w:val="auto"/>
          <w:kern w:val="2"/>
          <w:sz w:val="21"/>
          <w:szCs w:val="21"/>
          <w:highlight w:val="none"/>
          <w:lang w:val="en-US" w:eastAsia="zh-CN" w:bidi="ar-SA"/>
        </w:rPr>
        <w:t>3%质量保修金在缺陷责任期满后，30日内一次性支付（质保金不计利息）</w:t>
      </w:r>
      <w:r>
        <w:rPr>
          <w:rFonts w:hint="eastAsia" w:eastAsia="宋体" w:cs="Times New Roman"/>
          <w:color w:val="auto"/>
          <w:kern w:val="2"/>
          <w:sz w:val="21"/>
          <w:szCs w:val="21"/>
          <w:highlight w:val="none"/>
          <w:lang w:val="en-US" w:eastAsia="zh-CN" w:bidi="ar-SA"/>
        </w:rPr>
        <w:t>。</w:t>
      </w:r>
    </w:p>
    <w:p>
      <w:pPr>
        <w:pStyle w:val="7"/>
        <w:spacing w:before="0" w:beforeAutospacing="0" w:after="0" w:afterAutospacing="0" w:line="360" w:lineRule="auto"/>
        <w:ind w:firstLine="422" w:firstLineChars="200"/>
        <w:rPr>
          <w:color w:val="auto"/>
          <w:sz w:val="21"/>
          <w:szCs w:val="21"/>
          <w:highlight w:val="none"/>
        </w:rPr>
      </w:pPr>
      <w:bookmarkStart w:id="1006" w:name="_Toc532377396"/>
      <w:bookmarkStart w:id="1007" w:name="_Toc532375659"/>
      <w:r>
        <w:rPr>
          <w:rFonts w:hint="eastAsia"/>
          <w:color w:val="auto"/>
          <w:sz w:val="21"/>
          <w:szCs w:val="21"/>
          <w:highlight w:val="none"/>
        </w:rPr>
        <w:t>14.4 最终结清</w:t>
      </w:r>
      <w:bookmarkEnd w:id="1006"/>
      <w:bookmarkEnd w:id="1007"/>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969"/>
    <w:bookmarkEnd w:id="970"/>
    <w:bookmarkEnd w:id="971"/>
    <w:bookmarkEnd w:id="972"/>
    <w:bookmarkEnd w:id="973"/>
    <w:bookmarkEnd w:id="974"/>
    <w:bookmarkEnd w:id="975"/>
    <w:bookmarkEnd w:id="976"/>
    <w:p>
      <w:pPr>
        <w:pStyle w:val="7"/>
        <w:spacing w:before="0" w:beforeAutospacing="0" w:after="0" w:afterAutospacing="0" w:line="360" w:lineRule="auto"/>
        <w:ind w:firstLine="422" w:firstLineChars="200"/>
        <w:rPr>
          <w:color w:val="auto"/>
          <w:sz w:val="21"/>
          <w:szCs w:val="21"/>
          <w:highlight w:val="none"/>
        </w:rPr>
      </w:pPr>
      <w:bookmarkStart w:id="1008" w:name="_Toc532375660"/>
      <w:bookmarkStart w:id="1009" w:name="_Toc532377397"/>
      <w:r>
        <w:rPr>
          <w:rFonts w:hint="eastAsia"/>
          <w:color w:val="auto"/>
          <w:sz w:val="21"/>
          <w:szCs w:val="21"/>
          <w:highlight w:val="none"/>
        </w:rPr>
        <w:t>14.5 逾期办理或不配合办理竣工结算的处理</w:t>
      </w:r>
      <w:bookmarkEnd w:id="1008"/>
      <w:bookmarkEnd w:id="100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010" w:name="_Hlk529133622"/>
      <w:r>
        <w:rPr>
          <w:rFonts w:hint="eastAsia" w:ascii="宋体" w:hAnsi="宋体"/>
          <w:color w:val="auto"/>
          <w:szCs w:val="21"/>
          <w:highlight w:val="none"/>
        </w:rPr>
        <w:t>次书面催告仍未在限期内报送的</w:t>
      </w:r>
      <w:bookmarkEnd w:id="1010"/>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740"/>
    <w:bookmarkEnd w:id="741"/>
    <w:bookmarkEnd w:id="742"/>
    <w:bookmarkEnd w:id="743"/>
    <w:bookmarkEnd w:id="744"/>
    <w:bookmarkEnd w:id="745"/>
    <w:bookmarkEnd w:id="746"/>
    <w:bookmarkEnd w:id="74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11" w:name="_Toc532377398"/>
      <w:bookmarkStart w:id="1012" w:name="_Toc351203647"/>
      <w:bookmarkStart w:id="1013" w:name="_Toc532375661"/>
      <w:bookmarkStart w:id="1014" w:name="_Toc267251483"/>
      <w:bookmarkStart w:id="1015" w:name="_Toc280868718"/>
      <w:bookmarkStart w:id="1016" w:name="_Toc280868717"/>
      <w:r>
        <w:rPr>
          <w:rFonts w:hint="eastAsia"/>
          <w:color w:val="auto"/>
          <w:kern w:val="2"/>
          <w:sz w:val="21"/>
          <w:szCs w:val="21"/>
          <w:highlight w:val="none"/>
        </w:rPr>
        <w:t>15. 缺陷责任期与保修</w:t>
      </w:r>
      <w:bookmarkEnd w:id="1011"/>
      <w:bookmarkEnd w:id="1012"/>
      <w:bookmarkEnd w:id="1013"/>
    </w:p>
    <w:bookmarkEnd w:id="1014"/>
    <w:p>
      <w:pPr>
        <w:pStyle w:val="7"/>
        <w:spacing w:before="0" w:beforeAutospacing="0" w:after="0" w:afterAutospacing="0" w:line="360" w:lineRule="auto"/>
        <w:ind w:firstLine="422" w:firstLineChars="200"/>
        <w:rPr>
          <w:rFonts w:hint="default" w:ascii="Times New Roman" w:hAnsi="Times New Roman" w:cs="Times New Roman"/>
          <w:color w:val="auto"/>
          <w:kern w:val="0"/>
          <w:szCs w:val="21"/>
          <w:highlight w:val="none"/>
        </w:rPr>
      </w:pPr>
      <w:bookmarkStart w:id="1017" w:name="_Toc532375662"/>
      <w:bookmarkStart w:id="1018" w:name="_Toc532377399"/>
      <w:r>
        <w:rPr>
          <w:rFonts w:hint="eastAsia"/>
          <w:color w:val="auto"/>
          <w:sz w:val="21"/>
          <w:szCs w:val="21"/>
          <w:highlight w:val="none"/>
          <w:lang w:val="en-US" w:eastAsia="zh-CN"/>
        </w:rPr>
        <w:t>15.1</w:t>
      </w:r>
      <w:r>
        <w:rPr>
          <w:rFonts w:hint="default" w:ascii="Times New Roman" w:hAnsi="Times New Roman" w:cs="Times New Roman"/>
          <w:color w:val="auto"/>
          <w:kern w:val="0"/>
          <w:szCs w:val="21"/>
          <w:highlight w:val="none"/>
        </w:rPr>
        <w:t>缺陷责任期</w:t>
      </w:r>
    </w:p>
    <w:p>
      <w:pPr>
        <w:spacing w:line="360" w:lineRule="auto"/>
        <w:ind w:right="105" w:rightChars="50"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缺陷责任期的期限：工程竣工验收合格之日起24个月。</w:t>
      </w:r>
    </w:p>
    <w:p>
      <w:pPr>
        <w:widowControl/>
        <w:adjustRightInd w:val="0"/>
        <w:snapToGrid w:val="0"/>
        <w:spacing w:line="30" w:lineRule="atLeast"/>
        <w:ind w:firstLine="480"/>
        <w:rPr>
          <w:rFonts w:hint="default" w:ascii="Times New Roman" w:hAnsi="Times New Roman" w:cs="Times New Roman"/>
          <w:color w:val="auto"/>
          <w:kern w:val="0"/>
          <w:highlight w:val="none"/>
        </w:rPr>
      </w:pPr>
      <w:r>
        <w:rPr>
          <w:rFonts w:hint="eastAsia" w:ascii="宋体" w:hAnsi="宋体" w:eastAsia="宋体" w:cs="宋体"/>
          <w:b/>
          <w:bCs/>
          <w:color w:val="auto"/>
          <w:kern w:val="0"/>
          <w:sz w:val="21"/>
          <w:szCs w:val="21"/>
          <w:highlight w:val="none"/>
          <w:lang w:val="en-US" w:eastAsia="zh-CN" w:bidi="ar-SA"/>
        </w:rPr>
        <w:t>15.2</w:t>
      </w:r>
      <w:r>
        <w:rPr>
          <w:rFonts w:hint="default" w:ascii="宋体" w:hAnsi="宋体" w:eastAsia="宋体" w:cs="宋体"/>
          <w:b/>
          <w:bCs/>
          <w:color w:val="auto"/>
          <w:kern w:val="0"/>
          <w:sz w:val="21"/>
          <w:szCs w:val="21"/>
          <w:highlight w:val="none"/>
          <w:lang w:val="en-US" w:eastAsia="zh-CN" w:bidi="ar-SA"/>
        </w:rPr>
        <w:t>缺陷调查</w:t>
      </w:r>
    </w:p>
    <w:p>
      <w:pPr>
        <w:widowControl/>
        <w:adjustRightInd w:val="0"/>
        <w:snapToGrid w:val="0"/>
        <w:spacing w:line="30" w:lineRule="atLeast"/>
        <w:ind w:firstLine="482"/>
        <w:rPr>
          <w:rFonts w:hint="default" w:ascii="Times New Roman" w:hAnsi="Times New Roman" w:cs="Times New Roman"/>
          <w:color w:val="auto"/>
          <w:kern w:val="0"/>
          <w:highlight w:val="none"/>
        </w:rPr>
      </w:pPr>
      <w:r>
        <w:rPr>
          <w:rFonts w:hint="default"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5</w:t>
      </w:r>
      <w:r>
        <w:rPr>
          <w:rFonts w:hint="default"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2</w:t>
      </w:r>
      <w:r>
        <w:rPr>
          <w:rFonts w:hint="default"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1</w:t>
      </w:r>
      <w:r>
        <w:rPr>
          <w:rFonts w:hint="default" w:ascii="宋体" w:hAnsi="宋体" w:eastAsia="宋体" w:cs="宋体"/>
          <w:b/>
          <w:bCs/>
          <w:color w:val="auto"/>
          <w:kern w:val="0"/>
          <w:sz w:val="21"/>
          <w:szCs w:val="21"/>
          <w:highlight w:val="none"/>
          <w:lang w:val="en-US" w:eastAsia="zh-CN" w:bidi="ar-SA"/>
        </w:rPr>
        <w:t>修复通知</w:t>
      </w:r>
    </w:p>
    <w:p>
      <w:pPr>
        <w:spacing w:line="360" w:lineRule="auto"/>
        <w:ind w:right="105" w:rightChars="50"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承包人收到保修通知并到达工程现场的合理时间：8小时内，最长不能超过24小时。</w:t>
      </w:r>
    </w:p>
    <w:p>
      <w:pPr>
        <w:widowControl/>
        <w:adjustRightInd w:val="0"/>
        <w:snapToGrid w:val="0"/>
        <w:spacing w:line="30" w:lineRule="atLeast"/>
        <w:ind w:firstLine="482"/>
        <w:rPr>
          <w:rFonts w:hint="default" w:ascii="Times New Roman" w:hAnsi="Times New Roman" w:cs="Times New Roman"/>
          <w:color w:val="auto"/>
          <w:kern w:val="0"/>
          <w:highlight w:val="none"/>
        </w:rPr>
      </w:pPr>
      <w:r>
        <w:rPr>
          <w:rFonts w:hint="default"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5</w:t>
      </w:r>
      <w:r>
        <w:rPr>
          <w:rFonts w:hint="default"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3</w:t>
      </w:r>
      <w:r>
        <w:rPr>
          <w:rFonts w:hint="default" w:ascii="宋体" w:hAnsi="宋体" w:eastAsia="宋体" w:cs="宋体"/>
          <w:b/>
          <w:bCs/>
          <w:color w:val="auto"/>
          <w:kern w:val="0"/>
          <w:sz w:val="21"/>
          <w:szCs w:val="21"/>
          <w:highlight w:val="none"/>
          <w:lang w:val="en-US" w:eastAsia="zh-CN" w:bidi="ar-SA"/>
        </w:rPr>
        <w:t>缺陷责任期终止证书</w:t>
      </w:r>
    </w:p>
    <w:p>
      <w:pPr>
        <w:spacing w:line="360" w:lineRule="auto"/>
        <w:ind w:right="105" w:rightChars="5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rPr>
        <w:t>承包人应于缺陷责任期届满后7天内向发包人发出缺陷责任期届满通知，发包人应在收到缺陷责任期满通知后7天内核实承包人是否履行缺陷修复义务，承包人未能履行缺陷修复义务的，发包人有权扣除相应金额的维修费用。发包人应在收到缺陷责任期届满通知后7天内，向承包人颁发缺陷责任期终止证书。</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15.</w:t>
      </w:r>
      <w:r>
        <w:rPr>
          <w:rFonts w:hint="eastAsia"/>
          <w:color w:val="auto"/>
          <w:sz w:val="21"/>
          <w:szCs w:val="21"/>
          <w:highlight w:val="none"/>
          <w:lang w:val="en-US" w:eastAsia="zh-CN"/>
        </w:rPr>
        <w:t>4</w:t>
      </w:r>
      <w:r>
        <w:rPr>
          <w:rFonts w:hint="eastAsia"/>
          <w:color w:val="auto"/>
          <w:sz w:val="21"/>
          <w:szCs w:val="21"/>
          <w:highlight w:val="none"/>
        </w:rPr>
        <w:t xml:space="preserve"> 质量保证金</w:t>
      </w:r>
      <w:bookmarkEnd w:id="1017"/>
      <w:bookmarkEnd w:id="101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1）按招标文件载明的格式或发包人认可的格式向发包人提交不可撤销的见索即付银行保函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2）出具保函的银行级别：</w:t>
      </w:r>
      <w:r>
        <w:rPr>
          <w:rFonts w:hint="eastAsia" w:ascii="宋体" w:hAnsi="宋体"/>
          <w:color w:val="auto"/>
          <w:szCs w:val="21"/>
          <w:highlight w:val="none"/>
          <w:u w:val="single"/>
        </w:rPr>
        <w:t>地市级及以上国家政策性银行或股份制商业银行的支行或其上级银行</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19" w:name="_Toc532375663"/>
      <w:bookmarkStart w:id="1020" w:name="_Toc532377400"/>
      <w:r>
        <w:rPr>
          <w:rFonts w:hint="eastAsia"/>
          <w:color w:val="auto"/>
          <w:sz w:val="21"/>
          <w:szCs w:val="21"/>
          <w:highlight w:val="none"/>
        </w:rPr>
        <w:t>15.4 保修</w:t>
      </w:r>
      <w:bookmarkEnd w:id="1019"/>
      <w:bookmarkEnd w:id="102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021" w:name="_Hlk524381274"/>
      <w:r>
        <w:rPr>
          <w:rFonts w:hint="eastAsia" w:ascii="宋体" w:hAnsi="宋体"/>
          <w:color w:val="auto"/>
          <w:szCs w:val="21"/>
          <w:highlight w:val="none"/>
        </w:rPr>
        <w:t>按照附件1《工程质量保修书》的规定执行。</w:t>
      </w:r>
      <w:bookmarkEnd w:id="102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22" w:name="_Toc532375664"/>
      <w:bookmarkStart w:id="1023" w:name="_Toc532377401"/>
      <w:bookmarkStart w:id="1024" w:name="_Toc351203648"/>
      <w:r>
        <w:rPr>
          <w:rFonts w:hint="eastAsia"/>
          <w:color w:val="auto"/>
          <w:kern w:val="2"/>
          <w:sz w:val="21"/>
          <w:szCs w:val="21"/>
          <w:highlight w:val="none"/>
        </w:rPr>
        <w:t>16. 违约</w:t>
      </w:r>
      <w:bookmarkEnd w:id="1022"/>
      <w:bookmarkEnd w:id="1023"/>
      <w:bookmarkEnd w:id="1024"/>
    </w:p>
    <w:p>
      <w:pPr>
        <w:pStyle w:val="7"/>
        <w:spacing w:before="0" w:beforeAutospacing="0" w:after="0" w:afterAutospacing="0" w:line="360" w:lineRule="auto"/>
        <w:ind w:firstLine="422" w:firstLineChars="200"/>
        <w:rPr>
          <w:color w:val="auto"/>
          <w:sz w:val="21"/>
          <w:szCs w:val="21"/>
          <w:highlight w:val="none"/>
        </w:rPr>
      </w:pPr>
      <w:bookmarkStart w:id="1025" w:name="_Toc532377402"/>
      <w:r>
        <w:rPr>
          <w:rFonts w:hint="eastAsia"/>
          <w:color w:val="auto"/>
          <w:sz w:val="21"/>
          <w:szCs w:val="21"/>
          <w:highlight w:val="none"/>
        </w:rPr>
        <w:t>16.1 发包人违约</w:t>
      </w:r>
      <w:bookmarkEnd w:id="102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pPr>
        <w:pStyle w:val="66"/>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djustRightInd w:val="0"/>
        <w:snapToGrid w:val="0"/>
        <w:ind w:firstLine="482"/>
        <w:rPr>
          <w:rFonts w:hint="eastAsia" w:ascii="宋体" w:hAnsi="宋体" w:eastAsia="宋体" w:cs="Microsoft Sans Serif"/>
          <w:color w:val="auto"/>
          <w:kern w:val="0"/>
          <w:szCs w:val="21"/>
          <w:highlight w:val="none"/>
        </w:rPr>
      </w:pPr>
      <w:r>
        <w:rPr>
          <w:rFonts w:hint="eastAsia" w:ascii="宋体" w:hAnsi="宋体"/>
          <w:color w:val="auto"/>
          <w:szCs w:val="21"/>
          <w:highlight w:val="none"/>
        </w:rPr>
        <w:t>16.1.</w:t>
      </w:r>
      <w:r>
        <w:rPr>
          <w:rFonts w:hint="eastAsia" w:ascii="宋体" w:hAnsi="宋体"/>
          <w:color w:val="auto"/>
          <w:szCs w:val="21"/>
          <w:highlight w:val="none"/>
          <w:lang w:val="en-US" w:eastAsia="zh-CN"/>
        </w:rPr>
        <w:t>2</w:t>
      </w:r>
      <w:r>
        <w:rPr>
          <w:rFonts w:hint="default" w:ascii="宋体" w:hAnsi="宋体" w:eastAsia="宋体" w:cs="Microsoft Sans Serif"/>
          <w:color w:val="auto"/>
          <w:kern w:val="0"/>
          <w:szCs w:val="21"/>
          <w:highlight w:val="none"/>
          <w:lang w:val="en-US" w:eastAsia="zh-CN"/>
        </w:rPr>
        <w:t>双方均同意，以合同协议书尾部及专用合同条款中各方预留的地址和联系方式作为双方指定的送达地址和通知方式，一方在本协议项下向对方发出的任何书面通知、要求或其他书面材料，应当按照上述地址和方式进行送达。发出方按照对方指定地址将寄送材料交付邮寄机关或快递公司邮寄后的第3日，即为送达；发出方以电话、微信、电子邮件等方式发送的，以对方收到之日起视为送达。如果任何一方的送达地址和通知方式发生变更，则该方应在变更发生之日起3个工作日内，以书面的方式通知对方。如变更送达地址的一方，未按上述约定通知对方的，则原约定的送达地址和通知方式仍为有效送达地址和通知方式。</w:t>
      </w:r>
    </w:p>
    <w:p>
      <w:pPr>
        <w:pStyle w:val="66"/>
        <w:spacing w:line="360" w:lineRule="auto"/>
        <w:rPr>
          <w:rFonts w:ascii="宋体" w:hAnsi="宋体"/>
          <w:color w:val="auto"/>
          <w:sz w:val="21"/>
          <w:szCs w:val="21"/>
          <w:highlight w:val="none"/>
        </w:rPr>
      </w:pPr>
      <w:r>
        <w:rPr>
          <w:rFonts w:hint="eastAsia" w:ascii="宋体" w:hAnsi="宋体"/>
          <w:color w:val="auto"/>
          <w:sz w:val="21"/>
          <w:szCs w:val="21"/>
          <w:highlight w:val="none"/>
        </w:rPr>
        <w:t>16.1.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发包人违约的责任</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（1）因发包人原因未能及时办理完毕前述许可、批准或备案的违约责任：对工期影响超过28天的将按超过天数予以顺延工期。</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（2）因监理人未能按合同约定发出指示、指示延误或发出了错误指示而导致承包人费用增加和（或）工期延误的，由此对工期影响超过28天的将按超过天数予以顺延工期。</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（3）因发包人原因导致工期延误的违约责任：由此对工期影响超过28天的将按超过天数予以顺延工期。</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（4）因发包人原因导致开始工作日期延误的违约责任：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（5）根据5.3.3项发包人或监理人要求重新检查的，经检查证明工程质量符合合同要求的，发包方应承担的责任：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（6）因发包人原因未按合同约定支付合同价款的违约责任：发包人应向承包人支付违约金，自应当支付之日起90天后开始计算违约金，计算公式：</w:t>
      </w:r>
      <w:r>
        <w:rPr>
          <w:rFonts w:hint="default" w:ascii="Times New Roman" w:hAnsi="Times New Roman" w:cs="Times New Roman"/>
          <w:color w:val="auto"/>
          <w:kern w:val="0"/>
          <w:highlight w:val="none"/>
          <w:u w:val="single"/>
        </w:rPr>
        <w:t>违约金=应付未付金额×中国人民银行同期存款年利率/360天×逾期天数（自第91天起计算）（按单利计算）</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（7）发包人违反合同约定，自行实施被取消的工作或转由他人实施的违约责任：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（8）发包人提供的材料、工程设备的规格、数量或质量不符合合同约定，或因发包人原因导致交货日期延误或交货地点变更等情况的违约责任：对工期影响超过28天的将按超过天数予以顺延工期。</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（9）发包人未按合同约定接收全部或部分工作的违约责任：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（10）因发包人违反合同约定造成工程暂停施工的违约责任：对工期影响超过28天的将按超过天数予以顺延工期。</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（11）发包人无正当理由没有在约定期限内发出复工指示，导致承包人无法复工的违约责任：对工期影响超过28天的将按超过天数予以顺延工期。</w:t>
      </w:r>
    </w:p>
    <w:p>
      <w:pPr>
        <w:pStyle w:val="23"/>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（12）其他：</w:t>
      </w:r>
      <w:r>
        <w:rPr>
          <w:rFonts w:hint="default" w:ascii="Times New Roman" w:hAnsi="Times New Roman" w:cs="Times New Roman"/>
          <w:color w:val="auto"/>
          <w:kern w:val="0"/>
          <w:highlight w:val="none"/>
          <w:u w:val="single"/>
        </w:rPr>
        <w:t>/</w:t>
      </w:r>
      <w:r>
        <w:rPr>
          <w:rFonts w:hint="default" w:ascii="Times New Roman" w:hAnsi="Times New Roman" w:cs="Times New Roman"/>
          <w:color w:val="auto"/>
          <w:kern w:val="0"/>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color w:val="auto"/>
          <w:sz w:val="21"/>
          <w:szCs w:val="21"/>
          <w:highlight w:val="none"/>
        </w:rPr>
      </w:pPr>
      <w:bookmarkStart w:id="1026" w:name="_Toc532377403"/>
      <w:r>
        <w:rPr>
          <w:rFonts w:hint="eastAsia"/>
          <w:color w:val="auto"/>
          <w:sz w:val="21"/>
          <w:szCs w:val="21"/>
          <w:highlight w:val="none"/>
        </w:rPr>
        <w:t>16.2 承包人违约</w:t>
      </w:r>
      <w:bookmarkEnd w:id="1026"/>
    </w:p>
    <w:p>
      <w:pPr>
        <w:snapToGrid w:val="0"/>
        <w:spacing w:line="360" w:lineRule="auto"/>
        <w:ind w:firstLine="420" w:firstLineChars="200"/>
        <w:jc w:val="left"/>
        <w:rPr>
          <w:rFonts w:ascii="宋体" w:hAnsi="宋体" w:cs="Microsoft Sans Serif"/>
          <w:color w:val="auto"/>
          <w:kern w:val="0"/>
          <w:szCs w:val="21"/>
          <w:highlight w:val="none"/>
        </w:rPr>
      </w:pPr>
      <w:bookmarkStart w:id="1027" w:name="_Hlk524380579"/>
      <w:r>
        <w:rPr>
          <w:rFonts w:hint="eastAsia" w:ascii="宋体" w:hAnsi="宋体" w:cs="Microsoft Sans Serif"/>
          <w:color w:val="auto"/>
          <w:kern w:val="0"/>
          <w:szCs w:val="21"/>
          <w:highlight w:val="none"/>
        </w:rPr>
        <w:t>16.2.1 承包人违约的情形</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027"/>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spacing w:line="300" w:lineRule="auto"/>
        <w:ind w:firstLine="420" w:firstLineChars="200"/>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rPr>
        <w:t>（15）</w:t>
      </w:r>
      <w:r>
        <w:rPr>
          <w:rFonts w:hint="default" w:ascii="Times New Roman" w:hAnsi="Times New Roman" w:cs="Times New Roman"/>
          <w:color w:val="auto"/>
          <w:szCs w:val="21"/>
          <w:highlight w:val="none"/>
        </w:rPr>
        <w:t>由于承包人不按施工及验收规范施工，工程施工质量不符合要求，或使用不符合本合同约定的材料，不听从发包人和</w:t>
      </w:r>
      <w:r>
        <w:rPr>
          <w:rFonts w:hint="eastAsia" w:ascii="Times New Roman" w:hAnsi="Times New Roman" w:cs="Times New Roman"/>
          <w:color w:val="auto"/>
          <w:szCs w:val="21"/>
          <w:highlight w:val="none"/>
          <w:lang w:val="en-US" w:eastAsia="zh-CN"/>
        </w:rPr>
        <w:t>监理人</w:t>
      </w:r>
      <w:r>
        <w:rPr>
          <w:rFonts w:hint="default" w:ascii="Times New Roman" w:hAnsi="Times New Roman" w:cs="Times New Roman"/>
          <w:color w:val="auto"/>
          <w:szCs w:val="21"/>
          <w:highlight w:val="none"/>
        </w:rPr>
        <w:t>的指令；</w:t>
      </w:r>
    </w:p>
    <w:p>
      <w:pPr>
        <w:adjustRightInd w:val="0"/>
        <w:snapToGrid w:val="0"/>
        <w:spacing w:line="360" w:lineRule="auto"/>
        <w:ind w:firstLine="420" w:firstLineChars="200"/>
        <w:rPr>
          <w:rFonts w:hint="default" w:ascii="宋体" w:hAnsi="宋体" w:eastAsia="宋体" w:cs="Microsoft Sans Serif"/>
          <w:color w:val="auto"/>
          <w:kern w:val="0"/>
          <w:szCs w:val="21"/>
          <w:highlight w:val="none"/>
          <w:lang w:val="en-US" w:eastAsia="zh-CN"/>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16</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承包人现场管理混乱，工程工期不满足要求，且不服从发包人和监理的管理、协调</w:t>
      </w:r>
      <w:r>
        <w:rPr>
          <w:rFonts w:hint="eastAsia" w:ascii="Times New Roman" w:hAnsi="Times New Roman" w:cs="Times New Roman"/>
          <w:color w:val="auto"/>
          <w:szCs w:val="21"/>
          <w:highlight w:val="none"/>
          <w:lang w:eastAsia="zh-CN"/>
        </w:rPr>
        <w:t>；</w:t>
      </w:r>
    </w:p>
    <w:p>
      <w:pPr>
        <w:spacing w:line="300" w:lineRule="auto"/>
        <w:ind w:firstLine="420" w:firstLineChars="200"/>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17</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 xml:space="preserve">承包人不按有关安全文明施工的要求和规定施工等。  </w:t>
      </w:r>
    </w:p>
    <w:p>
      <w:pPr>
        <w:widowControl/>
        <w:spacing w:line="300" w:lineRule="auto"/>
        <w:ind w:firstLine="420" w:firstLineChars="200"/>
        <w:jc w:val="left"/>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18</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承包人在进行最终施工验收前应向发包人提供装修场所甲醛等有害气体检测报告，所提供的检测报告应满足国家或者行业的规范、规定，若承包人所提供的检测报告不满足的，则发包人有权要求承包人进行整改，直至最后的验收合格为止，且承包人应赔偿发包人所有的损失。</w:t>
      </w:r>
    </w:p>
    <w:p>
      <w:pPr>
        <w:spacing w:line="300" w:lineRule="auto"/>
        <w:ind w:firstLine="420" w:firstLineChars="200"/>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19</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因承包人的原因，不能在约定工期内完工的，应当提前10日告知发包人。且每逾期完工一日，承包人应当向发包人支付10000元/日作为违约金；逾期超过15日的，应当支付发包人20000元/日；逾期超过30日的，发包人有权解除合同，并要求承包人赔偿损失。</w:t>
      </w:r>
    </w:p>
    <w:p>
      <w:pPr>
        <w:pStyle w:val="45"/>
        <w:rPr>
          <w:rFonts w:hint="eastAsia" w:ascii="宋体" w:hAnsi="宋体" w:cs="Microsoft Sans Serif"/>
          <w:color w:val="auto"/>
          <w:kern w:val="0"/>
          <w:szCs w:val="21"/>
          <w:highlight w:val="none"/>
          <w:lang w:eastAsia="zh-CN"/>
        </w:rPr>
      </w:pPr>
      <w:r>
        <w:rPr>
          <w:rFonts w:hint="eastAsia" w:ascii="宋体" w:hAnsi="宋体" w:eastAsia="宋体" w:cs="Microsoft Sans Serif"/>
          <w:color w:val="auto"/>
          <w:kern w:val="0"/>
          <w:sz w:val="21"/>
          <w:szCs w:val="21"/>
          <w:highlight w:val="none"/>
          <w:lang w:val="en-US" w:eastAsia="zh-CN" w:bidi="ar-SA"/>
        </w:rPr>
        <w:t>（</w:t>
      </w:r>
      <w:r>
        <w:rPr>
          <w:rFonts w:hint="eastAsia" w:eastAsia="宋体" w:cs="Microsoft Sans Serif"/>
          <w:color w:val="auto"/>
          <w:kern w:val="0"/>
          <w:sz w:val="21"/>
          <w:szCs w:val="21"/>
          <w:highlight w:val="none"/>
          <w:lang w:val="en-US" w:eastAsia="zh-CN" w:bidi="ar-SA"/>
        </w:rPr>
        <w:t>20</w:t>
      </w:r>
      <w:r>
        <w:rPr>
          <w:rFonts w:hint="eastAsia" w:ascii="宋体" w:hAnsi="宋体" w:eastAsia="宋体" w:cs="Microsoft Sans Serif"/>
          <w:color w:val="auto"/>
          <w:kern w:val="0"/>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未经发包人书面同意，承包人转包、分包的，发包人有权解除合同，并要求承包人赔偿损失。</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eastAsia="宋体" w:cs="Microsoft Sans Serif"/>
          <w:color w:val="auto"/>
          <w:kern w:val="0"/>
          <w:sz w:val="21"/>
          <w:szCs w:val="21"/>
          <w:highlight w:val="none"/>
          <w:lang w:val="en-US" w:eastAsia="zh-CN" w:bidi="ar-SA"/>
        </w:rPr>
        <w:t>（</w:t>
      </w:r>
      <w:r>
        <w:rPr>
          <w:rFonts w:hint="eastAsia" w:eastAsia="宋体" w:cs="Microsoft Sans Serif"/>
          <w:color w:val="auto"/>
          <w:kern w:val="0"/>
          <w:sz w:val="21"/>
          <w:szCs w:val="21"/>
          <w:highlight w:val="none"/>
          <w:lang w:val="en-US" w:eastAsia="zh-CN" w:bidi="ar-SA"/>
        </w:rPr>
        <w:t>21</w:t>
      </w:r>
      <w:r>
        <w:rPr>
          <w:rFonts w:hint="eastAsia" w:ascii="宋体" w:hAnsi="宋体" w:eastAsia="宋体" w:cs="Microsoft Sans Serif"/>
          <w:color w:val="auto"/>
          <w:kern w:val="0"/>
          <w:sz w:val="21"/>
          <w:szCs w:val="21"/>
          <w:highlight w:val="none"/>
          <w:lang w:val="en-US" w:eastAsia="zh-CN" w:bidi="ar-SA"/>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pPr>
        <w:pStyle w:val="77"/>
        <w:widowControl/>
        <w:spacing w:line="360" w:lineRule="auto"/>
        <w:jc w:val="left"/>
        <w:textAlignment w:val="top"/>
        <w:rPr>
          <w:rFonts w:hint="default" w:ascii="宋体" w:hAnsi="宋体" w:eastAsia="宋体" w:cs="Microsoft Sans Serif"/>
          <w:color w:val="auto"/>
          <w:kern w:val="2"/>
          <w:sz w:val="21"/>
          <w:szCs w:val="21"/>
          <w:highlight w:val="none"/>
          <w:lang w:val="en-US" w:eastAsia="zh-CN" w:bidi="ar-SA"/>
        </w:rPr>
      </w:pPr>
      <w:r>
        <w:rPr>
          <w:rFonts w:hint="eastAsia" w:ascii="宋体" w:hAnsi="宋体" w:eastAsia="宋体" w:cs="Microsoft Sans Serif"/>
          <w:color w:val="auto"/>
          <w:kern w:val="2"/>
          <w:sz w:val="21"/>
          <w:szCs w:val="21"/>
          <w:highlight w:val="none"/>
          <w:lang w:val="en-US" w:eastAsia="zh-CN" w:bidi="ar-SA"/>
        </w:rPr>
        <w:t>（17）</w:t>
      </w:r>
      <w:r>
        <w:rPr>
          <w:rFonts w:hint="default" w:ascii="宋体" w:hAnsi="宋体" w:eastAsia="宋体" w:cs="Microsoft Sans Serif"/>
          <w:color w:val="auto"/>
          <w:kern w:val="2"/>
          <w:sz w:val="21"/>
          <w:szCs w:val="21"/>
          <w:highlight w:val="none"/>
          <w:lang w:val="en-US" w:eastAsia="zh-CN" w:bidi="ar-SA"/>
        </w:rPr>
        <w:t>本工程竣工，按《建筑工程施工质量验收统一标准》（GB50300-2001）及有关的施工验收规范验收，工程质量应一次验收达到合格。工程质量一次验收达不到合格，承包人需在发包人指定的时间内返修达到合格，同时支付发包人本合同结算总造价的1‰的质量违约金；若经整改后仍不合格，承包人应向发包人赔偿本合同结算价款造价的5‰的违约金，并应赔偿由此给发包人造成的损失。</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（18）</w:t>
      </w:r>
      <w:r>
        <w:rPr>
          <w:rFonts w:hint="default" w:ascii="Times New Roman" w:hAnsi="Times New Roman" w:cs="Times New Roman"/>
          <w:color w:val="auto"/>
          <w:sz w:val="21"/>
          <w:szCs w:val="21"/>
          <w:highlight w:val="none"/>
        </w:rPr>
        <w:t>在上级职能部门、行政主管部门，发包人及监理单位依照《建筑施工安全检查标准》（JGJ59-2011）的例行安全文明检查中，若达不到《建筑施工安全检查标准》（JGJ59-2011）合格标准，每发生一次，处承包人</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2000元。</w:t>
      </w:r>
    </w:p>
    <w:p>
      <w:pPr>
        <w:pStyle w:val="45"/>
        <w:rPr>
          <w:rFonts w:hint="default" w:ascii="Times New Roman" w:hAnsi="Times New Roman" w:eastAsia="宋体"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（1</w:t>
      </w:r>
      <w:r>
        <w:rPr>
          <w:rFonts w:hint="eastAsia" w:eastAsia="宋体" w:cs="Microsoft Sans Serif"/>
          <w:color w:val="auto"/>
          <w:kern w:val="2"/>
          <w:sz w:val="21"/>
          <w:szCs w:val="21"/>
          <w:highlight w:val="none"/>
          <w:lang w:val="en-US" w:eastAsia="zh-CN" w:bidi="ar-SA"/>
        </w:rPr>
        <w:t>9</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eastAsia="宋体" w:cs="Times New Roman"/>
          <w:color w:val="auto"/>
          <w:sz w:val="21"/>
          <w:szCs w:val="21"/>
          <w:highlight w:val="none"/>
        </w:rPr>
        <w:t>现场安全文明施工经市安检站依照《建筑施工安全检查标准》（JGJ59-2011）检查，每发生一次要求停工整改的，每发生一次，处承包人</w:t>
      </w:r>
      <w:r>
        <w:rPr>
          <w:rFonts w:hint="eastAsia" w:ascii="Times New Roman" w:hAnsi="Times New Roman" w:eastAsia="宋体" w:cs="Times New Roman"/>
          <w:color w:val="auto"/>
          <w:sz w:val="21"/>
          <w:szCs w:val="21"/>
          <w:highlight w:val="none"/>
          <w:lang w:eastAsia="zh-CN"/>
        </w:rPr>
        <w:t>违约金</w:t>
      </w:r>
      <w:r>
        <w:rPr>
          <w:rFonts w:hint="default" w:ascii="Times New Roman" w:hAnsi="Times New Roman" w:eastAsia="宋体" w:cs="Times New Roman"/>
          <w:color w:val="auto"/>
          <w:sz w:val="21"/>
          <w:szCs w:val="21"/>
          <w:highlight w:val="none"/>
        </w:rPr>
        <w:t>5000元。</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（20）</w:t>
      </w:r>
      <w:r>
        <w:rPr>
          <w:rFonts w:hint="default" w:ascii="宋体" w:hAnsi="宋体" w:eastAsia="宋体" w:cs="Microsoft Sans Serif"/>
          <w:color w:val="auto"/>
          <w:kern w:val="2"/>
          <w:sz w:val="21"/>
          <w:szCs w:val="21"/>
          <w:highlight w:val="none"/>
          <w:lang w:val="en-US" w:eastAsia="zh-CN" w:bidi="ar-SA"/>
        </w:rPr>
        <w:t>承</w:t>
      </w:r>
      <w:r>
        <w:rPr>
          <w:rFonts w:hint="default" w:ascii="Times New Roman" w:hAnsi="Times New Roman" w:cs="Times New Roman"/>
          <w:color w:val="auto"/>
          <w:sz w:val="21"/>
          <w:szCs w:val="21"/>
          <w:highlight w:val="none"/>
        </w:rPr>
        <w:t>包人不严格按《建设工程质量管理条例》、《工程建设标准强制性条文》执行。在施工中违反《工程建设标准强制性条文》的有关规定或不按设计施工图纸、审核批准的施工组织设计和施工方案及现行施工验收规范和施工操作规程施工，经发包人或监理单位发现，除承包人应立即纠正整改外，处</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5000元/次。</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（21）</w:t>
      </w:r>
      <w:r>
        <w:rPr>
          <w:rFonts w:hint="default" w:ascii="Times New Roman" w:hAnsi="Times New Roman" w:cs="Times New Roman"/>
          <w:color w:val="auto"/>
          <w:sz w:val="21"/>
          <w:szCs w:val="21"/>
          <w:highlight w:val="none"/>
        </w:rPr>
        <w:t>承包人施工中对各工序施工质量自检后，经发包人、监理或质检站复查，发现还有分项、分部工程不符合《建筑工程施工质量验收统一标准》及有关的施工验收规范的有关规定，每发生一次处</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2000元。</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2</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承包人在施工过程中有不执行《工程建设标准强制性条文》规定，被质监站或发包人检查发现，每发生一次，处</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2000元。</w:t>
      </w:r>
    </w:p>
    <w:p>
      <w:pPr>
        <w:pStyle w:val="45"/>
        <w:rPr>
          <w:rFonts w:hint="default" w:ascii="Times New Roman" w:hAnsi="Times New Roman" w:eastAsia="宋体"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3</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eastAsia="宋体" w:cs="Times New Roman"/>
          <w:color w:val="auto"/>
          <w:sz w:val="21"/>
          <w:szCs w:val="21"/>
          <w:highlight w:val="none"/>
        </w:rPr>
        <w:t>承包人应高度尊重监理单位履行职责，在施工过程中，承包人不服从监理单位的监督、协调管理，监理单位有权建议发包人对承包人进行处理，对不合作的单位或个人，发包人将责令其无条件退出施工现场或单方解除施工合同，所有经济损失和责任由承包人承担。</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4</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必须遵从发包人和监理在项目实施过程中的相关管理规定及管理制度，并遵从发包人和监理对现场总平面布置的控制，进行相应的施工平面布置，违反总平面规划将受到处罚由此造成承包人的一切损失由承包人负责。</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5</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如施工图出现重大修改时，发包人发放修改后的新版施工图，并书面通知承包人。如承包人未按时将旧版施工图作废，或承包人未及时按新版施工图施工，造成工程实体与新版施工图不符而产生的一切经济损失由承包人承担。</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6</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承包人根据发包人制定的项目总进度计划编制详细的施工总进度计划发包人审批，施工过程中若承包人调整施工总进度计划，必须将调整计划报发包人审批同意方可执行。</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7</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在办理结算中，承包人若擅自伪造、涂改资料、弄虚作假或串通造假、虚增工程价款，发包人不予认可，并按照虚增工程价款的2倍赔偿给发包人。</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8</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承包人应在工程竣工验收合格后30天内上报工程结算资料</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承包人上报的工程结算要求准确，不得高估冒算。</w:t>
      </w:r>
    </w:p>
    <w:p>
      <w:pPr>
        <w:tabs>
          <w:tab w:val="left" w:pos="3840"/>
          <w:tab w:val="left" w:pos="5300"/>
        </w:tabs>
        <w:autoSpaceDE w:val="0"/>
        <w:autoSpaceDN w:val="0"/>
        <w:adjustRightInd w:val="0"/>
        <w:snapToGrid w:val="0"/>
        <w:spacing w:line="460" w:lineRule="exact"/>
        <w:ind w:firstLine="420" w:firstLineChars="200"/>
        <w:rPr>
          <w:rFonts w:hint="default" w:ascii="Times New Roman" w:hAnsi="Times New Roman" w:cs="Times New Roman"/>
          <w:color w:val="auto"/>
          <w:szCs w:val="21"/>
          <w:highlight w:val="none"/>
        </w:rPr>
      </w:pPr>
      <w:r>
        <w:rPr>
          <w:rFonts w:hint="eastAsia" w:ascii="宋体" w:hAnsi="宋体" w:eastAsia="宋体" w:cs="Microsoft Sans Serif"/>
          <w:color w:val="auto"/>
          <w:kern w:val="2"/>
          <w:sz w:val="21"/>
          <w:szCs w:val="21"/>
          <w:highlight w:val="none"/>
          <w:lang w:val="en-US" w:eastAsia="zh-CN" w:bidi="ar-SA"/>
        </w:rPr>
        <w:t>（29）</w:t>
      </w:r>
      <w:r>
        <w:rPr>
          <w:rFonts w:hint="default" w:ascii="Times New Roman" w:hAnsi="Times New Roman" w:cs="Times New Roman"/>
          <w:color w:val="auto"/>
          <w:szCs w:val="21"/>
          <w:highlight w:val="none"/>
        </w:rPr>
        <w:t>在协议书约定的时间未按时竣工的，承担违约金</w:t>
      </w: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0000元/天，</w:t>
      </w:r>
      <w:r>
        <w:rPr>
          <w:rFonts w:hint="default" w:ascii="宋体" w:hAnsi="宋体" w:eastAsia="宋体" w:cs="Times New Roman"/>
          <w:bCs/>
          <w:color w:val="auto"/>
          <w:szCs w:val="21"/>
          <w:highlight w:val="none"/>
        </w:rPr>
        <w:t>发包人同意延期的，以</w:t>
      </w:r>
      <w:r>
        <w:rPr>
          <w:rFonts w:hint="eastAsia" w:ascii="宋体" w:hAnsi="宋体" w:eastAsia="宋体" w:cs="Times New Roman"/>
          <w:bCs/>
          <w:color w:val="auto"/>
          <w:szCs w:val="21"/>
          <w:highlight w:val="none"/>
          <w:lang w:val="en-US" w:eastAsia="zh-CN"/>
        </w:rPr>
        <w:t>双方签订补充协议确定的延期时间</w:t>
      </w:r>
      <w:r>
        <w:rPr>
          <w:rFonts w:hint="default" w:ascii="宋体" w:hAnsi="宋体" w:eastAsia="宋体" w:cs="Times New Roman"/>
          <w:bCs/>
          <w:color w:val="auto"/>
          <w:szCs w:val="21"/>
          <w:highlight w:val="none"/>
        </w:rPr>
        <w:t>为准</w:t>
      </w:r>
      <w:r>
        <w:rPr>
          <w:rFonts w:hint="default" w:ascii="Times New Roman" w:hAnsi="Times New Roman" w:cs="Times New Roman"/>
          <w:color w:val="auto"/>
          <w:szCs w:val="21"/>
          <w:highlight w:val="none"/>
        </w:rPr>
        <w:t>。</w:t>
      </w:r>
    </w:p>
    <w:p>
      <w:pPr>
        <w:pStyle w:val="23"/>
        <w:ind w:firstLine="420" w:firstLineChars="200"/>
        <w:rPr>
          <w:rFonts w:hint="eastAsia" w:ascii="Times New Roman" w:hAnsi="Times New Roman" w:cs="Times New Roman"/>
          <w:color w:val="auto"/>
          <w:sz w:val="21"/>
          <w:szCs w:val="21"/>
          <w:highlight w:val="none"/>
          <w:lang w:val="en-US" w:eastAsia="zh-CN"/>
        </w:rPr>
      </w:pPr>
      <w:r>
        <w:rPr>
          <w:rFonts w:hint="eastAsia" w:ascii="宋体" w:hAnsi="宋体" w:eastAsia="宋体" w:cs="Microsoft Sans Serif"/>
          <w:color w:val="auto"/>
          <w:kern w:val="2"/>
          <w:sz w:val="21"/>
          <w:szCs w:val="21"/>
          <w:highlight w:val="none"/>
          <w:lang w:val="en-US" w:eastAsia="zh-CN" w:bidi="ar-SA"/>
        </w:rPr>
        <w:t>（30）</w:t>
      </w:r>
      <w:r>
        <w:rPr>
          <w:rFonts w:hint="default" w:ascii="Times New Roman" w:hAnsi="Times New Roman" w:cs="Times New Roman"/>
          <w:color w:val="auto"/>
          <w:highlight w:val="none"/>
        </w:rPr>
        <w:t>若因承包人违约导致发包人解除合同的，承包人除按上述约定承 担违约责任外，发包人有权要求承包人按合同总价的百分之二十支付违约金”。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lang w:val="en-US" w:eastAsia="zh-CN"/>
        </w:rPr>
        <w:t>31</w:t>
      </w:r>
      <w:r>
        <w:rPr>
          <w:rFonts w:hint="eastAsia" w:ascii="宋体" w:hAnsi="宋体" w:cs="Microsoft Sans Serif"/>
          <w:color w:val="auto"/>
          <w:kern w:val="0"/>
          <w:szCs w:val="21"/>
          <w:highlight w:val="none"/>
        </w:rPr>
        <w:t>）发生第16.2.1项（11）目、16.2.1项（12）目、16.2.1项（13）目违约情形的违约责任：除承担由此增加的费用和工期延误的责任，承包人应向发包人支付违约金：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lang w:val="en-US" w:eastAsia="zh-CN"/>
        </w:rPr>
        <w:t>32</w:t>
      </w: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028" w:name="_Hlk524380347"/>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028"/>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1015"/>
    <w:bookmarkEnd w:id="1016"/>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29" w:name="_Toc532375665"/>
      <w:bookmarkStart w:id="1030" w:name="_Toc532377404"/>
      <w:bookmarkStart w:id="1031" w:name="_Toc351203649"/>
      <w:bookmarkStart w:id="1032" w:name="_Hlk528928440"/>
      <w:r>
        <w:rPr>
          <w:rFonts w:hint="eastAsia"/>
          <w:color w:val="auto"/>
          <w:kern w:val="2"/>
          <w:sz w:val="21"/>
          <w:szCs w:val="21"/>
          <w:highlight w:val="none"/>
        </w:rPr>
        <w:t>17. 不可抗力</w:t>
      </w:r>
      <w:bookmarkEnd w:id="1029"/>
      <w:bookmarkEnd w:id="1030"/>
      <w:bookmarkEnd w:id="1031"/>
    </w:p>
    <w:p>
      <w:pPr>
        <w:pStyle w:val="7"/>
        <w:spacing w:before="0" w:beforeAutospacing="0" w:after="0" w:afterAutospacing="0" w:line="360" w:lineRule="auto"/>
        <w:ind w:firstLine="422" w:firstLineChars="200"/>
        <w:rPr>
          <w:color w:val="auto"/>
          <w:sz w:val="21"/>
          <w:szCs w:val="21"/>
          <w:highlight w:val="none"/>
        </w:rPr>
      </w:pPr>
      <w:bookmarkStart w:id="1033" w:name="_Toc532377405"/>
      <w:bookmarkStart w:id="1034" w:name="_Toc532375666"/>
      <w:r>
        <w:rPr>
          <w:rFonts w:hint="eastAsia"/>
          <w:color w:val="auto"/>
          <w:sz w:val="21"/>
          <w:szCs w:val="21"/>
          <w:highlight w:val="none"/>
        </w:rPr>
        <w:t>17.1 不可抗力的确认</w:t>
      </w:r>
      <w:bookmarkEnd w:id="1033"/>
      <w:bookmarkEnd w:id="103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035" w:name="_Hlk52437963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03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36" w:name="_Toc351203610"/>
      <w:bookmarkStart w:id="1037" w:name="_Toc532375667"/>
      <w:bookmarkStart w:id="1038" w:name="_Toc532377406"/>
      <w:bookmarkStart w:id="1039" w:name="_Toc296346620"/>
      <w:bookmarkStart w:id="1040" w:name="_Toc337558826"/>
      <w:bookmarkStart w:id="1041" w:name="_Toc296503119"/>
      <w:r>
        <w:rPr>
          <w:rFonts w:hint="eastAsia"/>
          <w:color w:val="auto"/>
          <w:sz w:val="21"/>
          <w:szCs w:val="21"/>
          <w:highlight w:val="none"/>
        </w:rPr>
        <w:t>17.3 不可抗力后果的承担</w:t>
      </w:r>
      <w:bookmarkEnd w:id="1036"/>
      <w:bookmarkEnd w:id="1037"/>
      <w:bookmarkEnd w:id="1038"/>
    </w:p>
    <w:bookmarkEnd w:id="1039"/>
    <w:bookmarkEnd w:id="1040"/>
    <w:bookmarkEnd w:id="1041"/>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42" w:name="_Toc532375668"/>
      <w:bookmarkStart w:id="1043" w:name="_Toc532377407"/>
      <w:r>
        <w:rPr>
          <w:rFonts w:hint="eastAsia"/>
          <w:color w:val="auto"/>
          <w:sz w:val="21"/>
          <w:szCs w:val="21"/>
          <w:highlight w:val="none"/>
        </w:rPr>
        <w:t>17.4 因不可抗力解除合同</w:t>
      </w:r>
      <w:bookmarkEnd w:id="1042"/>
      <w:bookmarkEnd w:id="104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44" w:name="_Toc532375669"/>
      <w:bookmarkStart w:id="1045" w:name="_Toc351203650"/>
      <w:bookmarkStart w:id="1046" w:name="_Toc532377408"/>
      <w:r>
        <w:rPr>
          <w:rFonts w:hint="eastAsia"/>
          <w:color w:val="auto"/>
          <w:kern w:val="2"/>
          <w:sz w:val="21"/>
          <w:szCs w:val="21"/>
          <w:highlight w:val="none"/>
        </w:rPr>
        <w:t>18. 保险</w:t>
      </w:r>
      <w:bookmarkEnd w:id="1044"/>
      <w:bookmarkEnd w:id="1045"/>
      <w:bookmarkEnd w:id="1046"/>
    </w:p>
    <w:p>
      <w:pPr>
        <w:pStyle w:val="7"/>
        <w:spacing w:before="0" w:beforeAutospacing="0" w:after="0" w:afterAutospacing="0" w:line="360" w:lineRule="auto"/>
        <w:ind w:firstLine="422" w:firstLineChars="200"/>
        <w:rPr>
          <w:color w:val="auto"/>
          <w:sz w:val="21"/>
          <w:szCs w:val="21"/>
          <w:highlight w:val="none"/>
        </w:rPr>
      </w:pPr>
      <w:bookmarkStart w:id="1047" w:name="_Toc532375670"/>
      <w:bookmarkStart w:id="1048" w:name="_Toc532377409"/>
      <w:r>
        <w:rPr>
          <w:rFonts w:hint="eastAsia"/>
          <w:color w:val="auto"/>
          <w:sz w:val="21"/>
          <w:szCs w:val="21"/>
          <w:highlight w:val="none"/>
        </w:rPr>
        <w:t>18.1 工程保险</w:t>
      </w:r>
      <w:bookmarkEnd w:id="1047"/>
      <w:bookmarkEnd w:id="104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pPr>
        <w:pStyle w:val="7"/>
        <w:spacing w:before="0" w:beforeAutospacing="0" w:after="0" w:afterAutospacing="0" w:line="360" w:lineRule="auto"/>
        <w:ind w:firstLine="422" w:firstLineChars="200"/>
        <w:rPr>
          <w:color w:val="auto"/>
          <w:sz w:val="21"/>
          <w:szCs w:val="21"/>
          <w:highlight w:val="none"/>
        </w:rPr>
      </w:pPr>
      <w:bookmarkStart w:id="1049" w:name="_Toc532375671"/>
      <w:bookmarkStart w:id="1050" w:name="_Toc532377410"/>
      <w:r>
        <w:rPr>
          <w:rFonts w:hint="eastAsia"/>
          <w:color w:val="auto"/>
          <w:sz w:val="21"/>
          <w:szCs w:val="21"/>
          <w:highlight w:val="none"/>
        </w:rPr>
        <w:t>18.3 其他保险</w:t>
      </w:r>
      <w:bookmarkEnd w:id="1049"/>
      <w:bookmarkEnd w:id="105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51" w:name="_Toc532377411"/>
      <w:bookmarkStart w:id="1052" w:name="_Toc532375672"/>
      <w:r>
        <w:rPr>
          <w:rFonts w:hint="eastAsia"/>
          <w:color w:val="auto"/>
          <w:sz w:val="21"/>
          <w:szCs w:val="21"/>
          <w:highlight w:val="none"/>
        </w:rPr>
        <w:t>18.7 通知义务</w:t>
      </w:r>
      <w:bookmarkEnd w:id="1051"/>
      <w:bookmarkEnd w:id="105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53" w:name="_Toc532377412"/>
      <w:bookmarkStart w:id="1054" w:name="_Toc532375673"/>
      <w:r>
        <w:rPr>
          <w:rFonts w:hint="eastAsia"/>
          <w:color w:val="auto"/>
          <w:sz w:val="21"/>
          <w:szCs w:val="21"/>
          <w:highlight w:val="none"/>
        </w:rPr>
        <w:t>18.8 其他</w:t>
      </w:r>
      <w:bookmarkEnd w:id="1053"/>
      <w:bookmarkEnd w:id="105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055" w:name="_Hlk524378346"/>
      <w:r>
        <w:rPr>
          <w:rFonts w:hint="eastAsia" w:ascii="宋体" w:hAnsi="宋体"/>
          <w:color w:val="auto"/>
          <w:szCs w:val="21"/>
          <w:highlight w:val="none"/>
        </w:rPr>
        <w:t>差额由承包人负责补足</w:t>
      </w:r>
      <w:bookmarkEnd w:id="1055"/>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56" w:name="_Toc532375674"/>
      <w:bookmarkStart w:id="1057" w:name="_Toc351203620"/>
      <w:bookmarkStart w:id="1058" w:name="_Toc532377413"/>
      <w:bookmarkStart w:id="1059" w:name="_Toc296346641"/>
      <w:bookmarkStart w:id="1060" w:name="_Toc296503140"/>
      <w:bookmarkStart w:id="1061" w:name="_Toc337558835"/>
      <w:r>
        <w:rPr>
          <w:rFonts w:hint="eastAsia"/>
          <w:color w:val="auto"/>
          <w:kern w:val="2"/>
          <w:sz w:val="21"/>
          <w:szCs w:val="21"/>
          <w:highlight w:val="none"/>
        </w:rPr>
        <w:t>19. 索赔</w:t>
      </w:r>
      <w:bookmarkEnd w:id="1056"/>
      <w:bookmarkEnd w:id="1057"/>
      <w:bookmarkEnd w:id="1058"/>
    </w:p>
    <w:bookmarkEnd w:id="1059"/>
    <w:bookmarkEnd w:id="1060"/>
    <w:bookmarkEnd w:id="1061"/>
    <w:p>
      <w:pPr>
        <w:pStyle w:val="7"/>
        <w:spacing w:before="0" w:beforeAutospacing="0" w:after="0" w:afterAutospacing="0" w:line="360" w:lineRule="auto"/>
        <w:ind w:firstLine="422" w:firstLineChars="200"/>
        <w:rPr>
          <w:color w:val="auto"/>
          <w:sz w:val="21"/>
          <w:szCs w:val="21"/>
          <w:highlight w:val="none"/>
        </w:rPr>
      </w:pPr>
      <w:bookmarkStart w:id="1062" w:name="_Toc532377414"/>
      <w:bookmarkStart w:id="1063" w:name="_Toc532375675"/>
      <w:bookmarkStart w:id="1064" w:name="_Toc337558836"/>
      <w:bookmarkStart w:id="1065" w:name="_Toc296346642"/>
      <w:bookmarkStart w:id="1066" w:name="_Toc296503141"/>
      <w:bookmarkStart w:id="1067" w:name="_Toc351203621"/>
      <w:r>
        <w:rPr>
          <w:rFonts w:hint="eastAsia"/>
          <w:color w:val="auto"/>
          <w:sz w:val="21"/>
          <w:szCs w:val="21"/>
          <w:highlight w:val="none"/>
        </w:rPr>
        <w:t>19.1 承包人的索赔</w:t>
      </w:r>
      <w:bookmarkEnd w:id="1062"/>
      <w:bookmarkEnd w:id="1063"/>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68" w:name="_Toc532377415"/>
      <w:bookmarkStart w:id="1069" w:name="_Toc532375676"/>
      <w:r>
        <w:rPr>
          <w:rFonts w:hint="eastAsia"/>
          <w:color w:val="auto"/>
          <w:sz w:val="21"/>
          <w:szCs w:val="21"/>
          <w:highlight w:val="none"/>
        </w:rPr>
        <w:t>19.2 对承包人索赔的处理</w:t>
      </w:r>
      <w:bookmarkEnd w:id="1068"/>
      <w:bookmarkEnd w:id="1069"/>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70" w:name="_Toc532375677"/>
      <w:bookmarkStart w:id="1071" w:name="_Toc532377416"/>
      <w:r>
        <w:rPr>
          <w:rFonts w:hint="eastAsia"/>
          <w:color w:val="auto"/>
          <w:sz w:val="21"/>
          <w:szCs w:val="21"/>
          <w:highlight w:val="none"/>
        </w:rPr>
        <w:t>19.3发包人的索赔</w:t>
      </w:r>
      <w:bookmarkEnd w:id="1070"/>
      <w:bookmarkEnd w:id="1071"/>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072" w:name="_Hlk528652769"/>
      <w:r>
        <w:rPr>
          <w:rFonts w:hint="eastAsia" w:ascii="宋体" w:hAnsi="宋体"/>
          <w:color w:val="auto"/>
          <w:szCs w:val="21"/>
          <w:highlight w:val="none"/>
        </w:rPr>
        <w:t>通过监理人向承包人正式递交最终索赔报告</w:t>
      </w:r>
      <w:bookmarkEnd w:id="1072"/>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73" w:name="_Toc532377417"/>
      <w:bookmarkStart w:id="1074" w:name="_Toc532375678"/>
      <w:r>
        <w:rPr>
          <w:rFonts w:hint="eastAsia"/>
          <w:color w:val="auto"/>
          <w:sz w:val="21"/>
          <w:szCs w:val="21"/>
          <w:highlight w:val="none"/>
        </w:rPr>
        <w:t>19.4 对发包人索赔的处理</w:t>
      </w:r>
      <w:bookmarkEnd w:id="1073"/>
      <w:bookmarkEnd w:id="1074"/>
    </w:p>
    <w:p>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075" w:name="_Toc532375679"/>
      <w:bookmarkStart w:id="1076" w:name="_Toc532377418"/>
      <w:bookmarkStart w:id="1077" w:name="_Hlk528928420"/>
      <w:r>
        <w:rPr>
          <w:rFonts w:hint="eastAsia"/>
          <w:color w:val="auto"/>
          <w:sz w:val="21"/>
          <w:szCs w:val="21"/>
          <w:highlight w:val="none"/>
        </w:rPr>
        <w:t>19.5 提出索赔的期限</w:t>
      </w:r>
      <w:bookmarkEnd w:id="1075"/>
      <w:bookmarkEnd w:id="1076"/>
    </w:p>
    <w:p>
      <w:pPr>
        <w:autoSpaceDE w:val="0"/>
        <w:autoSpaceDN w:val="0"/>
        <w:spacing w:line="360" w:lineRule="auto"/>
        <w:ind w:right="105" w:rightChars="50" w:firstLine="420" w:firstLineChars="200"/>
        <w:jc w:val="left"/>
        <w:rPr>
          <w:rFonts w:ascii="宋体" w:hAnsi="宋体"/>
          <w:color w:val="auto"/>
          <w:szCs w:val="21"/>
          <w:highlight w:val="none"/>
        </w:rPr>
      </w:pPr>
      <w:bookmarkStart w:id="1078"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064"/>
    <w:bookmarkEnd w:id="1065"/>
    <w:bookmarkEnd w:id="1066"/>
    <w:bookmarkEnd w:id="1067"/>
    <w:bookmarkEnd w:id="1077"/>
    <w:bookmarkEnd w:id="1078"/>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79" w:name="_Toc532375680"/>
      <w:bookmarkStart w:id="1080" w:name="_Toc351203651"/>
      <w:bookmarkStart w:id="1081" w:name="_Toc532377419"/>
      <w:r>
        <w:rPr>
          <w:rFonts w:hint="eastAsia"/>
          <w:color w:val="auto"/>
          <w:kern w:val="2"/>
          <w:sz w:val="21"/>
          <w:szCs w:val="21"/>
          <w:highlight w:val="none"/>
        </w:rPr>
        <w:t>20. 争议解决</w:t>
      </w:r>
      <w:bookmarkEnd w:id="1079"/>
      <w:bookmarkEnd w:id="1080"/>
      <w:bookmarkEnd w:id="1081"/>
    </w:p>
    <w:p>
      <w:pPr>
        <w:pStyle w:val="7"/>
        <w:spacing w:before="0" w:beforeAutospacing="0" w:after="0" w:afterAutospacing="0" w:line="360" w:lineRule="auto"/>
        <w:ind w:firstLine="422" w:firstLineChars="200"/>
        <w:rPr>
          <w:color w:val="auto"/>
          <w:sz w:val="21"/>
          <w:szCs w:val="21"/>
          <w:highlight w:val="none"/>
        </w:rPr>
      </w:pPr>
      <w:bookmarkStart w:id="1082" w:name="_Toc532377420"/>
      <w:bookmarkStart w:id="1083" w:name="_Toc532375681"/>
      <w:r>
        <w:rPr>
          <w:rFonts w:hint="eastAsia"/>
          <w:color w:val="auto"/>
          <w:sz w:val="21"/>
          <w:szCs w:val="21"/>
          <w:highlight w:val="none"/>
        </w:rPr>
        <w:t>20.3 争议评审</w:t>
      </w:r>
      <w:bookmarkEnd w:id="1082"/>
      <w:bookmarkEnd w:id="108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84" w:name="_Toc532377421"/>
      <w:bookmarkStart w:id="1085" w:name="_Toc532375682"/>
      <w:r>
        <w:rPr>
          <w:rFonts w:hint="eastAsia"/>
          <w:color w:val="auto"/>
          <w:sz w:val="21"/>
          <w:szCs w:val="21"/>
          <w:highlight w:val="none"/>
        </w:rPr>
        <w:t>20.4 仲裁或诉讼</w:t>
      </w:r>
      <w:bookmarkEnd w:id="1084"/>
      <w:bookmarkEnd w:id="108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（1）向仲裁委员会申请仲裁；</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hint="default" w:ascii="Times New Roman" w:hAnsi="Times New Roman" w:cs="Times New Roman"/>
          <w:color w:val="auto"/>
          <w:kern w:val="0"/>
          <w:szCs w:val="21"/>
          <w:highlight w:val="none"/>
          <w:u w:val="single"/>
        </w:rPr>
        <w:t>发包人所在地</w:t>
      </w:r>
      <w:r>
        <w:rPr>
          <w:rFonts w:ascii="宋体" w:hAnsi="宋体"/>
          <w:color w:val="auto"/>
          <w:szCs w:val="21"/>
          <w:highlight w:val="none"/>
        </w:rPr>
        <w:t>人民法院起诉。</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86" w:name="_Toc532375683"/>
      <w:bookmarkStart w:id="1087" w:name="_Toc532377422"/>
      <w:r>
        <w:rPr>
          <w:rFonts w:hint="eastAsia"/>
          <w:color w:val="auto"/>
          <w:kern w:val="2"/>
          <w:sz w:val="21"/>
          <w:szCs w:val="21"/>
          <w:highlight w:val="none"/>
        </w:rPr>
        <w:t>21. 补充条款</w:t>
      </w:r>
      <w:bookmarkEnd w:id="1086"/>
      <w:bookmarkEnd w:id="1087"/>
    </w:p>
    <w:p>
      <w:pPr>
        <w:pStyle w:val="7"/>
        <w:spacing w:before="0" w:beforeAutospacing="0" w:after="0" w:afterAutospacing="0" w:line="360" w:lineRule="auto"/>
        <w:ind w:firstLine="422" w:firstLineChars="200"/>
        <w:rPr>
          <w:color w:val="auto"/>
          <w:sz w:val="21"/>
          <w:szCs w:val="21"/>
          <w:highlight w:val="none"/>
        </w:rPr>
      </w:pPr>
      <w:bookmarkStart w:id="1088" w:name="_Toc532375684"/>
      <w:bookmarkStart w:id="1089" w:name="_Toc532377423"/>
      <w:r>
        <w:rPr>
          <w:rFonts w:hint="eastAsia"/>
          <w:color w:val="auto"/>
          <w:sz w:val="21"/>
          <w:szCs w:val="21"/>
          <w:highlight w:val="none"/>
        </w:rPr>
        <w:t>21.1 退出机制</w:t>
      </w:r>
      <w:bookmarkEnd w:id="1088"/>
      <w:bookmarkEnd w:id="108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pPr>
        <w:spacing w:line="360" w:lineRule="auto"/>
        <w:ind w:right="105" w:rightChars="50" w:firstLine="420" w:firstLineChars="200"/>
        <w:jc w:val="left"/>
        <w:rPr>
          <w:rFonts w:hint="default" w:ascii="Times New Roman" w:hAnsi="Times New Roman" w:cs="Times New Roman"/>
          <w:color w:val="auto"/>
          <w:highlight w:val="none"/>
          <w:u w:val="single"/>
        </w:rPr>
      </w:pPr>
      <w:r>
        <w:rPr>
          <w:rFonts w:hint="eastAsia" w:ascii="宋体" w:hAnsi="宋体"/>
          <w:color w:val="auto"/>
          <w:kern w:val="0"/>
          <w:szCs w:val="21"/>
          <w:highlight w:val="none"/>
        </w:rPr>
        <w:t>（3）</w:t>
      </w:r>
      <w:r>
        <w:rPr>
          <w:rFonts w:hint="default" w:ascii="Times New Roman" w:hAnsi="Times New Roman" w:cs="Times New Roman"/>
          <w:color w:val="auto"/>
          <w:highlight w:val="none"/>
          <w:u w:val="single"/>
        </w:rPr>
        <w:t>因承包人原因造成工程质量低劣而未通过发包人、审查单位或相关职能部门的评审或审查，修改2次后仍不能通过的，发包人有权终止合同，取消承包人履行下阶段工作的资格，即解除本合同，且履约保证金不予退还。</w:t>
      </w:r>
    </w:p>
    <w:p>
      <w:pPr>
        <w:widowControl/>
        <w:autoSpaceDE w:val="0"/>
        <w:autoSpaceDN w:val="0"/>
        <w:adjustRightInd w:val="0"/>
        <w:snapToGrid w:val="0"/>
        <w:ind w:firstLine="480"/>
        <w:rPr>
          <w:rFonts w:hint="default" w:ascii="Times New Roman" w:hAnsi="Times New Roman" w:cs="Times New Roman"/>
          <w:color w:val="auto"/>
          <w:highlight w:val="none"/>
          <w:u w:val="singl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default" w:ascii="Times New Roman" w:hAnsi="Times New Roman" w:cs="Times New Roman"/>
          <w:color w:val="auto"/>
          <w:highlight w:val="none"/>
          <w:u w:val="single"/>
        </w:rPr>
        <w:t>由于发包人的投资决策、项目定位、政策改变等原因，需要停止施工或终止合同的，发包人不承担违约责任，承包人已完成的工程量按</w:t>
      </w:r>
      <w:r>
        <w:rPr>
          <w:rFonts w:hint="eastAsia" w:ascii="宋体" w:hAnsi="宋体"/>
          <w:color w:val="auto"/>
          <w:szCs w:val="21"/>
          <w:highlight w:val="none"/>
          <w:u w:val="single"/>
        </w:rPr>
        <w:t>14.2.1.2</w:t>
      </w:r>
      <w:r>
        <w:rPr>
          <w:rFonts w:hint="default" w:ascii="Times New Roman" w:hAnsi="Times New Roman" w:cs="Times New Roman"/>
          <w:color w:val="auto"/>
          <w:highlight w:val="none"/>
          <w:u w:val="single"/>
        </w:rPr>
        <w:t>目[竣工结算原则]执行。</w:t>
      </w:r>
    </w:p>
    <w:p>
      <w:pPr>
        <w:spacing w:line="360" w:lineRule="auto"/>
        <w:ind w:right="105" w:rightChars="50" w:firstLine="420" w:firstLineChars="200"/>
        <w:jc w:val="left"/>
        <w:rPr>
          <w:rFonts w:hint="default" w:ascii="Times New Roman" w:hAnsi="Times New Roman" w:cs="Times New Roman"/>
          <w:color w:val="auto"/>
          <w:highlight w:val="none"/>
          <w:u w:val="singl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default" w:ascii="Times New Roman" w:hAnsi="Times New Roman" w:cs="Times New Roman"/>
          <w:color w:val="auto"/>
          <w:highlight w:val="none"/>
          <w:u w:val="single"/>
        </w:rPr>
        <w:t>承包人拒绝履行</w:t>
      </w:r>
      <w:r>
        <w:rPr>
          <w:rFonts w:hint="default" w:ascii="Times New Roman" w:hAnsi="Times New Roman" w:cs="Times New Roman"/>
          <w:color w:val="auto"/>
          <w:highlight w:val="none"/>
          <w:u w:val="single"/>
          <w:lang w:val="en-US" w:eastAsia="zh-CN"/>
        </w:rPr>
        <w:t>其他</w:t>
      </w:r>
      <w:r>
        <w:rPr>
          <w:rFonts w:hint="default" w:ascii="Times New Roman" w:hAnsi="Times New Roman" w:cs="Times New Roman"/>
          <w:color w:val="auto"/>
          <w:highlight w:val="none"/>
          <w:u w:val="single"/>
        </w:rPr>
        <w:t>相关内容</w:t>
      </w:r>
    </w:p>
    <w:p>
      <w:pPr>
        <w:spacing w:line="360" w:lineRule="auto"/>
        <w:ind w:right="105" w:rightChars="50" w:firstLine="420" w:firstLineChars="200"/>
        <w:jc w:val="left"/>
        <w:rPr>
          <w:rFonts w:ascii="宋体" w:hAnsi="宋体"/>
          <w:color w:val="auto"/>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90" w:name="_Toc532377424"/>
      <w:bookmarkStart w:id="1091" w:name="_Toc532375685"/>
      <w:r>
        <w:rPr>
          <w:rFonts w:hint="eastAsia"/>
          <w:color w:val="auto"/>
          <w:sz w:val="21"/>
          <w:szCs w:val="21"/>
          <w:highlight w:val="none"/>
        </w:rPr>
        <w:t>21.2智慧工地</w:t>
      </w:r>
      <w:bookmarkEnd w:id="1090"/>
      <w:bookmarkEnd w:id="109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032"/>
    </w:p>
    <w:p>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 xml:space="preserve">21.3 </w:t>
      </w:r>
      <w:r>
        <w:rPr>
          <w:rFonts w:hint="default" w:ascii="宋体" w:hAnsi="宋体" w:eastAsia="宋体" w:cs="Times New Roman"/>
          <w:b w:val="0"/>
          <w:bCs w:val="0"/>
          <w:color w:val="auto"/>
          <w:kern w:val="2"/>
          <w:sz w:val="21"/>
          <w:szCs w:val="21"/>
          <w:highlight w:val="none"/>
          <w:lang w:val="en-US" w:eastAsia="zh-CN" w:bidi="ar-SA"/>
        </w:rPr>
        <w:t>承包人在施工过程中涉及的设计变更、签证与计量、材料价格核定以及工程款和竣工结算审核等工作，需严格按发包人相关管理办法以及程序执行。</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21.4 </w:t>
      </w:r>
      <w:r>
        <w:rPr>
          <w:rFonts w:hint="default" w:ascii="Times New Roman" w:hAnsi="Times New Roman" w:cs="Times New Roman"/>
          <w:color w:val="auto"/>
          <w:sz w:val="21"/>
          <w:szCs w:val="21"/>
          <w:highlight w:val="none"/>
        </w:rPr>
        <w:t>承包人必须按月支付民工工资，若有拖欠民工工资款时，承包人承担工程结算总价0.1%的违约责任。若因承包人拖欠民工工资，导致民工集体上告、上访、闹事（如拦马路、拉条幅、爬塔吊等），影响公共交通秩序、干扰政府正常办公及扰乱社会秩序等不良行为发生，每发生一次，承包人向发包人支付工程结算总价0.2%的违约金。</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21.5 </w:t>
      </w:r>
      <w:r>
        <w:rPr>
          <w:rFonts w:hint="default" w:ascii="Times New Roman" w:hAnsi="Times New Roman" w:cs="Times New Roman"/>
          <w:color w:val="auto"/>
          <w:sz w:val="21"/>
          <w:szCs w:val="21"/>
          <w:highlight w:val="none"/>
        </w:rPr>
        <w:t>因承包人原因解除合同，发包人将扣除全部履约保证金，并对已完成的工程量，按合同相应条款进行结算，并且承包人承担发包人的一切损失。</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21.6 </w:t>
      </w:r>
      <w:r>
        <w:rPr>
          <w:rFonts w:hint="default" w:ascii="Times New Roman" w:hAnsi="Times New Roman" w:cs="Times New Roman"/>
          <w:color w:val="auto"/>
          <w:sz w:val="21"/>
          <w:szCs w:val="21"/>
          <w:highlight w:val="none"/>
        </w:rPr>
        <w:t>不可抗力造成损害的责任</w:t>
      </w:r>
    </w:p>
    <w:p>
      <w:pPr>
        <w:pStyle w:val="77"/>
        <w:widowControl/>
        <w:spacing w:line="360" w:lineRule="auto"/>
        <w:jc w:val="left"/>
        <w:textAlignment w:val="top"/>
        <w:rPr>
          <w:rFonts w:hint="default" w:eastAsia="宋体"/>
          <w:color w:val="auto"/>
          <w:sz w:val="21"/>
          <w:szCs w:val="21"/>
          <w:highlight w:val="none"/>
          <w:lang w:val="en-US" w:eastAsia="zh-CN"/>
        </w:rPr>
      </w:pPr>
      <w:r>
        <w:rPr>
          <w:rFonts w:hint="default" w:ascii="Times New Roman" w:hAnsi="Times New Roman" w:cs="Times New Roman"/>
          <w:color w:val="auto"/>
          <w:sz w:val="21"/>
          <w:szCs w:val="21"/>
          <w:highlight w:val="none"/>
        </w:rPr>
        <w:t>不可抗力导致的人员伤亡、财产损失、费用增加和(或)工期延误由合同双方按以下方法承担：1）工程本身的损害、因工程损害导致第三方人员伤亡和财产损失以及运至施工现场用于施工的材料和待安装的设备的损害，由承包人承担；2）发包人、承包人人员伤亡由其所在单位负责，并承担相应费用；3）承包人的施工机械设备的损坏及停工损失，由承包人承担；4）停工期间，承包人应发包人要求留在施工现场的必要的管理人员及保卫人员的费用，由承包人承担；5）工程所需清理、修复费用，由发包人承担。</w:t>
      </w:r>
    </w:p>
    <w:p>
      <w:pPr>
        <w:pStyle w:val="7"/>
        <w:spacing w:before="0" w:beforeAutospacing="0" w:after="0" w:afterAutospacing="0" w:line="360" w:lineRule="auto"/>
        <w:ind w:firstLine="422" w:firstLineChars="200"/>
        <w:rPr>
          <w:color w:val="auto"/>
          <w:sz w:val="21"/>
          <w:szCs w:val="21"/>
          <w:highlight w:val="none"/>
        </w:rPr>
      </w:pPr>
      <w:r>
        <w:rPr>
          <w:rFonts w:hint="eastAsia" w:ascii="宋体" w:hAnsi="宋体" w:eastAsia="宋体" w:cs="宋体"/>
          <w:b/>
          <w:bCs/>
          <w:color w:val="auto"/>
          <w:kern w:val="0"/>
          <w:sz w:val="21"/>
          <w:szCs w:val="21"/>
          <w:highlight w:val="none"/>
          <w:lang w:val="en-US" w:eastAsia="zh-CN" w:bidi="ar-SA"/>
        </w:rPr>
        <w:t>21.7</w:t>
      </w:r>
      <w:r>
        <w:rPr>
          <w:rFonts w:hint="eastAsia"/>
          <w:color w:val="auto"/>
          <w:sz w:val="21"/>
          <w:szCs w:val="21"/>
          <w:highlight w:val="none"/>
          <w:u w:val="single"/>
        </w:rPr>
        <w:t xml:space="preserve">       </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92" w:name="baidusnap7"/>
      <w:bookmarkEnd w:id="1092"/>
      <w:bookmarkStart w:id="1093" w:name="baidusnap3"/>
      <w:bookmarkEnd w:id="1093"/>
      <w:bookmarkStart w:id="1094" w:name="_Toc532375686"/>
      <w:bookmarkStart w:id="1095" w:name="_Toc532377425"/>
      <w:bookmarkStart w:id="1096" w:name="_Toc351203652"/>
      <w:r>
        <w:rPr>
          <w:rFonts w:hint="eastAsia"/>
          <w:color w:val="auto"/>
          <w:kern w:val="2"/>
          <w:sz w:val="21"/>
          <w:szCs w:val="21"/>
          <w:highlight w:val="none"/>
        </w:rPr>
        <w:t>22. 合同附件</w:t>
      </w:r>
      <w:bookmarkEnd w:id="1094"/>
      <w:bookmarkEnd w:id="109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以下十一个附件是本合同的有效组成部分：</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：廉洁从业协议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：安全管理协议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：保障农民工工资支付协议</w:t>
      </w:r>
    </w:p>
    <w:bookmarkEnd w:id="1096"/>
    <w:p>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097" w:name="_Toc296944565"/>
      <w:bookmarkStart w:id="1098" w:name="_Toc267261693"/>
      <w:bookmarkStart w:id="1099" w:name="_Toc296891266"/>
      <w:bookmarkStart w:id="1100" w:name="_Toc296347225"/>
      <w:bookmarkStart w:id="1101" w:name="_Toc296891054"/>
      <w:bookmarkStart w:id="1102" w:name="_Toc296503226"/>
      <w:bookmarkStart w:id="1103" w:name="_Toc296346727"/>
      <w:r>
        <w:rPr>
          <w:rFonts w:hint="eastAsia" w:ascii="宋体" w:hAnsi="宋体"/>
          <w:color w:val="auto"/>
          <w:szCs w:val="21"/>
          <w:highlight w:val="none"/>
        </w:rPr>
        <w:t>件1：</w:t>
      </w:r>
      <w:bookmarkEnd w:id="1097"/>
      <w:bookmarkEnd w:id="1098"/>
      <w:bookmarkEnd w:id="1099"/>
      <w:bookmarkEnd w:id="1100"/>
      <w:bookmarkEnd w:id="1101"/>
      <w:bookmarkEnd w:id="1102"/>
      <w:bookmarkEnd w:id="1103"/>
    </w:p>
    <w:p>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spacing w:line="360" w:lineRule="auto"/>
        <w:ind w:firstLine="420" w:firstLineChars="200"/>
        <w:rPr>
          <w:rFonts w:ascii="宋体" w:hAnsi="宋体"/>
          <w:color w:val="auto"/>
          <w:szCs w:val="21"/>
          <w:highlight w:val="none"/>
        </w:rPr>
      </w:pPr>
      <w:bookmarkStart w:id="1104" w:name="_Toc532375687"/>
      <w:r>
        <w:rPr>
          <w:rFonts w:hint="eastAsia" w:ascii="宋体" w:hAnsi="宋体"/>
          <w:color w:val="auto"/>
          <w:szCs w:val="21"/>
          <w:highlight w:val="none"/>
        </w:rPr>
        <w:t>一、工程质量保修范围和内容</w:t>
      </w:r>
      <w:bookmarkEnd w:id="110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spacing w:line="360" w:lineRule="auto"/>
        <w:ind w:firstLine="420" w:firstLineChars="200"/>
        <w:rPr>
          <w:rFonts w:ascii="宋体" w:hAnsi="宋体"/>
          <w:color w:val="auto"/>
          <w:szCs w:val="21"/>
          <w:highlight w:val="none"/>
        </w:rPr>
      </w:pPr>
      <w:bookmarkStart w:id="1105" w:name="_Toc532375688"/>
      <w:r>
        <w:rPr>
          <w:rFonts w:hint="eastAsia" w:ascii="宋体" w:hAnsi="宋体"/>
          <w:color w:val="auto"/>
          <w:szCs w:val="21"/>
          <w:highlight w:val="none"/>
        </w:rPr>
        <w:t>二、质量保修期</w:t>
      </w:r>
      <w:bookmarkEnd w:id="110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spacing w:line="360" w:lineRule="auto"/>
        <w:ind w:firstLine="420" w:firstLineChars="200"/>
        <w:rPr>
          <w:rFonts w:ascii="宋体" w:hAnsi="宋体"/>
          <w:color w:val="auto"/>
          <w:szCs w:val="21"/>
          <w:highlight w:val="none"/>
        </w:rPr>
      </w:pPr>
      <w:bookmarkStart w:id="1106" w:name="_Toc532375689"/>
      <w:r>
        <w:rPr>
          <w:rFonts w:hint="eastAsia" w:ascii="宋体" w:hAnsi="宋体"/>
          <w:color w:val="auto"/>
          <w:szCs w:val="21"/>
          <w:highlight w:val="none"/>
        </w:rPr>
        <w:t>三、质量保修责任</w:t>
      </w:r>
      <w:bookmarkEnd w:id="110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pPr>
        <w:spacing w:line="360" w:lineRule="auto"/>
        <w:ind w:firstLine="420" w:firstLineChars="200"/>
        <w:rPr>
          <w:rFonts w:ascii="宋体" w:hAnsi="宋体"/>
          <w:color w:val="auto"/>
          <w:szCs w:val="21"/>
          <w:highlight w:val="none"/>
        </w:rPr>
      </w:pPr>
      <w:bookmarkStart w:id="1107" w:name="_Toc532375690"/>
      <w:r>
        <w:rPr>
          <w:rFonts w:hint="eastAsia" w:ascii="宋体" w:hAnsi="宋体"/>
          <w:color w:val="auto"/>
          <w:szCs w:val="21"/>
          <w:highlight w:val="none"/>
        </w:rPr>
        <w:t>四、保修费用</w:t>
      </w:r>
      <w:bookmarkEnd w:id="110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pPr>
        <w:spacing w:line="360" w:lineRule="auto"/>
        <w:ind w:firstLine="420" w:firstLineChars="200"/>
        <w:rPr>
          <w:rFonts w:ascii="宋体" w:hAnsi="宋体"/>
          <w:color w:val="auto"/>
          <w:szCs w:val="21"/>
          <w:highlight w:val="none"/>
        </w:rPr>
      </w:pPr>
      <w:bookmarkStart w:id="1108" w:name="_Toc532375691"/>
      <w:r>
        <w:rPr>
          <w:rFonts w:hint="eastAsia" w:ascii="宋体" w:hAnsi="宋体"/>
          <w:color w:val="auto"/>
          <w:szCs w:val="21"/>
          <w:highlight w:val="none"/>
        </w:rPr>
        <w:t>五、双方约定的其他工程质量保修事项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10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bl>
    <w:p>
      <w:pPr>
        <w:spacing w:line="360" w:lineRule="auto"/>
        <w:ind w:firstLine="420" w:firstLineChars="20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109" w:name="_Toc296944567"/>
      <w:bookmarkStart w:id="1110" w:name="_Toc296891056"/>
      <w:bookmarkStart w:id="1111" w:name="_Toc267261699"/>
      <w:bookmarkStart w:id="1112" w:name="_Toc296503228"/>
      <w:bookmarkStart w:id="1113" w:name="_Toc296346729"/>
      <w:bookmarkStart w:id="1114" w:name="_Toc296891268"/>
      <w:bookmarkStart w:id="1115" w:name="_Toc296347227"/>
      <w:r>
        <w:rPr>
          <w:rFonts w:hint="eastAsia" w:ascii="宋体" w:hAnsi="宋体"/>
          <w:color w:val="auto"/>
          <w:szCs w:val="21"/>
          <w:highlight w:val="none"/>
        </w:rPr>
        <w:t>件3：</w:t>
      </w:r>
    </w:p>
    <w:bookmarkEnd w:id="1109"/>
    <w:bookmarkEnd w:id="1110"/>
    <w:bookmarkEnd w:id="1111"/>
    <w:bookmarkEnd w:id="1112"/>
    <w:bookmarkEnd w:id="1113"/>
    <w:bookmarkEnd w:id="1114"/>
    <w:bookmarkEnd w:id="1115"/>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bl>
    <w:p>
      <w:pPr>
        <w:spacing w:line="480" w:lineRule="auto"/>
        <w:rPr>
          <w:rFonts w:ascii="宋体" w:hAnsi="宋体"/>
          <w:color w:val="auto"/>
          <w:szCs w:val="21"/>
          <w:highlight w:val="none"/>
        </w:rPr>
      </w:pPr>
      <w:r>
        <w:rPr>
          <w:rFonts w:hint="eastAsia" w:ascii="宋体" w:hAnsi="宋体"/>
          <w:color w:val="auto"/>
          <w:szCs w:val="21"/>
          <w:highlight w:val="none"/>
        </w:rPr>
        <w:br w:type="page"/>
      </w:r>
      <w:bookmarkStart w:id="1116" w:name="_Toc267261701"/>
      <w:r>
        <w:rPr>
          <w:rFonts w:hint="eastAsia" w:ascii="宋体" w:hAnsi="宋体"/>
          <w:color w:val="auto"/>
          <w:szCs w:val="21"/>
          <w:highlight w:val="none"/>
        </w:rPr>
        <w:t>附</w:t>
      </w:r>
      <w:bookmarkStart w:id="1117" w:name="_Toc296891059"/>
      <w:bookmarkStart w:id="1118" w:name="_Toc296503231"/>
      <w:bookmarkStart w:id="1119" w:name="_Toc296891271"/>
      <w:bookmarkStart w:id="1120" w:name="_Toc296944570"/>
      <w:bookmarkStart w:id="1121" w:name="_Toc296346732"/>
      <w:bookmarkStart w:id="1122" w:name="_Toc296347230"/>
      <w:r>
        <w:rPr>
          <w:rFonts w:hint="eastAsia" w:ascii="宋体" w:hAnsi="宋体"/>
          <w:color w:val="auto"/>
          <w:szCs w:val="21"/>
          <w:highlight w:val="none"/>
        </w:rPr>
        <w:t>件4：</w:t>
      </w:r>
    </w:p>
    <w:bookmarkEnd w:id="1116"/>
    <w:bookmarkEnd w:id="1117"/>
    <w:bookmarkEnd w:id="1118"/>
    <w:bookmarkEnd w:id="1119"/>
    <w:bookmarkEnd w:id="1120"/>
    <w:bookmarkEnd w:id="1121"/>
    <w:bookmarkEnd w:id="112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履约担保（如有）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5"/>
          <w:rFonts w:hint="eastAsia"/>
          <w:color w:val="auto"/>
          <w:highlight w:val="none"/>
        </w:rPr>
        <w:t>我</w:t>
      </w:r>
      <w:r>
        <w:rPr>
          <w:rFonts w:hint="eastAsia" w:ascii="宋体" w:hAnsi="宋体"/>
          <w:color w:val="auto"/>
          <w:szCs w:val="21"/>
          <w:highlight w:val="none"/>
          <w:u w:val="single"/>
        </w:rPr>
        <w:t>方法定代表人（或其委托代理人）签字并加盖公章之日起至你方签发或应签发工程接收证书之日止</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u w:val="single"/>
        </w:rPr>
      </w:pPr>
    </w:p>
    <w:p>
      <w:pPr>
        <w:spacing w:line="360" w:lineRule="auto"/>
        <w:ind w:firstLine="420" w:firstLineChars="200"/>
        <w:jc w:val="left"/>
        <w:rPr>
          <w:rFonts w:ascii="宋体" w:hAnsi="宋体"/>
          <w:color w:val="auto"/>
          <w:szCs w:val="21"/>
          <w:highlight w:val="none"/>
          <w:u w:val="singl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spacing w:line="360" w:lineRule="auto"/>
        <w:jc w:val="left"/>
        <w:rPr>
          <w:rFonts w:ascii="宋体" w:hAnsi="宋体"/>
          <w:color w:val="auto"/>
          <w:szCs w:val="21"/>
          <w:highlight w:val="none"/>
        </w:rPr>
      </w:pPr>
    </w:p>
    <w:p>
      <w:pPr>
        <w:pStyle w:val="45"/>
        <w:rPr>
          <w:color w:val="auto"/>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bookmarkStart w:id="1123" w:name="_Toc336680145"/>
      <w:bookmarkStart w:id="1124" w:name="_Toc435689499"/>
      <w:bookmarkStart w:id="1125" w:name="_Toc247431422"/>
      <w:bookmarkStart w:id="1126" w:name="_Toc448406299"/>
      <w:bookmarkStart w:id="1127" w:name="_Toc239510288"/>
      <w:bookmarkStart w:id="1128" w:name="_Toc435690184"/>
      <w:r>
        <w:rPr>
          <w:rFonts w:hint="eastAsia" w:ascii="宋体" w:hAnsi="宋体"/>
          <w:color w:val="auto"/>
          <w:szCs w:val="21"/>
          <w:highlight w:val="none"/>
        </w:rPr>
        <w:t>安全管理协议</w:t>
      </w:r>
      <w:bookmarkEnd w:id="1123"/>
      <w:bookmarkEnd w:id="1124"/>
      <w:bookmarkEnd w:id="1125"/>
      <w:bookmarkEnd w:id="1126"/>
      <w:bookmarkEnd w:id="1127"/>
      <w:bookmarkEnd w:id="1128"/>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color w:val="auto"/>
          <w:szCs w:val="21"/>
          <w:highlight w:val="none"/>
        </w:rPr>
      </w:pPr>
      <w:bookmarkStart w:id="1129" w:name="_Toc532375700"/>
      <w:bookmarkStart w:id="1130" w:name="_Toc247431423"/>
      <w:bookmarkStart w:id="1131" w:name="_Toc239510289"/>
      <w:bookmarkStart w:id="1132" w:name="_Toc247418263"/>
      <w:r>
        <w:rPr>
          <w:rFonts w:hint="eastAsia" w:ascii="宋体" w:hAnsi="宋体"/>
          <w:color w:val="auto"/>
          <w:szCs w:val="21"/>
          <w:highlight w:val="none"/>
        </w:rPr>
        <w:t>一、协议有效期限</w:t>
      </w:r>
      <w:bookmarkEnd w:id="1129"/>
      <w:bookmarkEnd w:id="1130"/>
      <w:bookmarkEnd w:id="1131"/>
      <w:bookmarkEnd w:id="113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color w:val="auto"/>
          <w:szCs w:val="21"/>
          <w:highlight w:val="none"/>
        </w:rPr>
      </w:pPr>
      <w:bookmarkStart w:id="1133" w:name="_Toc247431424"/>
      <w:bookmarkStart w:id="1134" w:name="_Toc532375701"/>
      <w:bookmarkStart w:id="1135" w:name="_Toc239510290"/>
      <w:bookmarkStart w:id="1136" w:name="_Toc247418264"/>
      <w:r>
        <w:rPr>
          <w:rFonts w:hint="eastAsia" w:ascii="宋体" w:hAnsi="宋体"/>
          <w:color w:val="auto"/>
          <w:szCs w:val="21"/>
          <w:highlight w:val="none"/>
        </w:rPr>
        <w:t>二、责任目标</w:t>
      </w:r>
      <w:bookmarkEnd w:id="1133"/>
      <w:bookmarkEnd w:id="1134"/>
      <w:bookmarkEnd w:id="1135"/>
      <w:bookmarkEnd w:id="113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spacing w:line="360" w:lineRule="auto"/>
        <w:ind w:firstLine="420" w:firstLineChars="200"/>
        <w:jc w:val="left"/>
        <w:rPr>
          <w:rFonts w:ascii="宋体" w:hAnsi="宋体"/>
          <w:color w:val="auto"/>
          <w:szCs w:val="21"/>
          <w:highlight w:val="none"/>
        </w:rPr>
      </w:pPr>
      <w:bookmarkStart w:id="1137" w:name="_Toc239510291"/>
      <w:bookmarkStart w:id="1138" w:name="_Toc247418265"/>
      <w:bookmarkStart w:id="1139" w:name="_Toc247431425"/>
      <w:r>
        <w:rPr>
          <w:rFonts w:hint="eastAsia" w:ascii="宋体" w:hAnsi="宋体"/>
          <w:color w:val="auto"/>
          <w:szCs w:val="21"/>
          <w:highlight w:val="none"/>
        </w:rPr>
        <w:t>（三）承包人承诺在施工中控制以下安全事故的发生：</w:t>
      </w:r>
      <w:bookmarkEnd w:id="1137"/>
      <w:bookmarkEnd w:id="1138"/>
      <w:bookmarkEnd w:id="113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pPr>
        <w:spacing w:line="360" w:lineRule="auto"/>
        <w:ind w:firstLine="420" w:firstLineChars="200"/>
        <w:rPr>
          <w:rFonts w:ascii="宋体" w:hAnsi="宋体"/>
          <w:color w:val="auto"/>
          <w:szCs w:val="21"/>
          <w:highlight w:val="none"/>
        </w:rPr>
      </w:pPr>
      <w:bookmarkStart w:id="1140" w:name="_Toc239510292"/>
      <w:bookmarkStart w:id="1141" w:name="_Toc247418266"/>
      <w:bookmarkStart w:id="1142" w:name="_Toc532375702"/>
      <w:bookmarkStart w:id="1143" w:name="_Toc247431426"/>
      <w:r>
        <w:rPr>
          <w:rFonts w:hint="eastAsia" w:ascii="宋体" w:hAnsi="宋体"/>
          <w:color w:val="auto"/>
          <w:szCs w:val="21"/>
          <w:highlight w:val="none"/>
        </w:rPr>
        <w:t>三、安全责任</w:t>
      </w:r>
      <w:bookmarkEnd w:id="1140"/>
      <w:bookmarkEnd w:id="1141"/>
      <w:bookmarkEnd w:id="1142"/>
      <w:bookmarkEnd w:id="114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color w:val="auto"/>
          <w:szCs w:val="21"/>
          <w:highlight w:val="none"/>
        </w:rPr>
      </w:pPr>
      <w:bookmarkStart w:id="1144" w:name="_Toc239510293"/>
      <w:bookmarkStart w:id="1145" w:name="_Toc247418267"/>
      <w:bookmarkStart w:id="1146" w:name="_Toc247431427"/>
      <w:bookmarkStart w:id="1147" w:name="_Toc532375703"/>
      <w:r>
        <w:rPr>
          <w:rFonts w:hint="eastAsia" w:ascii="宋体" w:hAnsi="宋体"/>
          <w:color w:val="auto"/>
          <w:szCs w:val="21"/>
          <w:highlight w:val="none"/>
        </w:rPr>
        <w:t>四、接口及协调</w:t>
      </w:r>
      <w:bookmarkEnd w:id="1144"/>
      <w:bookmarkEnd w:id="1145"/>
      <w:bookmarkEnd w:id="1146"/>
      <w:bookmarkEnd w:id="114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spacing w:line="360" w:lineRule="auto"/>
        <w:ind w:firstLine="420" w:firstLineChars="200"/>
        <w:rPr>
          <w:rFonts w:ascii="宋体" w:hAnsi="宋体"/>
          <w:color w:val="auto"/>
          <w:szCs w:val="21"/>
          <w:highlight w:val="none"/>
        </w:rPr>
      </w:pPr>
      <w:bookmarkStart w:id="1148" w:name="_Toc532375704"/>
      <w:bookmarkStart w:id="1149" w:name="_Toc247418268"/>
      <w:bookmarkStart w:id="1150" w:name="_Toc247431428"/>
      <w:bookmarkStart w:id="1151" w:name="_Toc239510294"/>
      <w:r>
        <w:rPr>
          <w:rFonts w:hint="eastAsia" w:ascii="宋体" w:hAnsi="宋体"/>
          <w:color w:val="auto"/>
          <w:szCs w:val="21"/>
          <w:highlight w:val="none"/>
        </w:rPr>
        <w:t>五、安全资质审查</w:t>
      </w:r>
      <w:bookmarkEnd w:id="1148"/>
      <w:bookmarkEnd w:id="1149"/>
      <w:bookmarkEnd w:id="1150"/>
      <w:bookmarkEnd w:id="115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spacing w:line="360" w:lineRule="auto"/>
        <w:ind w:firstLine="420" w:firstLineChars="200"/>
        <w:rPr>
          <w:rFonts w:ascii="宋体" w:hAnsi="宋体"/>
          <w:color w:val="auto"/>
          <w:szCs w:val="21"/>
          <w:highlight w:val="none"/>
        </w:rPr>
      </w:pPr>
      <w:bookmarkStart w:id="1152" w:name="_Toc239510295"/>
      <w:bookmarkStart w:id="1153" w:name="_Toc247431429"/>
      <w:bookmarkStart w:id="1154" w:name="_Toc247418269"/>
      <w:bookmarkStart w:id="1155" w:name="_Toc532375705"/>
      <w:r>
        <w:rPr>
          <w:rFonts w:hint="eastAsia" w:ascii="宋体" w:hAnsi="宋体"/>
          <w:color w:val="auto"/>
          <w:szCs w:val="21"/>
          <w:highlight w:val="none"/>
        </w:rPr>
        <w:t>六、人员基本素质</w:t>
      </w:r>
      <w:bookmarkEnd w:id="1152"/>
      <w:bookmarkEnd w:id="1153"/>
      <w:bookmarkEnd w:id="1154"/>
      <w:bookmarkEnd w:id="115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spacing w:line="360" w:lineRule="auto"/>
        <w:ind w:firstLine="420" w:firstLineChars="200"/>
        <w:rPr>
          <w:rFonts w:ascii="宋体" w:hAnsi="宋体"/>
          <w:color w:val="auto"/>
          <w:szCs w:val="21"/>
          <w:highlight w:val="none"/>
        </w:rPr>
      </w:pPr>
      <w:bookmarkStart w:id="1156" w:name="_Toc532375706"/>
      <w:bookmarkStart w:id="1157" w:name="_Toc247431430"/>
      <w:bookmarkStart w:id="1158" w:name="_Toc239510296"/>
      <w:bookmarkStart w:id="1159" w:name="_Toc247418270"/>
      <w:r>
        <w:rPr>
          <w:rFonts w:hint="eastAsia" w:ascii="宋体" w:hAnsi="宋体"/>
          <w:color w:val="auto"/>
          <w:szCs w:val="21"/>
          <w:highlight w:val="none"/>
        </w:rPr>
        <w:t>七、劳动保护</w:t>
      </w:r>
      <w:bookmarkEnd w:id="1156"/>
      <w:bookmarkEnd w:id="1157"/>
      <w:bookmarkEnd w:id="1158"/>
      <w:bookmarkEnd w:id="115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spacing w:line="360" w:lineRule="auto"/>
        <w:ind w:firstLine="420" w:firstLineChars="200"/>
        <w:rPr>
          <w:rFonts w:ascii="宋体" w:hAnsi="宋体"/>
          <w:color w:val="auto"/>
          <w:szCs w:val="21"/>
          <w:highlight w:val="none"/>
        </w:rPr>
      </w:pPr>
      <w:bookmarkStart w:id="1160" w:name="_Toc532375707"/>
      <w:bookmarkStart w:id="1161" w:name="_Toc239510297"/>
      <w:bookmarkStart w:id="1162" w:name="_Toc247431431"/>
      <w:bookmarkStart w:id="1163" w:name="_Toc247418271"/>
      <w:r>
        <w:rPr>
          <w:rFonts w:hint="eastAsia" w:ascii="宋体" w:hAnsi="宋体"/>
          <w:color w:val="auto"/>
          <w:szCs w:val="21"/>
          <w:highlight w:val="none"/>
        </w:rPr>
        <w:t>八、施工机具与材料</w:t>
      </w:r>
      <w:bookmarkEnd w:id="1160"/>
      <w:bookmarkEnd w:id="1161"/>
      <w:bookmarkEnd w:id="1162"/>
      <w:bookmarkEnd w:id="116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color w:val="auto"/>
          <w:szCs w:val="21"/>
          <w:highlight w:val="none"/>
        </w:rPr>
      </w:pPr>
      <w:bookmarkStart w:id="1164" w:name="_Toc247418272"/>
      <w:bookmarkStart w:id="1165" w:name="_Toc247431432"/>
      <w:bookmarkStart w:id="1166" w:name="_Toc532375708"/>
      <w:bookmarkStart w:id="1167" w:name="_Toc239510298"/>
      <w:r>
        <w:rPr>
          <w:rFonts w:hint="eastAsia" w:ascii="宋体" w:hAnsi="宋体"/>
          <w:color w:val="auto"/>
          <w:szCs w:val="21"/>
          <w:highlight w:val="none"/>
        </w:rPr>
        <w:t>九、开工前安全条件检查</w:t>
      </w:r>
      <w:bookmarkEnd w:id="1164"/>
      <w:bookmarkEnd w:id="1165"/>
      <w:bookmarkEnd w:id="1166"/>
      <w:bookmarkEnd w:id="116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color w:val="auto"/>
          <w:szCs w:val="21"/>
          <w:highlight w:val="none"/>
        </w:rPr>
      </w:pPr>
      <w:bookmarkStart w:id="1168" w:name="_Toc247431433"/>
      <w:bookmarkStart w:id="1169" w:name="_Toc247418273"/>
      <w:bookmarkStart w:id="1170" w:name="_Toc532375709"/>
      <w:bookmarkStart w:id="1171" w:name="_Toc239510299"/>
      <w:r>
        <w:rPr>
          <w:rFonts w:hint="eastAsia" w:ascii="宋体" w:hAnsi="宋体"/>
          <w:color w:val="auto"/>
          <w:szCs w:val="21"/>
          <w:highlight w:val="none"/>
        </w:rPr>
        <w:t>十、安全监督</w:t>
      </w:r>
      <w:bookmarkEnd w:id="1168"/>
      <w:bookmarkEnd w:id="1169"/>
      <w:bookmarkEnd w:id="1170"/>
      <w:bookmarkEnd w:id="117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color w:val="auto"/>
          <w:szCs w:val="21"/>
          <w:highlight w:val="none"/>
        </w:rPr>
      </w:pPr>
      <w:bookmarkStart w:id="1172" w:name="_Toc247431434"/>
      <w:bookmarkStart w:id="1173" w:name="_Toc247418274"/>
      <w:bookmarkStart w:id="1174" w:name="_Toc532375710"/>
      <w:bookmarkStart w:id="1175" w:name="_Toc239510300"/>
      <w:r>
        <w:rPr>
          <w:rFonts w:hint="eastAsia" w:ascii="宋体" w:hAnsi="宋体"/>
          <w:color w:val="auto"/>
          <w:szCs w:val="21"/>
          <w:highlight w:val="none"/>
        </w:rPr>
        <w:t>十一、安全培训与授权</w:t>
      </w:r>
      <w:bookmarkEnd w:id="1172"/>
      <w:bookmarkEnd w:id="1173"/>
      <w:bookmarkEnd w:id="1174"/>
      <w:bookmarkEnd w:id="117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color w:val="auto"/>
          <w:szCs w:val="21"/>
          <w:highlight w:val="none"/>
        </w:rPr>
      </w:pPr>
      <w:bookmarkStart w:id="1176" w:name="_Toc247431435"/>
      <w:bookmarkStart w:id="1177" w:name="_Toc247418275"/>
      <w:bookmarkStart w:id="1178" w:name="_Toc532375711"/>
      <w:bookmarkStart w:id="1179" w:name="_Toc239510301"/>
      <w:r>
        <w:rPr>
          <w:rFonts w:hint="eastAsia" w:ascii="宋体" w:hAnsi="宋体"/>
          <w:color w:val="auto"/>
          <w:szCs w:val="21"/>
          <w:highlight w:val="none"/>
        </w:rPr>
        <w:t>十二、职业健康与卫生防疫</w:t>
      </w:r>
      <w:bookmarkEnd w:id="1176"/>
      <w:bookmarkEnd w:id="1177"/>
      <w:bookmarkEnd w:id="1178"/>
      <w:bookmarkEnd w:id="117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color w:val="auto"/>
          <w:szCs w:val="21"/>
          <w:highlight w:val="none"/>
        </w:rPr>
      </w:pPr>
      <w:bookmarkStart w:id="1180" w:name="_Toc239510302"/>
      <w:bookmarkStart w:id="1181" w:name="_Toc532375712"/>
      <w:bookmarkStart w:id="1182" w:name="_Toc247431436"/>
      <w:bookmarkStart w:id="1183" w:name="_Toc247418276"/>
      <w:r>
        <w:rPr>
          <w:rFonts w:hint="eastAsia" w:ascii="宋体" w:hAnsi="宋体"/>
          <w:color w:val="auto"/>
          <w:szCs w:val="21"/>
          <w:highlight w:val="none"/>
        </w:rPr>
        <w:t>十三、文明施工与环保要求</w:t>
      </w:r>
      <w:bookmarkEnd w:id="1180"/>
      <w:bookmarkEnd w:id="1181"/>
      <w:bookmarkEnd w:id="1182"/>
      <w:bookmarkEnd w:id="118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color w:val="auto"/>
          <w:szCs w:val="21"/>
          <w:highlight w:val="none"/>
        </w:rPr>
      </w:pPr>
      <w:bookmarkStart w:id="1184" w:name="_Toc247431437"/>
      <w:bookmarkStart w:id="1185" w:name="_Toc247418277"/>
      <w:bookmarkStart w:id="1186" w:name="_Toc532375713"/>
      <w:bookmarkStart w:id="1187" w:name="_Toc239510303"/>
      <w:r>
        <w:rPr>
          <w:rFonts w:hint="eastAsia" w:ascii="宋体" w:hAnsi="宋体"/>
          <w:color w:val="auto"/>
          <w:szCs w:val="21"/>
          <w:highlight w:val="none"/>
        </w:rPr>
        <w:t>十四、工程风险管理与事故预防</w:t>
      </w:r>
      <w:bookmarkEnd w:id="1184"/>
      <w:bookmarkEnd w:id="1185"/>
      <w:bookmarkEnd w:id="1186"/>
      <w:bookmarkEnd w:id="1187"/>
    </w:p>
    <w:p>
      <w:pPr>
        <w:spacing w:line="360" w:lineRule="auto"/>
        <w:ind w:firstLine="420" w:firstLineChars="200"/>
        <w:jc w:val="left"/>
        <w:rPr>
          <w:rFonts w:ascii="宋体" w:hAnsi="宋体"/>
          <w:color w:val="auto"/>
          <w:szCs w:val="21"/>
          <w:highlight w:val="none"/>
        </w:rPr>
      </w:pPr>
      <w:bookmarkStart w:id="1188" w:name="_Toc247418278"/>
      <w:bookmarkStart w:id="1189" w:name="_Toc239510304"/>
      <w:bookmarkStart w:id="1190" w:name="_Toc247431438"/>
      <w:r>
        <w:rPr>
          <w:rFonts w:hint="eastAsia" w:ascii="宋体" w:hAnsi="宋体"/>
          <w:color w:val="auto"/>
          <w:szCs w:val="21"/>
          <w:highlight w:val="none"/>
        </w:rPr>
        <w:t>（一）基本要求</w:t>
      </w:r>
      <w:bookmarkEnd w:id="1188"/>
      <w:bookmarkEnd w:id="1189"/>
      <w:bookmarkEnd w:id="1190"/>
    </w:p>
    <w:p>
      <w:pPr>
        <w:spacing w:line="360" w:lineRule="auto"/>
        <w:ind w:firstLine="420" w:firstLineChars="200"/>
        <w:jc w:val="left"/>
        <w:rPr>
          <w:rFonts w:ascii="宋体" w:hAnsi="宋体"/>
          <w:color w:val="auto"/>
          <w:szCs w:val="21"/>
          <w:highlight w:val="none"/>
        </w:rPr>
      </w:pPr>
      <w:bookmarkStart w:id="1191"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19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color w:val="auto"/>
          <w:szCs w:val="21"/>
          <w:highlight w:val="none"/>
        </w:rPr>
      </w:pPr>
      <w:bookmarkStart w:id="1192" w:name="_Toc247418279"/>
      <w:bookmarkStart w:id="1193" w:name="_Toc247431439"/>
      <w:bookmarkStart w:id="1194" w:name="_Toc239510305"/>
      <w:r>
        <w:rPr>
          <w:rFonts w:hint="eastAsia" w:ascii="宋体" w:hAnsi="宋体"/>
          <w:color w:val="auto"/>
          <w:szCs w:val="21"/>
          <w:highlight w:val="none"/>
        </w:rPr>
        <w:t>（二）现场作业基本安全条件</w:t>
      </w:r>
      <w:bookmarkEnd w:id="1192"/>
      <w:bookmarkEnd w:id="1193"/>
      <w:bookmarkEnd w:id="119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color w:val="auto"/>
          <w:szCs w:val="21"/>
          <w:highlight w:val="none"/>
        </w:rPr>
      </w:pPr>
      <w:bookmarkStart w:id="1195" w:name="_Toc247431440"/>
      <w:bookmarkStart w:id="1196" w:name="_Toc247418280"/>
      <w:bookmarkStart w:id="1197" w:name="_Toc239510306"/>
      <w:bookmarkStart w:id="1198" w:name="_Toc532375715"/>
      <w:r>
        <w:rPr>
          <w:rFonts w:hint="eastAsia" w:ascii="宋体" w:hAnsi="宋体"/>
          <w:color w:val="auto"/>
          <w:szCs w:val="21"/>
          <w:highlight w:val="none"/>
        </w:rPr>
        <w:t>十五、事故报告与应急救援</w:t>
      </w:r>
      <w:bookmarkEnd w:id="1195"/>
      <w:bookmarkEnd w:id="1196"/>
      <w:bookmarkEnd w:id="1197"/>
      <w:bookmarkEnd w:id="119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color w:val="auto"/>
          <w:szCs w:val="21"/>
          <w:highlight w:val="none"/>
        </w:rPr>
      </w:pPr>
      <w:bookmarkStart w:id="1199" w:name="_Toc239510307"/>
      <w:bookmarkStart w:id="1200" w:name="_Toc532375716"/>
      <w:bookmarkStart w:id="1201" w:name="_Toc247431441"/>
      <w:bookmarkStart w:id="1202" w:name="_Toc247418281"/>
      <w:r>
        <w:rPr>
          <w:rFonts w:hint="eastAsia" w:ascii="宋体" w:hAnsi="宋体"/>
          <w:color w:val="auto"/>
          <w:szCs w:val="21"/>
          <w:highlight w:val="none"/>
        </w:rPr>
        <w:t>十六、安全业绩考核</w:t>
      </w:r>
      <w:bookmarkEnd w:id="1199"/>
      <w:bookmarkEnd w:id="1200"/>
      <w:bookmarkEnd w:id="1201"/>
      <w:bookmarkEnd w:id="120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color w:val="auto"/>
          <w:szCs w:val="21"/>
          <w:highlight w:val="none"/>
        </w:rPr>
      </w:pPr>
      <w:bookmarkStart w:id="1203" w:name="_Toc247431442"/>
      <w:bookmarkStart w:id="1204" w:name="_Toc239510308"/>
      <w:bookmarkStart w:id="1205" w:name="_Toc532375717"/>
      <w:bookmarkStart w:id="1206" w:name="_Toc247418282"/>
      <w:r>
        <w:rPr>
          <w:rFonts w:hint="eastAsia" w:ascii="宋体" w:hAnsi="宋体"/>
          <w:color w:val="auto"/>
          <w:szCs w:val="21"/>
          <w:highlight w:val="none"/>
        </w:rPr>
        <w:t>十七、协议条款的修订</w:t>
      </w:r>
      <w:bookmarkEnd w:id="1203"/>
      <w:bookmarkEnd w:id="1204"/>
      <w:bookmarkEnd w:id="1205"/>
      <w:bookmarkEnd w:id="1206"/>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napToGrid w:val="0"/>
        <w:spacing w:line="360" w:lineRule="auto"/>
        <w:ind w:firstLine="56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noWrap w:val="0"/>
            <w:vAlign w:val="top"/>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top"/>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noWrap w:val="0"/>
            <w:vAlign w:val="top"/>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noWrap w:val="0"/>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noWrap w:val="0"/>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pPr>
        <w:rPr>
          <w:rFonts w:ascii="宋体" w:hAnsi="宋体"/>
          <w:color w:val="auto"/>
          <w:sz w:val="24"/>
          <w:highlight w:val="none"/>
        </w:rPr>
      </w:pPr>
    </w:p>
    <w:bookmarkEnd w:id="355"/>
    <w:p>
      <w:pPr>
        <w:spacing w:line="360" w:lineRule="auto"/>
        <w:ind w:firstLine="420" w:firstLineChars="200"/>
        <w:rPr>
          <w:rFonts w:ascii="宋体" w:hAnsi="宋体"/>
          <w:color w:val="auto"/>
          <w:szCs w:val="20"/>
          <w:highlight w:val="none"/>
        </w:rPr>
      </w:pPr>
      <w:bookmarkStart w:id="1207" w:name="招标文件05章工程量清单"/>
      <w:bookmarkEnd w:id="1207"/>
    </w:p>
    <w:p>
      <w:pPr>
        <w:pStyle w:val="2"/>
        <w:ind w:left="0" w:leftChars="0" w:firstLine="0" w:firstLineChars="0"/>
        <w:rPr>
          <w:rFonts w:hint="default" w:ascii="Times New Roman" w:hAnsi="Times New Roman" w:cs="Times New Roman"/>
          <w:color w:val="auto"/>
          <w:highlight w:val="none"/>
        </w:rPr>
      </w:pPr>
    </w:p>
    <w:p>
      <w:pPr>
        <w:pStyle w:val="3"/>
        <w:spacing w:line="360" w:lineRule="auto"/>
        <w:jc w:val="left"/>
        <w:rPr>
          <w:rFonts w:ascii="宋体" w:hAnsi="宋体"/>
          <w:highlight w:val="none"/>
        </w:rPr>
        <w:sectPr>
          <w:footerReference r:id="rId7" w:type="default"/>
          <w:pgSz w:w="11906" w:h="16838"/>
          <w:pgMar w:top="1304" w:right="1134" w:bottom="1304" w:left="1304" w:header="851" w:footer="992" w:gutter="0"/>
          <w:cols w:space="720" w:num="1"/>
          <w:docGrid w:type="lines" w:linePitch="312" w:charSpace="0"/>
        </w:sectPr>
      </w:pPr>
    </w:p>
    <w:bookmarkEnd w:id="349"/>
    <w:bookmarkEnd w:id="350"/>
    <w:bookmarkEnd w:id="351"/>
    <w:p>
      <w:pPr>
        <w:pStyle w:val="3"/>
        <w:spacing w:before="0" w:after="0" w:line="360" w:lineRule="auto"/>
        <w:jc w:val="center"/>
        <w:rPr>
          <w:rFonts w:ascii="宋体" w:hAnsi="宋体"/>
          <w:highlight w:val="none"/>
        </w:rPr>
      </w:pPr>
      <w:bookmarkStart w:id="1208" w:name="_Toc3098"/>
      <w:bookmarkStart w:id="1209" w:name="_Toc509218852"/>
      <w:bookmarkStart w:id="1210" w:name="_Toc287607865"/>
      <w:bookmarkStart w:id="1211" w:name="_Toc23843"/>
      <w:bookmarkStart w:id="1212" w:name="_Toc430530528"/>
      <w:bookmarkStart w:id="1213" w:name="_Toc534185829"/>
      <w:bookmarkStart w:id="1214" w:name="_Toc24390"/>
      <w:bookmarkStart w:id="1215" w:name="_Toc287620812"/>
      <w:r>
        <w:rPr>
          <w:rFonts w:hint="eastAsia" w:ascii="宋体" w:hAnsi="宋体"/>
          <w:highlight w:val="none"/>
        </w:rPr>
        <w:t>第五章  工程量清单</w:t>
      </w:r>
      <w:bookmarkStart w:id="1216" w:name="招标文件05章工程量清单01"/>
      <w:bookmarkEnd w:id="1216"/>
      <w:bookmarkStart w:id="1217" w:name="_Toc277082638"/>
      <w:bookmarkStart w:id="1218" w:name="_Toc287607856"/>
      <w:bookmarkStart w:id="1219" w:name="_Toc430530514"/>
      <w:bookmarkStart w:id="1220" w:name="_Toc287620798"/>
      <w:bookmarkStart w:id="1221" w:name="_Toc224103477"/>
    </w:p>
    <w:bookmarkEnd w:id="1217"/>
    <w:bookmarkEnd w:id="1218"/>
    <w:bookmarkEnd w:id="1219"/>
    <w:bookmarkEnd w:id="1220"/>
    <w:bookmarkEnd w:id="1221"/>
    <w:p>
      <w:pPr>
        <w:snapToGrid w:val="0"/>
        <w:spacing w:line="360" w:lineRule="auto"/>
        <w:jc w:val="center"/>
        <w:rPr>
          <w:rFonts w:ascii="宋体" w:hAnsi="宋体"/>
          <w:sz w:val="24"/>
          <w:highlight w:val="none"/>
        </w:rPr>
      </w:pPr>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ind w:right="561"/>
        <w:rPr>
          <w:rFonts w:ascii="宋体" w:hAnsi="宋体"/>
          <w:szCs w:val="21"/>
          <w:highlight w:val="none"/>
        </w:rPr>
      </w:pPr>
      <w:r>
        <w:rPr>
          <w:rFonts w:ascii="宋体" w:hAnsi="宋体"/>
          <w:sz w:val="24"/>
          <w:highlight w:val="none"/>
        </w:rPr>
        <w:br w:type="page"/>
      </w:r>
    </w:p>
    <w:p>
      <w:pPr>
        <w:spacing w:line="360" w:lineRule="auto"/>
        <w:rPr>
          <w:rFonts w:ascii="宋体" w:hAnsi="宋体"/>
          <w:szCs w:val="20"/>
          <w:highlight w:val="none"/>
        </w:rPr>
      </w:pPr>
    </w:p>
    <w:p>
      <w:pPr>
        <w:pStyle w:val="3"/>
        <w:spacing w:line="360" w:lineRule="auto"/>
        <w:jc w:val="center"/>
        <w:rPr>
          <w:rFonts w:hint="eastAsia" w:ascii="宋体" w:hAnsi="宋体" w:eastAsia="宋体"/>
          <w:highlight w:val="none"/>
          <w:lang w:eastAsia="zh-CN"/>
        </w:rPr>
      </w:pPr>
      <w:bookmarkStart w:id="1222" w:name="招标文件06章图纸"/>
      <w:bookmarkEnd w:id="1222"/>
      <w:bookmarkStart w:id="1223" w:name="_Toc534185825"/>
      <w:bookmarkStart w:id="1224" w:name="_Toc30298"/>
      <w:bookmarkStart w:id="1225" w:name="_Toc287607861"/>
      <w:bookmarkStart w:id="1226" w:name="_Toc22154"/>
      <w:bookmarkStart w:id="1227" w:name="_Toc287620803"/>
      <w:bookmarkStart w:id="1228" w:name="_Toc509218846"/>
      <w:bookmarkStart w:id="1229" w:name="_Toc8087"/>
      <w:bookmarkStart w:id="1230" w:name="_Toc430530519"/>
      <w:r>
        <w:rPr>
          <w:rFonts w:hint="eastAsia" w:ascii="宋体" w:hAnsi="宋体"/>
          <w:highlight w:val="none"/>
        </w:rPr>
        <w:t>第六章  图纸</w:t>
      </w:r>
      <w:bookmarkEnd w:id="1223"/>
      <w:bookmarkEnd w:id="1224"/>
      <w:bookmarkEnd w:id="1225"/>
      <w:bookmarkEnd w:id="1226"/>
      <w:bookmarkEnd w:id="1227"/>
      <w:bookmarkEnd w:id="1228"/>
      <w:bookmarkEnd w:id="1229"/>
      <w:bookmarkEnd w:id="1230"/>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spacing w:line="360" w:lineRule="auto"/>
        <w:jc w:val="center"/>
        <w:rPr>
          <w:rFonts w:ascii="宋体" w:hAnsi="宋体"/>
          <w:szCs w:val="20"/>
          <w:highlight w:val="none"/>
        </w:rPr>
      </w:pPr>
    </w:p>
    <w:p>
      <w:pPr>
        <w:spacing w:line="360" w:lineRule="auto"/>
        <w:rPr>
          <w:rFonts w:ascii="宋体" w:hAnsi="宋体"/>
          <w:szCs w:val="20"/>
          <w:highlight w:val="none"/>
        </w:rPr>
      </w:pPr>
      <w:bookmarkStart w:id="1231" w:name="招标文件06章图纸01"/>
      <w:bookmarkEnd w:id="1231"/>
      <w:bookmarkStart w:id="1232" w:name="_Toc430530520"/>
      <w:bookmarkStart w:id="1233" w:name="_Toc287620804"/>
    </w:p>
    <w:bookmarkEnd w:id="1232"/>
    <w:bookmarkEnd w:id="1233"/>
    <w:p>
      <w:pPr>
        <w:spacing w:line="360" w:lineRule="auto"/>
        <w:rPr>
          <w:rFonts w:ascii="宋体" w:hAnsi="宋体"/>
          <w:highlight w:val="none"/>
        </w:rPr>
      </w:pPr>
      <w:r>
        <w:rPr>
          <w:rFonts w:ascii="宋体" w:hAnsi="宋体"/>
          <w:szCs w:val="20"/>
          <w:highlight w:val="none"/>
        </w:rPr>
        <w:br w:type="page"/>
      </w:r>
    </w:p>
    <w:p>
      <w:pPr>
        <w:pStyle w:val="3"/>
        <w:spacing w:line="360" w:lineRule="auto"/>
        <w:jc w:val="center"/>
        <w:rPr>
          <w:rFonts w:ascii="宋体" w:hAnsi="宋体"/>
          <w:highlight w:val="none"/>
        </w:rPr>
      </w:pPr>
      <w:bookmarkStart w:id="1234" w:name="招标文件07章技术标准和要求"/>
      <w:bookmarkEnd w:id="1234"/>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Start w:id="1235" w:name="招标文件07章技术标准和要求01"/>
      <w:bookmarkEnd w:id="1235"/>
      <w:bookmarkStart w:id="1236" w:name="_Toc430530524"/>
      <w:bookmarkStart w:id="1237" w:name="_Toc287620808"/>
    </w:p>
    <w:bookmarkEnd w:id="1236"/>
    <w:bookmarkEnd w:id="1237"/>
    <w:p>
      <w:pPr>
        <w:spacing w:line="360" w:lineRule="auto"/>
        <w:jc w:val="center"/>
        <w:rPr>
          <w:rFonts w:ascii="宋体" w:hAnsi="宋体"/>
          <w:szCs w:val="21"/>
          <w:highlight w:val="none"/>
        </w:rPr>
      </w:pPr>
      <w:r>
        <w:rPr>
          <w:rFonts w:ascii="宋体" w:hAnsi="宋体"/>
          <w:szCs w:val="21"/>
          <w:highlight w:val="none"/>
        </w:rPr>
        <w:t>由</w:t>
      </w:r>
      <w:r>
        <w:rPr>
          <w:rFonts w:hint="eastAsia" w:ascii="宋体" w:hAnsi="宋体"/>
          <w:szCs w:val="21"/>
          <w:highlight w:val="none"/>
          <w:lang w:eastAsia="zh-CN"/>
        </w:rPr>
        <w:t>比选人</w:t>
      </w:r>
      <w:r>
        <w:rPr>
          <w:rFonts w:ascii="宋体" w:hAnsi="宋体"/>
          <w:szCs w:val="21"/>
          <w:highlight w:val="none"/>
        </w:rPr>
        <w:t>根据招标项目的实际情况编写</w:t>
      </w:r>
      <w:r>
        <w:rPr>
          <w:rFonts w:hint="eastAsia" w:ascii="宋体" w:hAnsi="宋体"/>
          <w:szCs w:val="21"/>
          <w:highlight w:val="none"/>
        </w:rPr>
        <w:t>（如有）。</w:t>
      </w:r>
    </w:p>
    <w:p>
      <w:pPr>
        <w:spacing w:line="360" w:lineRule="auto"/>
        <w:rPr>
          <w:rFonts w:ascii="宋体" w:hAnsi="宋体"/>
          <w:highlight w:val="none"/>
        </w:rPr>
      </w:pPr>
      <w:r>
        <w:rPr>
          <w:rFonts w:ascii="宋体" w:hAnsi="宋体"/>
          <w:highlight w:val="none"/>
        </w:rPr>
        <w:br w:type="page"/>
      </w:r>
    </w:p>
    <w:p>
      <w:pPr>
        <w:pStyle w:val="3"/>
        <w:spacing w:line="360" w:lineRule="auto"/>
        <w:jc w:val="center"/>
        <w:rPr>
          <w:rFonts w:ascii="宋体" w:hAnsi="宋体"/>
          <w:highlight w:val="none"/>
        </w:rPr>
      </w:pPr>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p>
    <w:bookmarkEnd w:id="1208"/>
    <w:bookmarkEnd w:id="1209"/>
    <w:bookmarkEnd w:id="1210"/>
    <w:bookmarkEnd w:id="1211"/>
    <w:bookmarkEnd w:id="1212"/>
    <w:bookmarkEnd w:id="1213"/>
    <w:bookmarkEnd w:id="1214"/>
    <w:bookmarkEnd w:id="1215"/>
    <w:p>
      <w:pPr>
        <w:spacing w:line="360" w:lineRule="auto"/>
        <w:rPr>
          <w:rFonts w:ascii="宋体" w:hAnsi="宋体"/>
          <w:sz w:val="32"/>
          <w:szCs w:val="32"/>
          <w:highlight w:val="none"/>
        </w:rPr>
      </w:pPr>
    </w:p>
    <w:p>
      <w:pPr>
        <w:spacing w:line="360" w:lineRule="auto"/>
        <w:jc w:val="center"/>
        <w:rPr>
          <w:rFonts w:ascii="宋体" w:hAnsi="宋体"/>
          <w:sz w:val="36"/>
          <w:szCs w:val="36"/>
          <w:highlight w:val="none"/>
        </w:rPr>
      </w:pPr>
      <w:bookmarkStart w:id="1238" w:name="_Toc224103493"/>
      <w:r>
        <w:rPr>
          <w:rFonts w:hint="eastAsia" w:ascii="宋体" w:hAnsi="宋体"/>
          <w:sz w:val="36"/>
          <w:szCs w:val="36"/>
          <w:highlight w:val="none"/>
        </w:rPr>
        <w:t>目  录</w:t>
      </w:r>
      <w:bookmarkEnd w:id="1238"/>
    </w:p>
    <w:p>
      <w:pPr>
        <w:spacing w:line="360" w:lineRule="auto"/>
        <w:jc w:val="center"/>
        <w:rPr>
          <w:rFonts w:ascii="宋体" w:hAnsi="宋体"/>
          <w:szCs w:val="20"/>
          <w:highlight w:val="none"/>
        </w:rPr>
      </w:pPr>
    </w:p>
    <w:p>
      <w:pPr>
        <w:spacing w:line="360" w:lineRule="auto"/>
        <w:rPr>
          <w:rFonts w:ascii="宋体" w:hAnsi="宋体"/>
          <w:b/>
          <w:highlight w:val="none"/>
        </w:rPr>
      </w:pPr>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p>
    <w:p>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pPr>
        <w:spacing w:line="360" w:lineRule="auto"/>
        <w:ind w:firstLine="420" w:firstLineChars="200"/>
        <w:rPr>
          <w:rFonts w:hint="eastAsia"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bookmarkStart w:id="1239" w:name="_Toc224103498"/>
      <w:bookmarkStart w:id="1240" w:name="_Toc287607870"/>
      <w:bookmarkStart w:id="1241" w:name="_Toc287620817"/>
      <w:bookmarkStart w:id="1242" w:name="_Toc277082646"/>
      <w:bookmarkStart w:id="1243" w:name="_Toc57905922"/>
      <w:bookmarkStart w:id="1244" w:name="_Toc13933"/>
    </w:p>
    <w:p>
      <w:pPr>
        <w:spacing w:line="360" w:lineRule="auto"/>
        <w:ind w:firstLine="420" w:firstLineChars="200"/>
      </w:pPr>
      <w:r>
        <w:rPr>
          <w:rFonts w:hint="eastAsia" w:ascii="宋体" w:hAnsi="宋体" w:eastAsia="宋体" w:cs="Times New Roman"/>
          <w:b w:val="0"/>
          <w:bCs w:val="0"/>
          <w:kern w:val="2"/>
          <w:sz w:val="21"/>
          <w:szCs w:val="24"/>
          <w:highlight w:val="none"/>
          <w:lang w:val="en-US" w:eastAsia="zh-CN" w:bidi="ar-SA"/>
        </w:rPr>
        <w:t>（四）</w:t>
      </w:r>
      <w:bookmarkEnd w:id="1239"/>
      <w:bookmarkEnd w:id="1240"/>
      <w:bookmarkEnd w:id="1241"/>
      <w:bookmarkEnd w:id="1242"/>
      <w:r>
        <w:rPr>
          <w:rFonts w:hint="eastAsia" w:ascii="宋体" w:hAnsi="宋体" w:eastAsia="宋体" w:cs="Times New Roman"/>
          <w:b w:val="0"/>
          <w:bCs w:val="0"/>
          <w:kern w:val="2"/>
          <w:sz w:val="21"/>
          <w:szCs w:val="24"/>
          <w:highlight w:val="none"/>
          <w:lang w:val="en-US" w:eastAsia="zh-CN" w:bidi="ar-SA"/>
        </w:rPr>
        <w:t>低价风险担保提交承诺书</w:t>
      </w:r>
      <w:bookmarkEnd w:id="1243"/>
      <w:bookmarkEnd w:id="1244"/>
    </w:p>
    <w:p>
      <w:pPr>
        <w:spacing w:line="360" w:lineRule="auto"/>
        <w:rPr>
          <w:rFonts w:ascii="宋体" w:hAnsi="宋体"/>
          <w:b/>
          <w:highlight w:val="none"/>
        </w:rPr>
      </w:pPr>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经济</w:t>
      </w:r>
      <w:r>
        <w:rPr>
          <w:rFonts w:ascii="宋体" w:hAnsi="宋体"/>
          <w:b/>
          <w:highlight w:val="none"/>
        </w:rPr>
        <w:t>部分</w:t>
      </w:r>
    </w:p>
    <w:p>
      <w:pPr>
        <w:spacing w:line="360" w:lineRule="auto"/>
        <w:ind w:firstLine="420" w:firstLineChars="200"/>
        <w:rPr>
          <w:rFonts w:ascii="宋体" w:hAnsi="宋体"/>
          <w:highlight w:val="none"/>
        </w:rPr>
      </w:pPr>
      <w:r>
        <w:rPr>
          <w:rFonts w:ascii="宋体" w:hAnsi="宋体"/>
          <w:highlight w:val="none"/>
        </w:rPr>
        <w:t>已标价工程量清单</w:t>
      </w:r>
    </w:p>
    <w:p>
      <w:pPr>
        <w:spacing w:line="360" w:lineRule="auto"/>
        <w:rPr>
          <w:rFonts w:ascii="宋体" w:hAnsi="宋体"/>
          <w:b/>
          <w:highlight w:val="none"/>
        </w:rPr>
      </w:pPr>
      <w:r>
        <w:rPr>
          <w:rFonts w:hint="eastAsia" w:ascii="宋体" w:hAnsi="宋体"/>
          <w:b/>
          <w:highlight w:val="none"/>
          <w:lang w:val="en-US" w:eastAsia="zh-CN"/>
        </w:rPr>
        <w:t>三</w:t>
      </w:r>
      <w:r>
        <w:rPr>
          <w:rFonts w:ascii="宋体" w:hAnsi="宋体"/>
          <w:b/>
          <w:highlight w:val="none"/>
        </w:rPr>
        <w:t>、</w:t>
      </w:r>
      <w:r>
        <w:rPr>
          <w:rFonts w:hint="eastAsia" w:ascii="宋体" w:hAnsi="宋体"/>
          <w:b/>
          <w:highlight w:val="none"/>
        </w:rPr>
        <w:t>资格审查部分</w:t>
      </w: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）其他资料</w:t>
      </w:r>
    </w:p>
    <w:p>
      <w:pPr>
        <w:spacing w:line="360" w:lineRule="auto"/>
        <w:rPr>
          <w:rFonts w:ascii="宋体" w:hAnsi="宋体"/>
          <w:highlight w:val="none"/>
        </w:rPr>
      </w:pPr>
    </w:p>
    <w:p>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1245" w:name="_Toc287607866"/>
      <w:bookmarkStart w:id="1246" w:name="_Toc430530529"/>
      <w:bookmarkStart w:id="1247" w:name="_Toc224103494"/>
      <w:bookmarkStart w:id="1248" w:name="_Toc277082642"/>
      <w:bookmarkStart w:id="1249" w:name="_Toc287620813"/>
    </w:p>
    <w:p>
      <w:pPr>
        <w:pStyle w:val="4"/>
        <w:spacing w:line="360" w:lineRule="auto"/>
        <w:jc w:val="center"/>
        <w:rPr>
          <w:rFonts w:ascii="宋体" w:hAnsi="宋体"/>
          <w:b w:val="0"/>
          <w:bCs w:val="0"/>
          <w:sz w:val="44"/>
          <w:szCs w:val="44"/>
          <w:highlight w:val="none"/>
        </w:rPr>
      </w:pPr>
      <w:bookmarkStart w:id="1250" w:name="_Toc19476"/>
      <w:bookmarkStart w:id="1251" w:name="_Toc27035"/>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1245"/>
      <w:bookmarkEnd w:id="1246"/>
      <w:bookmarkEnd w:id="1247"/>
      <w:bookmarkEnd w:id="1248"/>
      <w:bookmarkEnd w:id="1249"/>
      <w:bookmarkEnd w:id="1250"/>
      <w:bookmarkEnd w:id="1251"/>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highlight w:val="none"/>
        </w:rPr>
      </w:pPr>
    </w:p>
    <w:p>
      <w:pPr>
        <w:pStyle w:val="5"/>
        <w:spacing w:before="0" w:after="0" w:line="400" w:lineRule="exact"/>
        <w:jc w:val="center"/>
        <w:rPr>
          <w:rFonts w:hint="eastAsia" w:ascii="宋体" w:hAnsi="宋体" w:eastAsia="宋体"/>
          <w:b w:val="0"/>
          <w:highlight w:val="none"/>
          <w:lang w:eastAsia="zh-CN"/>
        </w:rPr>
      </w:pPr>
      <w:bookmarkStart w:id="1252" w:name="_Toc277082643"/>
      <w:bookmarkStart w:id="1253" w:name="_Toc509218854"/>
      <w:bookmarkStart w:id="1254" w:name="_Toc287620814"/>
      <w:bookmarkStart w:id="1255" w:name="_Toc287607867"/>
      <w:bookmarkStart w:id="1256" w:name="_Toc430530530"/>
      <w:bookmarkStart w:id="1257" w:name="_Toc534185831"/>
      <w:bookmarkStart w:id="1258" w:name="_Toc224103495"/>
      <w:r>
        <w:rPr>
          <w:rFonts w:ascii="宋体" w:hAnsi="宋体"/>
          <w:highlight w:val="none"/>
        </w:rPr>
        <w:br w:type="page"/>
      </w:r>
      <w:bookmarkStart w:id="1259" w:name="_Toc26071"/>
      <w:bookmarkStart w:id="1260" w:name="_Toc882"/>
      <w:r>
        <w:rPr>
          <w:rFonts w:hint="eastAsia"/>
          <w:highlight w:val="none"/>
        </w:rPr>
        <w:t>（一）</w:t>
      </w:r>
      <w:bookmarkEnd w:id="1252"/>
      <w:bookmarkEnd w:id="1253"/>
      <w:bookmarkEnd w:id="1254"/>
      <w:bookmarkEnd w:id="1255"/>
      <w:bookmarkEnd w:id="1256"/>
      <w:bookmarkEnd w:id="1257"/>
      <w:bookmarkEnd w:id="1258"/>
      <w:bookmarkEnd w:id="1259"/>
      <w:r>
        <w:rPr>
          <w:rFonts w:hint="eastAsia"/>
          <w:highlight w:val="none"/>
          <w:lang w:eastAsia="zh-CN"/>
        </w:rPr>
        <w:t>竞选函</w:t>
      </w:r>
      <w:bookmarkEnd w:id="1260"/>
    </w:p>
    <w:p>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pPr>
        <w:tabs>
          <w:tab w:val="left" w:pos="546"/>
          <w:tab w:val="left" w:pos="711"/>
        </w:tabs>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其中安全文明施工费为</w:t>
      </w:r>
      <w:r>
        <w:rPr>
          <w:rFonts w:hint="eastAsia" w:ascii="宋体" w:hAnsi="宋体"/>
          <w:snapToGrid w:val="0"/>
          <w:kern w:val="0"/>
          <w:szCs w:val="21"/>
          <w:highlight w:val="none"/>
          <w:u w:val="single"/>
          <w:lang w:val="en-US" w:eastAsia="zh-CN"/>
        </w:rPr>
        <w:t xml:space="preserve">         元</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pPr>
        <w:pStyle w:val="5"/>
        <w:jc w:val="center"/>
        <w:rPr>
          <w:rFonts w:ascii="宋体" w:hAnsi="宋体"/>
          <w:snapToGrid w:val="0"/>
          <w:kern w:val="0"/>
          <w:szCs w:val="21"/>
          <w:highlight w:val="none"/>
        </w:rPr>
      </w:pPr>
      <w:bookmarkStart w:id="1261" w:name="_Toc277082644"/>
      <w:bookmarkStart w:id="1262" w:name="_Toc287607868"/>
      <w:bookmarkStart w:id="1263" w:name="_Toc287620815"/>
      <w:bookmarkStart w:id="1264" w:name="_Toc224103496"/>
      <w:bookmarkStart w:id="1265" w:name="_Toc430530531"/>
      <w:r>
        <w:rPr>
          <w:rFonts w:ascii="宋体" w:hAnsi="宋体"/>
          <w:sz w:val="28"/>
          <w:highlight w:val="none"/>
        </w:rPr>
        <w:br w:type="page"/>
      </w:r>
      <w:bookmarkStart w:id="1266" w:name="_Toc30967"/>
      <w:bookmarkStart w:id="1267" w:name="_Toc6045"/>
      <w:bookmarkStart w:id="1268" w:name="_Toc509218855"/>
      <w:bookmarkStart w:id="1269" w:name="_Toc534185832"/>
      <w:r>
        <w:rPr>
          <w:highlight w:val="none"/>
        </w:rPr>
        <w:t>（二）</w:t>
      </w:r>
      <w:r>
        <w:rPr>
          <w:rFonts w:hint="eastAsia"/>
          <w:highlight w:val="none"/>
          <w:lang w:eastAsia="zh-CN"/>
        </w:rPr>
        <w:t>竞选函</w:t>
      </w:r>
      <w:r>
        <w:rPr>
          <w:highlight w:val="none"/>
        </w:rPr>
        <w:t>附录</w:t>
      </w:r>
      <w:bookmarkEnd w:id="1261"/>
      <w:bookmarkEnd w:id="1262"/>
      <w:bookmarkEnd w:id="1263"/>
      <w:bookmarkEnd w:id="1264"/>
      <w:bookmarkEnd w:id="1265"/>
      <w:bookmarkEnd w:id="1266"/>
      <w:bookmarkEnd w:id="1267"/>
      <w:bookmarkEnd w:id="1268"/>
      <w:bookmarkEnd w:id="126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项目经理</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1.1.2.8</w:t>
            </w:r>
          </w:p>
        </w:tc>
        <w:tc>
          <w:tcPr>
            <w:tcW w:w="2987" w:type="dxa"/>
            <w:vAlign w:val="center"/>
          </w:tcPr>
          <w:p>
            <w:pPr>
              <w:tabs>
                <w:tab w:val="left" w:pos="2190"/>
              </w:tabs>
              <w:autoSpaceDE w:val="0"/>
              <w:autoSpaceDN w:val="0"/>
              <w:adjustRightInd w:val="0"/>
              <w:ind w:firstLine="420" w:firstLineChars="200"/>
              <w:jc w:val="left"/>
              <w:rPr>
                <w:rFonts w:hint="eastAsia" w:ascii="宋体" w:hAnsi="宋体" w:eastAsia="宋体"/>
                <w:snapToGrid w:val="0"/>
                <w:kern w:val="0"/>
                <w:szCs w:val="21"/>
                <w:highlight w:val="none"/>
                <w:lang w:val="en-US" w:eastAsia="zh-CN"/>
              </w:rPr>
            </w:pPr>
            <w:r>
              <w:rPr>
                <w:rFonts w:ascii="宋体" w:hAnsi="宋体"/>
                <w:snapToGrid w:val="0"/>
                <w:kern w:val="0"/>
                <w:sz w:val="21"/>
                <w:szCs w:val="21"/>
              </w:rPr>
              <w:t>姓名：</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2</w:t>
            </w:r>
          </w:p>
        </w:tc>
        <w:tc>
          <w:tcPr>
            <w:tcW w:w="2582" w:type="dxa"/>
            <w:vAlign w:val="center"/>
          </w:tcPr>
          <w:p>
            <w:pPr>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工期</w:t>
            </w:r>
          </w:p>
        </w:tc>
        <w:tc>
          <w:tcPr>
            <w:tcW w:w="2388" w:type="dxa"/>
            <w:vAlign w:val="center"/>
          </w:tcPr>
          <w:p>
            <w:pPr>
              <w:tabs>
                <w:tab w:val="left" w:pos="2051"/>
              </w:tabs>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1.1.4.3</w:t>
            </w:r>
          </w:p>
        </w:tc>
        <w:tc>
          <w:tcPr>
            <w:tcW w:w="2987" w:type="dxa"/>
            <w:vAlign w:val="center"/>
          </w:tcPr>
          <w:p>
            <w:pPr>
              <w:tabs>
                <w:tab w:val="left" w:pos="1560"/>
              </w:tabs>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天数：</w:t>
            </w:r>
            <w:r>
              <w:rPr>
                <w:rFonts w:ascii="宋体" w:hAnsi="宋体"/>
                <w:snapToGrid w:val="0"/>
                <w:kern w:val="0"/>
                <w:sz w:val="21"/>
                <w:szCs w:val="21"/>
                <w:u w:val="single"/>
              </w:rPr>
              <w:tab/>
            </w:r>
            <w:r>
              <w:rPr>
                <w:rFonts w:ascii="宋体" w:hAnsi="宋体"/>
                <w:snapToGrid w:val="0"/>
                <w:kern w:val="0"/>
                <w:sz w:val="21"/>
                <w:szCs w:val="21"/>
              </w:rPr>
              <w:t>日历天</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highlight w:val="none"/>
              </w:rPr>
            </w:pPr>
            <w:r>
              <w:rPr>
                <w:rFonts w:ascii="宋体" w:hAnsi="宋体"/>
                <w:snapToGrid w:val="0"/>
                <w:kern w:val="0"/>
                <w:sz w:val="21"/>
                <w:szCs w:val="21"/>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缺陷责任期</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1.1.4.4</w:t>
            </w:r>
          </w:p>
        </w:tc>
        <w:tc>
          <w:tcPr>
            <w:tcW w:w="2987" w:type="dxa"/>
            <w:vAlign w:val="center"/>
          </w:tcPr>
          <w:p>
            <w:pPr>
              <w:autoSpaceDE w:val="0"/>
              <w:autoSpaceDN w:val="0"/>
              <w:adjustRightInd w:val="0"/>
              <w:jc w:val="center"/>
              <w:rPr>
                <w:rFonts w:hint="eastAsia" w:ascii="宋体" w:hAnsi="宋体"/>
                <w:snapToGrid w:val="0"/>
                <w:kern w:val="0"/>
                <w:szCs w:val="21"/>
                <w:highlight w:val="none"/>
                <w:lang w:val="en-US" w:eastAsia="zh-CN"/>
              </w:rPr>
            </w:pP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不允许</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合格</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bl>
    <w:p>
      <w:pPr>
        <w:spacing w:line="360" w:lineRule="auto"/>
        <w:rPr>
          <w:rFonts w:ascii="宋体" w:hAnsi="宋体"/>
          <w:snapToGrid w:val="0"/>
          <w:w w:val="99"/>
          <w:highlight w:val="none"/>
        </w:rPr>
      </w:pP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1270" w:name="_Toc287620816"/>
      <w:bookmarkStart w:id="1271" w:name="_Toc277082645"/>
      <w:bookmarkStart w:id="1272" w:name="_Toc287607869"/>
      <w:bookmarkStart w:id="1273" w:name="_Toc20860"/>
      <w:bookmarkStart w:id="1274" w:name="_Toc430530532"/>
      <w:bookmarkStart w:id="1275" w:name="_Toc224103497"/>
      <w:bookmarkStart w:id="1276" w:name="_Toc8650"/>
      <w:r>
        <w:rPr>
          <w:sz w:val="30"/>
          <w:szCs w:val="30"/>
          <w:highlight w:val="none"/>
        </w:rPr>
        <w:t>（三）</w:t>
      </w:r>
      <w:r>
        <w:rPr>
          <w:rFonts w:hint="eastAsia"/>
          <w:sz w:val="30"/>
          <w:szCs w:val="30"/>
          <w:highlight w:val="none"/>
        </w:rPr>
        <w:t>法定代表人身份证明或附有法定代表人身份证明的授权委托书</w:t>
      </w:r>
      <w:bookmarkEnd w:id="1270"/>
      <w:bookmarkEnd w:id="1271"/>
      <w:bookmarkEnd w:id="1272"/>
      <w:bookmarkEnd w:id="1273"/>
      <w:bookmarkEnd w:id="1274"/>
      <w:bookmarkEnd w:id="1275"/>
      <w:bookmarkEnd w:id="1276"/>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jc w:val="left"/>
        <w:rPr>
          <w:rFonts w:ascii="宋体" w:hAnsi="宋体"/>
          <w:highlight w:val="none"/>
        </w:rPr>
        <w:sectPr>
          <w:pgSz w:w="11906" w:h="16838"/>
          <w:pgMar w:top="1304" w:right="1134" w:bottom="1304" w:left="1304" w:header="851" w:footer="992" w:gutter="0"/>
          <w:cols w:space="720" w:num="1"/>
          <w:docGrid w:type="lines" w:linePitch="312" w:charSpace="0"/>
        </w:sect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jc w:val="center"/>
        <w:rPr>
          <w:color w:val="auto"/>
          <w:highlight w:val="none"/>
        </w:rPr>
      </w:pPr>
      <w:r>
        <w:rPr>
          <w:color w:val="auto"/>
          <w:highlight w:val="none"/>
        </w:rPr>
        <w:t>（四）</w:t>
      </w:r>
      <w:r>
        <w:rPr>
          <w:rFonts w:hint="eastAsia"/>
          <w:color w:val="auto"/>
          <w:highlight w:val="none"/>
        </w:rPr>
        <w:t>低价风险担保提交承诺书</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竞选人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highlight w:val="none"/>
        </w:rPr>
      </w:pP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2"/>
        <w:sectPr>
          <w:pgSz w:w="11906" w:h="16838"/>
          <w:pgMar w:top="1304" w:right="1134" w:bottom="1304" w:left="1304" w:header="851" w:footer="992" w:gutter="0"/>
          <w:cols w:space="720" w:num="1"/>
          <w:docGrid w:type="lines" w:linePitch="312" w:charSpace="0"/>
        </w:sectPr>
      </w:pPr>
    </w:p>
    <w:p/>
    <w:p>
      <w:pPr>
        <w:spacing w:line="360" w:lineRule="auto"/>
        <w:jc w:val="center"/>
        <w:rPr>
          <w:rFonts w:ascii="宋体" w:hAnsi="宋体"/>
          <w:b w:val="0"/>
          <w:bCs w:val="0"/>
          <w:sz w:val="44"/>
          <w:szCs w:val="44"/>
          <w:highlight w:val="none"/>
        </w:rPr>
      </w:pPr>
      <w:bookmarkStart w:id="1277" w:name="_Toc11887"/>
      <w:bookmarkStart w:id="1278" w:name="_Toc23891"/>
      <w:bookmarkStart w:id="1279" w:name="_Toc430530545"/>
      <w:bookmarkStart w:id="1280" w:name="_Toc287607882"/>
      <w:bookmarkStart w:id="1281" w:name="_Toc287620829"/>
      <w:bookmarkStart w:id="1282" w:name="_Toc224103510"/>
      <w:bookmarkStart w:id="1283" w:name="_Toc277082656"/>
      <w:bookmarkStart w:id="1284" w:name="_Toc19372"/>
      <w:bookmarkStart w:id="1285"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、经济部分</w:t>
      </w:r>
      <w:bookmarkEnd w:id="1277"/>
      <w:bookmarkEnd w:id="127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240" w:firstLineChars="700"/>
        <w:jc w:val="left"/>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Cs w:val="21"/>
          <w:highlight w:val="none"/>
        </w:rPr>
      </w:pPr>
    </w:p>
    <w:p>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w:t>
      </w:r>
      <w:r>
        <w:rPr>
          <w:rFonts w:hint="eastAsia" w:ascii="宋体" w:hAnsi="宋体"/>
          <w:i/>
          <w:iCs/>
          <w:kern w:val="0"/>
          <w:szCs w:val="21"/>
          <w:highlight w:val="none"/>
          <w:lang w:eastAsia="zh-CN"/>
        </w:rPr>
        <w:t>竞选人</w:t>
      </w:r>
      <w:r>
        <w:rPr>
          <w:rFonts w:ascii="宋体" w:hAnsi="宋体"/>
          <w:i/>
          <w:iCs/>
          <w:kern w:val="0"/>
          <w:szCs w:val="21"/>
          <w:highlight w:val="none"/>
        </w:rPr>
        <w:t>自行编制]</w:t>
      </w:r>
    </w:p>
    <w:p>
      <w:pPr>
        <w:autoSpaceDE w:val="0"/>
        <w:autoSpaceDN w:val="0"/>
        <w:adjustRightInd w:val="0"/>
        <w:snapToGrid w:val="0"/>
        <w:spacing w:line="360" w:lineRule="auto"/>
        <w:jc w:val="left"/>
        <w:rPr>
          <w:rFonts w:ascii="宋体" w:hAnsi="宋体"/>
          <w:w w:val="99"/>
          <w:kern w:val="0"/>
          <w:sz w:val="28"/>
          <w:szCs w:val="28"/>
          <w:highlight w:val="none"/>
        </w:rPr>
      </w:pP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1286" w:name="_Toc287620820"/>
      <w:bookmarkStart w:id="1287" w:name="_Toc277082648"/>
      <w:bookmarkStart w:id="1288" w:name="_Toc430530535"/>
      <w:bookmarkStart w:id="1289" w:name="_Toc287607873"/>
      <w:bookmarkStart w:id="1290" w:name="_Toc224103501"/>
    </w:p>
    <w:p>
      <w:pPr>
        <w:pStyle w:val="5"/>
        <w:jc w:val="center"/>
        <w:rPr>
          <w:highlight w:val="none"/>
        </w:rPr>
      </w:pPr>
      <w:bookmarkStart w:id="1291" w:name="_Toc28475"/>
      <w:bookmarkStart w:id="1292" w:name="_Toc28369"/>
      <w:r>
        <w:rPr>
          <w:rFonts w:hint="eastAsia"/>
          <w:highlight w:val="none"/>
        </w:rPr>
        <w:t>（一）已标价工程量清单</w:t>
      </w:r>
      <w:bookmarkEnd w:id="1286"/>
      <w:bookmarkEnd w:id="1287"/>
      <w:bookmarkEnd w:id="1288"/>
      <w:bookmarkEnd w:id="1289"/>
      <w:bookmarkEnd w:id="1290"/>
      <w:bookmarkEnd w:id="1291"/>
      <w:bookmarkEnd w:id="1292"/>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p>
    <w:p>
      <w:pPr>
        <w:pStyle w:val="4"/>
        <w:spacing w:line="360" w:lineRule="auto"/>
        <w:jc w:val="center"/>
        <w:rPr>
          <w:rFonts w:ascii="宋体" w:hAnsi="宋体"/>
          <w:b w:val="0"/>
          <w:bCs w:val="0"/>
          <w:sz w:val="44"/>
          <w:szCs w:val="44"/>
          <w:highlight w:val="none"/>
        </w:rPr>
      </w:pPr>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bookmarkEnd w:id="1279"/>
      <w:bookmarkEnd w:id="1280"/>
      <w:bookmarkEnd w:id="1281"/>
      <w:bookmarkEnd w:id="1282"/>
      <w:bookmarkEnd w:id="1283"/>
      <w:r>
        <w:rPr>
          <w:rFonts w:hint="eastAsia" w:ascii="宋体" w:hAnsi="宋体"/>
          <w:b w:val="0"/>
          <w:bCs w:val="0"/>
          <w:sz w:val="44"/>
          <w:szCs w:val="44"/>
          <w:highlight w:val="none"/>
        </w:rPr>
        <w:t>资格审查部分</w:t>
      </w:r>
      <w:bookmarkEnd w:id="1284"/>
      <w:bookmarkEnd w:id="1285"/>
    </w:p>
    <w:p>
      <w:pPr>
        <w:spacing w:line="360" w:lineRule="auto"/>
        <w:rPr>
          <w:rFonts w:ascii="宋体" w:hAnsi="宋体"/>
          <w:sz w:val="32"/>
          <w:szCs w:val="32"/>
          <w:highlight w:val="none"/>
        </w:rPr>
      </w:pPr>
    </w:p>
    <w:p>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jc w:val="center"/>
        <w:rPr>
          <w:rFonts w:hint="eastAsia" w:ascii="宋体" w:hAnsi="宋体"/>
          <w:kern w:val="0"/>
          <w:sz w:val="36"/>
          <w:szCs w:val="36"/>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）类似项目情况表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）其他资料</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pStyle w:val="5"/>
        <w:jc w:val="center"/>
        <w:rPr>
          <w:rFonts w:ascii="宋体" w:hAnsi="宋体"/>
          <w:snapToGrid w:val="0"/>
          <w:kern w:val="0"/>
          <w:sz w:val="30"/>
          <w:szCs w:val="30"/>
          <w:highlight w:val="none"/>
        </w:rPr>
      </w:pPr>
      <w:r>
        <w:rPr>
          <w:rFonts w:ascii="宋体" w:hAnsi="宋体"/>
          <w:highlight w:val="none"/>
        </w:rPr>
        <w:br w:type="page"/>
      </w:r>
      <w:bookmarkStart w:id="1293" w:name="_Toc5633"/>
      <w:bookmarkStart w:id="1294" w:name="_Toc26444"/>
      <w:bookmarkStart w:id="1295" w:name="_Toc430530546"/>
      <w:bookmarkStart w:id="1296" w:name="_Toc224103511"/>
      <w:bookmarkStart w:id="1297" w:name="_Toc287620830"/>
      <w:bookmarkStart w:id="1298" w:name="_Toc277082657"/>
      <w:bookmarkStart w:id="1299" w:name="_Toc287607883"/>
      <w:r>
        <w:rPr>
          <w:sz w:val="30"/>
          <w:szCs w:val="30"/>
          <w:highlight w:val="none"/>
        </w:rPr>
        <w:t>（一）</w:t>
      </w:r>
      <w:r>
        <w:rPr>
          <w:rFonts w:hint="eastAsia"/>
          <w:sz w:val="30"/>
          <w:szCs w:val="30"/>
          <w:highlight w:val="none"/>
        </w:rPr>
        <w:t>法定代表人身份证明或附有法定代表人身份证明的授权委托书</w:t>
      </w:r>
      <w:bookmarkEnd w:id="1293"/>
      <w:bookmarkEnd w:id="1294"/>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autoSpaceDE w:val="0"/>
        <w:autoSpaceDN w:val="0"/>
        <w:adjustRightInd w:val="0"/>
        <w:snapToGrid w:val="0"/>
        <w:spacing w:line="360" w:lineRule="auto"/>
        <w:jc w:val="left"/>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1295"/>
      <w:bookmarkEnd w:id="1296"/>
      <w:bookmarkEnd w:id="1297"/>
      <w:bookmarkEnd w:id="1298"/>
      <w:bookmarkEnd w:id="1299"/>
      <w:r>
        <w:rPr>
          <w:rFonts w:hint="eastAsia" w:ascii="宋体" w:hAnsi="宋体"/>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spacing w:before="0" w:after="0" w:line="240" w:lineRule="auto"/>
        <w:jc w:val="center"/>
        <w:rPr>
          <w:rFonts w:ascii="宋体" w:hAnsi="宋体"/>
          <w:highlight w:val="none"/>
        </w:rPr>
      </w:pPr>
      <w:bookmarkStart w:id="1300" w:name="_Toc224103512"/>
      <w:bookmarkStart w:id="1301" w:name="_Toc287620831"/>
      <w:bookmarkStart w:id="1302" w:name="_Toc277082658"/>
      <w:bookmarkStart w:id="1303" w:name="_Toc430530547"/>
      <w:bookmarkStart w:id="1304" w:name="_Toc287607884"/>
      <w:bookmarkStart w:id="1305" w:name="_Toc2153"/>
      <w:r>
        <w:rPr>
          <w:highlight w:val="none"/>
        </w:rPr>
        <w:t>（二）</w:t>
      </w:r>
      <w:bookmarkEnd w:id="1300"/>
      <w:bookmarkEnd w:id="1301"/>
      <w:bookmarkEnd w:id="1302"/>
      <w:bookmarkEnd w:id="1303"/>
      <w:bookmarkEnd w:id="1304"/>
      <w:bookmarkStart w:id="1306" w:name="_Toc287607887"/>
      <w:bookmarkStart w:id="1307" w:name="_Toc277082659"/>
      <w:r>
        <w:rPr>
          <w:rFonts w:hint="eastAsia" w:ascii="宋体" w:hAnsi="宋体"/>
          <w:b w:val="0"/>
          <w:bCs w:val="0"/>
          <w:highlight w:val="none"/>
          <w:lang w:eastAsia="zh-CN"/>
        </w:rPr>
        <w:t>竞选人</w:t>
      </w:r>
      <w:r>
        <w:rPr>
          <w:rFonts w:hint="eastAsia" w:ascii="宋体" w:hAnsi="宋体"/>
          <w:b w:val="0"/>
          <w:bCs w:val="0"/>
          <w:highlight w:val="none"/>
        </w:rPr>
        <w:t>基本情况表</w:t>
      </w:r>
      <w:bookmarkEnd w:id="1305"/>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5616" w:type="dxa"/>
            <w:gridSpan w:val="7"/>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bl>
    <w:p>
      <w:pPr>
        <w:spacing w:line="360" w:lineRule="auto"/>
        <w:jc w:val="center"/>
        <w:rPr>
          <w:rFonts w:ascii="宋体" w:hAnsi="宋体"/>
          <w:szCs w:val="21"/>
          <w:highlight w:val="none"/>
        </w:rPr>
      </w:pPr>
    </w:p>
    <w:p>
      <w:pPr>
        <w:pStyle w:val="5"/>
        <w:spacing w:before="0" w:after="0" w:line="240" w:lineRule="auto"/>
        <w:jc w:val="center"/>
        <w:rPr>
          <w:rFonts w:ascii="宋体" w:hAnsi="宋体"/>
          <w:b w:val="0"/>
          <w:bCs w:val="0"/>
          <w:highlight w:val="none"/>
        </w:rPr>
      </w:pPr>
      <w:r>
        <w:rPr>
          <w:rFonts w:ascii="宋体" w:hAnsi="宋体"/>
          <w:szCs w:val="21"/>
          <w:highlight w:val="none"/>
        </w:rPr>
        <w:br w:type="page"/>
      </w:r>
      <w:bookmarkEnd w:id="1306"/>
      <w:bookmarkEnd w:id="1307"/>
      <w:bookmarkStart w:id="1308" w:name="_Toc534185840"/>
      <w:bookmarkStart w:id="1309" w:name="_Toc31370"/>
      <w:bookmarkStart w:id="1310" w:name="_Toc509218863"/>
      <w:bookmarkStart w:id="1311" w:name="_Toc224103520"/>
      <w:bookmarkStart w:id="1312" w:name="_Toc287620839"/>
      <w:bookmarkStart w:id="1313" w:name="_Toc430530552"/>
      <w:bookmarkStart w:id="1314" w:name="_Toc287607893"/>
      <w:bookmarkStart w:id="1315" w:name="_Toc277082663"/>
      <w:bookmarkStart w:id="1316" w:name="_Toc534185843"/>
      <w:bookmarkStart w:id="1317" w:name="_Toc509218866"/>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1308"/>
      <w:bookmarkEnd w:id="1309"/>
      <w:bookmarkEnd w:id="1310"/>
    </w:p>
    <w:p>
      <w:pPr>
        <w:spacing w:line="360" w:lineRule="auto"/>
        <w:rPr>
          <w:rFonts w:ascii="宋体" w:hAnsi="宋体"/>
          <w:highlight w:val="none"/>
        </w:rPr>
      </w:pPr>
    </w:p>
    <w:p>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highlight w:val="none"/>
              </w:rPr>
            </w:pPr>
          </w:p>
        </w:tc>
        <w:tc>
          <w:tcPr>
            <w:tcW w:w="734" w:type="dxa"/>
            <w:vMerge w:val="continue"/>
          </w:tcPr>
          <w:p>
            <w:pPr>
              <w:autoSpaceDE w:val="0"/>
              <w:autoSpaceDN w:val="0"/>
              <w:adjustRightInd w:val="0"/>
              <w:snapToGrid w:val="0"/>
              <w:jc w:val="left"/>
              <w:rPr>
                <w:rFonts w:ascii="宋体" w:hAnsi="宋体"/>
                <w:kern w:val="0"/>
                <w:szCs w:val="21"/>
                <w:highlight w:val="none"/>
              </w:rPr>
            </w:pPr>
          </w:p>
        </w:tc>
        <w:tc>
          <w:tcPr>
            <w:tcW w:w="776" w:type="dxa"/>
            <w:vMerge w:val="continue"/>
          </w:tcPr>
          <w:p>
            <w:pPr>
              <w:autoSpaceDE w:val="0"/>
              <w:autoSpaceDN w:val="0"/>
              <w:adjustRightInd w:val="0"/>
              <w:snapToGrid w:val="0"/>
              <w:jc w:val="left"/>
              <w:rPr>
                <w:rFonts w:ascii="宋体" w:hAnsi="宋体"/>
                <w:kern w:val="0"/>
                <w:szCs w:val="21"/>
                <w:highlight w:val="none"/>
              </w:rPr>
            </w:pPr>
          </w:p>
        </w:tc>
        <w:tc>
          <w:tcPr>
            <w:tcW w:w="11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bl>
    <w:p>
      <w:pPr>
        <w:spacing w:line="20" w:lineRule="exact"/>
        <w:jc w:val="center"/>
        <w:rPr>
          <w:rFonts w:ascii="宋体" w:hAnsi="宋体"/>
          <w:szCs w:val="21"/>
          <w:highlight w:val="none"/>
        </w:rPr>
      </w:pPr>
    </w:p>
    <w:p>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w:t>
      </w:r>
      <w:r>
        <w:rPr>
          <w:rFonts w:hint="eastAsia" w:ascii="宋体" w:hAnsi="宋体"/>
          <w:szCs w:val="21"/>
          <w:highlight w:val="none"/>
          <w:lang w:val="en-US" w:eastAsia="zh-CN"/>
        </w:rPr>
        <w:t>主要管理人员</w:t>
      </w:r>
      <w:r>
        <w:rPr>
          <w:rFonts w:hint="eastAsia" w:ascii="宋体" w:hAnsi="宋体"/>
          <w:szCs w:val="21"/>
          <w:highlight w:val="none"/>
        </w:rPr>
        <w:t>相关信息</w:t>
      </w:r>
      <w:r>
        <w:rPr>
          <w:rFonts w:ascii="宋体" w:hAnsi="宋体"/>
          <w:sz w:val="32"/>
          <w:szCs w:val="32"/>
          <w:highlight w:val="none"/>
        </w:rPr>
        <w:br w:type="page"/>
      </w:r>
      <w:r>
        <w:rPr>
          <w:rFonts w:hint="eastAsia" w:ascii="宋体" w:hAnsi="宋体"/>
          <w:sz w:val="32"/>
          <w:szCs w:val="32"/>
          <w:highlight w:val="none"/>
        </w:rPr>
        <w:t>项目经理简历表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bl>
    <w:p>
      <w:pPr>
        <w:spacing w:line="360" w:lineRule="auto"/>
        <w:rPr>
          <w:rFonts w:ascii="宋体" w:hAnsi="宋体"/>
          <w:highlight w:val="none"/>
        </w:rPr>
      </w:pPr>
      <w:bookmarkStart w:id="1318" w:name="_Toc224103515"/>
    </w:p>
    <w:bookmarkEnd w:id="1318"/>
    <w:p>
      <w:pPr>
        <w:adjustRightInd w:val="0"/>
        <w:snapToGrid w:val="0"/>
        <w:spacing w:line="360" w:lineRule="auto"/>
        <w:rPr>
          <w:rFonts w:ascii="宋体" w:hAnsi="宋体"/>
          <w:highlight w:val="none"/>
        </w:rPr>
      </w:pPr>
    </w:p>
    <w:bookmarkEnd w:id="1311"/>
    <w:bookmarkEnd w:id="1312"/>
    <w:bookmarkEnd w:id="1313"/>
    <w:bookmarkEnd w:id="1314"/>
    <w:bookmarkEnd w:id="1315"/>
    <w:p>
      <w:pPr>
        <w:pStyle w:val="5"/>
        <w:spacing w:before="0" w:after="0" w:line="360" w:lineRule="auto"/>
        <w:jc w:val="center"/>
        <w:rPr>
          <w:rFonts w:ascii="宋体" w:hAnsi="宋体"/>
          <w:b w:val="0"/>
          <w:highlight w:val="none"/>
        </w:rPr>
      </w:pPr>
      <w:bookmarkStart w:id="1319" w:name="_Toc11964"/>
      <w:r>
        <w:rPr>
          <w:rFonts w:ascii="宋体" w:hAnsi="宋体"/>
          <w:b w:val="0"/>
          <w:highlight w:val="none"/>
        </w:rPr>
        <w:t>（</w:t>
      </w:r>
      <w:r>
        <w:rPr>
          <w:rFonts w:hint="eastAsia" w:ascii="宋体" w:hAnsi="宋体"/>
          <w:b w:val="0"/>
          <w:highlight w:val="none"/>
          <w:lang w:val="en-US" w:eastAsia="zh-CN"/>
        </w:rPr>
        <w:t>四</w:t>
      </w:r>
      <w:r>
        <w:rPr>
          <w:rFonts w:ascii="宋体" w:hAnsi="宋体"/>
          <w:b w:val="0"/>
          <w:highlight w:val="none"/>
        </w:rPr>
        <w:t>）</w:t>
      </w:r>
      <w:r>
        <w:rPr>
          <w:rFonts w:hint="eastAsia" w:ascii="宋体" w:hAnsi="宋体"/>
          <w:b w:val="0"/>
          <w:highlight w:val="none"/>
        </w:rPr>
        <w:t>承诺</w:t>
      </w:r>
      <w:bookmarkEnd w:id="1319"/>
    </w:p>
    <w:p>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比选人</w:t>
      </w:r>
      <w:r>
        <w:rPr>
          <w:rFonts w:hint="eastAsia" w:ascii="宋体" w:hAnsi="宋体"/>
          <w:szCs w:val="21"/>
          <w:highlight w:val="none"/>
          <w:u w:val="single"/>
        </w:rPr>
        <w:t>名称）</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w:t>
      </w:r>
      <w:r>
        <w:rPr>
          <w:rFonts w:hint="eastAsia" w:ascii="宋体" w:hAnsi="宋体"/>
          <w:szCs w:val="21"/>
          <w:highlight w:val="none"/>
          <w:u w:val="single"/>
          <w:lang w:val="en-US" w:eastAsia="zh-CN"/>
        </w:rPr>
        <w:t>竞选</w:t>
      </w:r>
      <w:r>
        <w:rPr>
          <w:rFonts w:hint="eastAsia" w:ascii="宋体" w:hAnsi="宋体"/>
          <w:szCs w:val="21"/>
          <w:highlight w:val="none"/>
          <w:u w:val="single"/>
        </w:rPr>
        <w:t>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pPr>
        <w:numPr>
          <w:ilvl w:val="0"/>
          <w:numId w:val="2"/>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pPr>
        <w:numPr>
          <w:ilvl w:val="0"/>
          <w:numId w:val="2"/>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w:t>
      </w:r>
      <w:r>
        <w:rPr>
          <w:rFonts w:hint="eastAsia" w:ascii="宋体" w:hAnsi="宋体"/>
          <w:szCs w:val="21"/>
          <w:highlight w:val="none"/>
          <w:lang w:val="en-US" w:eastAsia="zh-CN"/>
        </w:rPr>
        <w:t>技术标准</w:t>
      </w:r>
      <w:r>
        <w:rPr>
          <w:rFonts w:hint="eastAsia" w:ascii="宋体" w:hAnsi="宋体"/>
          <w:szCs w:val="21"/>
          <w:highlight w:val="none"/>
        </w:rPr>
        <w:t>给出的范围及数量内容不得修改，每项综合单价报价不得高于对应综合单价最高限价。</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w:t>
      </w:r>
      <w:r>
        <w:rPr>
          <w:rFonts w:hint="eastAsia" w:ascii="宋体" w:hAnsi="宋体"/>
          <w:szCs w:val="21"/>
          <w:highlight w:val="none"/>
          <w:lang w:val="en-US" w:eastAsia="zh-CN"/>
        </w:rPr>
        <w:t>综合单价</w:t>
      </w:r>
      <w:r>
        <w:rPr>
          <w:rFonts w:hint="eastAsia" w:ascii="宋体" w:hAnsi="宋体"/>
          <w:szCs w:val="21"/>
          <w:highlight w:val="none"/>
        </w:rPr>
        <w:t>进行清标。若发现我公司的综合单价报价超过</w:t>
      </w:r>
      <w:r>
        <w:rPr>
          <w:rFonts w:hint="eastAsia" w:ascii="宋体" w:hAnsi="宋体"/>
          <w:szCs w:val="21"/>
          <w:highlight w:val="none"/>
          <w:lang w:val="en-US" w:eastAsia="zh-CN"/>
        </w:rPr>
        <w:t>比选</w:t>
      </w:r>
      <w:r>
        <w:rPr>
          <w:rFonts w:hint="eastAsia" w:ascii="宋体" w:hAnsi="宋体"/>
          <w:szCs w:val="21"/>
          <w:highlight w:val="none"/>
        </w:rPr>
        <w:t>时给出的综合单价最高限价的，在工程结算时</w:t>
      </w:r>
      <w:r>
        <w:rPr>
          <w:rFonts w:hint="eastAsia" w:ascii="宋体" w:hAnsi="宋体"/>
          <w:szCs w:val="21"/>
          <w:highlight w:val="none"/>
          <w:lang w:val="en-US" w:eastAsia="zh-CN"/>
        </w:rPr>
        <w:t>贵单位</w:t>
      </w:r>
      <w:r>
        <w:rPr>
          <w:rFonts w:hint="eastAsia" w:ascii="宋体" w:hAnsi="宋体"/>
          <w:szCs w:val="21"/>
          <w:highlight w:val="none"/>
        </w:rPr>
        <w:t>以发出的综合单价最高限价为基础，按照我公司的中标总报价与本工程的总价最高限价的下浮比例进行同比例下调，我公司无条件接受，否则按我公司违约处理。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11、我公司接受招标文件中关于“不允许负数报价”的相关要求（如有）</w:t>
      </w:r>
      <w:r>
        <w:rPr>
          <w:rFonts w:hint="eastAsia" w:ascii="宋体" w:hAnsi="宋体"/>
          <w:szCs w:val="21"/>
          <w:highlight w:val="none"/>
        </w:rPr>
        <w:t>。</w:t>
      </w:r>
    </w:p>
    <w:p>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1316"/>
    <w:bookmarkEnd w:id="1317"/>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pPr>
        <w:rPr>
          <w:highlight w:val="none"/>
        </w:rPr>
      </w:pPr>
      <w:r>
        <w:rPr>
          <w:highlight w:val="none"/>
        </w:rPr>
        <w:br w:type="page"/>
      </w:r>
    </w:p>
    <w:p>
      <w:pPr>
        <w:pStyle w:val="5"/>
        <w:spacing w:before="0" w:line="360" w:lineRule="auto"/>
        <w:jc w:val="center"/>
        <w:rPr>
          <w:rFonts w:ascii="宋体" w:hAnsi="宋体"/>
          <w:b w:val="0"/>
          <w:highlight w:val="none"/>
        </w:rPr>
      </w:pPr>
      <w:bookmarkStart w:id="1320" w:name="_Toc25182"/>
      <w:r>
        <w:rPr>
          <w:rFonts w:hint="eastAsia" w:ascii="宋体" w:hAnsi="宋体"/>
          <w:b w:val="0"/>
          <w:highlight w:val="none"/>
        </w:rPr>
        <w:t>（</w:t>
      </w:r>
      <w:r>
        <w:rPr>
          <w:rFonts w:hint="eastAsia" w:ascii="宋体" w:hAnsi="宋体"/>
          <w:b w:val="0"/>
          <w:highlight w:val="none"/>
          <w:lang w:val="en-US" w:eastAsia="zh-CN"/>
        </w:rPr>
        <w:t>五</w:t>
      </w:r>
      <w:r>
        <w:rPr>
          <w:rFonts w:hint="eastAsia" w:ascii="宋体" w:hAnsi="宋体"/>
          <w:b w:val="0"/>
          <w:highlight w:val="none"/>
        </w:rPr>
        <w:t>）其他资料</w:t>
      </w:r>
      <w:bookmarkEnd w:id="1320"/>
    </w:p>
    <w:bookmarkEnd w:id="352"/>
    <w:bookmarkEnd w:id="353"/>
    <w:bookmarkEnd w:id="354"/>
    <w:p>
      <w:pPr>
        <w:rPr>
          <w:rFonts w:hint="eastAsia"/>
          <w:sz w:val="32"/>
          <w:szCs w:val="32"/>
          <w:highlight w:val="none"/>
          <w:lang w:val="en-US" w:eastAsia="zh-CN"/>
        </w:rPr>
      </w:pPr>
    </w:p>
    <w:p>
      <w:pPr>
        <w:pStyle w:val="31"/>
        <w:rPr>
          <w:rFonts w:hint="default"/>
          <w:sz w:val="32"/>
          <w:szCs w:val="32"/>
          <w:lang w:val="en-US" w:eastAsia="zh-CN"/>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15704"/>
    <w:multiLevelType w:val="singleLevel"/>
    <w:tmpl w:val="3F415704"/>
    <w:lvl w:ilvl="0" w:tentative="0">
      <w:start w:val="1"/>
      <w:numFmt w:val="decimal"/>
      <w:suff w:val="nothing"/>
      <w:lvlText w:val="%1、"/>
      <w:lvlJc w:val="left"/>
    </w:lvl>
  </w:abstractNum>
  <w:abstractNum w:abstractNumId="1">
    <w:nsid w:val="5F471D00"/>
    <w:multiLevelType w:val="singleLevel"/>
    <w:tmpl w:val="5F471D0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3712D21"/>
    <w:rsid w:val="043C1EA8"/>
    <w:rsid w:val="057364D8"/>
    <w:rsid w:val="067018B8"/>
    <w:rsid w:val="07146850"/>
    <w:rsid w:val="0747316B"/>
    <w:rsid w:val="08D852DC"/>
    <w:rsid w:val="0AC34A23"/>
    <w:rsid w:val="0B374AB7"/>
    <w:rsid w:val="0B8A12CF"/>
    <w:rsid w:val="0F3118B1"/>
    <w:rsid w:val="0FED2443"/>
    <w:rsid w:val="102C328E"/>
    <w:rsid w:val="10662E20"/>
    <w:rsid w:val="13CA799C"/>
    <w:rsid w:val="13DD62E6"/>
    <w:rsid w:val="15194865"/>
    <w:rsid w:val="155F0AA1"/>
    <w:rsid w:val="17072F54"/>
    <w:rsid w:val="185276F3"/>
    <w:rsid w:val="1BDB12EA"/>
    <w:rsid w:val="1D9E2B66"/>
    <w:rsid w:val="1EB93EB5"/>
    <w:rsid w:val="1F996596"/>
    <w:rsid w:val="202820DF"/>
    <w:rsid w:val="210618F0"/>
    <w:rsid w:val="21270CC2"/>
    <w:rsid w:val="24266EC9"/>
    <w:rsid w:val="248F3D0B"/>
    <w:rsid w:val="26D36140"/>
    <w:rsid w:val="28AF528E"/>
    <w:rsid w:val="2B24412B"/>
    <w:rsid w:val="2D316018"/>
    <w:rsid w:val="2D397AFE"/>
    <w:rsid w:val="2EBF07A0"/>
    <w:rsid w:val="2F3F0791"/>
    <w:rsid w:val="2FE62A0A"/>
    <w:rsid w:val="30BF31A0"/>
    <w:rsid w:val="316600C5"/>
    <w:rsid w:val="3300448E"/>
    <w:rsid w:val="33CB0DB0"/>
    <w:rsid w:val="344A7EB3"/>
    <w:rsid w:val="3D3F248B"/>
    <w:rsid w:val="3E485474"/>
    <w:rsid w:val="424A2B87"/>
    <w:rsid w:val="43BE2B8A"/>
    <w:rsid w:val="46277859"/>
    <w:rsid w:val="48093C71"/>
    <w:rsid w:val="49CE7107"/>
    <w:rsid w:val="4B3F6D5D"/>
    <w:rsid w:val="4D920C64"/>
    <w:rsid w:val="4F305D57"/>
    <w:rsid w:val="4F686B2E"/>
    <w:rsid w:val="4F79447E"/>
    <w:rsid w:val="522A6FE1"/>
    <w:rsid w:val="53394028"/>
    <w:rsid w:val="53B03160"/>
    <w:rsid w:val="546F7495"/>
    <w:rsid w:val="566209E7"/>
    <w:rsid w:val="56CC3E96"/>
    <w:rsid w:val="570263B4"/>
    <w:rsid w:val="591F4667"/>
    <w:rsid w:val="59952F94"/>
    <w:rsid w:val="5CBC4428"/>
    <w:rsid w:val="5F370970"/>
    <w:rsid w:val="618D4BBE"/>
    <w:rsid w:val="62C91582"/>
    <w:rsid w:val="63091321"/>
    <w:rsid w:val="6534707B"/>
    <w:rsid w:val="671764AB"/>
    <w:rsid w:val="68233E92"/>
    <w:rsid w:val="6A9774F1"/>
    <w:rsid w:val="6B9D26D7"/>
    <w:rsid w:val="6BA64352"/>
    <w:rsid w:val="6D6C1709"/>
    <w:rsid w:val="6F00293A"/>
    <w:rsid w:val="6F0D49D1"/>
    <w:rsid w:val="760A6969"/>
    <w:rsid w:val="78BB630B"/>
    <w:rsid w:val="7A4160FC"/>
    <w:rsid w:val="7AFE0EDA"/>
    <w:rsid w:val="7D271CAE"/>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2">
    <w:name w:val="Body Text"/>
    <w:basedOn w:val="1"/>
    <w:next w:val="1"/>
    <w:link w:val="215"/>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2"/>
    <w:autoRedefine/>
    <w:qFormat/>
    <w:uiPriority w:val="0"/>
    <w:pPr>
      <w:widowControl/>
      <w:jc w:val="center"/>
    </w:pPr>
    <w:rPr>
      <w:kern w:val="0"/>
      <w:sz w:val="20"/>
      <w:u w:val="single"/>
      <w:lang w:eastAsia="en-US"/>
    </w:rPr>
  </w:style>
  <w:style w:type="paragraph" w:styleId="44">
    <w:name w:val="annotation subject"/>
    <w:basedOn w:val="16"/>
    <w:next w:val="16"/>
    <w:link w:val="264"/>
    <w:autoRedefine/>
    <w:qFormat/>
    <w:uiPriority w:val="0"/>
    <w:rPr>
      <w:b/>
      <w:bCs/>
    </w:rPr>
  </w:style>
  <w:style w:type="paragraph" w:styleId="45">
    <w:name w:val="Body Text First Indent"/>
    <w:basedOn w:val="2"/>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6"/>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4"/>
    <w:next w:val="20"/>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29"/>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2"/>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70">
    <w:name w:val="正文文本缩进 字符"/>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6"/>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127</Pages>
  <Words>81330</Words>
  <Characters>85666</Characters>
  <Paragraphs>4432</Paragraphs>
  <TotalTime>64</TotalTime>
  <ScaleCrop>false</ScaleCrop>
  <LinksUpToDate>false</LinksUpToDate>
  <CharactersWithSpaces>93476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2024-05-28T07:58:58Z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F9A66CA3E4F544E4B21CA4DC99A32829_13</vt:lpwstr>
  </property>
</Properties>
</file>