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3D7AE">
      <w:pPr>
        <w:jc w:val="center"/>
        <w:rPr>
          <w:rFonts w:ascii="宋体" w:hAnsi="宋体"/>
          <w:b/>
          <w:color w:val="auto"/>
          <w:sz w:val="44"/>
          <w:szCs w:val="44"/>
        </w:rPr>
      </w:pPr>
      <w:bookmarkStart w:id="0" w:name="_Toc287620665"/>
    </w:p>
    <w:p w14:paraId="355C15F5">
      <w:pPr>
        <w:autoSpaceDE w:val="0"/>
        <w:autoSpaceDN w:val="0"/>
        <w:adjustRightInd w:val="0"/>
        <w:snapToGrid w:val="0"/>
        <w:spacing w:line="360" w:lineRule="auto"/>
        <w:jc w:val="center"/>
        <w:rPr>
          <w:rFonts w:ascii="宋体" w:hAnsi="宋体" w:eastAsiaTheme="minorEastAsia"/>
          <w:color w:val="auto"/>
          <w:kern w:val="0"/>
          <w:sz w:val="20"/>
          <w:szCs w:val="20"/>
        </w:rPr>
      </w:pPr>
      <w:r>
        <w:rPr>
          <w:rFonts w:hint="eastAsia" w:asciiTheme="minorEastAsia" w:hAnsiTheme="minorEastAsia" w:eastAsiaTheme="minorEastAsia"/>
          <w:color w:val="auto"/>
          <w:sz w:val="32"/>
          <w:szCs w:val="32"/>
          <w:u w:val="single"/>
        </w:rPr>
        <w:t>经开区茶园大道以南片区污水管网改造工程（建工学院东站校区段）（第二次）</w:t>
      </w:r>
    </w:p>
    <w:p w14:paraId="5ECC7963">
      <w:pPr>
        <w:autoSpaceDE w:val="0"/>
        <w:autoSpaceDN w:val="0"/>
        <w:adjustRightInd w:val="0"/>
        <w:snapToGrid w:val="0"/>
        <w:spacing w:line="360" w:lineRule="auto"/>
        <w:jc w:val="left"/>
        <w:rPr>
          <w:rFonts w:ascii="宋体" w:hAnsi="宋体"/>
          <w:color w:val="auto"/>
          <w:kern w:val="0"/>
          <w:sz w:val="20"/>
          <w:szCs w:val="20"/>
        </w:rPr>
      </w:pPr>
    </w:p>
    <w:p w14:paraId="0F5819A7">
      <w:pPr>
        <w:autoSpaceDE w:val="0"/>
        <w:autoSpaceDN w:val="0"/>
        <w:adjustRightInd w:val="0"/>
        <w:snapToGrid w:val="0"/>
        <w:spacing w:line="360" w:lineRule="auto"/>
        <w:jc w:val="left"/>
        <w:rPr>
          <w:rFonts w:ascii="宋体" w:hAnsi="宋体"/>
          <w:color w:val="auto"/>
          <w:kern w:val="0"/>
          <w:sz w:val="20"/>
          <w:szCs w:val="20"/>
        </w:rPr>
      </w:pPr>
    </w:p>
    <w:p w14:paraId="77FFE5C4">
      <w:pPr>
        <w:autoSpaceDE w:val="0"/>
        <w:autoSpaceDN w:val="0"/>
        <w:adjustRightInd w:val="0"/>
        <w:snapToGrid w:val="0"/>
        <w:spacing w:line="360" w:lineRule="auto"/>
        <w:jc w:val="left"/>
        <w:rPr>
          <w:rFonts w:ascii="宋体" w:hAnsi="宋体"/>
          <w:color w:val="auto"/>
          <w:kern w:val="0"/>
          <w:sz w:val="20"/>
          <w:szCs w:val="20"/>
        </w:rPr>
      </w:pPr>
    </w:p>
    <w:p w14:paraId="0905B10A">
      <w:pPr>
        <w:autoSpaceDE w:val="0"/>
        <w:autoSpaceDN w:val="0"/>
        <w:adjustRightInd w:val="0"/>
        <w:snapToGrid w:val="0"/>
        <w:spacing w:line="360" w:lineRule="auto"/>
        <w:jc w:val="left"/>
        <w:rPr>
          <w:rFonts w:ascii="宋体" w:hAnsi="宋体"/>
          <w:color w:val="auto"/>
          <w:kern w:val="0"/>
          <w:sz w:val="20"/>
          <w:szCs w:val="20"/>
        </w:rPr>
      </w:pPr>
    </w:p>
    <w:p w14:paraId="7AA50F52">
      <w:pPr>
        <w:autoSpaceDE w:val="0"/>
        <w:autoSpaceDN w:val="0"/>
        <w:adjustRightInd w:val="0"/>
        <w:snapToGrid w:val="0"/>
        <w:spacing w:line="360" w:lineRule="auto"/>
        <w:jc w:val="left"/>
        <w:rPr>
          <w:rFonts w:ascii="宋体" w:hAnsi="宋体"/>
          <w:color w:val="auto"/>
          <w:kern w:val="0"/>
          <w:sz w:val="20"/>
          <w:szCs w:val="20"/>
        </w:rPr>
      </w:pPr>
    </w:p>
    <w:p w14:paraId="221DF572">
      <w:pPr>
        <w:autoSpaceDE w:val="0"/>
        <w:autoSpaceDN w:val="0"/>
        <w:adjustRightInd w:val="0"/>
        <w:snapToGrid w:val="0"/>
        <w:spacing w:line="360" w:lineRule="auto"/>
        <w:jc w:val="center"/>
        <w:rPr>
          <w:rFonts w:ascii="宋体" w:hAnsi="宋体"/>
          <w:color w:val="auto"/>
          <w:kern w:val="0"/>
          <w:sz w:val="72"/>
          <w:szCs w:val="72"/>
        </w:rPr>
      </w:pPr>
      <w:r>
        <w:rPr>
          <w:rFonts w:ascii="宋体" w:hAnsi="宋体"/>
          <w:color w:val="auto"/>
          <w:kern w:val="0"/>
          <w:sz w:val="72"/>
          <w:szCs w:val="72"/>
        </w:rPr>
        <w:t>施</w:t>
      </w:r>
      <w:r>
        <w:rPr>
          <w:rFonts w:hint="eastAsia" w:ascii="宋体" w:hAnsi="宋体"/>
          <w:color w:val="auto"/>
          <w:kern w:val="0"/>
          <w:sz w:val="72"/>
          <w:szCs w:val="72"/>
        </w:rPr>
        <w:t xml:space="preserve"> </w:t>
      </w:r>
      <w:r>
        <w:rPr>
          <w:rFonts w:ascii="宋体" w:hAnsi="宋体"/>
          <w:color w:val="auto"/>
          <w:kern w:val="0"/>
          <w:sz w:val="72"/>
          <w:szCs w:val="72"/>
        </w:rPr>
        <w:t>工</w:t>
      </w:r>
      <w:r>
        <w:rPr>
          <w:rFonts w:hint="eastAsia" w:ascii="宋体" w:hAnsi="宋体"/>
          <w:color w:val="auto"/>
          <w:kern w:val="0"/>
          <w:sz w:val="72"/>
          <w:szCs w:val="72"/>
        </w:rPr>
        <w:t xml:space="preserve"> 采 购 </w:t>
      </w:r>
      <w:r>
        <w:rPr>
          <w:rFonts w:ascii="宋体" w:hAnsi="宋体"/>
          <w:color w:val="auto"/>
          <w:kern w:val="0"/>
          <w:sz w:val="72"/>
          <w:szCs w:val="72"/>
        </w:rPr>
        <w:t>文</w:t>
      </w:r>
      <w:r>
        <w:rPr>
          <w:rFonts w:hint="eastAsia" w:ascii="宋体" w:hAnsi="宋体"/>
          <w:color w:val="auto"/>
          <w:kern w:val="0"/>
          <w:sz w:val="72"/>
          <w:szCs w:val="72"/>
        </w:rPr>
        <w:t xml:space="preserve"> </w:t>
      </w:r>
      <w:r>
        <w:rPr>
          <w:rFonts w:ascii="宋体" w:hAnsi="宋体"/>
          <w:color w:val="auto"/>
          <w:kern w:val="0"/>
          <w:sz w:val="72"/>
          <w:szCs w:val="72"/>
        </w:rPr>
        <w:t>件</w:t>
      </w:r>
    </w:p>
    <w:p w14:paraId="617974A1">
      <w:pPr>
        <w:autoSpaceDE w:val="0"/>
        <w:autoSpaceDN w:val="0"/>
        <w:adjustRightInd w:val="0"/>
        <w:snapToGrid w:val="0"/>
        <w:spacing w:line="360" w:lineRule="auto"/>
        <w:jc w:val="left"/>
        <w:rPr>
          <w:rFonts w:ascii="宋体" w:hAnsi="宋体"/>
          <w:color w:val="auto"/>
          <w:kern w:val="0"/>
          <w:sz w:val="10"/>
          <w:szCs w:val="10"/>
        </w:rPr>
      </w:pPr>
    </w:p>
    <w:p w14:paraId="1B88DCC2">
      <w:pPr>
        <w:autoSpaceDE w:val="0"/>
        <w:autoSpaceDN w:val="0"/>
        <w:adjustRightInd w:val="0"/>
        <w:snapToGrid w:val="0"/>
        <w:spacing w:line="360" w:lineRule="auto"/>
        <w:jc w:val="left"/>
        <w:rPr>
          <w:rFonts w:ascii="宋体" w:hAnsi="宋体"/>
          <w:color w:val="auto"/>
          <w:kern w:val="0"/>
          <w:sz w:val="20"/>
          <w:szCs w:val="20"/>
        </w:rPr>
      </w:pPr>
    </w:p>
    <w:p w14:paraId="4460842B">
      <w:pPr>
        <w:autoSpaceDE w:val="0"/>
        <w:autoSpaceDN w:val="0"/>
        <w:adjustRightInd w:val="0"/>
        <w:snapToGrid w:val="0"/>
        <w:spacing w:line="360" w:lineRule="auto"/>
        <w:jc w:val="left"/>
        <w:rPr>
          <w:rFonts w:ascii="宋体" w:hAnsi="宋体"/>
          <w:color w:val="auto"/>
          <w:kern w:val="0"/>
          <w:sz w:val="20"/>
          <w:szCs w:val="20"/>
        </w:rPr>
      </w:pPr>
    </w:p>
    <w:p w14:paraId="4D9809CE">
      <w:pPr>
        <w:autoSpaceDE w:val="0"/>
        <w:autoSpaceDN w:val="0"/>
        <w:adjustRightInd w:val="0"/>
        <w:snapToGrid w:val="0"/>
        <w:spacing w:line="360" w:lineRule="auto"/>
        <w:jc w:val="left"/>
        <w:rPr>
          <w:rFonts w:ascii="宋体" w:hAnsi="宋体"/>
          <w:color w:val="auto"/>
          <w:kern w:val="0"/>
          <w:sz w:val="20"/>
          <w:szCs w:val="20"/>
        </w:rPr>
      </w:pPr>
    </w:p>
    <w:p w14:paraId="44AD3A6E">
      <w:pPr>
        <w:autoSpaceDE w:val="0"/>
        <w:autoSpaceDN w:val="0"/>
        <w:adjustRightInd w:val="0"/>
        <w:snapToGrid w:val="0"/>
        <w:spacing w:line="360" w:lineRule="auto"/>
        <w:jc w:val="left"/>
        <w:rPr>
          <w:rFonts w:ascii="宋体" w:hAnsi="宋体"/>
          <w:color w:val="auto"/>
          <w:kern w:val="0"/>
          <w:sz w:val="20"/>
          <w:szCs w:val="20"/>
        </w:rPr>
      </w:pPr>
    </w:p>
    <w:p w14:paraId="3215B006">
      <w:pPr>
        <w:autoSpaceDE w:val="0"/>
        <w:autoSpaceDN w:val="0"/>
        <w:adjustRightInd w:val="0"/>
        <w:snapToGrid w:val="0"/>
        <w:spacing w:line="360" w:lineRule="auto"/>
        <w:jc w:val="left"/>
        <w:rPr>
          <w:rFonts w:ascii="宋体" w:hAnsi="宋体"/>
          <w:color w:val="auto"/>
          <w:kern w:val="0"/>
          <w:sz w:val="20"/>
          <w:szCs w:val="20"/>
        </w:rPr>
      </w:pPr>
    </w:p>
    <w:p w14:paraId="74E36010">
      <w:pPr>
        <w:autoSpaceDE w:val="0"/>
        <w:autoSpaceDN w:val="0"/>
        <w:adjustRightInd w:val="0"/>
        <w:snapToGrid w:val="0"/>
        <w:spacing w:line="360" w:lineRule="auto"/>
        <w:jc w:val="left"/>
        <w:rPr>
          <w:rFonts w:ascii="宋体" w:hAnsi="宋体"/>
          <w:color w:val="auto"/>
          <w:kern w:val="0"/>
          <w:sz w:val="20"/>
          <w:szCs w:val="20"/>
        </w:rPr>
      </w:pPr>
    </w:p>
    <w:p w14:paraId="7CB2B8FD">
      <w:pPr>
        <w:autoSpaceDE w:val="0"/>
        <w:autoSpaceDN w:val="0"/>
        <w:adjustRightInd w:val="0"/>
        <w:snapToGrid w:val="0"/>
        <w:spacing w:line="360" w:lineRule="auto"/>
        <w:jc w:val="left"/>
        <w:rPr>
          <w:rFonts w:ascii="宋体" w:hAnsi="宋体"/>
          <w:color w:val="auto"/>
          <w:kern w:val="0"/>
          <w:sz w:val="20"/>
          <w:szCs w:val="20"/>
        </w:rPr>
      </w:pPr>
    </w:p>
    <w:p w14:paraId="0FA110CB">
      <w:pPr>
        <w:autoSpaceDE w:val="0"/>
        <w:autoSpaceDN w:val="0"/>
        <w:adjustRightInd w:val="0"/>
        <w:snapToGrid w:val="0"/>
        <w:spacing w:line="360" w:lineRule="auto"/>
        <w:rPr>
          <w:rFonts w:ascii="宋体" w:hAnsi="宋体"/>
          <w:color w:val="auto"/>
          <w:kern w:val="0"/>
          <w:sz w:val="20"/>
          <w:szCs w:val="20"/>
        </w:rPr>
      </w:pPr>
    </w:p>
    <w:p w14:paraId="2BAA8BB0">
      <w:pPr>
        <w:autoSpaceDE w:val="0"/>
        <w:autoSpaceDN w:val="0"/>
        <w:adjustRightInd w:val="0"/>
        <w:snapToGrid w:val="0"/>
        <w:spacing w:line="360" w:lineRule="auto"/>
        <w:jc w:val="left"/>
        <w:rPr>
          <w:rFonts w:ascii="宋体" w:hAnsi="宋体"/>
          <w:color w:val="auto"/>
          <w:kern w:val="0"/>
          <w:sz w:val="20"/>
          <w:szCs w:val="20"/>
        </w:rPr>
      </w:pPr>
    </w:p>
    <w:p w14:paraId="6FD0C0F6">
      <w:pPr>
        <w:autoSpaceDE w:val="0"/>
        <w:autoSpaceDN w:val="0"/>
        <w:adjustRightInd w:val="0"/>
        <w:snapToGrid w:val="0"/>
        <w:spacing w:line="360" w:lineRule="auto"/>
        <w:rPr>
          <w:rFonts w:ascii="宋体" w:hAnsi="宋体"/>
          <w:color w:val="auto"/>
          <w:kern w:val="0"/>
          <w:sz w:val="20"/>
          <w:szCs w:val="20"/>
        </w:rPr>
      </w:pPr>
    </w:p>
    <w:p w14:paraId="7B5E0C9B">
      <w:pPr>
        <w:autoSpaceDE w:val="0"/>
        <w:autoSpaceDN w:val="0"/>
        <w:adjustRightInd w:val="0"/>
        <w:snapToGrid w:val="0"/>
        <w:spacing w:line="360" w:lineRule="auto"/>
        <w:rPr>
          <w:rFonts w:ascii="宋体" w:hAnsi="宋体"/>
          <w:color w:val="auto"/>
          <w:kern w:val="0"/>
          <w:sz w:val="20"/>
          <w:szCs w:val="20"/>
        </w:rPr>
      </w:pPr>
    </w:p>
    <w:p w14:paraId="1B17A1BA">
      <w:pPr>
        <w:autoSpaceDE w:val="0"/>
        <w:autoSpaceDN w:val="0"/>
        <w:adjustRightInd w:val="0"/>
        <w:snapToGrid w:val="0"/>
        <w:spacing w:line="360" w:lineRule="auto"/>
        <w:rPr>
          <w:rFonts w:ascii="宋体" w:hAnsi="宋体"/>
          <w:color w:val="auto"/>
          <w:kern w:val="0"/>
          <w:sz w:val="20"/>
          <w:szCs w:val="20"/>
        </w:rPr>
      </w:pPr>
    </w:p>
    <w:p w14:paraId="53C7A475">
      <w:pPr>
        <w:tabs>
          <w:tab w:val="left" w:pos="6219"/>
        </w:tabs>
        <w:autoSpaceDE w:val="0"/>
        <w:autoSpaceDN w:val="0"/>
        <w:adjustRightInd w:val="0"/>
        <w:snapToGrid w:val="0"/>
        <w:spacing w:line="360" w:lineRule="auto"/>
        <w:jc w:val="center"/>
        <w:rPr>
          <w:rFonts w:ascii="宋体" w:hAnsi="宋体"/>
          <w:bCs/>
          <w:color w:val="auto"/>
          <w:w w:val="99"/>
          <w:kern w:val="0"/>
          <w:sz w:val="28"/>
          <w:szCs w:val="28"/>
        </w:rPr>
      </w:pPr>
      <w:r>
        <w:rPr>
          <w:rFonts w:ascii="宋体" w:hAnsi="宋体"/>
          <w:bCs/>
          <w:color w:val="auto"/>
          <w:w w:val="99"/>
          <w:kern w:val="0"/>
          <w:sz w:val="28"/>
          <w:szCs w:val="28"/>
        </w:rPr>
        <w:t>招</w:t>
      </w:r>
      <w:r>
        <w:rPr>
          <w:rFonts w:hint="eastAsia" w:ascii="宋体" w:hAnsi="宋体"/>
          <w:bCs/>
          <w:color w:val="auto"/>
          <w:w w:val="99"/>
          <w:kern w:val="0"/>
          <w:sz w:val="28"/>
          <w:szCs w:val="28"/>
        </w:rPr>
        <w:t xml:space="preserve">   </w:t>
      </w:r>
      <w:r>
        <w:rPr>
          <w:rFonts w:ascii="宋体" w:hAnsi="宋体"/>
          <w:bCs/>
          <w:color w:val="auto"/>
          <w:w w:val="99"/>
          <w:kern w:val="0"/>
          <w:sz w:val="28"/>
          <w:szCs w:val="28"/>
        </w:rPr>
        <w:t>标</w:t>
      </w:r>
      <w:r>
        <w:rPr>
          <w:rFonts w:hint="eastAsia" w:ascii="宋体" w:hAnsi="宋体"/>
          <w:bCs/>
          <w:color w:val="auto"/>
          <w:w w:val="99"/>
          <w:kern w:val="0"/>
          <w:sz w:val="28"/>
          <w:szCs w:val="28"/>
        </w:rPr>
        <w:t xml:space="preserve">   </w:t>
      </w:r>
      <w:r>
        <w:rPr>
          <w:rFonts w:ascii="宋体" w:hAnsi="宋体"/>
          <w:bCs/>
          <w:color w:val="auto"/>
          <w:w w:val="99"/>
          <w:kern w:val="0"/>
          <w:sz w:val="28"/>
          <w:szCs w:val="28"/>
        </w:rPr>
        <w:t>人：</w:t>
      </w:r>
      <w:r>
        <w:rPr>
          <w:rFonts w:hint="eastAsia" w:eastAsia="方正仿宋_GBK"/>
          <w:color w:val="auto"/>
          <w:sz w:val="32"/>
          <w:szCs w:val="32"/>
          <w:u w:val="single"/>
        </w:rPr>
        <w:t>重庆经开区开发建设有限公司</w:t>
      </w:r>
      <w:r>
        <w:rPr>
          <w:rFonts w:ascii="宋体" w:hAnsi="宋体"/>
          <w:bCs/>
          <w:color w:val="auto"/>
          <w:w w:val="99"/>
          <w:kern w:val="0"/>
          <w:sz w:val="28"/>
          <w:szCs w:val="28"/>
        </w:rPr>
        <w:t>（盖单位法人章）</w:t>
      </w:r>
    </w:p>
    <w:p w14:paraId="5BA6CD9D">
      <w:pPr>
        <w:autoSpaceDE w:val="0"/>
        <w:autoSpaceDN w:val="0"/>
        <w:adjustRightInd w:val="0"/>
        <w:snapToGrid w:val="0"/>
        <w:spacing w:line="360" w:lineRule="auto"/>
        <w:jc w:val="center"/>
        <w:rPr>
          <w:rFonts w:ascii="宋体" w:hAnsi="宋体"/>
          <w:bCs/>
          <w:color w:val="auto"/>
          <w:kern w:val="0"/>
          <w:sz w:val="20"/>
          <w:szCs w:val="20"/>
        </w:rPr>
      </w:pPr>
    </w:p>
    <w:p w14:paraId="1A86A7A3">
      <w:pPr>
        <w:autoSpaceDE w:val="0"/>
        <w:autoSpaceDN w:val="0"/>
        <w:adjustRightInd w:val="0"/>
        <w:snapToGrid w:val="0"/>
        <w:spacing w:line="360" w:lineRule="auto"/>
        <w:jc w:val="center"/>
        <w:rPr>
          <w:rFonts w:ascii="宋体" w:hAnsi="宋体"/>
          <w:bCs/>
          <w:color w:val="auto"/>
          <w:kern w:val="0"/>
          <w:sz w:val="28"/>
          <w:szCs w:val="28"/>
        </w:rPr>
      </w:pPr>
    </w:p>
    <w:p w14:paraId="70D10D72">
      <w:pPr>
        <w:autoSpaceDE w:val="0"/>
        <w:autoSpaceDN w:val="0"/>
        <w:adjustRightInd w:val="0"/>
        <w:snapToGrid w:val="0"/>
        <w:spacing w:line="360" w:lineRule="auto"/>
        <w:jc w:val="center"/>
        <w:rPr>
          <w:rFonts w:ascii="宋体" w:hAnsi="宋体"/>
          <w:bCs/>
          <w:color w:val="auto"/>
          <w:kern w:val="0"/>
          <w:sz w:val="28"/>
          <w:szCs w:val="28"/>
        </w:rPr>
      </w:pPr>
    </w:p>
    <w:p w14:paraId="1F14E8BE">
      <w:pPr>
        <w:autoSpaceDE w:val="0"/>
        <w:autoSpaceDN w:val="0"/>
        <w:adjustRightInd w:val="0"/>
        <w:snapToGrid w:val="0"/>
        <w:spacing w:line="360" w:lineRule="auto"/>
        <w:rPr>
          <w:rFonts w:ascii="宋体" w:hAnsi="宋体"/>
          <w:bCs/>
          <w:color w:val="auto"/>
          <w:kern w:val="0"/>
          <w:sz w:val="20"/>
          <w:szCs w:val="20"/>
        </w:rPr>
      </w:pPr>
    </w:p>
    <w:p w14:paraId="52654DC7">
      <w:pPr>
        <w:tabs>
          <w:tab w:val="left" w:pos="6252"/>
        </w:tabs>
        <w:autoSpaceDE w:val="0"/>
        <w:autoSpaceDN w:val="0"/>
        <w:adjustRightInd w:val="0"/>
        <w:snapToGrid w:val="0"/>
        <w:spacing w:line="360" w:lineRule="auto"/>
        <w:jc w:val="center"/>
        <w:rPr>
          <w:rFonts w:ascii="宋体" w:hAnsi="宋体"/>
          <w:bCs/>
          <w:color w:val="auto"/>
          <w:spacing w:val="8"/>
          <w:kern w:val="0"/>
          <w:sz w:val="28"/>
          <w:szCs w:val="28"/>
        </w:rPr>
        <w:sectPr>
          <w:pgSz w:w="11907" w:h="16840"/>
          <w:pgMar w:top="1304" w:right="1134" w:bottom="1304" w:left="1304" w:header="851" w:footer="992" w:gutter="0"/>
          <w:pgNumType w:fmt="numberInDash" w:start="1"/>
          <w:cols w:space="720" w:num="1"/>
          <w:docGrid w:linePitch="312" w:charSpace="0"/>
        </w:sectPr>
      </w:pPr>
      <w:bookmarkStart w:id="1" w:name="_Toc536797277"/>
      <w:bookmarkStart w:id="2" w:name="_Toc536796736"/>
      <w:bookmarkStart w:id="3" w:name="_Toc13210649"/>
      <w:bookmarkStart w:id="4" w:name="_Toc509218549"/>
      <w:bookmarkStart w:id="5" w:name="_Toc536621766"/>
      <w:r>
        <w:rPr>
          <w:rFonts w:ascii="宋体" w:hAnsi="宋体"/>
          <w:bCs/>
          <w:color w:val="auto"/>
          <w:spacing w:val="8"/>
          <w:kern w:val="0"/>
          <w:sz w:val="28"/>
          <w:szCs w:val="28"/>
          <w:u w:val="single"/>
        </w:rPr>
        <w:t>202</w:t>
      </w:r>
      <w:r>
        <w:rPr>
          <w:rFonts w:hint="eastAsia" w:ascii="宋体" w:hAnsi="宋体"/>
          <w:bCs/>
          <w:color w:val="auto"/>
          <w:spacing w:val="8"/>
          <w:kern w:val="0"/>
          <w:sz w:val="28"/>
          <w:szCs w:val="28"/>
          <w:u w:val="single"/>
        </w:rPr>
        <w:t>5</w:t>
      </w:r>
      <w:r>
        <w:rPr>
          <w:rFonts w:ascii="宋体" w:hAnsi="宋体"/>
          <w:bCs/>
          <w:color w:val="auto"/>
          <w:spacing w:val="8"/>
          <w:kern w:val="0"/>
          <w:sz w:val="28"/>
          <w:szCs w:val="28"/>
        </w:rPr>
        <w:t>年</w:t>
      </w:r>
      <w:r>
        <w:rPr>
          <w:rFonts w:hint="eastAsia" w:ascii="宋体" w:hAnsi="宋体"/>
          <w:bCs/>
          <w:color w:val="auto"/>
          <w:spacing w:val="8"/>
          <w:kern w:val="0"/>
          <w:sz w:val="28"/>
          <w:szCs w:val="28"/>
          <w:u w:val="single"/>
        </w:rPr>
        <w:t xml:space="preserve"> 4 </w:t>
      </w:r>
      <w:r>
        <w:rPr>
          <w:rFonts w:ascii="宋体" w:hAnsi="宋体"/>
          <w:bCs/>
          <w:color w:val="auto"/>
          <w:spacing w:val="8"/>
          <w:kern w:val="0"/>
          <w:sz w:val="28"/>
          <w:szCs w:val="28"/>
        </w:rPr>
        <w:t>月</w:t>
      </w:r>
      <w:r>
        <w:rPr>
          <w:rFonts w:hint="eastAsia" w:ascii="宋体" w:hAnsi="宋体"/>
          <w:bCs/>
          <w:color w:val="auto"/>
          <w:spacing w:val="8"/>
          <w:kern w:val="0"/>
          <w:sz w:val="28"/>
          <w:szCs w:val="28"/>
          <w:u w:val="single"/>
        </w:rPr>
        <w:t xml:space="preserve"> 30 </w:t>
      </w:r>
      <w:r>
        <w:rPr>
          <w:rFonts w:ascii="宋体" w:hAnsi="宋体"/>
          <w:bCs/>
          <w:color w:val="auto"/>
          <w:spacing w:val="8"/>
          <w:kern w:val="0"/>
          <w:sz w:val="28"/>
          <w:szCs w:val="28"/>
        </w:rPr>
        <w:t>日</w:t>
      </w:r>
      <w:bookmarkEnd w:id="1"/>
      <w:bookmarkEnd w:id="2"/>
      <w:bookmarkEnd w:id="3"/>
      <w:bookmarkEnd w:id="4"/>
      <w:bookmarkEnd w:id="5"/>
    </w:p>
    <w:bookmarkEnd w:id="0"/>
    <w:p w14:paraId="48E3369A">
      <w:pPr>
        <w:spacing w:line="360" w:lineRule="auto"/>
        <w:rPr>
          <w:rFonts w:ascii="宋体" w:hAnsi="宋体"/>
          <w:color w:val="auto"/>
        </w:rPr>
      </w:pPr>
    </w:p>
    <w:p w14:paraId="21196C78">
      <w:pPr>
        <w:pStyle w:val="3"/>
        <w:spacing w:before="0" w:after="0" w:line="480" w:lineRule="auto"/>
        <w:jc w:val="center"/>
        <w:rPr>
          <w:rFonts w:ascii="宋体" w:hAnsi="宋体"/>
          <w:color w:val="auto"/>
          <w:sz w:val="52"/>
          <w:szCs w:val="52"/>
        </w:rPr>
      </w:pPr>
      <w:bookmarkStart w:id="6" w:name="_Toc509218690"/>
      <w:bookmarkStart w:id="7" w:name="_Toc29541"/>
      <w:r>
        <w:rPr>
          <w:rFonts w:hint="eastAsia" w:ascii="宋体" w:hAnsi="宋体"/>
          <w:color w:val="auto"/>
          <w:sz w:val="52"/>
          <w:szCs w:val="52"/>
        </w:rPr>
        <w:t>第 一 卷</w:t>
      </w:r>
      <w:bookmarkEnd w:id="6"/>
      <w:bookmarkEnd w:id="7"/>
    </w:p>
    <w:p w14:paraId="3EB9C3C2">
      <w:pPr>
        <w:spacing w:line="200" w:lineRule="exact"/>
        <w:rPr>
          <w:rFonts w:ascii="宋体" w:hAnsi="宋体"/>
          <w:color w:val="auto"/>
        </w:rPr>
      </w:pPr>
      <w:r>
        <w:rPr>
          <w:rFonts w:ascii="宋体" w:hAnsi="宋体"/>
          <w:color w:val="auto"/>
        </w:rPr>
        <w:br w:type="page"/>
      </w:r>
    </w:p>
    <w:p w14:paraId="7CB40E74">
      <w:pPr>
        <w:pStyle w:val="3"/>
        <w:spacing w:line="360" w:lineRule="auto"/>
        <w:jc w:val="center"/>
        <w:rPr>
          <w:rFonts w:ascii="宋体" w:hAnsi="宋体"/>
          <w:snapToGrid w:val="0"/>
          <w:color w:val="auto"/>
          <w:kern w:val="0"/>
        </w:rPr>
      </w:pPr>
      <w:bookmarkStart w:id="8" w:name="_Toc224103298"/>
      <w:bookmarkStart w:id="9" w:name="_Toc430530415"/>
      <w:bookmarkStart w:id="10" w:name="_Toc287607727"/>
      <w:bookmarkStart w:id="11" w:name="_Toc10868"/>
      <w:bookmarkStart w:id="12" w:name="_Toc287620666"/>
      <w:bookmarkStart w:id="13" w:name="_Toc509218691"/>
      <w:bookmarkStart w:id="14" w:name="_Toc277082535"/>
      <w:r>
        <w:rPr>
          <w:rFonts w:ascii="宋体" w:hAnsi="宋体"/>
          <w:snapToGrid w:val="0"/>
          <w:color w:val="auto"/>
          <w:kern w:val="0"/>
        </w:rPr>
        <w:t xml:space="preserve">第一章  </w:t>
      </w:r>
      <w:r>
        <w:rPr>
          <w:rFonts w:hint="eastAsia" w:ascii="宋体" w:hAnsi="宋体"/>
          <w:snapToGrid w:val="0"/>
          <w:color w:val="auto"/>
          <w:kern w:val="0"/>
        </w:rPr>
        <w:t>采购</w:t>
      </w:r>
      <w:r>
        <w:rPr>
          <w:rFonts w:ascii="宋体" w:hAnsi="宋体"/>
          <w:snapToGrid w:val="0"/>
          <w:color w:val="auto"/>
          <w:kern w:val="0"/>
        </w:rPr>
        <w:t>公告</w:t>
      </w:r>
      <w:bookmarkEnd w:id="8"/>
      <w:bookmarkEnd w:id="9"/>
      <w:bookmarkEnd w:id="10"/>
      <w:bookmarkEnd w:id="11"/>
      <w:bookmarkEnd w:id="12"/>
      <w:bookmarkEnd w:id="13"/>
      <w:bookmarkEnd w:id="14"/>
    </w:p>
    <w:p w14:paraId="5FDE71AC">
      <w:pPr>
        <w:spacing w:line="360" w:lineRule="auto"/>
        <w:jc w:val="center"/>
        <w:rPr>
          <w:rFonts w:ascii="宋体" w:hAnsi="宋体"/>
          <w:snapToGrid w:val="0"/>
          <w:color w:val="auto"/>
          <w:w w:val="99"/>
          <w:kern w:val="0"/>
          <w:sz w:val="28"/>
          <w:szCs w:val="28"/>
        </w:rPr>
      </w:pPr>
      <w:r>
        <w:rPr>
          <w:rFonts w:hint="eastAsia" w:ascii="宋体" w:hAnsi="宋体"/>
          <w:snapToGrid w:val="0"/>
          <w:color w:val="auto"/>
          <w:w w:val="99"/>
          <w:kern w:val="0"/>
          <w:sz w:val="28"/>
          <w:szCs w:val="28"/>
          <w:u w:val="single"/>
        </w:rPr>
        <w:t>经开区茶园大道以南片区污水管网改造工程（建工学院东站</w:t>
      </w:r>
      <w:r>
        <w:rPr>
          <w:rFonts w:ascii="宋体" w:hAnsi="宋体"/>
          <w:snapToGrid w:val="0"/>
          <w:color w:val="auto"/>
          <w:w w:val="99"/>
          <w:kern w:val="0"/>
          <w:sz w:val="28"/>
          <w:szCs w:val="28"/>
          <w:u w:val="single"/>
        </w:rPr>
        <w:t>校区</w:t>
      </w:r>
      <w:r>
        <w:rPr>
          <w:rFonts w:hint="eastAsia" w:ascii="宋体" w:hAnsi="宋体"/>
          <w:snapToGrid w:val="0"/>
          <w:color w:val="auto"/>
          <w:w w:val="99"/>
          <w:kern w:val="0"/>
          <w:sz w:val="28"/>
          <w:szCs w:val="28"/>
          <w:u w:val="single"/>
        </w:rPr>
        <w:t>段）（第二次）</w:t>
      </w:r>
      <w:r>
        <w:rPr>
          <w:rFonts w:hint="eastAsia" w:ascii="宋体" w:hAnsi="宋体"/>
          <w:snapToGrid w:val="0"/>
          <w:color w:val="auto"/>
          <w:w w:val="99"/>
          <w:kern w:val="0"/>
          <w:sz w:val="28"/>
          <w:szCs w:val="28"/>
        </w:rPr>
        <w:t>采购</w:t>
      </w:r>
      <w:r>
        <w:rPr>
          <w:rFonts w:ascii="宋体" w:hAnsi="宋体"/>
          <w:snapToGrid w:val="0"/>
          <w:color w:val="auto"/>
          <w:w w:val="99"/>
          <w:kern w:val="0"/>
          <w:sz w:val="28"/>
          <w:szCs w:val="28"/>
        </w:rPr>
        <w:t>公告</w:t>
      </w:r>
    </w:p>
    <w:p w14:paraId="77FE730A">
      <w:pPr>
        <w:pStyle w:val="4"/>
        <w:spacing w:before="100" w:after="100" w:line="460" w:lineRule="exact"/>
        <w:rPr>
          <w:rFonts w:ascii="宋体" w:hAnsi="宋体"/>
          <w:snapToGrid w:val="0"/>
          <w:color w:val="auto"/>
          <w:sz w:val="28"/>
          <w:szCs w:val="28"/>
        </w:rPr>
      </w:pPr>
      <w:bookmarkStart w:id="15" w:name="_Toc287607728"/>
      <w:bookmarkStart w:id="16" w:name="_Toc6489"/>
      <w:bookmarkStart w:id="17" w:name="_Toc430530416"/>
      <w:bookmarkStart w:id="18" w:name="_Toc287620667"/>
      <w:bookmarkStart w:id="19" w:name="_Toc200359238"/>
      <w:bookmarkStart w:id="20" w:name="_Toc509218692"/>
      <w:bookmarkStart w:id="21" w:name="_Toc277082536"/>
      <w:bookmarkStart w:id="22" w:name="_Toc224103299"/>
      <w:bookmarkStart w:id="23" w:name="_Toc200359427"/>
      <w:r>
        <w:rPr>
          <w:rFonts w:ascii="宋体" w:hAnsi="宋体"/>
          <w:snapToGrid w:val="0"/>
          <w:color w:val="auto"/>
          <w:sz w:val="28"/>
          <w:szCs w:val="28"/>
        </w:rPr>
        <w:t xml:space="preserve">1. </w:t>
      </w:r>
      <w:r>
        <w:rPr>
          <w:rFonts w:hint="eastAsia" w:ascii="宋体" w:hAnsi="宋体"/>
          <w:snapToGrid w:val="0"/>
          <w:color w:val="auto"/>
          <w:sz w:val="28"/>
          <w:szCs w:val="28"/>
        </w:rPr>
        <w:t xml:space="preserve"> 采购</w:t>
      </w:r>
      <w:r>
        <w:rPr>
          <w:rFonts w:ascii="宋体" w:hAnsi="宋体"/>
          <w:snapToGrid w:val="0"/>
          <w:color w:val="auto"/>
          <w:sz w:val="28"/>
          <w:szCs w:val="28"/>
        </w:rPr>
        <w:t>条件</w:t>
      </w:r>
      <w:bookmarkEnd w:id="15"/>
      <w:bookmarkEnd w:id="16"/>
      <w:bookmarkEnd w:id="17"/>
      <w:bookmarkEnd w:id="18"/>
      <w:bookmarkEnd w:id="19"/>
      <w:bookmarkEnd w:id="20"/>
      <w:bookmarkEnd w:id="21"/>
      <w:bookmarkEnd w:id="22"/>
      <w:bookmarkEnd w:id="23"/>
    </w:p>
    <w:p w14:paraId="70474E16">
      <w:pPr>
        <w:autoSpaceDE w:val="0"/>
        <w:autoSpaceDN w:val="0"/>
        <w:adjustRightInd w:val="0"/>
        <w:spacing w:line="360" w:lineRule="auto"/>
        <w:ind w:firstLine="420" w:firstLineChars="200"/>
        <w:jc w:val="left"/>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rPr>
        <w:t>采购</w:t>
      </w:r>
      <w:r>
        <w:rPr>
          <w:rFonts w:ascii="宋体" w:hAnsi="宋体"/>
          <w:snapToGrid w:val="0"/>
          <w:color w:val="auto"/>
          <w:kern w:val="0"/>
          <w:szCs w:val="21"/>
        </w:rPr>
        <w:t>项目</w:t>
      </w:r>
      <w:r>
        <w:rPr>
          <w:rFonts w:hint="eastAsia" w:ascii="宋体" w:hAnsi="宋体"/>
          <w:snapToGrid w:val="0"/>
          <w:color w:val="auto"/>
          <w:kern w:val="0"/>
          <w:szCs w:val="21"/>
          <w:u w:val="single"/>
        </w:rPr>
        <w:t>经开区茶园大道以南片区污水管网改造工程（建工学院东站</w:t>
      </w:r>
      <w:r>
        <w:rPr>
          <w:rFonts w:ascii="宋体" w:hAnsi="宋体"/>
          <w:snapToGrid w:val="0"/>
          <w:color w:val="auto"/>
          <w:kern w:val="0"/>
          <w:szCs w:val="21"/>
          <w:u w:val="single"/>
        </w:rPr>
        <w:t>校区</w:t>
      </w:r>
      <w:r>
        <w:rPr>
          <w:rFonts w:hint="eastAsia" w:ascii="宋体" w:hAnsi="宋体"/>
          <w:snapToGrid w:val="0"/>
          <w:color w:val="auto"/>
          <w:kern w:val="0"/>
          <w:szCs w:val="21"/>
          <w:u w:val="single"/>
        </w:rPr>
        <w:t>段）（第二次）</w:t>
      </w:r>
      <w:r>
        <w:rPr>
          <w:rFonts w:ascii="宋体" w:hAnsi="宋体"/>
          <w:snapToGrid w:val="0"/>
          <w:color w:val="auto"/>
          <w:kern w:val="0"/>
          <w:szCs w:val="21"/>
        </w:rPr>
        <w:t>已由</w:t>
      </w:r>
      <w:r>
        <w:rPr>
          <w:rFonts w:hint="eastAsia" w:ascii="宋体" w:hAnsi="宋体"/>
          <w:snapToGrid w:val="0"/>
          <w:color w:val="auto"/>
          <w:kern w:val="0"/>
          <w:position w:val="-2"/>
          <w:szCs w:val="21"/>
          <w:u w:val="single"/>
        </w:rPr>
        <w:t>重庆经济技术开发区管理委员会改革发展和科技局</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根据项目</w:t>
      </w:r>
      <w:r>
        <w:rPr>
          <w:rFonts w:ascii="宋体" w:hAnsi="宋体"/>
          <w:snapToGrid w:val="0"/>
          <w:color w:val="auto"/>
          <w:kern w:val="0"/>
          <w:szCs w:val="21"/>
          <w:u w:val="single"/>
        </w:rPr>
        <w:t>编号</w:t>
      </w:r>
      <w:r>
        <w:rPr>
          <w:rFonts w:ascii="宋体" w:hAnsi="宋体"/>
          <w:snapToGrid w:val="0"/>
          <w:color w:val="auto"/>
          <w:kern w:val="0"/>
          <w:position w:val="-2"/>
          <w:szCs w:val="21"/>
          <w:u w:val="single"/>
        </w:rPr>
        <w:t>：2405-500108-04-01-844322</w:t>
      </w:r>
      <w:r>
        <w:rPr>
          <w:rFonts w:hint="eastAsia" w:ascii="宋体" w:hAnsi="宋体"/>
          <w:snapToGrid w:val="0"/>
          <w:color w:val="auto"/>
          <w:kern w:val="0"/>
          <w:position w:val="-2"/>
          <w:szCs w:val="21"/>
          <w:u w:val="single"/>
        </w:rPr>
        <w:t xml:space="preserve"> </w:t>
      </w:r>
      <w:r>
        <w:rPr>
          <w:rFonts w:ascii="宋体" w:hAnsi="宋体"/>
          <w:snapToGrid w:val="0"/>
          <w:color w:val="auto"/>
          <w:kern w:val="0"/>
          <w:szCs w:val="21"/>
        </w:rPr>
        <w:t>批准建设，项目业主为</w:t>
      </w:r>
      <w:r>
        <w:rPr>
          <w:rFonts w:hint="eastAsia" w:ascii="宋体" w:hAnsi="宋体"/>
          <w:snapToGrid w:val="0"/>
          <w:color w:val="auto"/>
          <w:kern w:val="0"/>
          <w:position w:val="-2"/>
          <w:szCs w:val="21"/>
          <w:u w:val="single"/>
        </w:rPr>
        <w:t>重庆经开区投资集团有限公司</w:t>
      </w:r>
      <w:r>
        <w:rPr>
          <w:rFonts w:hint="eastAsia" w:ascii="宋体" w:hAnsi="宋体"/>
          <w:snapToGrid w:val="0"/>
          <w:color w:val="auto"/>
          <w:kern w:val="0"/>
          <w:szCs w:val="21"/>
          <w:u w:val="single"/>
        </w:rPr>
        <w:t xml:space="preserve"> </w:t>
      </w:r>
      <w:r>
        <w:rPr>
          <w:rFonts w:ascii="宋体" w:hAnsi="宋体"/>
          <w:snapToGrid w:val="0"/>
          <w:color w:val="auto"/>
          <w:kern w:val="0"/>
          <w:szCs w:val="21"/>
        </w:rPr>
        <w:t>，建设资金来自</w:t>
      </w:r>
      <w:r>
        <w:rPr>
          <w:rFonts w:hint="eastAsia" w:ascii="宋体" w:hAnsi="宋体"/>
          <w:snapToGrid w:val="0"/>
          <w:color w:val="auto"/>
          <w:kern w:val="0"/>
          <w:szCs w:val="21"/>
          <w:u w:val="single"/>
        </w:rPr>
        <w:t xml:space="preserve">  业主自筹 </w:t>
      </w:r>
      <w:r>
        <w:rPr>
          <w:rFonts w:ascii="宋体" w:hAnsi="宋体"/>
          <w:snapToGrid w:val="0"/>
          <w:color w:val="auto"/>
          <w:kern w:val="0"/>
          <w:szCs w:val="21"/>
        </w:rPr>
        <w:t>，项目出资比例为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100%</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采购</w:t>
      </w:r>
      <w:r>
        <w:rPr>
          <w:rFonts w:ascii="宋体" w:hAnsi="宋体"/>
          <w:snapToGrid w:val="0"/>
          <w:color w:val="auto"/>
          <w:kern w:val="0"/>
          <w:szCs w:val="21"/>
        </w:rPr>
        <w:t>人</w:t>
      </w:r>
      <w:r>
        <w:rPr>
          <w:rFonts w:ascii="宋体" w:hAnsi="宋体"/>
          <w:snapToGrid w:val="0"/>
          <w:color w:val="auto"/>
          <w:kern w:val="0"/>
          <w:position w:val="-2"/>
          <w:szCs w:val="21"/>
        </w:rPr>
        <w:t>为</w:t>
      </w:r>
      <w:r>
        <w:rPr>
          <w:rFonts w:hint="eastAsia" w:ascii="宋体" w:hAnsi="宋体"/>
          <w:snapToGrid w:val="0"/>
          <w:color w:val="auto"/>
          <w:kern w:val="0"/>
          <w:szCs w:val="21"/>
          <w:u w:val="single"/>
        </w:rPr>
        <w:t xml:space="preserve">  重庆经开区开发建设有限公司  </w:t>
      </w:r>
      <w:r>
        <w:rPr>
          <w:rFonts w:ascii="宋体" w:hAnsi="宋体"/>
          <w:snapToGrid w:val="0"/>
          <w:color w:val="auto"/>
          <w:kern w:val="0"/>
          <w:position w:val="-2"/>
          <w:szCs w:val="21"/>
        </w:rPr>
        <w:t>。项目已具备</w:t>
      </w:r>
      <w:r>
        <w:rPr>
          <w:rFonts w:hint="eastAsia" w:ascii="宋体" w:hAnsi="宋体"/>
          <w:snapToGrid w:val="0"/>
          <w:color w:val="auto"/>
          <w:kern w:val="0"/>
          <w:position w:val="-2"/>
          <w:szCs w:val="21"/>
        </w:rPr>
        <w:t>采购</w:t>
      </w:r>
      <w:r>
        <w:rPr>
          <w:rFonts w:ascii="宋体" w:hAnsi="宋体"/>
          <w:snapToGrid w:val="0"/>
          <w:color w:val="auto"/>
          <w:kern w:val="0"/>
          <w:position w:val="-2"/>
          <w:szCs w:val="21"/>
        </w:rPr>
        <w:t>条件，现对</w:t>
      </w:r>
      <w:r>
        <w:rPr>
          <w:rFonts w:hint="eastAsia" w:ascii="宋体" w:hAnsi="宋体"/>
          <w:snapToGrid w:val="0"/>
          <w:color w:val="auto"/>
          <w:kern w:val="0"/>
          <w:position w:val="-2"/>
          <w:szCs w:val="21"/>
          <w:u w:val="single"/>
        </w:rPr>
        <w:t>该项目的施工</w:t>
      </w:r>
      <w:r>
        <w:rPr>
          <w:rFonts w:ascii="宋体" w:hAnsi="宋体"/>
          <w:snapToGrid w:val="0"/>
          <w:color w:val="auto"/>
          <w:kern w:val="0"/>
          <w:position w:val="-2"/>
          <w:szCs w:val="21"/>
        </w:rPr>
        <w:t>进行</w:t>
      </w:r>
      <w:r>
        <w:rPr>
          <w:rFonts w:hint="eastAsia" w:ascii="宋体" w:hAnsi="宋体"/>
          <w:snapToGrid w:val="0"/>
          <w:color w:val="auto"/>
          <w:kern w:val="0"/>
          <w:position w:val="-2"/>
          <w:szCs w:val="21"/>
          <w:u w:val="single"/>
        </w:rPr>
        <w:t>竞争性比选。</w:t>
      </w:r>
    </w:p>
    <w:p w14:paraId="64446F3F">
      <w:pPr>
        <w:pStyle w:val="4"/>
        <w:spacing w:before="100" w:after="100" w:line="460" w:lineRule="exact"/>
        <w:rPr>
          <w:rFonts w:ascii="宋体" w:hAnsi="宋体"/>
          <w:snapToGrid w:val="0"/>
          <w:color w:val="auto"/>
          <w:sz w:val="28"/>
          <w:szCs w:val="28"/>
        </w:rPr>
      </w:pPr>
      <w:bookmarkStart w:id="24" w:name="_Toc200359239"/>
      <w:bookmarkStart w:id="25" w:name="_Toc224103300"/>
      <w:bookmarkStart w:id="26" w:name="_Toc287620668"/>
      <w:bookmarkStart w:id="27" w:name="_Toc277082537"/>
      <w:bookmarkStart w:id="28" w:name="_Toc287607729"/>
      <w:bookmarkStart w:id="29" w:name="_Toc430530417"/>
      <w:bookmarkStart w:id="30" w:name="_Toc509218693"/>
      <w:bookmarkStart w:id="31" w:name="_Toc7267"/>
      <w:bookmarkStart w:id="32" w:name="_Toc200359428"/>
      <w:r>
        <w:rPr>
          <w:rFonts w:ascii="宋体" w:hAnsi="宋体"/>
          <w:snapToGrid w:val="0"/>
          <w:color w:val="auto"/>
          <w:sz w:val="28"/>
          <w:szCs w:val="28"/>
        </w:rPr>
        <w:t>2.</w:t>
      </w:r>
      <w:r>
        <w:rPr>
          <w:rFonts w:hint="eastAsia" w:ascii="宋体" w:hAnsi="宋体"/>
          <w:snapToGrid w:val="0"/>
          <w:color w:val="auto"/>
          <w:sz w:val="28"/>
          <w:szCs w:val="28"/>
        </w:rPr>
        <w:t xml:space="preserve"> </w:t>
      </w:r>
      <w:r>
        <w:rPr>
          <w:rFonts w:ascii="宋体" w:hAnsi="宋体"/>
          <w:snapToGrid w:val="0"/>
          <w:color w:val="auto"/>
          <w:sz w:val="28"/>
          <w:szCs w:val="28"/>
        </w:rPr>
        <w:t xml:space="preserve"> 项目概况与</w:t>
      </w:r>
      <w:r>
        <w:rPr>
          <w:rFonts w:hint="eastAsia" w:ascii="宋体" w:hAnsi="宋体"/>
          <w:snapToGrid w:val="0"/>
          <w:color w:val="auto"/>
          <w:sz w:val="28"/>
          <w:szCs w:val="28"/>
        </w:rPr>
        <w:t>采购</w:t>
      </w:r>
      <w:r>
        <w:rPr>
          <w:rFonts w:ascii="宋体" w:hAnsi="宋体"/>
          <w:snapToGrid w:val="0"/>
          <w:color w:val="auto"/>
          <w:sz w:val="28"/>
          <w:szCs w:val="28"/>
        </w:rPr>
        <w:t>范围</w:t>
      </w:r>
      <w:bookmarkEnd w:id="24"/>
      <w:bookmarkEnd w:id="25"/>
      <w:bookmarkEnd w:id="26"/>
      <w:bookmarkEnd w:id="27"/>
      <w:bookmarkEnd w:id="28"/>
      <w:bookmarkEnd w:id="29"/>
      <w:bookmarkEnd w:id="30"/>
      <w:bookmarkEnd w:id="31"/>
      <w:bookmarkEnd w:id="32"/>
    </w:p>
    <w:p w14:paraId="71D3810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2.1 建设地点：</w:t>
      </w:r>
      <w:r>
        <w:rPr>
          <w:rFonts w:hint="eastAsia" w:ascii="宋体" w:hAnsi="宋体"/>
          <w:snapToGrid w:val="0"/>
          <w:color w:val="auto"/>
          <w:kern w:val="0"/>
          <w:szCs w:val="21"/>
          <w:u w:val="single"/>
        </w:rPr>
        <w:t xml:space="preserve"> 重庆市南岸区迎龙镇建工学院新校区西南侧</w:t>
      </w:r>
    </w:p>
    <w:p w14:paraId="3539520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yellow"/>
          <w:u w:val="single"/>
        </w:rPr>
      </w:pPr>
      <w:r>
        <w:rPr>
          <w:rFonts w:hint="eastAsia" w:ascii="宋体" w:hAnsi="宋体"/>
          <w:snapToGrid w:val="0"/>
          <w:color w:val="auto"/>
          <w:kern w:val="0"/>
          <w:szCs w:val="21"/>
        </w:rPr>
        <w:t>2.2 项目概况与建设规模：</w:t>
      </w:r>
      <w:r>
        <w:rPr>
          <w:rFonts w:hint="eastAsia" w:ascii="宋体" w:hAnsi="宋体"/>
          <w:snapToGrid w:val="0"/>
          <w:color w:val="auto"/>
          <w:kern w:val="0"/>
          <w:szCs w:val="21"/>
          <w:u w:val="single"/>
        </w:rPr>
        <w:t>本项目拟建d400污水管网155m，d600雨水管网19m，起点始于建工职业学院东入口位置，终点止于茶园大道，同时为修建雨污管网，在建工职业学院东入口位置，自南向北修建宽5.0m的临时便道接入茶园大道辅道，便道全长约319.687m，道路等级采用四级公路Ⅱ级,设计速度15km/h。</w:t>
      </w:r>
    </w:p>
    <w:p w14:paraId="593FCD5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2.3 本次采购项目合同估算金额：</w:t>
      </w:r>
      <w:r>
        <w:rPr>
          <w:rFonts w:hint="eastAsia" w:ascii="宋体" w:hAnsi="宋体"/>
          <w:snapToGrid w:val="0"/>
          <w:color w:val="auto"/>
          <w:kern w:val="0"/>
          <w:szCs w:val="21"/>
          <w:u w:val="single"/>
        </w:rPr>
        <w:t>23</w:t>
      </w:r>
      <w:r>
        <w:rPr>
          <w:rFonts w:ascii="宋体" w:hAnsi="宋体"/>
          <w:snapToGrid w:val="0"/>
          <w:color w:val="auto"/>
          <w:kern w:val="0"/>
          <w:szCs w:val="21"/>
          <w:u w:val="single"/>
        </w:rPr>
        <w:t>0</w:t>
      </w:r>
      <w:r>
        <w:rPr>
          <w:rFonts w:hint="eastAsia" w:ascii="宋体" w:hAnsi="宋体"/>
          <w:snapToGrid w:val="0"/>
          <w:color w:val="auto"/>
          <w:kern w:val="0"/>
          <w:szCs w:val="21"/>
          <w:u w:val="single"/>
        </w:rPr>
        <w:t>6997.56元。</w:t>
      </w:r>
    </w:p>
    <w:p w14:paraId="3D3DB4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2.4 采购范围：</w:t>
      </w:r>
      <w:r>
        <w:rPr>
          <w:rFonts w:hint="eastAsia" w:ascii="宋体" w:hAnsi="宋体"/>
          <w:snapToGrid w:val="0"/>
          <w:color w:val="auto"/>
          <w:kern w:val="0"/>
          <w:szCs w:val="21"/>
          <w:u w:val="single"/>
        </w:rPr>
        <w:t>建设</w:t>
      </w:r>
      <w:r>
        <w:rPr>
          <w:rFonts w:ascii="宋体" w:hAnsi="宋体"/>
          <w:snapToGrid w:val="0"/>
          <w:color w:val="auto"/>
          <w:kern w:val="0"/>
          <w:szCs w:val="21"/>
          <w:u w:val="single"/>
        </w:rPr>
        <w:t>内容</w:t>
      </w:r>
      <w:r>
        <w:rPr>
          <w:rFonts w:hint="eastAsia" w:ascii="宋体" w:hAnsi="宋体"/>
          <w:snapToGrid w:val="0"/>
          <w:color w:val="auto"/>
          <w:kern w:val="0"/>
          <w:szCs w:val="21"/>
          <w:u w:val="single"/>
        </w:rPr>
        <w:t>包括</w:t>
      </w:r>
      <w:r>
        <w:rPr>
          <w:rFonts w:ascii="宋体" w:hAnsi="宋体"/>
          <w:snapToGrid w:val="0"/>
          <w:color w:val="auto"/>
          <w:kern w:val="0"/>
          <w:szCs w:val="21"/>
          <w:u w:val="single"/>
        </w:rPr>
        <w:t>但不限于道路工程、给排水工程、结构工程等</w:t>
      </w:r>
      <w:r>
        <w:rPr>
          <w:rFonts w:hint="eastAsia" w:ascii="宋体" w:hAnsi="宋体"/>
          <w:snapToGrid w:val="0"/>
          <w:color w:val="auto"/>
          <w:kern w:val="0"/>
          <w:szCs w:val="21"/>
          <w:u w:val="single"/>
        </w:rPr>
        <w:t>内容</w:t>
      </w:r>
      <w:r>
        <w:rPr>
          <w:rFonts w:ascii="宋体" w:hAnsi="宋体"/>
          <w:snapToGrid w:val="0"/>
          <w:color w:val="auto"/>
          <w:kern w:val="0"/>
          <w:szCs w:val="21"/>
          <w:u w:val="single"/>
        </w:rPr>
        <w:t>，具体</w:t>
      </w:r>
      <w:r>
        <w:rPr>
          <w:rFonts w:hint="eastAsia" w:ascii="宋体" w:hAnsi="宋体"/>
          <w:snapToGrid w:val="0"/>
          <w:color w:val="auto"/>
          <w:kern w:val="0"/>
          <w:szCs w:val="21"/>
          <w:u w:val="single"/>
        </w:rPr>
        <w:t>详见施工图、工程量清单。</w:t>
      </w:r>
    </w:p>
    <w:p w14:paraId="7173B7F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2.5 工期要求：</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rPr>
        <w:t>60天</w:t>
      </w:r>
    </w:p>
    <w:p w14:paraId="25609FB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    缺陷责任期要求：</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24</w:t>
      </w:r>
      <w:r>
        <w:rPr>
          <w:rFonts w:hint="eastAsia" w:ascii="宋体" w:hAnsi="宋体"/>
          <w:snapToGrid w:val="0"/>
          <w:color w:val="auto"/>
          <w:kern w:val="0"/>
          <w:szCs w:val="21"/>
          <w:u w:val="single"/>
        </w:rPr>
        <w:t>个月</w:t>
      </w:r>
    </w:p>
    <w:p w14:paraId="56CE045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2.6 标段划分（如有）：</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w:t>
      </w:r>
      <w:r>
        <w:rPr>
          <w:rFonts w:hint="eastAsia" w:ascii="宋体" w:hAnsi="宋体"/>
          <w:snapToGrid w:val="0"/>
          <w:color w:val="auto"/>
          <w:kern w:val="0"/>
          <w:szCs w:val="21"/>
          <w:u w:val="single"/>
        </w:rPr>
        <w:t xml:space="preserve">    </w:t>
      </w:r>
    </w:p>
    <w:p w14:paraId="55D5D59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2.7 其他：</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w:t>
      </w:r>
      <w:r>
        <w:rPr>
          <w:rFonts w:hint="eastAsia" w:ascii="宋体" w:hAnsi="宋体"/>
          <w:snapToGrid w:val="0"/>
          <w:color w:val="auto"/>
          <w:kern w:val="0"/>
          <w:szCs w:val="21"/>
          <w:u w:val="single"/>
        </w:rPr>
        <w:t xml:space="preserve">    </w:t>
      </w:r>
    </w:p>
    <w:p w14:paraId="1ED74D49">
      <w:pPr>
        <w:pStyle w:val="4"/>
        <w:spacing w:before="100" w:after="100" w:line="460" w:lineRule="exact"/>
        <w:rPr>
          <w:rFonts w:ascii="宋体" w:hAnsi="宋体"/>
          <w:snapToGrid w:val="0"/>
          <w:color w:val="auto"/>
          <w:sz w:val="28"/>
          <w:szCs w:val="28"/>
        </w:rPr>
      </w:pPr>
      <w:bookmarkStart w:id="33" w:name="_Toc287620669"/>
      <w:bookmarkStart w:id="34" w:name="_Toc277082538"/>
      <w:bookmarkStart w:id="35" w:name="_Toc200359240"/>
      <w:bookmarkStart w:id="36" w:name="_Toc16457"/>
      <w:bookmarkStart w:id="37" w:name="_Toc224103301"/>
      <w:bookmarkStart w:id="38" w:name="_Toc430530418"/>
      <w:bookmarkStart w:id="39" w:name="_Toc509218694"/>
      <w:bookmarkStart w:id="40" w:name="_Toc200359429"/>
      <w:bookmarkStart w:id="41" w:name="_Toc287607730"/>
      <w:r>
        <w:rPr>
          <w:rFonts w:ascii="宋体" w:hAnsi="宋体"/>
          <w:snapToGrid w:val="0"/>
          <w:color w:val="auto"/>
          <w:sz w:val="28"/>
          <w:szCs w:val="28"/>
        </w:rPr>
        <w:t xml:space="preserve">3. </w:t>
      </w:r>
      <w:r>
        <w:rPr>
          <w:rFonts w:hint="eastAsia" w:ascii="宋体" w:hAnsi="宋体"/>
          <w:snapToGrid w:val="0"/>
          <w:color w:val="auto"/>
          <w:sz w:val="28"/>
          <w:szCs w:val="28"/>
        </w:rPr>
        <w:t xml:space="preserve"> </w:t>
      </w:r>
      <w:r>
        <w:rPr>
          <w:rFonts w:ascii="宋体" w:hAnsi="宋体"/>
          <w:snapToGrid w:val="0"/>
          <w:color w:val="auto"/>
          <w:sz w:val="28"/>
          <w:szCs w:val="28"/>
        </w:rPr>
        <w:t>投标人资格要求</w:t>
      </w:r>
      <w:bookmarkEnd w:id="33"/>
      <w:bookmarkEnd w:id="34"/>
      <w:bookmarkEnd w:id="35"/>
      <w:bookmarkEnd w:id="36"/>
      <w:bookmarkEnd w:id="37"/>
      <w:bookmarkEnd w:id="38"/>
      <w:bookmarkEnd w:id="39"/>
      <w:bookmarkEnd w:id="40"/>
      <w:bookmarkEnd w:id="41"/>
    </w:p>
    <w:p w14:paraId="7F1787B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w:t>
      </w:r>
      <w:r>
        <w:rPr>
          <w:rFonts w:hint="eastAsia" w:ascii="宋体" w:hAnsi="宋体"/>
          <w:snapToGrid w:val="0"/>
          <w:color w:val="auto"/>
          <w:kern w:val="0"/>
          <w:szCs w:val="21"/>
        </w:rPr>
        <w:t>采购</w:t>
      </w:r>
      <w:r>
        <w:rPr>
          <w:rFonts w:ascii="宋体" w:hAnsi="宋体"/>
          <w:snapToGrid w:val="0"/>
          <w:color w:val="auto"/>
          <w:kern w:val="0"/>
          <w:szCs w:val="21"/>
        </w:rPr>
        <w:t>要求投标人须具备</w:t>
      </w:r>
      <w:r>
        <w:rPr>
          <w:rFonts w:hint="eastAsia" w:ascii="宋体" w:hAnsi="宋体"/>
          <w:snapToGrid w:val="0"/>
          <w:color w:val="auto"/>
          <w:kern w:val="0"/>
          <w:szCs w:val="21"/>
        </w:rPr>
        <w:t>以下条件：</w:t>
      </w:r>
    </w:p>
    <w:p w14:paraId="5E9A314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3.1.1 本次采购要求投标人具备的资质条件：</w:t>
      </w:r>
      <w:r>
        <w:rPr>
          <w:rFonts w:hint="eastAsia" w:ascii="宋体" w:hAnsi="宋体"/>
          <w:snapToGrid w:val="0"/>
          <w:color w:val="auto"/>
          <w:kern w:val="0"/>
          <w:szCs w:val="21"/>
          <w:u w:val="single"/>
        </w:rPr>
        <w:t xml:space="preserve">市政公用工程施工总承包三级及以上 </w:t>
      </w:r>
      <w:r>
        <w:rPr>
          <w:rFonts w:hint="eastAsia" w:ascii="宋体" w:hAnsi="宋体"/>
          <w:snapToGrid w:val="0"/>
          <w:color w:val="auto"/>
          <w:kern w:val="0"/>
          <w:szCs w:val="21"/>
        </w:rPr>
        <w:t>；</w:t>
      </w:r>
    </w:p>
    <w:p w14:paraId="18A895C3">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w:t>
      </w:r>
      <w:r>
        <w:rPr>
          <w:rFonts w:ascii="宋体" w:hAnsi="宋体"/>
          <w:snapToGrid w:val="0"/>
          <w:color w:val="auto"/>
          <w:kern w:val="0"/>
          <w:szCs w:val="21"/>
        </w:rPr>
        <w:t>2</w:t>
      </w:r>
      <w:r>
        <w:rPr>
          <w:rFonts w:hint="eastAsia" w:ascii="宋体" w:hAnsi="宋体"/>
          <w:snapToGrid w:val="0"/>
          <w:color w:val="auto"/>
          <w:kern w:val="0"/>
          <w:szCs w:val="21"/>
        </w:rPr>
        <w:t xml:space="preserve"> 投标人还应在人员、设备、资金等方面具有相应的施工能力，详见采购文件第二章投标人须知前附表第1.4.1项内容。</w:t>
      </w:r>
    </w:p>
    <w:p w14:paraId="487466A9">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w:t>
      </w:r>
      <w:r>
        <w:rPr>
          <w:rFonts w:hint="eastAsia" w:ascii="宋体" w:hAnsi="宋体"/>
          <w:snapToGrid w:val="0"/>
          <w:color w:val="auto"/>
          <w:kern w:val="0"/>
          <w:szCs w:val="21"/>
        </w:rPr>
        <w:t>采购不接受</w:t>
      </w:r>
      <w:r>
        <w:rPr>
          <w:rFonts w:ascii="宋体" w:hAnsi="宋体"/>
          <w:snapToGrid w:val="0"/>
          <w:color w:val="auto"/>
          <w:kern w:val="0"/>
          <w:szCs w:val="21"/>
        </w:rPr>
        <w:t>联合体投标。</w:t>
      </w:r>
    </w:p>
    <w:p w14:paraId="033FE2B5">
      <w:pPr>
        <w:pStyle w:val="4"/>
        <w:spacing w:before="100" w:after="100" w:line="460" w:lineRule="exact"/>
        <w:rPr>
          <w:rFonts w:ascii="宋体" w:hAnsi="宋体"/>
          <w:snapToGrid w:val="0"/>
          <w:color w:val="auto"/>
          <w:sz w:val="28"/>
          <w:szCs w:val="28"/>
        </w:rPr>
      </w:pPr>
      <w:bookmarkStart w:id="42" w:name="_Toc200359241"/>
      <w:bookmarkStart w:id="43" w:name="_Toc430530419"/>
      <w:bookmarkStart w:id="44" w:name="_Toc224103302"/>
      <w:bookmarkStart w:id="45" w:name="_Toc287607731"/>
      <w:bookmarkStart w:id="46" w:name="_Toc509218695"/>
      <w:bookmarkStart w:id="47" w:name="_Toc14585"/>
      <w:bookmarkStart w:id="48" w:name="_Toc200359430"/>
      <w:bookmarkStart w:id="49" w:name="_Toc277082539"/>
      <w:bookmarkStart w:id="50" w:name="_Toc287620670"/>
      <w:r>
        <w:rPr>
          <w:rFonts w:ascii="宋体" w:hAnsi="宋体"/>
          <w:snapToGrid w:val="0"/>
          <w:color w:val="auto"/>
          <w:sz w:val="28"/>
          <w:szCs w:val="28"/>
        </w:rPr>
        <w:t xml:space="preserve">4. </w:t>
      </w:r>
      <w:r>
        <w:rPr>
          <w:rFonts w:hint="eastAsia" w:ascii="宋体" w:hAnsi="宋体"/>
          <w:snapToGrid w:val="0"/>
          <w:color w:val="auto"/>
          <w:sz w:val="28"/>
          <w:szCs w:val="28"/>
        </w:rPr>
        <w:t xml:space="preserve"> 采购</w:t>
      </w:r>
      <w:r>
        <w:rPr>
          <w:rFonts w:ascii="宋体" w:hAnsi="宋体"/>
          <w:snapToGrid w:val="0"/>
          <w:color w:val="auto"/>
          <w:sz w:val="28"/>
          <w:szCs w:val="28"/>
        </w:rPr>
        <w:t>文件的获取</w:t>
      </w:r>
      <w:bookmarkEnd w:id="42"/>
      <w:bookmarkEnd w:id="43"/>
      <w:bookmarkEnd w:id="44"/>
      <w:bookmarkEnd w:id="45"/>
      <w:bookmarkEnd w:id="46"/>
      <w:bookmarkEnd w:id="47"/>
      <w:bookmarkEnd w:id="48"/>
      <w:bookmarkEnd w:id="49"/>
      <w:bookmarkEnd w:id="50"/>
    </w:p>
    <w:p w14:paraId="76566D14">
      <w:pPr>
        <w:tabs>
          <w:tab w:val="left" w:pos="2420"/>
          <w:tab w:val="left" w:pos="5445"/>
        </w:tabs>
        <w:autoSpaceDE w:val="0"/>
        <w:autoSpaceDN w:val="0"/>
        <w:adjustRightInd w:val="0"/>
        <w:snapToGrid w:val="0"/>
        <w:spacing w:line="450" w:lineRule="exact"/>
        <w:ind w:firstLine="420"/>
        <w:rPr>
          <w:rFonts w:ascii="宋体" w:hAnsi="宋体"/>
          <w:snapToGrid w:val="0"/>
          <w:color w:val="auto"/>
          <w:kern w:val="0"/>
          <w:szCs w:val="21"/>
        </w:rPr>
      </w:pPr>
      <w:r>
        <w:rPr>
          <w:rFonts w:hint="eastAsia" w:ascii="宋体" w:hAnsi="宋体"/>
          <w:snapToGrid w:val="0"/>
          <w:color w:val="auto"/>
          <w:kern w:val="0"/>
          <w:szCs w:val="21"/>
        </w:rPr>
        <w:t>4.1</w:t>
      </w:r>
      <w:r>
        <w:rPr>
          <w:rFonts w:ascii="宋体" w:hAnsi="宋体"/>
          <w:snapToGrid w:val="0"/>
          <w:color w:val="auto"/>
          <w:kern w:val="0"/>
          <w:szCs w:val="21"/>
        </w:rPr>
        <w:t>本</w:t>
      </w:r>
      <w:r>
        <w:rPr>
          <w:rFonts w:hint="eastAsia" w:ascii="宋体" w:hAnsi="宋体"/>
          <w:snapToGrid w:val="0"/>
          <w:color w:val="auto"/>
          <w:kern w:val="0"/>
          <w:szCs w:val="21"/>
        </w:rPr>
        <w:t>采购</w:t>
      </w:r>
      <w:r>
        <w:rPr>
          <w:rFonts w:ascii="宋体" w:hAnsi="宋体"/>
          <w:snapToGrid w:val="0"/>
          <w:color w:val="auto"/>
          <w:kern w:val="0"/>
          <w:szCs w:val="21"/>
        </w:rPr>
        <w:t>项目</w:t>
      </w:r>
      <w:r>
        <w:rPr>
          <w:rFonts w:hint="eastAsia" w:ascii="宋体" w:hAnsi="宋体"/>
          <w:snapToGrid w:val="0"/>
          <w:color w:val="auto"/>
          <w:kern w:val="0"/>
          <w:szCs w:val="21"/>
        </w:rPr>
        <w:t>自行递交采购文件</w:t>
      </w:r>
      <w:r>
        <w:rPr>
          <w:rFonts w:ascii="宋体" w:hAnsi="宋体"/>
          <w:snapToGrid w:val="0"/>
          <w:color w:val="auto"/>
          <w:kern w:val="0"/>
          <w:szCs w:val="21"/>
        </w:rPr>
        <w:t>，投标人在投标前可在</w:t>
      </w:r>
      <w:r>
        <w:rPr>
          <w:rFonts w:hint="eastAsia" w:ascii="宋体" w:hAnsi="宋体"/>
          <w:snapToGrid w:val="0"/>
          <w:color w:val="auto"/>
          <w:kern w:val="0"/>
          <w:szCs w:val="21"/>
        </w:rPr>
        <w:t>重庆经开区投资集团官网</w:t>
      </w:r>
      <w:r>
        <w:rPr>
          <w:rFonts w:hint="eastAsia" w:ascii="宋体" w:hAnsi="宋体"/>
          <w:snapToGrid w:val="0"/>
          <w:color w:val="auto"/>
          <w:kern w:val="0"/>
          <w:szCs w:val="21"/>
          <w:u w:val="single"/>
        </w:rPr>
        <w:t>（</w:t>
      </w:r>
      <w:r>
        <w:rPr>
          <w:color w:val="auto"/>
        </w:rPr>
        <w:fldChar w:fldCharType="begin"/>
      </w:r>
      <w:r>
        <w:rPr>
          <w:color w:val="auto"/>
        </w:rPr>
        <w:instrText xml:space="preserve"> HYPERLINK "http://www.cetzig.com/" </w:instrText>
      </w:r>
      <w:r>
        <w:rPr>
          <w:color w:val="auto"/>
        </w:rPr>
        <w:fldChar w:fldCharType="separate"/>
      </w:r>
      <w:r>
        <w:rPr>
          <w:rFonts w:ascii="宋体" w:hAnsi="宋体"/>
          <w:snapToGrid w:val="0"/>
          <w:color w:val="auto"/>
          <w:kern w:val="0"/>
          <w:szCs w:val="21"/>
          <w:u w:val="single"/>
        </w:rPr>
        <w:t>http://www.cetzig.com/</w:t>
      </w:r>
      <w:r>
        <w:rPr>
          <w:rFonts w:ascii="宋体" w:hAnsi="宋体"/>
          <w:snapToGrid w:val="0"/>
          <w:color w:val="auto"/>
          <w:kern w:val="0"/>
          <w:szCs w:val="21"/>
          <w:u w:val="single"/>
        </w:rPr>
        <w:fldChar w:fldCharType="end"/>
      </w:r>
      <w:r>
        <w:rPr>
          <w:rFonts w:hint="eastAsia" w:ascii="宋体" w:hAnsi="宋体"/>
          <w:snapToGrid w:val="0"/>
          <w:color w:val="auto"/>
          <w:kern w:val="0"/>
          <w:szCs w:val="21"/>
          <w:u w:val="single"/>
        </w:rPr>
        <w:t>）</w:t>
      </w:r>
      <w:r>
        <w:rPr>
          <w:rFonts w:hint="eastAsia" w:ascii="宋体" w:hAnsi="宋体"/>
          <w:snapToGrid w:val="0"/>
          <w:color w:val="auto"/>
          <w:kern w:val="0"/>
          <w:szCs w:val="21"/>
        </w:rPr>
        <w:t>和行采家（https://www.gec123.com/）</w:t>
      </w:r>
      <w:r>
        <w:rPr>
          <w:rFonts w:ascii="宋体" w:hAnsi="宋体"/>
          <w:snapToGrid w:val="0"/>
          <w:color w:val="auto"/>
          <w:kern w:val="0"/>
          <w:szCs w:val="21"/>
        </w:rPr>
        <w:t>下载</w:t>
      </w:r>
      <w:r>
        <w:rPr>
          <w:rFonts w:hint="eastAsia" w:ascii="宋体" w:hAnsi="宋体"/>
          <w:snapToGrid w:val="0"/>
          <w:color w:val="auto"/>
          <w:kern w:val="0"/>
          <w:szCs w:val="21"/>
        </w:rPr>
        <w:t>采购</w:t>
      </w:r>
      <w:r>
        <w:rPr>
          <w:rFonts w:ascii="宋体" w:hAnsi="宋体"/>
          <w:snapToGrid w:val="0"/>
          <w:color w:val="auto"/>
          <w:kern w:val="0"/>
          <w:szCs w:val="21"/>
        </w:rPr>
        <w:t>文件、工程量清单、电子图纸等资料。</w:t>
      </w:r>
    </w:p>
    <w:p w14:paraId="64CCF82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4.2  投标人可通过采购公告中的联系人及联系地址书面递交对</w:t>
      </w:r>
      <w:r>
        <w:rPr>
          <w:rFonts w:hint="eastAsia" w:ascii="宋体" w:hAnsi="宋体"/>
          <w:snapToGrid w:val="0"/>
          <w:color w:val="auto"/>
          <w:kern w:val="0"/>
          <w:szCs w:val="21"/>
          <w:u w:val="single"/>
        </w:rPr>
        <w:t>经开区茶园大道以南片区污水管网改造工程（建工学院东站校区段）（第二次）</w:t>
      </w:r>
      <w:r>
        <w:rPr>
          <w:rFonts w:hint="eastAsia" w:ascii="宋体" w:hAnsi="宋体"/>
          <w:snapToGrid w:val="0"/>
          <w:color w:val="auto"/>
          <w:kern w:val="0"/>
          <w:szCs w:val="21"/>
        </w:rPr>
        <w:t>提出疑问，提问截止时间为公告公示后第二天。（提示：公告公示后第二天结束后，不再接收任何书面质疑。）</w:t>
      </w:r>
    </w:p>
    <w:p w14:paraId="25B3F2B9">
      <w:pPr>
        <w:tabs>
          <w:tab w:val="left" w:pos="2420"/>
          <w:tab w:val="left" w:pos="5445"/>
        </w:tabs>
        <w:autoSpaceDE w:val="0"/>
        <w:autoSpaceDN w:val="0"/>
        <w:adjustRightInd w:val="0"/>
        <w:snapToGrid w:val="0"/>
        <w:spacing w:line="450" w:lineRule="exact"/>
        <w:ind w:firstLine="420"/>
        <w:jc w:val="left"/>
        <w:rPr>
          <w:rFonts w:ascii="宋体" w:hAnsi="宋体"/>
          <w:snapToGrid w:val="0"/>
          <w:color w:val="auto"/>
          <w:kern w:val="0"/>
          <w:szCs w:val="21"/>
        </w:rPr>
      </w:pPr>
      <w:r>
        <w:rPr>
          <w:rFonts w:hint="eastAsia" w:ascii="宋体" w:hAnsi="宋体"/>
          <w:snapToGrid w:val="0"/>
          <w:color w:val="auto"/>
          <w:kern w:val="0"/>
          <w:szCs w:val="21"/>
        </w:rPr>
        <w:t>4.3  采购人应于</w:t>
      </w:r>
      <w:r>
        <w:rPr>
          <w:rFonts w:hint="eastAsia" w:ascii="宋体" w:hAnsi="宋体" w:cs="宋体"/>
          <w:color w:val="auto"/>
          <w:kern w:val="0"/>
          <w:szCs w:val="21"/>
          <w:u w:val="single"/>
        </w:rPr>
        <w:t>公告公示后第三天</w:t>
      </w:r>
      <w:r>
        <w:rPr>
          <w:rFonts w:hint="eastAsia" w:ascii="宋体" w:hAnsi="宋体"/>
          <w:snapToGrid w:val="0"/>
          <w:color w:val="auto"/>
          <w:kern w:val="0"/>
          <w:szCs w:val="21"/>
        </w:rPr>
        <w:t>在重庆经开区投资集团官网</w:t>
      </w:r>
      <w:r>
        <w:rPr>
          <w:rFonts w:hint="eastAsia" w:ascii="宋体" w:hAnsi="宋体"/>
          <w:snapToGrid w:val="0"/>
          <w:color w:val="auto"/>
          <w:kern w:val="0"/>
          <w:szCs w:val="21"/>
          <w:u w:val="single"/>
        </w:rPr>
        <w:t>（</w:t>
      </w:r>
      <w:r>
        <w:rPr>
          <w:color w:val="auto"/>
        </w:rPr>
        <w:fldChar w:fldCharType="begin"/>
      </w:r>
      <w:r>
        <w:rPr>
          <w:color w:val="auto"/>
        </w:rPr>
        <w:instrText xml:space="preserve"> HYPERLINK "http://www.cetzig.com/" </w:instrText>
      </w:r>
      <w:r>
        <w:rPr>
          <w:color w:val="auto"/>
        </w:rPr>
        <w:fldChar w:fldCharType="separate"/>
      </w:r>
      <w:r>
        <w:rPr>
          <w:rFonts w:ascii="宋体" w:hAnsi="宋体"/>
          <w:snapToGrid w:val="0"/>
          <w:color w:val="auto"/>
          <w:kern w:val="0"/>
          <w:szCs w:val="21"/>
          <w:u w:val="single"/>
        </w:rPr>
        <w:t>http://www.cetzig.com/</w:t>
      </w:r>
      <w:r>
        <w:rPr>
          <w:rFonts w:ascii="宋体" w:hAnsi="宋体"/>
          <w:snapToGrid w:val="0"/>
          <w:color w:val="auto"/>
          <w:kern w:val="0"/>
          <w:szCs w:val="21"/>
          <w:u w:val="single"/>
        </w:rPr>
        <w:fldChar w:fldCharType="end"/>
      </w:r>
      <w:r>
        <w:rPr>
          <w:rFonts w:hint="eastAsia" w:ascii="宋体" w:hAnsi="宋体"/>
          <w:snapToGrid w:val="0"/>
          <w:color w:val="auto"/>
          <w:kern w:val="0"/>
          <w:szCs w:val="21"/>
          <w:u w:val="single"/>
        </w:rPr>
        <w:t>）</w:t>
      </w:r>
      <w:r>
        <w:rPr>
          <w:rFonts w:hint="eastAsia" w:ascii="宋体" w:hAnsi="宋体"/>
          <w:snapToGrid w:val="0"/>
          <w:color w:val="auto"/>
          <w:kern w:val="0"/>
          <w:szCs w:val="21"/>
        </w:rPr>
        <w:t>和行采家（https://www.gec123.com/）发布澄清。</w:t>
      </w:r>
    </w:p>
    <w:p w14:paraId="75E0F913">
      <w:pPr>
        <w:tabs>
          <w:tab w:val="left" w:pos="2420"/>
          <w:tab w:val="left" w:pos="5445"/>
        </w:tabs>
        <w:autoSpaceDE w:val="0"/>
        <w:autoSpaceDN w:val="0"/>
        <w:adjustRightInd w:val="0"/>
        <w:snapToGrid w:val="0"/>
        <w:spacing w:line="450" w:lineRule="exact"/>
        <w:ind w:firstLine="420"/>
        <w:rPr>
          <w:rFonts w:ascii="宋体" w:hAnsi="宋体"/>
          <w:snapToGrid w:val="0"/>
          <w:color w:val="auto"/>
          <w:kern w:val="0"/>
          <w:szCs w:val="21"/>
        </w:rPr>
      </w:pPr>
    </w:p>
    <w:p w14:paraId="0DD24331">
      <w:pPr>
        <w:pStyle w:val="4"/>
        <w:spacing w:before="100" w:after="100" w:line="460" w:lineRule="exact"/>
        <w:rPr>
          <w:rFonts w:ascii="宋体" w:hAnsi="宋体"/>
          <w:snapToGrid w:val="0"/>
          <w:color w:val="auto"/>
          <w:sz w:val="28"/>
          <w:szCs w:val="28"/>
        </w:rPr>
      </w:pPr>
      <w:bookmarkStart w:id="51" w:name="_Toc200359242"/>
      <w:bookmarkStart w:id="52" w:name="_Toc200359431"/>
      <w:bookmarkStart w:id="53" w:name="_Toc224103303"/>
      <w:bookmarkStart w:id="54" w:name="_Toc430530420"/>
      <w:bookmarkStart w:id="55" w:name="_Toc277082540"/>
      <w:bookmarkStart w:id="56" w:name="_Toc509218696"/>
      <w:bookmarkStart w:id="57" w:name="_Toc287607732"/>
      <w:bookmarkStart w:id="58" w:name="_Toc287620671"/>
      <w:bookmarkStart w:id="59" w:name="_Toc8046"/>
      <w:r>
        <w:rPr>
          <w:rFonts w:ascii="宋体" w:hAnsi="宋体"/>
          <w:snapToGrid w:val="0"/>
          <w:color w:val="auto"/>
          <w:sz w:val="28"/>
          <w:szCs w:val="28"/>
        </w:rPr>
        <w:t xml:space="preserve">5. </w:t>
      </w:r>
      <w:r>
        <w:rPr>
          <w:rFonts w:hint="eastAsia" w:ascii="宋体" w:hAnsi="宋体"/>
          <w:snapToGrid w:val="0"/>
          <w:color w:val="auto"/>
          <w:sz w:val="28"/>
          <w:szCs w:val="28"/>
        </w:rPr>
        <w:t xml:space="preserve"> </w:t>
      </w:r>
      <w:r>
        <w:rPr>
          <w:rFonts w:ascii="宋体" w:hAnsi="宋体"/>
          <w:snapToGrid w:val="0"/>
          <w:color w:val="auto"/>
          <w:sz w:val="28"/>
          <w:szCs w:val="28"/>
        </w:rPr>
        <w:t>投标文件的递交</w:t>
      </w:r>
      <w:bookmarkEnd w:id="51"/>
      <w:bookmarkEnd w:id="52"/>
      <w:bookmarkEnd w:id="53"/>
      <w:bookmarkEnd w:id="54"/>
      <w:bookmarkEnd w:id="55"/>
      <w:bookmarkEnd w:id="56"/>
      <w:bookmarkEnd w:id="57"/>
      <w:bookmarkEnd w:id="58"/>
      <w:bookmarkEnd w:id="59"/>
    </w:p>
    <w:p w14:paraId="659D4CC8">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5.1  投标文件递交的截止时间（投标截止时间，下同）为</w:t>
      </w:r>
      <w:r>
        <w:rPr>
          <w:rFonts w:ascii="宋体" w:hAnsi="宋体"/>
          <w:color w:val="auto"/>
          <w:kern w:val="0"/>
          <w:szCs w:val="21"/>
        </w:rPr>
        <w:t>202</w:t>
      </w:r>
      <w:r>
        <w:rPr>
          <w:rFonts w:hint="eastAsia" w:ascii="宋体" w:hAnsi="宋体"/>
          <w:color w:val="auto"/>
          <w:kern w:val="0"/>
          <w:szCs w:val="21"/>
        </w:rPr>
        <w:t>5</w:t>
      </w:r>
      <w:r>
        <w:rPr>
          <w:rFonts w:ascii="宋体" w:hAnsi="宋体"/>
          <w:color w:val="auto"/>
          <w:kern w:val="0"/>
          <w:szCs w:val="21"/>
        </w:rPr>
        <w:t>年</w:t>
      </w:r>
      <w:r>
        <w:rPr>
          <w:rFonts w:hint="eastAsia" w:ascii="宋体" w:hAnsi="宋体"/>
          <w:color w:val="auto"/>
          <w:kern w:val="0"/>
          <w:szCs w:val="21"/>
        </w:rPr>
        <w:t>5</w:t>
      </w:r>
      <w:r>
        <w:rPr>
          <w:rFonts w:ascii="宋体" w:hAnsi="宋体"/>
          <w:color w:val="auto"/>
          <w:kern w:val="0"/>
          <w:szCs w:val="21"/>
        </w:rPr>
        <w:t>月</w:t>
      </w:r>
      <w:r>
        <w:rPr>
          <w:rFonts w:hint="eastAsia" w:ascii="宋体" w:hAnsi="宋体"/>
          <w:color w:val="auto"/>
          <w:kern w:val="0"/>
          <w:szCs w:val="21"/>
        </w:rPr>
        <w:t>8</w:t>
      </w:r>
      <w:r>
        <w:rPr>
          <w:rFonts w:ascii="宋体" w:hAnsi="宋体"/>
          <w:color w:val="auto"/>
          <w:kern w:val="0"/>
          <w:szCs w:val="21"/>
        </w:rPr>
        <w:t>日</w:t>
      </w:r>
      <w:r>
        <w:rPr>
          <w:rFonts w:hint="eastAsia" w:ascii="宋体" w:hAnsi="宋体"/>
          <w:color w:val="auto"/>
          <w:kern w:val="0"/>
          <w:szCs w:val="21"/>
        </w:rPr>
        <w:t>9</w:t>
      </w:r>
      <w:r>
        <w:rPr>
          <w:rFonts w:ascii="宋体" w:hAnsi="宋体"/>
          <w:color w:val="auto"/>
          <w:kern w:val="0"/>
          <w:szCs w:val="21"/>
        </w:rPr>
        <w:t>时</w:t>
      </w:r>
      <w:r>
        <w:rPr>
          <w:rFonts w:hint="eastAsia" w:ascii="宋体" w:hAnsi="宋体"/>
          <w:color w:val="auto"/>
          <w:kern w:val="0"/>
          <w:szCs w:val="21"/>
        </w:rPr>
        <w:t>3</w:t>
      </w:r>
      <w:r>
        <w:rPr>
          <w:rFonts w:ascii="宋体" w:hAnsi="宋体"/>
          <w:color w:val="auto"/>
          <w:kern w:val="0"/>
          <w:szCs w:val="21"/>
        </w:rPr>
        <w:t>0分</w:t>
      </w:r>
      <w:r>
        <w:rPr>
          <w:rFonts w:ascii="宋体" w:hAnsi="宋体"/>
          <w:snapToGrid w:val="0"/>
          <w:color w:val="auto"/>
          <w:kern w:val="0"/>
          <w:szCs w:val="21"/>
        </w:rPr>
        <w:t>，</w:t>
      </w:r>
      <w:r>
        <w:rPr>
          <w:rFonts w:hint="eastAsia" w:ascii="宋体" w:hAnsi="宋体"/>
          <w:snapToGrid w:val="0"/>
          <w:color w:val="auto"/>
          <w:kern w:val="0"/>
          <w:szCs w:val="21"/>
        </w:rPr>
        <w:t>投标人应当在投标截止时间前，递交至重庆市南岸区茶园江桥路一号附1号1420办公室。</w:t>
      </w:r>
    </w:p>
    <w:p w14:paraId="44636858">
      <w:pPr>
        <w:pStyle w:val="4"/>
        <w:spacing w:before="100" w:after="100" w:line="460" w:lineRule="exact"/>
        <w:rPr>
          <w:rFonts w:ascii="宋体" w:hAnsi="宋体"/>
          <w:snapToGrid w:val="0"/>
          <w:color w:val="auto"/>
          <w:sz w:val="28"/>
          <w:szCs w:val="28"/>
        </w:rPr>
      </w:pPr>
      <w:bookmarkStart w:id="60" w:name="_Toc18038"/>
      <w:bookmarkStart w:id="61" w:name="_Toc430530422"/>
      <w:bookmarkStart w:id="62" w:name="_Toc224103305"/>
      <w:bookmarkStart w:id="63" w:name="_Toc509218698"/>
      <w:bookmarkStart w:id="64" w:name="_Toc287620673"/>
      <w:bookmarkStart w:id="65" w:name="_Toc287607734"/>
      <w:bookmarkStart w:id="66" w:name="_Toc277082542"/>
      <w:r>
        <w:rPr>
          <w:rFonts w:ascii="宋体" w:hAnsi="宋体"/>
          <w:snapToGrid w:val="0"/>
          <w:color w:val="auto"/>
          <w:sz w:val="28"/>
          <w:szCs w:val="28"/>
        </w:rPr>
        <w:t xml:space="preserve">6. </w:t>
      </w:r>
      <w:r>
        <w:rPr>
          <w:rFonts w:hint="eastAsia" w:ascii="宋体" w:hAnsi="宋体"/>
          <w:snapToGrid w:val="0"/>
          <w:color w:val="auto"/>
          <w:sz w:val="28"/>
          <w:szCs w:val="28"/>
        </w:rPr>
        <w:t xml:space="preserve"> </w:t>
      </w:r>
      <w:r>
        <w:rPr>
          <w:rFonts w:ascii="宋体" w:hAnsi="宋体"/>
          <w:snapToGrid w:val="0"/>
          <w:color w:val="auto"/>
          <w:sz w:val="28"/>
          <w:szCs w:val="28"/>
        </w:rPr>
        <w:t>联系方式</w:t>
      </w:r>
      <w:bookmarkEnd w:id="60"/>
      <w:bookmarkEnd w:id="61"/>
      <w:bookmarkEnd w:id="62"/>
      <w:bookmarkEnd w:id="63"/>
      <w:bookmarkEnd w:id="64"/>
      <w:bookmarkEnd w:id="65"/>
      <w:bookmarkEnd w:id="66"/>
    </w:p>
    <w:p w14:paraId="24F8E6C3">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招 标 人：</w:t>
      </w:r>
      <w:r>
        <w:rPr>
          <w:rFonts w:ascii="宋体" w:hAnsi="宋体"/>
          <w:snapToGrid w:val="0"/>
          <w:color w:val="auto"/>
          <w:kern w:val="0"/>
          <w:szCs w:val="21"/>
          <w:u w:val="single"/>
        </w:rPr>
        <w:t xml:space="preserve"> 重庆经开区开发建设有限公司 </w:t>
      </w:r>
      <w:r>
        <w:rPr>
          <w:rFonts w:ascii="宋体" w:hAnsi="宋体"/>
          <w:snapToGrid w:val="0"/>
          <w:color w:val="auto"/>
          <w:kern w:val="0"/>
          <w:szCs w:val="21"/>
        </w:rPr>
        <w:t xml:space="preserve">     </w:t>
      </w:r>
    </w:p>
    <w:p w14:paraId="222B7617">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地    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重庆市南岸区茶园江桥路一号附1号</w:t>
      </w:r>
      <w:r>
        <w:rPr>
          <w:rFonts w:ascii="宋体" w:hAnsi="宋体"/>
          <w:snapToGrid w:val="0"/>
          <w:color w:val="auto"/>
          <w:kern w:val="0"/>
          <w:szCs w:val="21"/>
          <w:u w:val="single"/>
        </w:rPr>
        <w:t xml:space="preserve">  </w:t>
      </w:r>
      <w:r>
        <w:rPr>
          <w:rFonts w:ascii="宋体" w:hAnsi="宋体"/>
          <w:snapToGrid w:val="0"/>
          <w:color w:val="auto"/>
          <w:kern w:val="0"/>
          <w:szCs w:val="21"/>
        </w:rPr>
        <w:t xml:space="preserve">     </w:t>
      </w:r>
    </w:p>
    <w:p w14:paraId="55F69B57">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position w:val="-3"/>
          <w:szCs w:val="21"/>
        </w:rPr>
        <w:t>邮    编：</w:t>
      </w:r>
      <w:r>
        <w:rPr>
          <w:rFonts w:ascii="宋体" w:hAnsi="宋体"/>
          <w:snapToGrid w:val="0"/>
          <w:color w:val="auto"/>
          <w:kern w:val="0"/>
          <w:szCs w:val="21"/>
          <w:u w:val="single"/>
        </w:rPr>
        <w:t xml:space="preserve">       400060                </w:t>
      </w:r>
      <w:r>
        <w:rPr>
          <w:rFonts w:ascii="宋体" w:hAnsi="宋体"/>
          <w:snapToGrid w:val="0"/>
          <w:color w:val="auto"/>
          <w:kern w:val="0"/>
          <w:szCs w:val="21"/>
        </w:rPr>
        <w:t xml:space="preserve">     </w:t>
      </w:r>
    </w:p>
    <w:p w14:paraId="1802697B">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联 系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彭女士</w:t>
      </w:r>
      <w:r>
        <w:rPr>
          <w:rFonts w:ascii="宋体" w:hAnsi="宋体"/>
          <w:snapToGrid w:val="0"/>
          <w:color w:val="auto"/>
          <w:kern w:val="0"/>
          <w:szCs w:val="21"/>
          <w:u w:val="single"/>
        </w:rPr>
        <w:t xml:space="preserve">                </w:t>
      </w:r>
      <w:r>
        <w:rPr>
          <w:rFonts w:ascii="宋体" w:hAnsi="宋体"/>
          <w:snapToGrid w:val="0"/>
          <w:color w:val="auto"/>
          <w:kern w:val="0"/>
          <w:szCs w:val="21"/>
        </w:rPr>
        <w:t xml:space="preserve">     </w:t>
      </w:r>
    </w:p>
    <w:p w14:paraId="4B31FED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电    话：</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15025667742     </w:t>
      </w:r>
      <w:r>
        <w:rPr>
          <w:rFonts w:ascii="宋体" w:hAnsi="宋体"/>
          <w:snapToGrid w:val="0"/>
          <w:color w:val="auto"/>
          <w:kern w:val="0"/>
          <w:szCs w:val="21"/>
          <w:u w:val="single"/>
        </w:rPr>
        <w:t xml:space="preserve">       </w:t>
      </w:r>
      <w:r>
        <w:rPr>
          <w:rFonts w:ascii="宋体" w:hAnsi="宋体"/>
          <w:snapToGrid w:val="0"/>
          <w:color w:val="auto"/>
          <w:kern w:val="0"/>
          <w:szCs w:val="21"/>
        </w:rPr>
        <w:t xml:space="preserve">     </w:t>
      </w:r>
    </w:p>
    <w:p w14:paraId="209DD48B">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u w:val="single"/>
        </w:rPr>
      </w:pPr>
      <w:r>
        <w:rPr>
          <w:rFonts w:ascii="宋体" w:hAnsi="宋体"/>
          <w:snapToGrid w:val="0"/>
          <w:color w:val="auto"/>
          <w:kern w:val="0"/>
          <w:szCs w:val="21"/>
        </w:rPr>
        <w:t>传    真：</w:t>
      </w:r>
      <w:r>
        <w:rPr>
          <w:rFonts w:ascii="宋体" w:hAnsi="宋体"/>
          <w:snapToGrid w:val="0"/>
          <w:color w:val="auto"/>
          <w:kern w:val="0"/>
          <w:szCs w:val="21"/>
          <w:u w:val="single"/>
        </w:rPr>
        <w:t xml:space="preserve">                             </w:t>
      </w:r>
      <w:r>
        <w:rPr>
          <w:rFonts w:ascii="宋体" w:hAnsi="宋体"/>
          <w:snapToGrid w:val="0"/>
          <w:color w:val="auto"/>
          <w:kern w:val="0"/>
          <w:szCs w:val="21"/>
        </w:rPr>
        <w:t xml:space="preserve">    </w:t>
      </w:r>
    </w:p>
    <w:p w14:paraId="636502E7">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电子邮件：</w:t>
      </w:r>
      <w:r>
        <w:rPr>
          <w:rFonts w:ascii="宋体" w:hAnsi="宋体"/>
          <w:snapToGrid w:val="0"/>
          <w:color w:val="auto"/>
          <w:kern w:val="0"/>
          <w:szCs w:val="21"/>
          <w:u w:val="single"/>
        </w:rPr>
        <w:t xml:space="preserve">                             </w:t>
      </w:r>
      <w:r>
        <w:rPr>
          <w:rFonts w:ascii="宋体" w:hAnsi="宋体"/>
          <w:snapToGrid w:val="0"/>
          <w:color w:val="auto"/>
          <w:kern w:val="0"/>
          <w:szCs w:val="21"/>
        </w:rPr>
        <w:t xml:space="preserve">     </w:t>
      </w:r>
    </w:p>
    <w:p w14:paraId="75873A6E">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开户银行：</w:t>
      </w:r>
      <w:r>
        <w:rPr>
          <w:rFonts w:ascii="宋体" w:hAnsi="宋体"/>
          <w:snapToGrid w:val="0"/>
          <w:color w:val="auto"/>
          <w:kern w:val="0"/>
          <w:szCs w:val="21"/>
          <w:u w:val="single"/>
        </w:rPr>
        <w:t xml:space="preserve">                             </w:t>
      </w:r>
      <w:r>
        <w:rPr>
          <w:rFonts w:ascii="宋体" w:hAnsi="宋体"/>
          <w:snapToGrid w:val="0"/>
          <w:color w:val="auto"/>
          <w:kern w:val="0"/>
          <w:szCs w:val="21"/>
        </w:rPr>
        <w:t xml:space="preserve">     </w:t>
      </w:r>
    </w:p>
    <w:p w14:paraId="3AEB86A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u w:val="single"/>
        </w:rPr>
      </w:pPr>
      <w:r>
        <w:rPr>
          <w:rFonts w:ascii="宋体" w:hAnsi="宋体"/>
          <w:snapToGrid w:val="0"/>
          <w:color w:val="auto"/>
          <w:kern w:val="0"/>
          <w:szCs w:val="21"/>
        </w:rPr>
        <w:t>账    号：</w:t>
      </w:r>
      <w:r>
        <w:rPr>
          <w:rFonts w:ascii="宋体" w:hAnsi="宋体"/>
          <w:snapToGrid w:val="0"/>
          <w:color w:val="auto"/>
          <w:kern w:val="0"/>
          <w:szCs w:val="21"/>
          <w:u w:val="single"/>
        </w:rPr>
        <w:t xml:space="preserve">                             </w:t>
      </w:r>
      <w:r>
        <w:rPr>
          <w:rFonts w:ascii="宋体" w:hAnsi="宋体"/>
          <w:snapToGrid w:val="0"/>
          <w:color w:val="auto"/>
          <w:kern w:val="0"/>
          <w:szCs w:val="21"/>
        </w:rPr>
        <w:t xml:space="preserve">     </w:t>
      </w:r>
    </w:p>
    <w:p w14:paraId="51F3EAB3">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u w:val="single"/>
        </w:rPr>
      </w:pPr>
    </w:p>
    <w:p w14:paraId="3B56D5DE">
      <w:pPr>
        <w:wordWrap w:val="0"/>
        <w:autoSpaceDE w:val="0"/>
        <w:autoSpaceDN w:val="0"/>
        <w:adjustRightInd w:val="0"/>
        <w:snapToGrid w:val="0"/>
        <w:spacing w:line="440" w:lineRule="exact"/>
        <w:ind w:firstLine="3906" w:firstLineChars="1860"/>
        <w:jc w:val="right"/>
        <w:rPr>
          <w:rFonts w:ascii="宋体" w:hAnsi="宋体"/>
          <w:snapToGrid w:val="0"/>
          <w:color w:val="auto"/>
          <w:kern w:val="0"/>
          <w:sz w:val="20"/>
          <w:szCs w:val="20"/>
        </w:rPr>
      </w:pPr>
      <w:r>
        <w:rPr>
          <w:rFonts w:ascii="宋体" w:hAnsi="宋体"/>
          <w:snapToGrid w:val="0"/>
          <w:color w:val="auto"/>
          <w:kern w:val="0"/>
          <w:szCs w:val="21"/>
          <w:u w:val="single"/>
        </w:rPr>
        <w:t xml:space="preserve"> 202</w:t>
      </w:r>
      <w:r>
        <w:rPr>
          <w:rFonts w:hint="eastAsia" w:ascii="宋体" w:hAnsi="宋体"/>
          <w:snapToGrid w:val="0"/>
          <w:color w:val="auto"/>
          <w:kern w:val="0"/>
          <w:szCs w:val="21"/>
          <w:u w:val="single"/>
        </w:rPr>
        <w:t>5</w:t>
      </w:r>
      <w:r>
        <w:rPr>
          <w:rFonts w:ascii="宋体" w:hAnsi="宋体"/>
          <w:snapToGrid w:val="0"/>
          <w:color w:val="auto"/>
          <w:kern w:val="0"/>
          <w:szCs w:val="21"/>
        </w:rPr>
        <w:t>年</w:t>
      </w:r>
      <w:r>
        <w:rPr>
          <w:rFonts w:hint="eastAsia" w:ascii="宋体" w:hAnsi="宋体"/>
          <w:snapToGrid w:val="0"/>
          <w:color w:val="auto"/>
          <w:kern w:val="0"/>
          <w:szCs w:val="21"/>
          <w:u w:val="single"/>
        </w:rPr>
        <w:t xml:space="preserve"> 4 </w:t>
      </w:r>
      <w:r>
        <w:rPr>
          <w:rFonts w:ascii="宋体" w:hAnsi="宋体"/>
          <w:snapToGrid w:val="0"/>
          <w:color w:val="auto"/>
          <w:kern w:val="0"/>
          <w:szCs w:val="21"/>
        </w:rPr>
        <w:t>月</w:t>
      </w:r>
      <w:r>
        <w:rPr>
          <w:rFonts w:hint="eastAsia" w:ascii="宋体" w:hAnsi="宋体"/>
          <w:snapToGrid w:val="0"/>
          <w:color w:val="auto"/>
          <w:kern w:val="0"/>
          <w:szCs w:val="21"/>
          <w:u w:val="single"/>
        </w:rPr>
        <w:t>30</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556D26A7">
      <w:pPr>
        <w:pStyle w:val="3"/>
        <w:spacing w:before="0" w:after="0" w:line="592" w:lineRule="exact"/>
        <w:rPr>
          <w:rFonts w:ascii="宋体" w:hAnsi="宋体"/>
          <w:snapToGrid w:val="0"/>
          <w:color w:val="auto"/>
          <w:kern w:val="0"/>
          <w:szCs w:val="21"/>
        </w:rPr>
      </w:pPr>
      <w:r>
        <w:rPr>
          <w:rFonts w:ascii="宋体" w:hAnsi="宋体"/>
          <w:snapToGrid w:val="0"/>
          <w:color w:val="auto"/>
          <w:kern w:val="0"/>
          <w:szCs w:val="21"/>
        </w:rPr>
        <w:br w:type="page"/>
      </w:r>
      <w:bookmarkStart w:id="67" w:name="_Toc430530432"/>
      <w:bookmarkStart w:id="68" w:name="_Toc287607744"/>
      <w:bookmarkStart w:id="69" w:name="_Toc224103315"/>
      <w:bookmarkStart w:id="70" w:name="_Toc287620683"/>
      <w:bookmarkStart w:id="71" w:name="_Toc28381"/>
      <w:r>
        <w:rPr>
          <w:rFonts w:ascii="宋体" w:hAnsi="宋体"/>
          <w:snapToGrid w:val="0"/>
          <w:color w:val="auto"/>
          <w:kern w:val="0"/>
        </w:rPr>
        <w:t>第二章  投标人须知</w:t>
      </w:r>
      <w:bookmarkEnd w:id="67"/>
      <w:bookmarkEnd w:id="68"/>
      <w:bookmarkEnd w:id="69"/>
      <w:bookmarkEnd w:id="70"/>
      <w:bookmarkEnd w:id="71"/>
      <w:bookmarkStart w:id="72" w:name="_Toc287607745"/>
      <w:bookmarkStart w:id="73" w:name="_Toc277082551"/>
      <w:bookmarkStart w:id="74" w:name="_Toc430530433"/>
      <w:bookmarkStart w:id="75" w:name="_Toc287620684"/>
      <w:bookmarkStart w:id="76" w:name="_Toc224103316"/>
    </w:p>
    <w:p w14:paraId="1A628EE1">
      <w:pPr>
        <w:pStyle w:val="4"/>
        <w:spacing w:before="100" w:after="100" w:line="592" w:lineRule="exact"/>
        <w:rPr>
          <w:rFonts w:ascii="宋体" w:hAnsi="宋体"/>
          <w:color w:val="auto"/>
        </w:rPr>
      </w:pPr>
      <w:bookmarkStart w:id="77" w:name="_Toc32562"/>
      <w:bookmarkStart w:id="78" w:name="_Toc509218708"/>
      <w:r>
        <w:rPr>
          <w:rFonts w:hint="eastAsia" w:ascii="宋体" w:hAnsi="宋体"/>
          <w:color w:val="auto"/>
        </w:rPr>
        <w:t>投标人须知前附表</w:t>
      </w:r>
      <w:bookmarkEnd w:id="72"/>
      <w:bookmarkEnd w:id="73"/>
      <w:bookmarkEnd w:id="74"/>
      <w:bookmarkEnd w:id="75"/>
      <w:bookmarkEnd w:id="76"/>
      <w:bookmarkEnd w:id="77"/>
      <w:bookmarkEnd w:id="78"/>
    </w:p>
    <w:p w14:paraId="26996F08">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14:paraId="46974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14:paraId="06399E43">
            <w:pPr>
              <w:snapToGrid w:val="0"/>
              <w:spacing w:line="400" w:lineRule="exact"/>
              <w:jc w:val="center"/>
              <w:rPr>
                <w:rFonts w:ascii="宋体" w:hAnsi="宋体"/>
                <w:b/>
                <w:color w:val="auto"/>
                <w:kern w:val="0"/>
                <w:szCs w:val="21"/>
              </w:rPr>
            </w:pPr>
            <w:r>
              <w:rPr>
                <w:rFonts w:ascii="宋体" w:hAnsi="宋体"/>
                <w:b/>
                <w:color w:val="auto"/>
                <w:kern w:val="0"/>
                <w:szCs w:val="21"/>
              </w:rPr>
              <w:t>条 款 号</w:t>
            </w:r>
          </w:p>
        </w:tc>
        <w:tc>
          <w:tcPr>
            <w:tcW w:w="1451" w:type="dxa"/>
            <w:vAlign w:val="center"/>
          </w:tcPr>
          <w:p w14:paraId="02EB7EA1">
            <w:pPr>
              <w:snapToGrid w:val="0"/>
              <w:spacing w:line="400" w:lineRule="exact"/>
              <w:jc w:val="center"/>
              <w:rPr>
                <w:rFonts w:ascii="宋体" w:hAnsi="宋体"/>
                <w:b/>
                <w:color w:val="auto"/>
                <w:kern w:val="0"/>
                <w:szCs w:val="21"/>
              </w:rPr>
            </w:pPr>
            <w:r>
              <w:rPr>
                <w:rFonts w:ascii="宋体" w:hAnsi="宋体"/>
                <w:b/>
                <w:color w:val="auto"/>
                <w:kern w:val="0"/>
                <w:szCs w:val="21"/>
              </w:rPr>
              <w:t>条款名称</w:t>
            </w:r>
          </w:p>
        </w:tc>
        <w:tc>
          <w:tcPr>
            <w:tcW w:w="6683" w:type="dxa"/>
            <w:vAlign w:val="center"/>
          </w:tcPr>
          <w:p w14:paraId="67DE7BC9">
            <w:pPr>
              <w:snapToGrid w:val="0"/>
              <w:spacing w:line="400" w:lineRule="exact"/>
              <w:jc w:val="center"/>
              <w:rPr>
                <w:rFonts w:ascii="宋体" w:hAnsi="宋体"/>
                <w:b/>
                <w:color w:val="auto"/>
                <w:kern w:val="0"/>
                <w:szCs w:val="21"/>
              </w:rPr>
            </w:pPr>
            <w:r>
              <w:rPr>
                <w:rFonts w:ascii="宋体" w:hAnsi="宋体"/>
                <w:b/>
                <w:color w:val="auto"/>
                <w:kern w:val="0"/>
                <w:szCs w:val="21"/>
              </w:rPr>
              <w:t>编  列  内  容</w:t>
            </w:r>
          </w:p>
        </w:tc>
      </w:tr>
      <w:tr w14:paraId="0788C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62F7FB6">
            <w:pPr>
              <w:snapToGrid w:val="0"/>
              <w:spacing w:line="400" w:lineRule="exact"/>
              <w:jc w:val="center"/>
              <w:rPr>
                <w:rFonts w:ascii="宋体" w:hAnsi="宋体"/>
                <w:color w:val="auto"/>
                <w:kern w:val="0"/>
                <w:szCs w:val="21"/>
              </w:rPr>
            </w:pPr>
            <w:r>
              <w:rPr>
                <w:rFonts w:ascii="宋体" w:hAnsi="宋体"/>
                <w:color w:val="auto"/>
                <w:kern w:val="0"/>
                <w:szCs w:val="21"/>
              </w:rPr>
              <w:t>1.1.2</w:t>
            </w:r>
          </w:p>
        </w:tc>
        <w:tc>
          <w:tcPr>
            <w:tcW w:w="1451" w:type="dxa"/>
            <w:vAlign w:val="center"/>
          </w:tcPr>
          <w:p w14:paraId="36152126">
            <w:pPr>
              <w:snapToGrid w:val="0"/>
              <w:spacing w:line="400" w:lineRule="exact"/>
              <w:jc w:val="center"/>
              <w:rPr>
                <w:rFonts w:ascii="宋体" w:hAnsi="宋体"/>
                <w:color w:val="auto"/>
                <w:kern w:val="0"/>
                <w:szCs w:val="21"/>
              </w:rPr>
            </w:pPr>
            <w:r>
              <w:rPr>
                <w:rFonts w:hint="eastAsia" w:ascii="宋体" w:hAnsi="宋体"/>
                <w:color w:val="auto"/>
                <w:kern w:val="0"/>
                <w:szCs w:val="21"/>
              </w:rPr>
              <w:t>采购</w:t>
            </w:r>
            <w:r>
              <w:rPr>
                <w:rFonts w:ascii="宋体" w:hAnsi="宋体"/>
                <w:color w:val="auto"/>
                <w:kern w:val="0"/>
                <w:szCs w:val="21"/>
              </w:rPr>
              <w:t>人</w:t>
            </w:r>
          </w:p>
        </w:tc>
        <w:tc>
          <w:tcPr>
            <w:tcW w:w="6683" w:type="dxa"/>
            <w:vAlign w:val="center"/>
          </w:tcPr>
          <w:p w14:paraId="037284AB">
            <w:pPr>
              <w:snapToGrid w:val="0"/>
              <w:spacing w:line="400" w:lineRule="exact"/>
              <w:rPr>
                <w:rFonts w:ascii="宋体" w:hAnsi="宋体"/>
                <w:color w:val="auto"/>
                <w:kern w:val="0"/>
                <w:szCs w:val="21"/>
              </w:rPr>
            </w:pPr>
            <w:r>
              <w:rPr>
                <w:rFonts w:ascii="宋体" w:hAnsi="宋体"/>
                <w:color w:val="auto"/>
                <w:kern w:val="0"/>
                <w:szCs w:val="21"/>
              </w:rPr>
              <w:t>名称：重庆经开区开发建设有限公司</w:t>
            </w:r>
          </w:p>
          <w:p w14:paraId="48A1CA0D">
            <w:pPr>
              <w:snapToGrid w:val="0"/>
              <w:spacing w:line="400" w:lineRule="exact"/>
              <w:rPr>
                <w:rFonts w:ascii="宋体" w:hAnsi="宋体"/>
                <w:color w:val="auto"/>
                <w:kern w:val="0"/>
                <w:szCs w:val="21"/>
              </w:rPr>
            </w:pPr>
            <w:r>
              <w:rPr>
                <w:rFonts w:ascii="宋体" w:hAnsi="宋体"/>
                <w:color w:val="auto"/>
                <w:kern w:val="0"/>
                <w:szCs w:val="21"/>
              </w:rPr>
              <w:t>地址：</w:t>
            </w:r>
            <w:r>
              <w:rPr>
                <w:rFonts w:hint="eastAsia" w:ascii="宋体" w:hAnsi="宋体"/>
                <w:snapToGrid w:val="0"/>
                <w:color w:val="auto"/>
                <w:kern w:val="0"/>
                <w:szCs w:val="21"/>
              </w:rPr>
              <w:t>重庆市南岸区茶园江桥路一号附1号</w:t>
            </w:r>
          </w:p>
          <w:p w14:paraId="5348129C">
            <w:pPr>
              <w:snapToGrid w:val="0"/>
              <w:spacing w:line="400" w:lineRule="exact"/>
              <w:rPr>
                <w:rFonts w:ascii="宋体" w:hAnsi="宋体"/>
                <w:color w:val="auto"/>
                <w:kern w:val="0"/>
                <w:szCs w:val="21"/>
              </w:rPr>
            </w:pPr>
            <w:r>
              <w:rPr>
                <w:rFonts w:ascii="宋体" w:hAnsi="宋体"/>
                <w:color w:val="auto"/>
                <w:kern w:val="0"/>
                <w:szCs w:val="21"/>
              </w:rPr>
              <w:t>联系人：</w:t>
            </w:r>
            <w:r>
              <w:rPr>
                <w:rFonts w:hint="eastAsia" w:ascii="宋体" w:hAnsi="宋体"/>
                <w:color w:val="auto"/>
                <w:kern w:val="0"/>
                <w:szCs w:val="21"/>
              </w:rPr>
              <w:t>彭女士</w:t>
            </w:r>
          </w:p>
          <w:p w14:paraId="65168B2F">
            <w:pPr>
              <w:snapToGrid w:val="0"/>
              <w:spacing w:line="400" w:lineRule="exact"/>
              <w:rPr>
                <w:rFonts w:ascii="宋体" w:hAnsi="宋体"/>
                <w:color w:val="auto"/>
                <w:kern w:val="0"/>
                <w:szCs w:val="21"/>
              </w:rPr>
            </w:pPr>
            <w:r>
              <w:rPr>
                <w:rFonts w:ascii="宋体" w:hAnsi="宋体"/>
                <w:color w:val="auto"/>
                <w:kern w:val="0"/>
                <w:szCs w:val="21"/>
              </w:rPr>
              <w:t>电话：</w:t>
            </w:r>
            <w:r>
              <w:rPr>
                <w:rFonts w:hint="eastAsia" w:ascii="宋体" w:hAnsi="宋体"/>
                <w:color w:val="auto"/>
                <w:kern w:val="0"/>
                <w:szCs w:val="21"/>
              </w:rPr>
              <w:t>15025667742</w:t>
            </w:r>
          </w:p>
        </w:tc>
      </w:tr>
      <w:tr w14:paraId="71D1C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40" w:type="dxa"/>
            <w:vAlign w:val="center"/>
          </w:tcPr>
          <w:p w14:paraId="51D879BF">
            <w:pPr>
              <w:snapToGrid w:val="0"/>
              <w:spacing w:line="400" w:lineRule="exact"/>
              <w:jc w:val="center"/>
              <w:rPr>
                <w:rFonts w:ascii="宋体" w:hAnsi="宋体"/>
                <w:color w:val="auto"/>
                <w:kern w:val="0"/>
                <w:szCs w:val="21"/>
              </w:rPr>
            </w:pPr>
            <w:r>
              <w:rPr>
                <w:rFonts w:ascii="宋体" w:hAnsi="宋体"/>
                <w:color w:val="auto"/>
                <w:kern w:val="0"/>
                <w:szCs w:val="21"/>
              </w:rPr>
              <w:t>1.1.</w:t>
            </w:r>
            <w:r>
              <w:rPr>
                <w:rFonts w:hint="eastAsia" w:ascii="宋体" w:hAnsi="宋体"/>
                <w:color w:val="auto"/>
                <w:kern w:val="0"/>
                <w:szCs w:val="21"/>
              </w:rPr>
              <w:t>3</w:t>
            </w:r>
          </w:p>
        </w:tc>
        <w:tc>
          <w:tcPr>
            <w:tcW w:w="1451" w:type="dxa"/>
            <w:vAlign w:val="center"/>
          </w:tcPr>
          <w:p w14:paraId="7A1E004E">
            <w:pPr>
              <w:snapToGrid w:val="0"/>
              <w:spacing w:line="400" w:lineRule="exact"/>
              <w:jc w:val="center"/>
              <w:rPr>
                <w:rFonts w:ascii="宋体" w:hAnsi="宋体"/>
                <w:color w:val="auto"/>
                <w:kern w:val="0"/>
                <w:szCs w:val="21"/>
              </w:rPr>
            </w:pPr>
            <w:r>
              <w:rPr>
                <w:rFonts w:ascii="宋体" w:hAnsi="宋体"/>
                <w:color w:val="auto"/>
                <w:kern w:val="0"/>
                <w:szCs w:val="21"/>
              </w:rPr>
              <w:t>项目名称</w:t>
            </w:r>
          </w:p>
        </w:tc>
        <w:tc>
          <w:tcPr>
            <w:tcW w:w="6683" w:type="dxa"/>
            <w:vAlign w:val="center"/>
          </w:tcPr>
          <w:p w14:paraId="68DB9E1B">
            <w:pPr>
              <w:snapToGrid w:val="0"/>
              <w:spacing w:line="400" w:lineRule="exact"/>
              <w:jc w:val="left"/>
              <w:rPr>
                <w:rFonts w:ascii="宋体" w:hAnsi="宋体"/>
                <w:color w:val="auto"/>
                <w:szCs w:val="21"/>
              </w:rPr>
            </w:pPr>
            <w:r>
              <w:rPr>
                <w:rFonts w:hint="eastAsia" w:ascii="宋体" w:hAnsi="宋体"/>
                <w:snapToGrid w:val="0"/>
                <w:color w:val="auto"/>
                <w:kern w:val="0"/>
                <w:szCs w:val="21"/>
                <w:u w:val="single"/>
              </w:rPr>
              <w:t>经开区茶园大道以南片区污水管网改造工程（建工学院东站</w:t>
            </w:r>
            <w:r>
              <w:rPr>
                <w:rFonts w:ascii="宋体" w:hAnsi="宋体"/>
                <w:snapToGrid w:val="0"/>
                <w:color w:val="auto"/>
                <w:kern w:val="0"/>
                <w:szCs w:val="21"/>
                <w:u w:val="single"/>
              </w:rPr>
              <w:t>校区</w:t>
            </w:r>
            <w:r>
              <w:rPr>
                <w:rFonts w:hint="eastAsia" w:ascii="宋体" w:hAnsi="宋体"/>
                <w:snapToGrid w:val="0"/>
                <w:color w:val="auto"/>
                <w:kern w:val="0"/>
                <w:szCs w:val="21"/>
                <w:u w:val="single"/>
              </w:rPr>
              <w:t xml:space="preserve">段）（第二次） </w:t>
            </w:r>
          </w:p>
        </w:tc>
      </w:tr>
      <w:tr w14:paraId="4ED9C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0" w:type="dxa"/>
            <w:vAlign w:val="center"/>
          </w:tcPr>
          <w:p w14:paraId="5DCF21B4">
            <w:pPr>
              <w:snapToGrid w:val="0"/>
              <w:spacing w:line="400" w:lineRule="exact"/>
              <w:jc w:val="center"/>
              <w:rPr>
                <w:rFonts w:ascii="宋体" w:hAnsi="宋体"/>
                <w:color w:val="auto"/>
                <w:kern w:val="0"/>
                <w:szCs w:val="21"/>
              </w:rPr>
            </w:pPr>
            <w:r>
              <w:rPr>
                <w:rFonts w:ascii="宋体" w:hAnsi="宋体"/>
                <w:color w:val="auto"/>
                <w:kern w:val="0"/>
                <w:szCs w:val="21"/>
              </w:rPr>
              <w:t>1.1.</w:t>
            </w:r>
            <w:r>
              <w:rPr>
                <w:rFonts w:hint="eastAsia" w:ascii="宋体" w:hAnsi="宋体"/>
                <w:color w:val="auto"/>
                <w:kern w:val="0"/>
                <w:szCs w:val="21"/>
              </w:rPr>
              <w:t>4</w:t>
            </w:r>
          </w:p>
        </w:tc>
        <w:tc>
          <w:tcPr>
            <w:tcW w:w="1451" w:type="dxa"/>
            <w:vAlign w:val="center"/>
          </w:tcPr>
          <w:p w14:paraId="01E011A2">
            <w:pPr>
              <w:snapToGrid w:val="0"/>
              <w:spacing w:line="400" w:lineRule="exact"/>
              <w:jc w:val="center"/>
              <w:rPr>
                <w:rFonts w:ascii="宋体" w:hAnsi="宋体"/>
                <w:color w:val="auto"/>
                <w:kern w:val="0"/>
                <w:szCs w:val="21"/>
              </w:rPr>
            </w:pPr>
            <w:r>
              <w:rPr>
                <w:rFonts w:ascii="宋体" w:hAnsi="宋体"/>
                <w:color w:val="auto"/>
                <w:kern w:val="0"/>
                <w:szCs w:val="21"/>
              </w:rPr>
              <w:t>建设地点</w:t>
            </w:r>
          </w:p>
        </w:tc>
        <w:tc>
          <w:tcPr>
            <w:tcW w:w="6683" w:type="dxa"/>
            <w:vAlign w:val="center"/>
          </w:tcPr>
          <w:p w14:paraId="37C89586">
            <w:pPr>
              <w:snapToGrid w:val="0"/>
              <w:spacing w:line="400" w:lineRule="exact"/>
              <w:jc w:val="left"/>
              <w:rPr>
                <w:rFonts w:ascii="宋体" w:hAnsi="宋体"/>
                <w:color w:val="auto"/>
                <w:szCs w:val="21"/>
              </w:rPr>
            </w:pPr>
            <w:r>
              <w:rPr>
                <w:rFonts w:hint="eastAsia" w:ascii="宋体" w:hAnsi="宋体"/>
                <w:snapToGrid w:val="0"/>
                <w:color w:val="auto"/>
                <w:kern w:val="0"/>
                <w:szCs w:val="21"/>
                <w:u w:val="single"/>
              </w:rPr>
              <w:t>重庆市南岸区迎龙镇建工学院新校区西南侧</w:t>
            </w:r>
          </w:p>
        </w:tc>
      </w:tr>
      <w:tr w14:paraId="5C32F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1240" w:type="dxa"/>
            <w:vAlign w:val="center"/>
          </w:tcPr>
          <w:p w14:paraId="2E5D7503">
            <w:pPr>
              <w:snapToGrid w:val="0"/>
              <w:spacing w:line="400" w:lineRule="exact"/>
              <w:jc w:val="center"/>
              <w:rPr>
                <w:rFonts w:ascii="宋体" w:hAnsi="宋体"/>
                <w:color w:val="auto"/>
                <w:kern w:val="0"/>
                <w:szCs w:val="21"/>
              </w:rPr>
            </w:pPr>
            <w:r>
              <w:rPr>
                <w:rFonts w:ascii="宋体" w:hAnsi="宋体"/>
                <w:color w:val="auto"/>
                <w:kern w:val="0"/>
                <w:szCs w:val="21"/>
              </w:rPr>
              <w:t>1.1.</w:t>
            </w:r>
            <w:r>
              <w:rPr>
                <w:rFonts w:hint="eastAsia" w:ascii="宋体" w:hAnsi="宋体"/>
                <w:color w:val="auto"/>
                <w:kern w:val="0"/>
                <w:szCs w:val="21"/>
              </w:rPr>
              <w:t>5</w:t>
            </w:r>
          </w:p>
        </w:tc>
        <w:tc>
          <w:tcPr>
            <w:tcW w:w="1451" w:type="dxa"/>
            <w:vAlign w:val="center"/>
          </w:tcPr>
          <w:p w14:paraId="4C77A2C6">
            <w:pPr>
              <w:snapToGrid w:val="0"/>
              <w:spacing w:line="400" w:lineRule="exact"/>
              <w:jc w:val="center"/>
              <w:rPr>
                <w:rFonts w:ascii="宋体" w:hAnsi="宋体"/>
                <w:color w:val="auto"/>
                <w:kern w:val="0"/>
                <w:szCs w:val="21"/>
              </w:rPr>
            </w:pPr>
            <w:r>
              <w:rPr>
                <w:rFonts w:ascii="宋体" w:hAnsi="宋体"/>
                <w:color w:val="auto"/>
                <w:kern w:val="0"/>
                <w:szCs w:val="21"/>
              </w:rPr>
              <w:t>建设规模</w:t>
            </w:r>
          </w:p>
        </w:tc>
        <w:tc>
          <w:tcPr>
            <w:tcW w:w="6683" w:type="dxa"/>
            <w:vAlign w:val="center"/>
          </w:tcPr>
          <w:p w14:paraId="1D59F2C4">
            <w:pPr>
              <w:tabs>
                <w:tab w:val="left" w:pos="3840"/>
                <w:tab w:val="left" w:pos="5300"/>
              </w:tabs>
              <w:autoSpaceDE w:val="0"/>
              <w:autoSpaceDN w:val="0"/>
              <w:adjustRightInd w:val="0"/>
              <w:snapToGrid w:val="0"/>
              <w:spacing w:line="460" w:lineRule="exact"/>
              <w:jc w:val="left"/>
              <w:rPr>
                <w:rFonts w:eastAsia="方正仿宋_GBK"/>
                <w:color w:val="auto"/>
                <w:sz w:val="32"/>
                <w:szCs w:val="32"/>
              </w:rPr>
            </w:pPr>
            <w:r>
              <w:rPr>
                <w:rFonts w:hint="eastAsia" w:ascii="宋体" w:hAnsi="宋体"/>
                <w:snapToGrid w:val="0"/>
                <w:color w:val="auto"/>
                <w:kern w:val="0"/>
                <w:szCs w:val="21"/>
                <w:u w:val="single"/>
              </w:rPr>
              <w:t>拟建d400污水管网155m，d600雨水管网19m，起点始于建工职业学院东入口位置，终点止于茶园大道，同时为修建雨污管网，在建工职业学院东入口位置，自南向北修建宽5.0m的临时便道接入茶园大道辅道，便道全长约319.687m，道路等级采用四级公路Ⅱ级,设计速度15km/h。</w:t>
            </w:r>
            <w:r>
              <w:rPr>
                <w:rFonts w:hint="eastAsia" w:ascii="宋体" w:hAnsi="宋体" w:eastAsia="方正仿宋_GBK"/>
                <w:snapToGrid w:val="0"/>
                <w:color w:val="auto"/>
                <w:kern w:val="0"/>
                <w:szCs w:val="21"/>
                <w:u w:val="single"/>
              </w:rPr>
              <w:t xml:space="preserve"> </w:t>
            </w:r>
          </w:p>
        </w:tc>
      </w:tr>
      <w:tr w14:paraId="63076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59F8046">
            <w:pPr>
              <w:snapToGrid w:val="0"/>
              <w:spacing w:line="400" w:lineRule="exact"/>
              <w:jc w:val="center"/>
              <w:rPr>
                <w:rFonts w:ascii="宋体" w:hAnsi="宋体"/>
                <w:color w:val="auto"/>
                <w:kern w:val="0"/>
                <w:szCs w:val="21"/>
              </w:rPr>
            </w:pPr>
            <w:r>
              <w:rPr>
                <w:rFonts w:ascii="宋体" w:hAnsi="宋体"/>
                <w:color w:val="auto"/>
                <w:kern w:val="0"/>
                <w:szCs w:val="21"/>
              </w:rPr>
              <w:t>1.2.</w:t>
            </w:r>
            <w:r>
              <w:rPr>
                <w:rFonts w:hint="eastAsia" w:ascii="宋体" w:hAnsi="宋体"/>
                <w:color w:val="auto"/>
                <w:kern w:val="0"/>
                <w:szCs w:val="21"/>
              </w:rPr>
              <w:t>6</w:t>
            </w:r>
          </w:p>
        </w:tc>
        <w:tc>
          <w:tcPr>
            <w:tcW w:w="1451" w:type="dxa"/>
            <w:vAlign w:val="center"/>
          </w:tcPr>
          <w:p w14:paraId="09DE5E09">
            <w:pPr>
              <w:snapToGrid w:val="0"/>
              <w:spacing w:line="400" w:lineRule="exact"/>
              <w:jc w:val="center"/>
              <w:rPr>
                <w:rFonts w:ascii="宋体" w:hAnsi="宋体"/>
                <w:color w:val="auto"/>
                <w:kern w:val="0"/>
                <w:szCs w:val="21"/>
                <w:highlight w:val="yellow"/>
              </w:rPr>
            </w:pPr>
            <w:r>
              <w:rPr>
                <w:rFonts w:ascii="宋体" w:hAnsi="宋体"/>
                <w:color w:val="auto"/>
                <w:kern w:val="0"/>
                <w:szCs w:val="21"/>
              </w:rPr>
              <w:t>资金来源</w:t>
            </w:r>
          </w:p>
        </w:tc>
        <w:tc>
          <w:tcPr>
            <w:tcW w:w="6683" w:type="dxa"/>
            <w:vAlign w:val="center"/>
          </w:tcPr>
          <w:p w14:paraId="30129529">
            <w:pPr>
              <w:tabs>
                <w:tab w:val="left" w:pos="3840"/>
                <w:tab w:val="left" w:pos="5300"/>
              </w:tabs>
              <w:autoSpaceDE w:val="0"/>
              <w:autoSpaceDN w:val="0"/>
              <w:adjustRightInd w:val="0"/>
              <w:snapToGrid w:val="0"/>
              <w:spacing w:line="460" w:lineRule="exact"/>
              <w:rPr>
                <w:rFonts w:ascii="宋体" w:hAnsi="宋体"/>
                <w:snapToGrid w:val="0"/>
                <w:color w:val="auto"/>
                <w:kern w:val="0"/>
                <w:szCs w:val="21"/>
              </w:rPr>
            </w:pPr>
            <w:r>
              <w:rPr>
                <w:rFonts w:hint="eastAsia" w:ascii="宋体" w:hAnsi="宋体"/>
                <w:snapToGrid w:val="0"/>
                <w:color w:val="auto"/>
                <w:kern w:val="0"/>
                <w:szCs w:val="21"/>
                <w:u w:val="single"/>
              </w:rPr>
              <w:t xml:space="preserve">业主自筹 </w:t>
            </w:r>
          </w:p>
        </w:tc>
      </w:tr>
      <w:tr w14:paraId="5AC0F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511E60F">
            <w:pPr>
              <w:snapToGrid w:val="0"/>
              <w:spacing w:line="400" w:lineRule="exact"/>
              <w:jc w:val="center"/>
              <w:rPr>
                <w:rFonts w:ascii="宋体" w:hAnsi="宋体"/>
                <w:color w:val="auto"/>
                <w:kern w:val="0"/>
                <w:szCs w:val="21"/>
              </w:rPr>
            </w:pPr>
            <w:r>
              <w:rPr>
                <w:rFonts w:ascii="宋体" w:hAnsi="宋体"/>
                <w:color w:val="auto"/>
                <w:kern w:val="0"/>
                <w:szCs w:val="21"/>
              </w:rPr>
              <w:t>1.2.</w:t>
            </w:r>
            <w:r>
              <w:rPr>
                <w:rFonts w:hint="eastAsia" w:ascii="宋体" w:hAnsi="宋体"/>
                <w:color w:val="auto"/>
                <w:kern w:val="0"/>
                <w:szCs w:val="21"/>
              </w:rPr>
              <w:t>7</w:t>
            </w:r>
          </w:p>
        </w:tc>
        <w:tc>
          <w:tcPr>
            <w:tcW w:w="1451" w:type="dxa"/>
            <w:vAlign w:val="center"/>
          </w:tcPr>
          <w:p w14:paraId="6252C5BC">
            <w:pPr>
              <w:snapToGrid w:val="0"/>
              <w:spacing w:line="400" w:lineRule="exact"/>
              <w:jc w:val="center"/>
              <w:rPr>
                <w:rFonts w:ascii="宋体" w:hAnsi="宋体"/>
                <w:color w:val="auto"/>
                <w:kern w:val="0"/>
                <w:szCs w:val="21"/>
              </w:rPr>
            </w:pPr>
            <w:r>
              <w:rPr>
                <w:rFonts w:ascii="宋体" w:hAnsi="宋体"/>
                <w:color w:val="auto"/>
                <w:kern w:val="0"/>
                <w:szCs w:val="21"/>
              </w:rPr>
              <w:t>出资比例</w:t>
            </w:r>
          </w:p>
        </w:tc>
        <w:tc>
          <w:tcPr>
            <w:tcW w:w="6683" w:type="dxa"/>
            <w:vAlign w:val="center"/>
          </w:tcPr>
          <w:p w14:paraId="3A9D4E98">
            <w:pPr>
              <w:snapToGrid w:val="0"/>
              <w:spacing w:line="400" w:lineRule="exact"/>
              <w:jc w:val="left"/>
              <w:rPr>
                <w:rFonts w:ascii="宋体" w:hAnsi="宋体"/>
                <w:color w:val="auto"/>
                <w:szCs w:val="21"/>
                <w:u w:val="single"/>
              </w:rPr>
            </w:pPr>
            <w:r>
              <w:rPr>
                <w:rFonts w:hint="eastAsia" w:ascii="宋体" w:hAnsi="宋体"/>
                <w:color w:val="auto"/>
                <w:szCs w:val="21"/>
                <w:u w:val="single"/>
              </w:rPr>
              <w:t>100%</w:t>
            </w:r>
          </w:p>
        </w:tc>
      </w:tr>
      <w:tr w14:paraId="10F8C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FFEDABD">
            <w:pPr>
              <w:snapToGrid w:val="0"/>
              <w:spacing w:line="400" w:lineRule="exact"/>
              <w:jc w:val="center"/>
              <w:rPr>
                <w:rFonts w:ascii="宋体" w:hAnsi="宋体"/>
                <w:color w:val="auto"/>
                <w:kern w:val="0"/>
                <w:szCs w:val="21"/>
              </w:rPr>
            </w:pPr>
            <w:r>
              <w:rPr>
                <w:rFonts w:ascii="宋体" w:hAnsi="宋体"/>
                <w:color w:val="auto"/>
                <w:kern w:val="0"/>
                <w:szCs w:val="21"/>
              </w:rPr>
              <w:t>1.2.</w:t>
            </w:r>
            <w:r>
              <w:rPr>
                <w:rFonts w:hint="eastAsia" w:ascii="宋体" w:hAnsi="宋体"/>
                <w:color w:val="auto"/>
                <w:kern w:val="0"/>
                <w:szCs w:val="21"/>
              </w:rPr>
              <w:t>8</w:t>
            </w:r>
          </w:p>
        </w:tc>
        <w:tc>
          <w:tcPr>
            <w:tcW w:w="1451" w:type="dxa"/>
            <w:vAlign w:val="center"/>
          </w:tcPr>
          <w:p w14:paraId="4289A000">
            <w:pPr>
              <w:snapToGrid w:val="0"/>
              <w:spacing w:line="400" w:lineRule="exact"/>
              <w:jc w:val="center"/>
              <w:rPr>
                <w:rFonts w:ascii="宋体" w:hAnsi="宋体"/>
                <w:color w:val="auto"/>
                <w:kern w:val="0"/>
                <w:szCs w:val="21"/>
              </w:rPr>
            </w:pPr>
            <w:r>
              <w:rPr>
                <w:rFonts w:ascii="宋体" w:hAnsi="宋体"/>
                <w:color w:val="auto"/>
                <w:kern w:val="0"/>
                <w:szCs w:val="21"/>
              </w:rPr>
              <w:t>资金落实情况</w:t>
            </w:r>
          </w:p>
        </w:tc>
        <w:tc>
          <w:tcPr>
            <w:tcW w:w="6683" w:type="dxa"/>
            <w:vAlign w:val="center"/>
          </w:tcPr>
          <w:p w14:paraId="74C8C057">
            <w:pPr>
              <w:snapToGrid w:val="0"/>
              <w:spacing w:line="400" w:lineRule="exact"/>
              <w:jc w:val="left"/>
              <w:rPr>
                <w:rFonts w:ascii="宋体" w:hAnsi="宋体"/>
                <w:color w:val="auto"/>
                <w:szCs w:val="21"/>
                <w:u w:val="single"/>
              </w:rPr>
            </w:pPr>
            <w:r>
              <w:rPr>
                <w:rFonts w:hint="eastAsia" w:ascii="宋体" w:hAnsi="宋体"/>
                <w:color w:val="auto"/>
                <w:szCs w:val="21"/>
                <w:u w:val="single"/>
              </w:rPr>
              <w:t>已落实</w:t>
            </w:r>
          </w:p>
        </w:tc>
      </w:tr>
      <w:tr w14:paraId="26033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40" w:type="dxa"/>
            <w:vAlign w:val="center"/>
          </w:tcPr>
          <w:p w14:paraId="0320804D">
            <w:pPr>
              <w:snapToGrid w:val="0"/>
              <w:spacing w:line="400" w:lineRule="exact"/>
              <w:jc w:val="center"/>
              <w:rPr>
                <w:rFonts w:ascii="宋体" w:hAnsi="宋体"/>
                <w:color w:val="auto"/>
                <w:kern w:val="0"/>
                <w:szCs w:val="21"/>
              </w:rPr>
            </w:pPr>
            <w:r>
              <w:rPr>
                <w:rFonts w:hint="eastAsia" w:ascii="宋体" w:hAnsi="宋体"/>
                <w:color w:val="auto"/>
                <w:kern w:val="0"/>
                <w:szCs w:val="21"/>
              </w:rPr>
              <w:t>1.3.1</w:t>
            </w:r>
          </w:p>
        </w:tc>
        <w:tc>
          <w:tcPr>
            <w:tcW w:w="1451" w:type="dxa"/>
            <w:vAlign w:val="center"/>
          </w:tcPr>
          <w:p w14:paraId="34CB3A02">
            <w:pPr>
              <w:snapToGrid w:val="0"/>
              <w:spacing w:line="400" w:lineRule="exact"/>
              <w:jc w:val="center"/>
              <w:rPr>
                <w:rFonts w:ascii="宋体" w:hAnsi="宋体"/>
                <w:color w:val="auto"/>
                <w:kern w:val="0"/>
                <w:szCs w:val="21"/>
              </w:rPr>
            </w:pPr>
            <w:r>
              <w:rPr>
                <w:rFonts w:hint="eastAsia" w:ascii="宋体" w:hAnsi="宋体"/>
                <w:color w:val="auto"/>
                <w:kern w:val="0"/>
                <w:szCs w:val="21"/>
              </w:rPr>
              <w:t>采购</w:t>
            </w:r>
            <w:r>
              <w:rPr>
                <w:rFonts w:ascii="宋体" w:hAnsi="宋体"/>
                <w:color w:val="auto"/>
                <w:kern w:val="0"/>
                <w:szCs w:val="21"/>
              </w:rPr>
              <w:t>范围</w:t>
            </w:r>
          </w:p>
        </w:tc>
        <w:tc>
          <w:tcPr>
            <w:tcW w:w="6683" w:type="dxa"/>
            <w:vAlign w:val="center"/>
          </w:tcPr>
          <w:p w14:paraId="7D8C1824">
            <w:pPr>
              <w:snapToGrid w:val="0"/>
              <w:spacing w:line="400" w:lineRule="exact"/>
              <w:rPr>
                <w:rFonts w:ascii="宋体" w:hAnsi="宋体"/>
                <w:snapToGrid w:val="0"/>
                <w:color w:val="auto"/>
                <w:kern w:val="0"/>
                <w:szCs w:val="21"/>
                <w:u w:val="single"/>
              </w:rPr>
            </w:pPr>
            <w:r>
              <w:rPr>
                <w:rFonts w:hint="eastAsia" w:ascii="宋体" w:hAnsi="宋体"/>
                <w:snapToGrid w:val="0"/>
                <w:color w:val="auto"/>
                <w:kern w:val="0"/>
                <w:szCs w:val="21"/>
                <w:u w:val="single"/>
              </w:rPr>
              <w:t>建设</w:t>
            </w:r>
            <w:r>
              <w:rPr>
                <w:rFonts w:ascii="宋体" w:hAnsi="宋体"/>
                <w:snapToGrid w:val="0"/>
                <w:color w:val="auto"/>
                <w:kern w:val="0"/>
                <w:szCs w:val="21"/>
                <w:u w:val="single"/>
              </w:rPr>
              <w:t>内容</w:t>
            </w:r>
            <w:r>
              <w:rPr>
                <w:rFonts w:hint="eastAsia" w:ascii="宋体" w:hAnsi="宋体"/>
                <w:snapToGrid w:val="0"/>
                <w:color w:val="auto"/>
                <w:kern w:val="0"/>
                <w:szCs w:val="21"/>
                <w:u w:val="single"/>
              </w:rPr>
              <w:t>包括</w:t>
            </w:r>
            <w:r>
              <w:rPr>
                <w:rFonts w:ascii="宋体" w:hAnsi="宋体"/>
                <w:snapToGrid w:val="0"/>
                <w:color w:val="auto"/>
                <w:kern w:val="0"/>
                <w:szCs w:val="21"/>
                <w:u w:val="single"/>
              </w:rPr>
              <w:t>但不限于道路工程、给排水工程、结构工程等</w:t>
            </w:r>
            <w:r>
              <w:rPr>
                <w:rFonts w:hint="eastAsia" w:ascii="宋体" w:hAnsi="宋体"/>
                <w:snapToGrid w:val="0"/>
                <w:color w:val="auto"/>
                <w:kern w:val="0"/>
                <w:szCs w:val="21"/>
                <w:u w:val="single"/>
              </w:rPr>
              <w:t>内容</w:t>
            </w:r>
            <w:r>
              <w:rPr>
                <w:rFonts w:ascii="宋体" w:hAnsi="宋体"/>
                <w:snapToGrid w:val="0"/>
                <w:color w:val="auto"/>
                <w:kern w:val="0"/>
                <w:szCs w:val="21"/>
                <w:u w:val="single"/>
              </w:rPr>
              <w:t>，具体</w:t>
            </w:r>
            <w:r>
              <w:rPr>
                <w:rFonts w:hint="eastAsia" w:ascii="宋体" w:hAnsi="宋体"/>
                <w:snapToGrid w:val="0"/>
                <w:color w:val="auto"/>
                <w:kern w:val="0"/>
                <w:szCs w:val="21"/>
                <w:u w:val="single"/>
              </w:rPr>
              <w:t>详见施工图、工程量清单。</w:t>
            </w:r>
          </w:p>
        </w:tc>
      </w:tr>
      <w:tr w14:paraId="0EDC7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240" w:type="dxa"/>
            <w:vAlign w:val="center"/>
          </w:tcPr>
          <w:p w14:paraId="624DBC0D">
            <w:pPr>
              <w:snapToGrid w:val="0"/>
              <w:spacing w:line="400" w:lineRule="exact"/>
              <w:jc w:val="center"/>
              <w:rPr>
                <w:rFonts w:ascii="宋体" w:hAnsi="宋体"/>
                <w:color w:val="auto"/>
                <w:kern w:val="0"/>
                <w:szCs w:val="21"/>
              </w:rPr>
            </w:pPr>
            <w:r>
              <w:rPr>
                <w:rFonts w:ascii="宋体" w:hAnsi="宋体"/>
                <w:color w:val="auto"/>
                <w:kern w:val="0"/>
                <w:szCs w:val="21"/>
              </w:rPr>
              <w:t>1.3.2</w:t>
            </w:r>
          </w:p>
        </w:tc>
        <w:tc>
          <w:tcPr>
            <w:tcW w:w="1451" w:type="dxa"/>
            <w:vAlign w:val="center"/>
          </w:tcPr>
          <w:p w14:paraId="193B8FC7">
            <w:pPr>
              <w:snapToGrid w:val="0"/>
              <w:spacing w:line="400" w:lineRule="exact"/>
              <w:jc w:val="center"/>
              <w:rPr>
                <w:rFonts w:ascii="宋体" w:hAnsi="宋体"/>
                <w:color w:val="auto"/>
                <w:kern w:val="0"/>
                <w:szCs w:val="21"/>
              </w:rPr>
            </w:pPr>
            <w:r>
              <w:rPr>
                <w:rFonts w:ascii="宋体" w:hAnsi="宋体"/>
                <w:color w:val="auto"/>
                <w:kern w:val="0"/>
                <w:szCs w:val="21"/>
              </w:rPr>
              <w:t>计划工期</w:t>
            </w:r>
          </w:p>
          <w:p w14:paraId="325FF3AE">
            <w:pPr>
              <w:snapToGrid w:val="0"/>
              <w:spacing w:line="400" w:lineRule="exact"/>
              <w:jc w:val="center"/>
              <w:rPr>
                <w:rFonts w:ascii="宋体" w:hAnsi="宋体"/>
                <w:color w:val="auto"/>
                <w:kern w:val="0"/>
                <w:szCs w:val="21"/>
              </w:rPr>
            </w:pPr>
            <w:r>
              <w:rPr>
                <w:rFonts w:hint="eastAsia" w:ascii="宋体" w:hAnsi="宋体"/>
                <w:color w:val="auto"/>
                <w:kern w:val="0"/>
                <w:szCs w:val="21"/>
              </w:rPr>
              <w:t>缺陷责任期</w:t>
            </w:r>
          </w:p>
        </w:tc>
        <w:tc>
          <w:tcPr>
            <w:tcW w:w="6683" w:type="dxa"/>
            <w:vAlign w:val="center"/>
          </w:tcPr>
          <w:p w14:paraId="505CF894">
            <w:pPr>
              <w:snapToGrid w:val="0"/>
              <w:spacing w:line="400" w:lineRule="exact"/>
              <w:rPr>
                <w:rFonts w:ascii="宋体" w:hAnsi="宋体"/>
                <w:snapToGrid w:val="0"/>
                <w:color w:val="auto"/>
                <w:kern w:val="0"/>
                <w:szCs w:val="21"/>
                <w:u w:val="single"/>
              </w:rPr>
            </w:pPr>
            <w:r>
              <w:rPr>
                <w:rFonts w:hint="eastAsia" w:ascii="宋体" w:hAnsi="宋体"/>
                <w:color w:val="auto"/>
                <w:kern w:val="0"/>
                <w:szCs w:val="21"/>
              </w:rPr>
              <w:t>工期：</w:t>
            </w:r>
            <w:r>
              <w:rPr>
                <w:rFonts w:hint="eastAsia" w:ascii="宋体" w:hAnsi="宋体"/>
                <w:snapToGrid w:val="0"/>
                <w:color w:val="auto"/>
                <w:kern w:val="0"/>
                <w:szCs w:val="21"/>
                <w:u w:val="single"/>
              </w:rPr>
              <w:t>6</w:t>
            </w:r>
            <w:r>
              <w:rPr>
                <w:rFonts w:ascii="宋体" w:hAnsi="宋体"/>
                <w:snapToGrid w:val="0"/>
                <w:color w:val="auto"/>
                <w:kern w:val="0"/>
                <w:szCs w:val="21"/>
                <w:u w:val="single"/>
              </w:rPr>
              <w:t>0</w:t>
            </w:r>
            <w:r>
              <w:rPr>
                <w:rFonts w:hint="eastAsia" w:ascii="宋体" w:hAnsi="宋体"/>
                <w:snapToGrid w:val="0"/>
                <w:color w:val="auto"/>
                <w:kern w:val="0"/>
                <w:szCs w:val="21"/>
                <w:u w:val="single"/>
              </w:rPr>
              <w:t>天</w:t>
            </w:r>
          </w:p>
          <w:p w14:paraId="4FFC69F8">
            <w:pPr>
              <w:snapToGrid w:val="0"/>
              <w:spacing w:line="400" w:lineRule="exact"/>
              <w:rPr>
                <w:rFonts w:ascii="宋体" w:hAnsi="宋体"/>
                <w:color w:val="auto"/>
                <w:kern w:val="0"/>
                <w:szCs w:val="21"/>
              </w:rPr>
            </w:pPr>
            <w:r>
              <w:rPr>
                <w:rFonts w:hint="eastAsia" w:ascii="宋体" w:hAnsi="宋体"/>
                <w:color w:val="auto"/>
                <w:kern w:val="0"/>
                <w:szCs w:val="21"/>
              </w:rPr>
              <w:t>缺陷责任期：</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24</w:t>
            </w:r>
            <w:r>
              <w:rPr>
                <w:rFonts w:hint="eastAsia" w:ascii="宋体" w:hAnsi="宋体"/>
                <w:snapToGrid w:val="0"/>
                <w:color w:val="auto"/>
                <w:kern w:val="0"/>
                <w:szCs w:val="21"/>
                <w:u w:val="single"/>
              </w:rPr>
              <w:t>个月</w:t>
            </w:r>
          </w:p>
        </w:tc>
      </w:tr>
      <w:tr w14:paraId="3BCBD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240" w:type="dxa"/>
            <w:vAlign w:val="center"/>
          </w:tcPr>
          <w:p w14:paraId="251D35A0">
            <w:pPr>
              <w:snapToGrid w:val="0"/>
              <w:spacing w:line="400" w:lineRule="exact"/>
              <w:jc w:val="center"/>
              <w:rPr>
                <w:rFonts w:ascii="宋体" w:hAnsi="宋体"/>
                <w:color w:val="auto"/>
                <w:kern w:val="0"/>
                <w:szCs w:val="21"/>
              </w:rPr>
            </w:pPr>
            <w:r>
              <w:rPr>
                <w:rFonts w:ascii="宋体" w:hAnsi="宋体"/>
                <w:color w:val="auto"/>
                <w:kern w:val="0"/>
                <w:szCs w:val="21"/>
              </w:rPr>
              <w:t>1.3.3</w:t>
            </w:r>
          </w:p>
        </w:tc>
        <w:tc>
          <w:tcPr>
            <w:tcW w:w="1451" w:type="dxa"/>
            <w:vAlign w:val="center"/>
          </w:tcPr>
          <w:p w14:paraId="13D33443">
            <w:pPr>
              <w:snapToGrid w:val="0"/>
              <w:spacing w:line="400" w:lineRule="exact"/>
              <w:jc w:val="center"/>
              <w:rPr>
                <w:rFonts w:ascii="宋体" w:hAnsi="宋体"/>
                <w:color w:val="auto"/>
                <w:kern w:val="0"/>
                <w:szCs w:val="21"/>
              </w:rPr>
            </w:pPr>
            <w:r>
              <w:rPr>
                <w:rFonts w:ascii="宋体" w:hAnsi="宋体"/>
                <w:color w:val="auto"/>
                <w:kern w:val="0"/>
                <w:szCs w:val="21"/>
              </w:rPr>
              <w:t>质量要求</w:t>
            </w:r>
          </w:p>
        </w:tc>
        <w:tc>
          <w:tcPr>
            <w:tcW w:w="6683" w:type="dxa"/>
            <w:vAlign w:val="center"/>
          </w:tcPr>
          <w:p w14:paraId="5D3DBAF9">
            <w:pPr>
              <w:snapToGrid w:val="0"/>
              <w:spacing w:line="400" w:lineRule="exact"/>
              <w:rPr>
                <w:rFonts w:ascii="宋体" w:hAnsi="宋体"/>
                <w:color w:val="auto"/>
                <w:szCs w:val="21"/>
              </w:rPr>
            </w:pPr>
            <w:r>
              <w:rPr>
                <w:rFonts w:hint="eastAsia" w:ascii="宋体" w:hAnsi="宋体"/>
                <w:color w:val="auto"/>
                <w:szCs w:val="21"/>
              </w:rPr>
              <w:t>符合强制性质量标准，</w:t>
            </w:r>
            <w:r>
              <w:rPr>
                <w:rFonts w:hint="eastAsia" w:ascii="宋体" w:hAnsi="宋体"/>
                <w:color w:val="auto"/>
                <w:szCs w:val="21"/>
                <w:u w:val="single"/>
              </w:rPr>
              <w:t>符合</w:t>
            </w:r>
            <w:r>
              <w:rPr>
                <w:rFonts w:ascii="宋体" w:hAnsi="宋体"/>
                <w:color w:val="auto"/>
                <w:szCs w:val="21"/>
                <w:u w:val="single"/>
              </w:rPr>
              <w:t>国家和重庆市现行有关施工质量验收规范要求，并达到合格标准</w:t>
            </w:r>
            <w:r>
              <w:rPr>
                <w:rFonts w:ascii="宋体" w:hAnsi="宋体"/>
                <w:color w:val="auto"/>
                <w:szCs w:val="21"/>
              </w:rPr>
              <w:t>。</w:t>
            </w:r>
          </w:p>
        </w:tc>
      </w:tr>
      <w:tr w14:paraId="776C7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1240" w:type="dxa"/>
            <w:vAlign w:val="center"/>
          </w:tcPr>
          <w:p w14:paraId="774323BF">
            <w:pPr>
              <w:snapToGrid w:val="0"/>
              <w:spacing w:line="400" w:lineRule="exact"/>
              <w:jc w:val="center"/>
              <w:rPr>
                <w:rFonts w:ascii="宋体" w:hAnsi="宋体"/>
                <w:color w:val="auto"/>
                <w:kern w:val="0"/>
                <w:szCs w:val="21"/>
              </w:rPr>
            </w:pPr>
          </w:p>
          <w:p w14:paraId="08957371">
            <w:pPr>
              <w:snapToGrid w:val="0"/>
              <w:spacing w:line="400" w:lineRule="exact"/>
              <w:jc w:val="center"/>
              <w:rPr>
                <w:rFonts w:ascii="宋体" w:hAnsi="宋体"/>
                <w:color w:val="auto"/>
                <w:kern w:val="0"/>
                <w:szCs w:val="21"/>
              </w:rPr>
            </w:pPr>
          </w:p>
          <w:p w14:paraId="72028C51">
            <w:pPr>
              <w:snapToGrid w:val="0"/>
              <w:spacing w:line="400" w:lineRule="exact"/>
              <w:jc w:val="center"/>
              <w:rPr>
                <w:rFonts w:ascii="宋体" w:hAnsi="宋体"/>
                <w:color w:val="auto"/>
                <w:kern w:val="0"/>
                <w:szCs w:val="21"/>
              </w:rPr>
            </w:pPr>
          </w:p>
          <w:p w14:paraId="2C31DCEA">
            <w:pPr>
              <w:snapToGrid w:val="0"/>
              <w:spacing w:line="400" w:lineRule="exact"/>
              <w:jc w:val="center"/>
              <w:rPr>
                <w:rFonts w:ascii="宋体" w:hAnsi="宋体"/>
                <w:color w:val="auto"/>
                <w:kern w:val="0"/>
                <w:szCs w:val="21"/>
              </w:rPr>
            </w:pPr>
          </w:p>
          <w:p w14:paraId="6DE2E977">
            <w:pPr>
              <w:snapToGrid w:val="0"/>
              <w:spacing w:line="400" w:lineRule="exact"/>
              <w:jc w:val="center"/>
              <w:rPr>
                <w:rFonts w:ascii="宋体" w:hAnsi="宋体"/>
                <w:color w:val="auto"/>
                <w:kern w:val="0"/>
                <w:szCs w:val="21"/>
              </w:rPr>
            </w:pPr>
          </w:p>
          <w:p w14:paraId="17D3B4D4">
            <w:pPr>
              <w:snapToGrid w:val="0"/>
              <w:spacing w:line="400" w:lineRule="exact"/>
              <w:jc w:val="center"/>
              <w:rPr>
                <w:rFonts w:ascii="宋体" w:hAnsi="宋体"/>
                <w:color w:val="auto"/>
                <w:kern w:val="0"/>
                <w:szCs w:val="21"/>
              </w:rPr>
            </w:pPr>
          </w:p>
          <w:p w14:paraId="390E47D3">
            <w:pPr>
              <w:snapToGrid w:val="0"/>
              <w:spacing w:line="400" w:lineRule="exact"/>
              <w:jc w:val="center"/>
              <w:rPr>
                <w:rFonts w:ascii="宋体" w:hAnsi="宋体"/>
                <w:color w:val="auto"/>
                <w:kern w:val="0"/>
                <w:szCs w:val="21"/>
              </w:rPr>
            </w:pPr>
          </w:p>
          <w:p w14:paraId="3FAFF341">
            <w:pPr>
              <w:snapToGrid w:val="0"/>
              <w:spacing w:line="400" w:lineRule="exact"/>
              <w:jc w:val="center"/>
              <w:rPr>
                <w:rFonts w:ascii="宋体" w:hAnsi="宋体"/>
                <w:color w:val="auto"/>
                <w:kern w:val="0"/>
                <w:szCs w:val="21"/>
              </w:rPr>
            </w:pPr>
          </w:p>
          <w:p w14:paraId="7E1C5D62">
            <w:pPr>
              <w:snapToGrid w:val="0"/>
              <w:spacing w:line="400" w:lineRule="exact"/>
              <w:jc w:val="center"/>
              <w:rPr>
                <w:rFonts w:ascii="宋体" w:hAnsi="宋体"/>
                <w:color w:val="auto"/>
                <w:kern w:val="0"/>
                <w:szCs w:val="21"/>
              </w:rPr>
            </w:pPr>
          </w:p>
          <w:p w14:paraId="05190A94">
            <w:pPr>
              <w:snapToGrid w:val="0"/>
              <w:spacing w:line="400" w:lineRule="exact"/>
              <w:jc w:val="center"/>
              <w:rPr>
                <w:rFonts w:ascii="宋体" w:hAnsi="宋体"/>
                <w:color w:val="auto"/>
                <w:kern w:val="0"/>
                <w:szCs w:val="21"/>
              </w:rPr>
            </w:pPr>
          </w:p>
          <w:p w14:paraId="289E9531">
            <w:pPr>
              <w:snapToGrid w:val="0"/>
              <w:spacing w:line="400" w:lineRule="exact"/>
              <w:jc w:val="center"/>
              <w:rPr>
                <w:rFonts w:ascii="宋体" w:hAnsi="宋体"/>
                <w:color w:val="auto"/>
                <w:kern w:val="0"/>
                <w:szCs w:val="21"/>
              </w:rPr>
            </w:pPr>
          </w:p>
          <w:p w14:paraId="44F84935">
            <w:pPr>
              <w:snapToGrid w:val="0"/>
              <w:spacing w:line="400" w:lineRule="exact"/>
              <w:jc w:val="center"/>
              <w:rPr>
                <w:rFonts w:ascii="宋体" w:hAnsi="宋体"/>
                <w:color w:val="auto"/>
                <w:kern w:val="0"/>
                <w:szCs w:val="21"/>
              </w:rPr>
            </w:pPr>
          </w:p>
          <w:p w14:paraId="1A244947">
            <w:pPr>
              <w:snapToGrid w:val="0"/>
              <w:spacing w:line="400" w:lineRule="exact"/>
              <w:jc w:val="center"/>
              <w:rPr>
                <w:rFonts w:ascii="宋体" w:hAnsi="宋体"/>
                <w:color w:val="auto"/>
                <w:kern w:val="0"/>
                <w:szCs w:val="21"/>
              </w:rPr>
            </w:pPr>
          </w:p>
          <w:p w14:paraId="79B48C8D">
            <w:pPr>
              <w:snapToGrid w:val="0"/>
              <w:spacing w:line="400" w:lineRule="exact"/>
              <w:jc w:val="center"/>
              <w:rPr>
                <w:rFonts w:ascii="宋体" w:hAnsi="宋体"/>
                <w:color w:val="auto"/>
                <w:kern w:val="0"/>
                <w:szCs w:val="21"/>
              </w:rPr>
            </w:pPr>
          </w:p>
          <w:p w14:paraId="124BB5DF">
            <w:pPr>
              <w:snapToGrid w:val="0"/>
              <w:spacing w:line="400" w:lineRule="exact"/>
              <w:jc w:val="center"/>
              <w:rPr>
                <w:rFonts w:ascii="宋体" w:hAnsi="宋体"/>
                <w:color w:val="auto"/>
                <w:kern w:val="0"/>
                <w:szCs w:val="21"/>
              </w:rPr>
            </w:pPr>
          </w:p>
          <w:p w14:paraId="1D401873">
            <w:pPr>
              <w:snapToGrid w:val="0"/>
              <w:spacing w:line="400" w:lineRule="exact"/>
              <w:jc w:val="center"/>
              <w:rPr>
                <w:rFonts w:ascii="宋体" w:hAnsi="宋体"/>
                <w:color w:val="auto"/>
                <w:kern w:val="0"/>
                <w:szCs w:val="21"/>
              </w:rPr>
            </w:pPr>
          </w:p>
          <w:p w14:paraId="0BD0D291">
            <w:pPr>
              <w:snapToGrid w:val="0"/>
              <w:spacing w:line="400" w:lineRule="exact"/>
              <w:jc w:val="center"/>
              <w:rPr>
                <w:rFonts w:ascii="宋体" w:hAnsi="宋体"/>
                <w:color w:val="auto"/>
                <w:kern w:val="0"/>
                <w:szCs w:val="21"/>
              </w:rPr>
            </w:pPr>
          </w:p>
          <w:p w14:paraId="7F809240">
            <w:pPr>
              <w:snapToGrid w:val="0"/>
              <w:spacing w:line="400" w:lineRule="exact"/>
              <w:jc w:val="center"/>
              <w:rPr>
                <w:rFonts w:ascii="宋体" w:hAnsi="宋体"/>
                <w:color w:val="auto"/>
                <w:kern w:val="0"/>
                <w:szCs w:val="21"/>
              </w:rPr>
            </w:pPr>
            <w:r>
              <w:rPr>
                <w:rFonts w:ascii="宋体" w:hAnsi="宋体"/>
                <w:color w:val="auto"/>
                <w:kern w:val="0"/>
                <w:szCs w:val="21"/>
              </w:rPr>
              <w:t>1.4.1</w:t>
            </w:r>
          </w:p>
          <w:p w14:paraId="605A322B">
            <w:pPr>
              <w:snapToGrid w:val="0"/>
              <w:spacing w:line="400" w:lineRule="exact"/>
              <w:jc w:val="center"/>
              <w:rPr>
                <w:rFonts w:ascii="宋体" w:hAnsi="宋体"/>
                <w:color w:val="auto"/>
                <w:kern w:val="0"/>
                <w:szCs w:val="21"/>
              </w:rPr>
            </w:pPr>
          </w:p>
          <w:p w14:paraId="6265CC00">
            <w:pPr>
              <w:snapToGrid w:val="0"/>
              <w:spacing w:line="400" w:lineRule="exact"/>
              <w:jc w:val="center"/>
              <w:rPr>
                <w:rFonts w:ascii="宋体" w:hAnsi="宋体"/>
                <w:color w:val="auto"/>
                <w:kern w:val="0"/>
                <w:szCs w:val="21"/>
              </w:rPr>
            </w:pPr>
          </w:p>
          <w:p w14:paraId="1CC0AB0D">
            <w:pPr>
              <w:snapToGrid w:val="0"/>
              <w:spacing w:line="400" w:lineRule="exact"/>
              <w:jc w:val="center"/>
              <w:rPr>
                <w:rFonts w:ascii="宋体" w:hAnsi="宋体"/>
                <w:color w:val="auto"/>
                <w:kern w:val="0"/>
                <w:szCs w:val="21"/>
              </w:rPr>
            </w:pPr>
          </w:p>
          <w:p w14:paraId="20C33D27">
            <w:pPr>
              <w:snapToGrid w:val="0"/>
              <w:spacing w:line="400" w:lineRule="exact"/>
              <w:jc w:val="center"/>
              <w:rPr>
                <w:rFonts w:ascii="宋体" w:hAnsi="宋体"/>
                <w:color w:val="auto"/>
                <w:kern w:val="0"/>
                <w:szCs w:val="21"/>
              </w:rPr>
            </w:pPr>
          </w:p>
          <w:p w14:paraId="55B9E901">
            <w:pPr>
              <w:snapToGrid w:val="0"/>
              <w:spacing w:line="400" w:lineRule="exact"/>
              <w:jc w:val="center"/>
              <w:rPr>
                <w:rFonts w:ascii="宋体" w:hAnsi="宋体"/>
                <w:color w:val="auto"/>
                <w:kern w:val="0"/>
                <w:szCs w:val="21"/>
              </w:rPr>
            </w:pPr>
          </w:p>
          <w:p w14:paraId="0BAA00B4">
            <w:pPr>
              <w:snapToGrid w:val="0"/>
              <w:spacing w:line="400" w:lineRule="exact"/>
              <w:jc w:val="center"/>
              <w:rPr>
                <w:rFonts w:ascii="宋体" w:hAnsi="宋体"/>
                <w:color w:val="auto"/>
                <w:kern w:val="0"/>
                <w:szCs w:val="21"/>
              </w:rPr>
            </w:pPr>
          </w:p>
          <w:p w14:paraId="208902A2">
            <w:pPr>
              <w:snapToGrid w:val="0"/>
              <w:spacing w:line="400" w:lineRule="exact"/>
              <w:jc w:val="center"/>
              <w:rPr>
                <w:rFonts w:ascii="宋体" w:hAnsi="宋体"/>
                <w:color w:val="auto"/>
                <w:kern w:val="0"/>
                <w:szCs w:val="21"/>
              </w:rPr>
            </w:pPr>
          </w:p>
          <w:p w14:paraId="125990EE">
            <w:pPr>
              <w:snapToGrid w:val="0"/>
              <w:spacing w:line="400" w:lineRule="exact"/>
              <w:jc w:val="center"/>
              <w:rPr>
                <w:rFonts w:ascii="宋体" w:hAnsi="宋体"/>
                <w:color w:val="auto"/>
                <w:kern w:val="0"/>
                <w:szCs w:val="21"/>
              </w:rPr>
            </w:pPr>
          </w:p>
          <w:p w14:paraId="1F7B104F">
            <w:pPr>
              <w:snapToGrid w:val="0"/>
              <w:spacing w:line="400" w:lineRule="exact"/>
              <w:jc w:val="center"/>
              <w:rPr>
                <w:rFonts w:ascii="宋体" w:hAnsi="宋体"/>
                <w:color w:val="auto"/>
                <w:kern w:val="0"/>
                <w:szCs w:val="21"/>
              </w:rPr>
            </w:pPr>
          </w:p>
          <w:p w14:paraId="48E4BA7E">
            <w:pPr>
              <w:snapToGrid w:val="0"/>
              <w:spacing w:line="400" w:lineRule="exact"/>
              <w:jc w:val="center"/>
              <w:rPr>
                <w:rFonts w:ascii="宋体" w:hAnsi="宋体"/>
                <w:color w:val="auto"/>
                <w:kern w:val="0"/>
                <w:szCs w:val="21"/>
              </w:rPr>
            </w:pPr>
          </w:p>
          <w:p w14:paraId="76831E02">
            <w:pPr>
              <w:snapToGrid w:val="0"/>
              <w:spacing w:line="400" w:lineRule="exact"/>
              <w:jc w:val="center"/>
              <w:rPr>
                <w:rFonts w:ascii="宋体" w:hAnsi="宋体"/>
                <w:color w:val="auto"/>
                <w:kern w:val="0"/>
                <w:szCs w:val="21"/>
              </w:rPr>
            </w:pPr>
          </w:p>
          <w:p w14:paraId="3F2ADF8C">
            <w:pPr>
              <w:snapToGrid w:val="0"/>
              <w:spacing w:line="400" w:lineRule="exact"/>
              <w:jc w:val="center"/>
              <w:rPr>
                <w:rFonts w:ascii="宋体" w:hAnsi="宋体"/>
                <w:color w:val="auto"/>
                <w:kern w:val="0"/>
                <w:szCs w:val="21"/>
              </w:rPr>
            </w:pPr>
          </w:p>
          <w:p w14:paraId="6C36D4DB">
            <w:pPr>
              <w:snapToGrid w:val="0"/>
              <w:spacing w:line="400" w:lineRule="exact"/>
              <w:jc w:val="center"/>
              <w:rPr>
                <w:rFonts w:ascii="宋体" w:hAnsi="宋体"/>
                <w:color w:val="auto"/>
                <w:kern w:val="0"/>
                <w:szCs w:val="21"/>
              </w:rPr>
            </w:pPr>
          </w:p>
          <w:p w14:paraId="55F363FC">
            <w:pPr>
              <w:snapToGrid w:val="0"/>
              <w:spacing w:line="400" w:lineRule="exact"/>
              <w:jc w:val="center"/>
              <w:rPr>
                <w:rFonts w:ascii="宋体" w:hAnsi="宋体"/>
                <w:color w:val="auto"/>
                <w:kern w:val="0"/>
                <w:szCs w:val="21"/>
              </w:rPr>
            </w:pPr>
          </w:p>
          <w:p w14:paraId="10C29980">
            <w:pPr>
              <w:snapToGrid w:val="0"/>
              <w:spacing w:line="400" w:lineRule="exact"/>
              <w:jc w:val="center"/>
              <w:rPr>
                <w:rFonts w:ascii="宋体" w:hAnsi="宋体"/>
                <w:color w:val="auto"/>
                <w:kern w:val="0"/>
                <w:szCs w:val="21"/>
              </w:rPr>
            </w:pPr>
          </w:p>
          <w:p w14:paraId="08BB1F9A">
            <w:pPr>
              <w:snapToGrid w:val="0"/>
              <w:spacing w:line="400" w:lineRule="exact"/>
              <w:jc w:val="center"/>
              <w:rPr>
                <w:rFonts w:ascii="宋体" w:hAnsi="宋体"/>
                <w:color w:val="auto"/>
                <w:kern w:val="0"/>
                <w:szCs w:val="21"/>
              </w:rPr>
            </w:pPr>
          </w:p>
          <w:p w14:paraId="5B300540">
            <w:pPr>
              <w:snapToGrid w:val="0"/>
              <w:spacing w:line="400" w:lineRule="exact"/>
              <w:jc w:val="center"/>
              <w:rPr>
                <w:rFonts w:ascii="宋体" w:hAnsi="宋体"/>
                <w:color w:val="auto"/>
                <w:kern w:val="0"/>
                <w:szCs w:val="21"/>
              </w:rPr>
            </w:pPr>
          </w:p>
          <w:p w14:paraId="76517E9D">
            <w:pPr>
              <w:snapToGrid w:val="0"/>
              <w:spacing w:line="400" w:lineRule="exact"/>
              <w:jc w:val="center"/>
              <w:rPr>
                <w:rFonts w:ascii="宋体" w:hAnsi="宋体"/>
                <w:color w:val="auto"/>
                <w:kern w:val="0"/>
                <w:szCs w:val="21"/>
              </w:rPr>
            </w:pPr>
          </w:p>
          <w:p w14:paraId="3CE8CB61">
            <w:pPr>
              <w:snapToGrid w:val="0"/>
              <w:spacing w:line="400" w:lineRule="exact"/>
              <w:jc w:val="center"/>
              <w:rPr>
                <w:rFonts w:ascii="宋体" w:hAnsi="宋体"/>
                <w:color w:val="auto"/>
                <w:kern w:val="0"/>
                <w:szCs w:val="21"/>
              </w:rPr>
            </w:pPr>
          </w:p>
          <w:p w14:paraId="1FE790B2">
            <w:pPr>
              <w:snapToGrid w:val="0"/>
              <w:spacing w:line="400" w:lineRule="exact"/>
              <w:jc w:val="center"/>
              <w:rPr>
                <w:rFonts w:ascii="宋体" w:hAnsi="宋体"/>
                <w:color w:val="auto"/>
                <w:kern w:val="0"/>
                <w:szCs w:val="21"/>
              </w:rPr>
            </w:pPr>
          </w:p>
          <w:p w14:paraId="753527C8">
            <w:pPr>
              <w:snapToGrid w:val="0"/>
              <w:spacing w:line="400" w:lineRule="exact"/>
              <w:jc w:val="center"/>
              <w:rPr>
                <w:rFonts w:ascii="宋体" w:hAnsi="宋体"/>
                <w:color w:val="auto"/>
                <w:kern w:val="0"/>
                <w:szCs w:val="21"/>
              </w:rPr>
            </w:pPr>
          </w:p>
          <w:p w14:paraId="7390BA87">
            <w:pPr>
              <w:snapToGrid w:val="0"/>
              <w:spacing w:line="400" w:lineRule="exact"/>
              <w:jc w:val="center"/>
              <w:rPr>
                <w:rFonts w:ascii="宋体" w:hAnsi="宋体"/>
                <w:color w:val="auto"/>
                <w:kern w:val="0"/>
                <w:szCs w:val="21"/>
              </w:rPr>
            </w:pPr>
          </w:p>
          <w:p w14:paraId="699F198C">
            <w:pPr>
              <w:snapToGrid w:val="0"/>
              <w:spacing w:line="400" w:lineRule="exact"/>
              <w:jc w:val="center"/>
              <w:rPr>
                <w:rFonts w:ascii="宋体" w:hAnsi="宋体"/>
                <w:color w:val="auto"/>
                <w:kern w:val="0"/>
                <w:szCs w:val="21"/>
              </w:rPr>
            </w:pPr>
          </w:p>
          <w:p w14:paraId="3F4DEBB6">
            <w:pPr>
              <w:snapToGrid w:val="0"/>
              <w:spacing w:line="400" w:lineRule="exact"/>
              <w:jc w:val="center"/>
              <w:rPr>
                <w:rFonts w:ascii="宋体" w:hAnsi="宋体"/>
                <w:color w:val="auto"/>
                <w:kern w:val="0"/>
                <w:szCs w:val="21"/>
              </w:rPr>
            </w:pPr>
          </w:p>
          <w:p w14:paraId="2DF4BE90">
            <w:pPr>
              <w:snapToGrid w:val="0"/>
              <w:spacing w:line="400" w:lineRule="exact"/>
              <w:jc w:val="center"/>
              <w:rPr>
                <w:rFonts w:ascii="宋体" w:hAnsi="宋体"/>
                <w:color w:val="auto"/>
                <w:kern w:val="0"/>
                <w:szCs w:val="21"/>
              </w:rPr>
            </w:pPr>
          </w:p>
          <w:p w14:paraId="7368ACFB">
            <w:pPr>
              <w:snapToGrid w:val="0"/>
              <w:spacing w:line="400" w:lineRule="exact"/>
              <w:jc w:val="center"/>
              <w:rPr>
                <w:rFonts w:ascii="宋体" w:hAnsi="宋体"/>
                <w:color w:val="auto"/>
                <w:kern w:val="0"/>
                <w:szCs w:val="21"/>
              </w:rPr>
            </w:pPr>
          </w:p>
          <w:p w14:paraId="5A331441">
            <w:pPr>
              <w:snapToGrid w:val="0"/>
              <w:spacing w:line="400" w:lineRule="exact"/>
              <w:jc w:val="center"/>
              <w:rPr>
                <w:rFonts w:ascii="宋体" w:hAnsi="宋体"/>
                <w:color w:val="auto"/>
                <w:kern w:val="0"/>
                <w:szCs w:val="21"/>
              </w:rPr>
            </w:pPr>
          </w:p>
          <w:p w14:paraId="7F1FC23C">
            <w:pPr>
              <w:snapToGrid w:val="0"/>
              <w:spacing w:line="400" w:lineRule="exact"/>
              <w:jc w:val="center"/>
              <w:rPr>
                <w:rFonts w:ascii="宋体" w:hAnsi="宋体"/>
                <w:color w:val="auto"/>
                <w:kern w:val="0"/>
                <w:szCs w:val="21"/>
              </w:rPr>
            </w:pPr>
          </w:p>
          <w:p w14:paraId="5D64217D">
            <w:pPr>
              <w:snapToGrid w:val="0"/>
              <w:spacing w:line="400" w:lineRule="exact"/>
              <w:jc w:val="center"/>
              <w:rPr>
                <w:rFonts w:ascii="宋体" w:hAnsi="宋体"/>
                <w:color w:val="auto"/>
                <w:kern w:val="0"/>
                <w:szCs w:val="21"/>
              </w:rPr>
            </w:pPr>
          </w:p>
          <w:p w14:paraId="6FA00B3A">
            <w:pPr>
              <w:snapToGrid w:val="0"/>
              <w:spacing w:line="400" w:lineRule="exact"/>
              <w:jc w:val="center"/>
              <w:rPr>
                <w:rFonts w:ascii="宋体" w:hAnsi="宋体"/>
                <w:color w:val="auto"/>
                <w:kern w:val="0"/>
                <w:szCs w:val="21"/>
              </w:rPr>
            </w:pPr>
          </w:p>
          <w:p w14:paraId="11B8D050">
            <w:pPr>
              <w:snapToGrid w:val="0"/>
              <w:spacing w:line="400" w:lineRule="exact"/>
              <w:jc w:val="center"/>
              <w:rPr>
                <w:rFonts w:ascii="宋体" w:hAnsi="宋体"/>
                <w:color w:val="auto"/>
                <w:kern w:val="0"/>
                <w:szCs w:val="21"/>
              </w:rPr>
            </w:pPr>
          </w:p>
          <w:p w14:paraId="55AA49BE">
            <w:pPr>
              <w:snapToGrid w:val="0"/>
              <w:spacing w:line="400" w:lineRule="exact"/>
              <w:jc w:val="center"/>
              <w:rPr>
                <w:rFonts w:ascii="宋体" w:hAnsi="宋体"/>
                <w:color w:val="auto"/>
                <w:kern w:val="0"/>
                <w:szCs w:val="21"/>
              </w:rPr>
            </w:pPr>
            <w:r>
              <w:rPr>
                <w:rFonts w:ascii="宋体" w:hAnsi="宋体"/>
                <w:color w:val="auto"/>
                <w:kern w:val="0"/>
                <w:szCs w:val="21"/>
              </w:rPr>
              <w:t>1.4.1</w:t>
            </w:r>
          </w:p>
          <w:p w14:paraId="435EDB18">
            <w:pPr>
              <w:snapToGrid w:val="0"/>
              <w:spacing w:line="400" w:lineRule="exact"/>
              <w:jc w:val="center"/>
              <w:rPr>
                <w:rFonts w:ascii="宋体" w:hAnsi="宋体"/>
                <w:color w:val="auto"/>
                <w:kern w:val="0"/>
                <w:szCs w:val="21"/>
              </w:rPr>
            </w:pPr>
          </w:p>
          <w:p w14:paraId="17F461D9">
            <w:pPr>
              <w:snapToGrid w:val="0"/>
              <w:spacing w:line="400" w:lineRule="exact"/>
              <w:jc w:val="center"/>
              <w:rPr>
                <w:rFonts w:ascii="宋体" w:hAnsi="宋体"/>
                <w:color w:val="auto"/>
                <w:kern w:val="0"/>
                <w:szCs w:val="21"/>
              </w:rPr>
            </w:pPr>
          </w:p>
          <w:p w14:paraId="391AA6FB">
            <w:pPr>
              <w:snapToGrid w:val="0"/>
              <w:spacing w:line="400" w:lineRule="exact"/>
              <w:jc w:val="center"/>
              <w:rPr>
                <w:rFonts w:ascii="宋体" w:hAnsi="宋体"/>
                <w:color w:val="auto"/>
                <w:kern w:val="0"/>
                <w:szCs w:val="21"/>
              </w:rPr>
            </w:pPr>
          </w:p>
          <w:p w14:paraId="30B2506F">
            <w:pPr>
              <w:snapToGrid w:val="0"/>
              <w:spacing w:line="400" w:lineRule="exact"/>
              <w:jc w:val="center"/>
              <w:rPr>
                <w:rFonts w:ascii="宋体" w:hAnsi="宋体"/>
                <w:color w:val="auto"/>
                <w:kern w:val="0"/>
                <w:szCs w:val="21"/>
              </w:rPr>
            </w:pPr>
          </w:p>
          <w:p w14:paraId="1346B92F">
            <w:pPr>
              <w:snapToGrid w:val="0"/>
              <w:spacing w:line="400" w:lineRule="exact"/>
              <w:jc w:val="center"/>
              <w:rPr>
                <w:rFonts w:ascii="宋体" w:hAnsi="宋体"/>
                <w:color w:val="auto"/>
                <w:kern w:val="0"/>
                <w:szCs w:val="21"/>
              </w:rPr>
            </w:pPr>
          </w:p>
          <w:p w14:paraId="13D1F10F">
            <w:pPr>
              <w:snapToGrid w:val="0"/>
              <w:spacing w:line="400" w:lineRule="exact"/>
              <w:jc w:val="center"/>
              <w:rPr>
                <w:rFonts w:ascii="宋体" w:hAnsi="宋体"/>
                <w:color w:val="auto"/>
                <w:kern w:val="0"/>
                <w:szCs w:val="21"/>
              </w:rPr>
            </w:pPr>
          </w:p>
          <w:p w14:paraId="0A341DA2">
            <w:pPr>
              <w:snapToGrid w:val="0"/>
              <w:spacing w:line="400" w:lineRule="exact"/>
              <w:jc w:val="center"/>
              <w:rPr>
                <w:rFonts w:ascii="宋体" w:hAnsi="宋体"/>
                <w:color w:val="auto"/>
                <w:kern w:val="0"/>
                <w:szCs w:val="21"/>
              </w:rPr>
            </w:pPr>
          </w:p>
          <w:p w14:paraId="136F871E">
            <w:pPr>
              <w:snapToGrid w:val="0"/>
              <w:spacing w:line="400" w:lineRule="exact"/>
              <w:jc w:val="center"/>
              <w:rPr>
                <w:rFonts w:ascii="宋体" w:hAnsi="宋体"/>
                <w:color w:val="auto"/>
                <w:kern w:val="0"/>
                <w:szCs w:val="21"/>
              </w:rPr>
            </w:pPr>
          </w:p>
          <w:p w14:paraId="347A7658">
            <w:pPr>
              <w:snapToGrid w:val="0"/>
              <w:spacing w:line="400" w:lineRule="exact"/>
              <w:jc w:val="center"/>
              <w:rPr>
                <w:rFonts w:ascii="宋体" w:hAnsi="宋体"/>
                <w:color w:val="auto"/>
                <w:kern w:val="0"/>
                <w:szCs w:val="21"/>
              </w:rPr>
            </w:pPr>
          </w:p>
          <w:p w14:paraId="040B2633">
            <w:pPr>
              <w:snapToGrid w:val="0"/>
              <w:spacing w:line="400" w:lineRule="exact"/>
              <w:jc w:val="center"/>
              <w:rPr>
                <w:rFonts w:ascii="宋体" w:hAnsi="宋体"/>
                <w:color w:val="auto"/>
                <w:kern w:val="0"/>
                <w:szCs w:val="21"/>
              </w:rPr>
            </w:pPr>
          </w:p>
          <w:p w14:paraId="565D26E4">
            <w:pPr>
              <w:snapToGrid w:val="0"/>
              <w:spacing w:line="400" w:lineRule="exact"/>
              <w:jc w:val="center"/>
              <w:rPr>
                <w:rFonts w:ascii="宋体" w:hAnsi="宋体"/>
                <w:color w:val="auto"/>
                <w:kern w:val="0"/>
                <w:szCs w:val="21"/>
              </w:rPr>
            </w:pPr>
          </w:p>
          <w:p w14:paraId="1570FD7E">
            <w:pPr>
              <w:snapToGrid w:val="0"/>
              <w:spacing w:line="400" w:lineRule="exact"/>
              <w:jc w:val="center"/>
              <w:rPr>
                <w:rFonts w:ascii="宋体" w:hAnsi="宋体"/>
                <w:color w:val="auto"/>
                <w:kern w:val="0"/>
                <w:szCs w:val="21"/>
              </w:rPr>
            </w:pPr>
          </w:p>
          <w:p w14:paraId="674A19A6">
            <w:pPr>
              <w:snapToGrid w:val="0"/>
              <w:spacing w:line="400" w:lineRule="exact"/>
              <w:jc w:val="center"/>
              <w:rPr>
                <w:rFonts w:ascii="宋体" w:hAnsi="宋体"/>
                <w:color w:val="auto"/>
                <w:kern w:val="0"/>
                <w:szCs w:val="21"/>
              </w:rPr>
            </w:pPr>
          </w:p>
          <w:p w14:paraId="4EC5CFAC">
            <w:pPr>
              <w:snapToGrid w:val="0"/>
              <w:spacing w:line="400" w:lineRule="exact"/>
              <w:jc w:val="center"/>
              <w:rPr>
                <w:rFonts w:ascii="宋体" w:hAnsi="宋体"/>
                <w:color w:val="auto"/>
                <w:kern w:val="0"/>
                <w:szCs w:val="21"/>
              </w:rPr>
            </w:pPr>
          </w:p>
          <w:p w14:paraId="7443A41A">
            <w:pPr>
              <w:snapToGrid w:val="0"/>
              <w:spacing w:line="400" w:lineRule="exact"/>
              <w:jc w:val="center"/>
              <w:rPr>
                <w:rFonts w:ascii="宋体" w:hAnsi="宋体"/>
                <w:color w:val="auto"/>
                <w:kern w:val="0"/>
                <w:szCs w:val="21"/>
              </w:rPr>
            </w:pPr>
          </w:p>
          <w:p w14:paraId="48CF4391">
            <w:pPr>
              <w:snapToGrid w:val="0"/>
              <w:spacing w:line="400" w:lineRule="exact"/>
              <w:jc w:val="center"/>
              <w:rPr>
                <w:rFonts w:ascii="宋体" w:hAnsi="宋体"/>
                <w:color w:val="auto"/>
                <w:kern w:val="0"/>
                <w:szCs w:val="21"/>
              </w:rPr>
            </w:pPr>
          </w:p>
          <w:p w14:paraId="0E72CBB0">
            <w:pPr>
              <w:snapToGrid w:val="0"/>
              <w:spacing w:line="400" w:lineRule="exact"/>
              <w:jc w:val="center"/>
              <w:rPr>
                <w:rFonts w:ascii="宋体" w:hAnsi="宋体"/>
                <w:color w:val="auto"/>
                <w:kern w:val="0"/>
                <w:szCs w:val="21"/>
              </w:rPr>
            </w:pPr>
          </w:p>
          <w:p w14:paraId="704E2DF7">
            <w:pPr>
              <w:snapToGrid w:val="0"/>
              <w:spacing w:line="400" w:lineRule="exact"/>
              <w:jc w:val="center"/>
              <w:rPr>
                <w:rFonts w:ascii="宋体" w:hAnsi="宋体"/>
                <w:color w:val="auto"/>
                <w:kern w:val="0"/>
                <w:szCs w:val="21"/>
              </w:rPr>
            </w:pPr>
          </w:p>
          <w:p w14:paraId="356B1776">
            <w:pPr>
              <w:snapToGrid w:val="0"/>
              <w:spacing w:line="400" w:lineRule="exact"/>
              <w:jc w:val="center"/>
              <w:rPr>
                <w:rFonts w:ascii="宋体" w:hAnsi="宋体"/>
                <w:color w:val="auto"/>
                <w:kern w:val="0"/>
                <w:szCs w:val="21"/>
              </w:rPr>
            </w:pPr>
          </w:p>
          <w:p w14:paraId="394C7FC8">
            <w:pPr>
              <w:snapToGrid w:val="0"/>
              <w:spacing w:line="400" w:lineRule="exact"/>
              <w:jc w:val="center"/>
              <w:rPr>
                <w:rFonts w:ascii="宋体" w:hAnsi="宋体"/>
                <w:color w:val="auto"/>
                <w:kern w:val="0"/>
                <w:szCs w:val="21"/>
              </w:rPr>
            </w:pPr>
          </w:p>
          <w:p w14:paraId="2A2C8060">
            <w:pPr>
              <w:snapToGrid w:val="0"/>
              <w:spacing w:line="400" w:lineRule="exact"/>
              <w:jc w:val="center"/>
              <w:rPr>
                <w:rFonts w:ascii="宋体" w:hAnsi="宋体"/>
                <w:color w:val="auto"/>
                <w:kern w:val="0"/>
                <w:szCs w:val="21"/>
              </w:rPr>
            </w:pPr>
          </w:p>
          <w:p w14:paraId="38E793FD">
            <w:pPr>
              <w:snapToGrid w:val="0"/>
              <w:spacing w:line="400" w:lineRule="exact"/>
              <w:jc w:val="center"/>
              <w:rPr>
                <w:rFonts w:ascii="宋体" w:hAnsi="宋体"/>
                <w:color w:val="auto"/>
                <w:kern w:val="0"/>
                <w:szCs w:val="21"/>
              </w:rPr>
            </w:pPr>
          </w:p>
          <w:p w14:paraId="46F7597D">
            <w:pPr>
              <w:snapToGrid w:val="0"/>
              <w:spacing w:line="400" w:lineRule="exact"/>
              <w:jc w:val="center"/>
              <w:rPr>
                <w:rFonts w:ascii="宋体" w:hAnsi="宋体"/>
                <w:color w:val="auto"/>
                <w:kern w:val="0"/>
                <w:szCs w:val="21"/>
              </w:rPr>
            </w:pPr>
          </w:p>
          <w:p w14:paraId="49ED4D03">
            <w:pPr>
              <w:snapToGrid w:val="0"/>
              <w:spacing w:line="400" w:lineRule="exact"/>
              <w:jc w:val="center"/>
              <w:rPr>
                <w:rFonts w:ascii="宋体" w:hAnsi="宋体"/>
                <w:color w:val="auto"/>
                <w:kern w:val="0"/>
                <w:szCs w:val="21"/>
              </w:rPr>
            </w:pPr>
          </w:p>
          <w:p w14:paraId="429C8DE2">
            <w:pPr>
              <w:snapToGrid w:val="0"/>
              <w:spacing w:line="400" w:lineRule="exact"/>
              <w:jc w:val="center"/>
              <w:rPr>
                <w:rFonts w:ascii="宋体" w:hAnsi="宋体"/>
                <w:color w:val="auto"/>
                <w:kern w:val="0"/>
                <w:szCs w:val="21"/>
              </w:rPr>
            </w:pPr>
          </w:p>
          <w:p w14:paraId="314B5A4F">
            <w:pPr>
              <w:snapToGrid w:val="0"/>
              <w:spacing w:line="400" w:lineRule="exact"/>
              <w:jc w:val="center"/>
              <w:rPr>
                <w:rFonts w:ascii="宋体" w:hAnsi="宋体"/>
                <w:color w:val="auto"/>
                <w:kern w:val="0"/>
                <w:szCs w:val="21"/>
              </w:rPr>
            </w:pPr>
          </w:p>
          <w:p w14:paraId="0D0DA25D">
            <w:pPr>
              <w:snapToGrid w:val="0"/>
              <w:spacing w:line="400" w:lineRule="exact"/>
              <w:jc w:val="center"/>
              <w:rPr>
                <w:rFonts w:ascii="宋体" w:hAnsi="宋体"/>
                <w:color w:val="auto"/>
                <w:kern w:val="0"/>
                <w:szCs w:val="21"/>
              </w:rPr>
            </w:pPr>
          </w:p>
          <w:p w14:paraId="79BC681A">
            <w:pPr>
              <w:snapToGrid w:val="0"/>
              <w:spacing w:line="400" w:lineRule="exact"/>
              <w:jc w:val="center"/>
              <w:rPr>
                <w:rFonts w:ascii="宋体" w:hAnsi="宋体"/>
                <w:color w:val="auto"/>
                <w:kern w:val="0"/>
                <w:szCs w:val="21"/>
              </w:rPr>
            </w:pPr>
          </w:p>
          <w:p w14:paraId="345BF7DF">
            <w:pPr>
              <w:snapToGrid w:val="0"/>
              <w:spacing w:line="400" w:lineRule="exact"/>
              <w:jc w:val="center"/>
              <w:rPr>
                <w:rFonts w:ascii="宋体" w:hAnsi="宋体"/>
                <w:color w:val="auto"/>
                <w:kern w:val="0"/>
                <w:szCs w:val="21"/>
              </w:rPr>
            </w:pPr>
          </w:p>
          <w:p w14:paraId="2EFE2BC7">
            <w:pPr>
              <w:snapToGrid w:val="0"/>
              <w:spacing w:line="400" w:lineRule="exact"/>
              <w:jc w:val="center"/>
              <w:rPr>
                <w:rFonts w:ascii="宋体" w:hAnsi="宋体"/>
                <w:color w:val="auto"/>
                <w:kern w:val="0"/>
                <w:szCs w:val="21"/>
              </w:rPr>
            </w:pPr>
          </w:p>
          <w:p w14:paraId="18059631">
            <w:pPr>
              <w:snapToGrid w:val="0"/>
              <w:spacing w:line="400" w:lineRule="exact"/>
              <w:jc w:val="center"/>
              <w:rPr>
                <w:rFonts w:ascii="宋体" w:hAnsi="宋体"/>
                <w:color w:val="auto"/>
                <w:kern w:val="0"/>
                <w:szCs w:val="21"/>
              </w:rPr>
            </w:pPr>
          </w:p>
          <w:p w14:paraId="3AAA8FE3">
            <w:pPr>
              <w:snapToGrid w:val="0"/>
              <w:spacing w:line="400" w:lineRule="exact"/>
              <w:jc w:val="center"/>
              <w:rPr>
                <w:rFonts w:ascii="宋体" w:hAnsi="宋体"/>
                <w:color w:val="auto"/>
                <w:kern w:val="0"/>
                <w:szCs w:val="21"/>
              </w:rPr>
            </w:pPr>
          </w:p>
          <w:p w14:paraId="6E3D596B">
            <w:pPr>
              <w:snapToGrid w:val="0"/>
              <w:spacing w:line="400" w:lineRule="exact"/>
              <w:jc w:val="center"/>
              <w:rPr>
                <w:rFonts w:ascii="宋体" w:hAnsi="宋体"/>
                <w:color w:val="auto"/>
                <w:kern w:val="0"/>
                <w:szCs w:val="21"/>
              </w:rPr>
            </w:pPr>
          </w:p>
          <w:p w14:paraId="644E3134">
            <w:pPr>
              <w:snapToGrid w:val="0"/>
              <w:spacing w:line="400" w:lineRule="exact"/>
              <w:jc w:val="center"/>
              <w:rPr>
                <w:rFonts w:ascii="宋体" w:hAnsi="宋体"/>
                <w:color w:val="auto"/>
                <w:kern w:val="0"/>
                <w:szCs w:val="21"/>
              </w:rPr>
            </w:pPr>
          </w:p>
          <w:p w14:paraId="4CB7A23C">
            <w:pPr>
              <w:snapToGrid w:val="0"/>
              <w:spacing w:line="400" w:lineRule="exact"/>
              <w:jc w:val="center"/>
              <w:rPr>
                <w:rFonts w:ascii="宋体" w:hAnsi="宋体"/>
                <w:color w:val="auto"/>
                <w:kern w:val="0"/>
                <w:szCs w:val="21"/>
              </w:rPr>
            </w:pPr>
          </w:p>
          <w:p w14:paraId="7D73C545">
            <w:pPr>
              <w:snapToGrid w:val="0"/>
              <w:spacing w:line="400" w:lineRule="exact"/>
              <w:jc w:val="center"/>
              <w:rPr>
                <w:rFonts w:ascii="宋体" w:hAnsi="宋体"/>
                <w:color w:val="auto"/>
                <w:kern w:val="0"/>
                <w:szCs w:val="21"/>
              </w:rPr>
            </w:pPr>
          </w:p>
          <w:p w14:paraId="79BBA4C9">
            <w:pPr>
              <w:snapToGrid w:val="0"/>
              <w:spacing w:line="400" w:lineRule="exact"/>
              <w:jc w:val="center"/>
              <w:rPr>
                <w:rFonts w:ascii="宋体" w:hAnsi="宋体"/>
                <w:color w:val="auto"/>
                <w:kern w:val="0"/>
                <w:szCs w:val="21"/>
              </w:rPr>
            </w:pPr>
          </w:p>
          <w:p w14:paraId="78216D2A">
            <w:pPr>
              <w:snapToGrid w:val="0"/>
              <w:spacing w:line="400" w:lineRule="exact"/>
              <w:jc w:val="center"/>
              <w:rPr>
                <w:rFonts w:ascii="宋体" w:hAnsi="宋体"/>
                <w:color w:val="auto"/>
                <w:kern w:val="0"/>
                <w:szCs w:val="21"/>
              </w:rPr>
            </w:pPr>
          </w:p>
          <w:p w14:paraId="6CBB1DCB">
            <w:pPr>
              <w:snapToGrid w:val="0"/>
              <w:spacing w:line="400" w:lineRule="exact"/>
              <w:jc w:val="center"/>
              <w:rPr>
                <w:rFonts w:ascii="宋体" w:hAnsi="宋体"/>
                <w:color w:val="auto"/>
                <w:kern w:val="0"/>
                <w:szCs w:val="21"/>
              </w:rPr>
            </w:pPr>
          </w:p>
          <w:p w14:paraId="7CE44F83">
            <w:pPr>
              <w:snapToGrid w:val="0"/>
              <w:spacing w:line="400" w:lineRule="exact"/>
              <w:jc w:val="center"/>
              <w:rPr>
                <w:rFonts w:ascii="宋体" w:hAnsi="宋体"/>
                <w:color w:val="auto"/>
                <w:kern w:val="0"/>
                <w:szCs w:val="21"/>
              </w:rPr>
            </w:pPr>
          </w:p>
          <w:p w14:paraId="7BC2D233">
            <w:pPr>
              <w:snapToGrid w:val="0"/>
              <w:spacing w:line="400" w:lineRule="exact"/>
              <w:jc w:val="center"/>
              <w:rPr>
                <w:rFonts w:ascii="宋体" w:hAnsi="宋体"/>
                <w:color w:val="auto"/>
                <w:kern w:val="0"/>
                <w:szCs w:val="21"/>
              </w:rPr>
            </w:pPr>
          </w:p>
          <w:p w14:paraId="2B96379F">
            <w:pPr>
              <w:snapToGrid w:val="0"/>
              <w:spacing w:line="400" w:lineRule="exact"/>
              <w:jc w:val="center"/>
              <w:rPr>
                <w:rFonts w:ascii="宋体" w:hAnsi="宋体"/>
                <w:color w:val="auto"/>
                <w:kern w:val="0"/>
                <w:szCs w:val="21"/>
              </w:rPr>
            </w:pPr>
            <w:r>
              <w:rPr>
                <w:rFonts w:ascii="宋体" w:hAnsi="宋体"/>
                <w:color w:val="auto"/>
                <w:kern w:val="0"/>
                <w:szCs w:val="21"/>
              </w:rPr>
              <w:t>1.4.1</w:t>
            </w:r>
          </w:p>
          <w:p w14:paraId="52D61342">
            <w:pPr>
              <w:snapToGrid w:val="0"/>
              <w:spacing w:line="400" w:lineRule="exact"/>
              <w:jc w:val="center"/>
              <w:rPr>
                <w:rFonts w:ascii="宋体" w:hAnsi="宋体"/>
                <w:color w:val="auto"/>
                <w:kern w:val="0"/>
                <w:szCs w:val="21"/>
              </w:rPr>
            </w:pPr>
          </w:p>
          <w:p w14:paraId="2F2B4A61">
            <w:pPr>
              <w:snapToGrid w:val="0"/>
              <w:spacing w:line="400" w:lineRule="exact"/>
              <w:jc w:val="center"/>
              <w:rPr>
                <w:rFonts w:ascii="宋体" w:hAnsi="宋体"/>
                <w:color w:val="auto"/>
                <w:kern w:val="0"/>
                <w:szCs w:val="21"/>
              </w:rPr>
            </w:pPr>
          </w:p>
          <w:p w14:paraId="05DEDCDC">
            <w:pPr>
              <w:snapToGrid w:val="0"/>
              <w:spacing w:line="400" w:lineRule="exact"/>
              <w:jc w:val="center"/>
              <w:rPr>
                <w:rFonts w:ascii="宋体" w:hAnsi="宋体"/>
                <w:color w:val="auto"/>
                <w:kern w:val="0"/>
                <w:szCs w:val="21"/>
              </w:rPr>
            </w:pPr>
          </w:p>
          <w:p w14:paraId="6C093F0B">
            <w:pPr>
              <w:snapToGrid w:val="0"/>
              <w:spacing w:line="400" w:lineRule="exact"/>
              <w:jc w:val="center"/>
              <w:rPr>
                <w:rFonts w:ascii="宋体" w:hAnsi="宋体"/>
                <w:color w:val="auto"/>
                <w:kern w:val="0"/>
                <w:szCs w:val="21"/>
              </w:rPr>
            </w:pPr>
          </w:p>
          <w:p w14:paraId="5A1C367F">
            <w:pPr>
              <w:snapToGrid w:val="0"/>
              <w:spacing w:line="400" w:lineRule="exact"/>
              <w:jc w:val="center"/>
              <w:rPr>
                <w:rFonts w:ascii="宋体" w:hAnsi="宋体"/>
                <w:color w:val="auto"/>
                <w:kern w:val="0"/>
                <w:szCs w:val="21"/>
              </w:rPr>
            </w:pPr>
          </w:p>
          <w:p w14:paraId="1D22FF20">
            <w:pPr>
              <w:snapToGrid w:val="0"/>
              <w:spacing w:line="400" w:lineRule="exact"/>
              <w:jc w:val="center"/>
              <w:rPr>
                <w:rFonts w:ascii="宋体" w:hAnsi="宋体"/>
                <w:color w:val="auto"/>
                <w:kern w:val="0"/>
                <w:szCs w:val="21"/>
              </w:rPr>
            </w:pPr>
          </w:p>
          <w:p w14:paraId="0D072E9F">
            <w:pPr>
              <w:snapToGrid w:val="0"/>
              <w:spacing w:line="400" w:lineRule="exact"/>
              <w:jc w:val="center"/>
              <w:rPr>
                <w:rFonts w:ascii="宋体" w:hAnsi="宋体"/>
                <w:color w:val="auto"/>
                <w:kern w:val="0"/>
                <w:szCs w:val="21"/>
              </w:rPr>
            </w:pPr>
          </w:p>
          <w:p w14:paraId="4720C320">
            <w:pPr>
              <w:snapToGrid w:val="0"/>
              <w:spacing w:line="400" w:lineRule="exact"/>
              <w:jc w:val="center"/>
              <w:rPr>
                <w:rFonts w:ascii="宋体" w:hAnsi="宋体"/>
                <w:color w:val="auto"/>
                <w:kern w:val="0"/>
                <w:szCs w:val="21"/>
              </w:rPr>
            </w:pPr>
          </w:p>
          <w:p w14:paraId="0E0EB27C">
            <w:pPr>
              <w:snapToGrid w:val="0"/>
              <w:spacing w:line="400" w:lineRule="exact"/>
              <w:jc w:val="center"/>
              <w:rPr>
                <w:rFonts w:ascii="宋体" w:hAnsi="宋体"/>
                <w:color w:val="auto"/>
                <w:kern w:val="0"/>
                <w:szCs w:val="21"/>
              </w:rPr>
            </w:pPr>
          </w:p>
          <w:p w14:paraId="06FF14E2">
            <w:pPr>
              <w:snapToGrid w:val="0"/>
              <w:spacing w:line="400" w:lineRule="exact"/>
              <w:jc w:val="center"/>
              <w:rPr>
                <w:rFonts w:ascii="宋体" w:hAnsi="宋体"/>
                <w:color w:val="auto"/>
                <w:kern w:val="0"/>
                <w:szCs w:val="21"/>
              </w:rPr>
            </w:pPr>
          </w:p>
          <w:p w14:paraId="7F9FFCDC">
            <w:pPr>
              <w:snapToGrid w:val="0"/>
              <w:spacing w:line="400" w:lineRule="exact"/>
              <w:jc w:val="center"/>
              <w:rPr>
                <w:rFonts w:ascii="宋体" w:hAnsi="宋体"/>
                <w:color w:val="auto"/>
                <w:kern w:val="0"/>
                <w:szCs w:val="21"/>
              </w:rPr>
            </w:pPr>
          </w:p>
          <w:p w14:paraId="5D97183D">
            <w:pPr>
              <w:snapToGrid w:val="0"/>
              <w:spacing w:line="400" w:lineRule="exact"/>
              <w:jc w:val="center"/>
              <w:rPr>
                <w:rFonts w:ascii="宋体" w:hAnsi="宋体"/>
                <w:color w:val="auto"/>
                <w:kern w:val="0"/>
                <w:szCs w:val="21"/>
              </w:rPr>
            </w:pPr>
          </w:p>
          <w:p w14:paraId="0482A05F">
            <w:pPr>
              <w:snapToGrid w:val="0"/>
              <w:spacing w:line="400" w:lineRule="exact"/>
              <w:jc w:val="center"/>
              <w:rPr>
                <w:rFonts w:ascii="宋体" w:hAnsi="宋体"/>
                <w:color w:val="auto"/>
                <w:kern w:val="0"/>
                <w:szCs w:val="21"/>
              </w:rPr>
            </w:pPr>
          </w:p>
          <w:p w14:paraId="4E9FCF51">
            <w:pPr>
              <w:snapToGrid w:val="0"/>
              <w:spacing w:line="400" w:lineRule="exact"/>
              <w:jc w:val="center"/>
              <w:rPr>
                <w:rFonts w:ascii="宋体" w:hAnsi="宋体"/>
                <w:color w:val="auto"/>
                <w:kern w:val="0"/>
                <w:szCs w:val="21"/>
              </w:rPr>
            </w:pPr>
          </w:p>
          <w:p w14:paraId="41E57AD4">
            <w:pPr>
              <w:snapToGrid w:val="0"/>
              <w:spacing w:line="400" w:lineRule="exact"/>
              <w:jc w:val="center"/>
              <w:rPr>
                <w:rFonts w:ascii="宋体" w:hAnsi="宋体"/>
                <w:color w:val="auto"/>
                <w:kern w:val="0"/>
                <w:szCs w:val="21"/>
              </w:rPr>
            </w:pPr>
          </w:p>
          <w:p w14:paraId="2351BCF6">
            <w:pPr>
              <w:snapToGrid w:val="0"/>
              <w:spacing w:line="400" w:lineRule="exact"/>
              <w:jc w:val="center"/>
              <w:rPr>
                <w:rFonts w:ascii="宋体" w:hAnsi="宋体"/>
                <w:color w:val="auto"/>
                <w:kern w:val="0"/>
                <w:szCs w:val="21"/>
              </w:rPr>
            </w:pPr>
          </w:p>
          <w:p w14:paraId="15D82AB5">
            <w:pPr>
              <w:snapToGrid w:val="0"/>
              <w:spacing w:line="400" w:lineRule="exact"/>
              <w:jc w:val="center"/>
              <w:rPr>
                <w:rFonts w:ascii="宋体" w:hAnsi="宋体"/>
                <w:color w:val="auto"/>
                <w:kern w:val="0"/>
                <w:szCs w:val="21"/>
              </w:rPr>
            </w:pPr>
          </w:p>
          <w:p w14:paraId="021ED9F0">
            <w:pPr>
              <w:snapToGrid w:val="0"/>
              <w:spacing w:line="400" w:lineRule="exact"/>
              <w:jc w:val="center"/>
              <w:rPr>
                <w:rFonts w:ascii="宋体" w:hAnsi="宋体"/>
                <w:color w:val="auto"/>
                <w:kern w:val="0"/>
                <w:szCs w:val="21"/>
              </w:rPr>
            </w:pPr>
          </w:p>
          <w:p w14:paraId="41E0E34B">
            <w:pPr>
              <w:snapToGrid w:val="0"/>
              <w:spacing w:line="400" w:lineRule="exact"/>
              <w:rPr>
                <w:rFonts w:ascii="宋体" w:hAnsi="宋体"/>
                <w:color w:val="auto"/>
                <w:kern w:val="0"/>
                <w:szCs w:val="21"/>
              </w:rPr>
            </w:pPr>
          </w:p>
        </w:tc>
        <w:tc>
          <w:tcPr>
            <w:tcW w:w="1451" w:type="dxa"/>
            <w:vAlign w:val="center"/>
          </w:tcPr>
          <w:p w14:paraId="09E753B1">
            <w:pPr>
              <w:snapToGrid w:val="0"/>
              <w:spacing w:line="400" w:lineRule="exact"/>
              <w:jc w:val="center"/>
              <w:rPr>
                <w:rFonts w:ascii="宋体" w:hAnsi="宋体"/>
                <w:color w:val="auto"/>
                <w:kern w:val="0"/>
                <w:szCs w:val="21"/>
              </w:rPr>
            </w:pPr>
          </w:p>
          <w:p w14:paraId="6AE3B6D0">
            <w:pPr>
              <w:snapToGrid w:val="0"/>
              <w:spacing w:line="400" w:lineRule="exact"/>
              <w:jc w:val="center"/>
              <w:rPr>
                <w:rFonts w:ascii="宋体" w:hAnsi="宋体"/>
                <w:color w:val="auto"/>
                <w:kern w:val="0"/>
                <w:szCs w:val="21"/>
              </w:rPr>
            </w:pPr>
          </w:p>
          <w:p w14:paraId="0516415F">
            <w:pPr>
              <w:snapToGrid w:val="0"/>
              <w:spacing w:line="400" w:lineRule="exact"/>
              <w:jc w:val="center"/>
              <w:rPr>
                <w:rFonts w:ascii="宋体" w:hAnsi="宋体"/>
                <w:color w:val="auto"/>
                <w:kern w:val="0"/>
                <w:szCs w:val="21"/>
              </w:rPr>
            </w:pPr>
          </w:p>
          <w:p w14:paraId="01492005">
            <w:pPr>
              <w:snapToGrid w:val="0"/>
              <w:spacing w:line="400" w:lineRule="exact"/>
              <w:jc w:val="center"/>
              <w:rPr>
                <w:rFonts w:ascii="宋体" w:hAnsi="宋体"/>
                <w:color w:val="auto"/>
                <w:kern w:val="0"/>
                <w:szCs w:val="21"/>
              </w:rPr>
            </w:pPr>
          </w:p>
          <w:p w14:paraId="0F7CD30E">
            <w:pPr>
              <w:snapToGrid w:val="0"/>
              <w:spacing w:line="400" w:lineRule="exact"/>
              <w:jc w:val="center"/>
              <w:rPr>
                <w:rFonts w:ascii="宋体" w:hAnsi="宋体"/>
                <w:color w:val="auto"/>
                <w:kern w:val="0"/>
                <w:szCs w:val="21"/>
              </w:rPr>
            </w:pPr>
          </w:p>
          <w:p w14:paraId="7002FAE9">
            <w:pPr>
              <w:snapToGrid w:val="0"/>
              <w:spacing w:line="400" w:lineRule="exact"/>
              <w:jc w:val="center"/>
              <w:rPr>
                <w:rFonts w:ascii="宋体" w:hAnsi="宋体"/>
                <w:color w:val="auto"/>
                <w:kern w:val="0"/>
                <w:szCs w:val="21"/>
              </w:rPr>
            </w:pPr>
          </w:p>
          <w:p w14:paraId="6DE01438">
            <w:pPr>
              <w:snapToGrid w:val="0"/>
              <w:spacing w:line="400" w:lineRule="exact"/>
              <w:jc w:val="center"/>
              <w:rPr>
                <w:rFonts w:ascii="宋体" w:hAnsi="宋体"/>
                <w:color w:val="auto"/>
                <w:kern w:val="0"/>
                <w:szCs w:val="21"/>
              </w:rPr>
            </w:pPr>
          </w:p>
          <w:p w14:paraId="591CB6F6">
            <w:pPr>
              <w:snapToGrid w:val="0"/>
              <w:spacing w:line="400" w:lineRule="exact"/>
              <w:jc w:val="center"/>
              <w:rPr>
                <w:rFonts w:ascii="宋体" w:hAnsi="宋体"/>
                <w:color w:val="auto"/>
                <w:kern w:val="0"/>
                <w:szCs w:val="21"/>
              </w:rPr>
            </w:pPr>
          </w:p>
          <w:p w14:paraId="06CC7376">
            <w:pPr>
              <w:snapToGrid w:val="0"/>
              <w:spacing w:line="400" w:lineRule="exact"/>
              <w:jc w:val="center"/>
              <w:rPr>
                <w:rFonts w:ascii="宋体" w:hAnsi="宋体"/>
                <w:color w:val="auto"/>
                <w:kern w:val="0"/>
                <w:szCs w:val="21"/>
              </w:rPr>
            </w:pPr>
          </w:p>
          <w:p w14:paraId="172B8A7D">
            <w:pPr>
              <w:snapToGrid w:val="0"/>
              <w:spacing w:line="400" w:lineRule="exact"/>
              <w:jc w:val="center"/>
              <w:rPr>
                <w:rFonts w:ascii="宋体" w:hAnsi="宋体"/>
                <w:color w:val="auto"/>
                <w:kern w:val="0"/>
                <w:szCs w:val="21"/>
              </w:rPr>
            </w:pPr>
          </w:p>
          <w:p w14:paraId="0B249208">
            <w:pPr>
              <w:snapToGrid w:val="0"/>
              <w:spacing w:line="400" w:lineRule="exact"/>
              <w:jc w:val="center"/>
              <w:rPr>
                <w:rFonts w:ascii="宋体" w:hAnsi="宋体"/>
                <w:color w:val="auto"/>
                <w:kern w:val="0"/>
                <w:szCs w:val="21"/>
              </w:rPr>
            </w:pPr>
          </w:p>
          <w:p w14:paraId="733CADE8">
            <w:pPr>
              <w:snapToGrid w:val="0"/>
              <w:spacing w:line="400" w:lineRule="exact"/>
              <w:jc w:val="center"/>
              <w:rPr>
                <w:rFonts w:ascii="宋体" w:hAnsi="宋体"/>
                <w:color w:val="auto"/>
                <w:kern w:val="0"/>
                <w:szCs w:val="21"/>
              </w:rPr>
            </w:pPr>
          </w:p>
          <w:p w14:paraId="7EBB2C6B">
            <w:pPr>
              <w:snapToGrid w:val="0"/>
              <w:spacing w:line="400" w:lineRule="exact"/>
              <w:jc w:val="center"/>
              <w:rPr>
                <w:rFonts w:ascii="宋体" w:hAnsi="宋体"/>
                <w:color w:val="auto"/>
                <w:kern w:val="0"/>
                <w:szCs w:val="21"/>
              </w:rPr>
            </w:pPr>
          </w:p>
          <w:p w14:paraId="11B3DBC5">
            <w:pPr>
              <w:snapToGrid w:val="0"/>
              <w:spacing w:line="400" w:lineRule="exact"/>
              <w:jc w:val="center"/>
              <w:rPr>
                <w:rFonts w:ascii="宋体" w:hAnsi="宋体"/>
                <w:color w:val="auto"/>
                <w:kern w:val="0"/>
                <w:szCs w:val="21"/>
              </w:rPr>
            </w:pPr>
          </w:p>
          <w:p w14:paraId="37F116AE">
            <w:pPr>
              <w:snapToGrid w:val="0"/>
              <w:spacing w:line="400" w:lineRule="exact"/>
              <w:jc w:val="center"/>
              <w:rPr>
                <w:rFonts w:ascii="宋体" w:hAnsi="宋体"/>
                <w:color w:val="auto"/>
                <w:kern w:val="0"/>
                <w:szCs w:val="21"/>
              </w:rPr>
            </w:pPr>
          </w:p>
          <w:p w14:paraId="61B2E26C">
            <w:pPr>
              <w:snapToGrid w:val="0"/>
              <w:spacing w:line="400" w:lineRule="exact"/>
              <w:jc w:val="center"/>
              <w:rPr>
                <w:rFonts w:ascii="宋体" w:hAnsi="宋体"/>
                <w:color w:val="auto"/>
                <w:kern w:val="0"/>
                <w:szCs w:val="21"/>
              </w:rPr>
            </w:pPr>
          </w:p>
          <w:p w14:paraId="51888E92">
            <w:pPr>
              <w:snapToGrid w:val="0"/>
              <w:spacing w:line="400" w:lineRule="exact"/>
              <w:jc w:val="center"/>
              <w:rPr>
                <w:rFonts w:ascii="宋体" w:hAnsi="宋体"/>
                <w:color w:val="auto"/>
                <w:kern w:val="0"/>
                <w:szCs w:val="21"/>
              </w:rPr>
            </w:pPr>
          </w:p>
          <w:p w14:paraId="0F5867EA">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7CA11BD4">
            <w:pPr>
              <w:snapToGrid w:val="0"/>
              <w:spacing w:line="400" w:lineRule="exact"/>
              <w:jc w:val="center"/>
              <w:rPr>
                <w:rFonts w:ascii="宋体" w:hAnsi="宋体"/>
                <w:color w:val="auto"/>
                <w:kern w:val="0"/>
                <w:szCs w:val="21"/>
              </w:rPr>
            </w:pPr>
          </w:p>
          <w:p w14:paraId="260E5887">
            <w:pPr>
              <w:snapToGrid w:val="0"/>
              <w:spacing w:line="400" w:lineRule="exact"/>
              <w:jc w:val="center"/>
              <w:rPr>
                <w:rFonts w:ascii="宋体" w:hAnsi="宋体"/>
                <w:color w:val="auto"/>
                <w:kern w:val="0"/>
                <w:szCs w:val="21"/>
              </w:rPr>
            </w:pPr>
          </w:p>
          <w:p w14:paraId="740C30B3">
            <w:pPr>
              <w:snapToGrid w:val="0"/>
              <w:spacing w:line="400" w:lineRule="exact"/>
              <w:jc w:val="center"/>
              <w:rPr>
                <w:rFonts w:ascii="宋体" w:hAnsi="宋体"/>
                <w:color w:val="auto"/>
                <w:kern w:val="0"/>
                <w:szCs w:val="21"/>
              </w:rPr>
            </w:pPr>
          </w:p>
          <w:p w14:paraId="61E611E7">
            <w:pPr>
              <w:snapToGrid w:val="0"/>
              <w:spacing w:line="400" w:lineRule="exact"/>
              <w:jc w:val="center"/>
              <w:rPr>
                <w:rFonts w:ascii="宋体" w:hAnsi="宋体"/>
                <w:color w:val="auto"/>
                <w:kern w:val="0"/>
                <w:szCs w:val="21"/>
              </w:rPr>
            </w:pPr>
          </w:p>
          <w:p w14:paraId="1C8596D3">
            <w:pPr>
              <w:snapToGrid w:val="0"/>
              <w:spacing w:line="400" w:lineRule="exact"/>
              <w:jc w:val="center"/>
              <w:rPr>
                <w:rFonts w:ascii="宋体" w:hAnsi="宋体"/>
                <w:color w:val="auto"/>
                <w:kern w:val="0"/>
                <w:szCs w:val="21"/>
              </w:rPr>
            </w:pPr>
          </w:p>
          <w:p w14:paraId="7EE6BB43">
            <w:pPr>
              <w:snapToGrid w:val="0"/>
              <w:spacing w:line="400" w:lineRule="exact"/>
              <w:jc w:val="center"/>
              <w:rPr>
                <w:rFonts w:ascii="宋体" w:hAnsi="宋体"/>
                <w:color w:val="auto"/>
                <w:kern w:val="0"/>
                <w:szCs w:val="21"/>
              </w:rPr>
            </w:pPr>
          </w:p>
          <w:p w14:paraId="66E1EFFA">
            <w:pPr>
              <w:snapToGrid w:val="0"/>
              <w:spacing w:line="400" w:lineRule="exact"/>
              <w:jc w:val="center"/>
              <w:rPr>
                <w:rFonts w:ascii="宋体" w:hAnsi="宋体"/>
                <w:color w:val="auto"/>
                <w:kern w:val="0"/>
                <w:szCs w:val="21"/>
              </w:rPr>
            </w:pPr>
          </w:p>
          <w:p w14:paraId="2C85722B">
            <w:pPr>
              <w:snapToGrid w:val="0"/>
              <w:spacing w:line="400" w:lineRule="exact"/>
              <w:jc w:val="center"/>
              <w:rPr>
                <w:rFonts w:ascii="宋体" w:hAnsi="宋体"/>
                <w:color w:val="auto"/>
                <w:kern w:val="0"/>
                <w:szCs w:val="21"/>
              </w:rPr>
            </w:pPr>
          </w:p>
          <w:p w14:paraId="64C95B85">
            <w:pPr>
              <w:snapToGrid w:val="0"/>
              <w:spacing w:line="400" w:lineRule="exact"/>
              <w:jc w:val="center"/>
              <w:rPr>
                <w:rFonts w:ascii="宋体" w:hAnsi="宋体"/>
                <w:color w:val="auto"/>
                <w:kern w:val="0"/>
                <w:szCs w:val="21"/>
              </w:rPr>
            </w:pPr>
          </w:p>
          <w:p w14:paraId="473B1FEF">
            <w:pPr>
              <w:snapToGrid w:val="0"/>
              <w:spacing w:line="400" w:lineRule="exact"/>
              <w:jc w:val="center"/>
              <w:rPr>
                <w:rFonts w:ascii="宋体" w:hAnsi="宋体"/>
                <w:color w:val="auto"/>
                <w:kern w:val="0"/>
                <w:szCs w:val="21"/>
              </w:rPr>
            </w:pPr>
          </w:p>
          <w:p w14:paraId="42636686">
            <w:pPr>
              <w:snapToGrid w:val="0"/>
              <w:spacing w:line="400" w:lineRule="exact"/>
              <w:jc w:val="center"/>
              <w:rPr>
                <w:rFonts w:ascii="宋体" w:hAnsi="宋体"/>
                <w:color w:val="auto"/>
                <w:kern w:val="0"/>
                <w:szCs w:val="21"/>
              </w:rPr>
            </w:pPr>
          </w:p>
          <w:p w14:paraId="65132326">
            <w:pPr>
              <w:snapToGrid w:val="0"/>
              <w:spacing w:line="400" w:lineRule="exact"/>
              <w:jc w:val="center"/>
              <w:rPr>
                <w:rFonts w:ascii="宋体" w:hAnsi="宋体"/>
                <w:color w:val="auto"/>
                <w:kern w:val="0"/>
                <w:szCs w:val="21"/>
              </w:rPr>
            </w:pPr>
          </w:p>
          <w:p w14:paraId="3D681234">
            <w:pPr>
              <w:snapToGrid w:val="0"/>
              <w:spacing w:line="400" w:lineRule="exact"/>
              <w:jc w:val="center"/>
              <w:rPr>
                <w:rFonts w:ascii="宋体" w:hAnsi="宋体"/>
                <w:color w:val="auto"/>
                <w:kern w:val="0"/>
                <w:szCs w:val="21"/>
              </w:rPr>
            </w:pPr>
          </w:p>
          <w:p w14:paraId="0ED388B8">
            <w:pPr>
              <w:snapToGrid w:val="0"/>
              <w:spacing w:line="400" w:lineRule="exact"/>
              <w:jc w:val="center"/>
              <w:rPr>
                <w:rFonts w:ascii="宋体" w:hAnsi="宋体"/>
                <w:color w:val="auto"/>
                <w:kern w:val="0"/>
                <w:szCs w:val="21"/>
              </w:rPr>
            </w:pPr>
          </w:p>
          <w:p w14:paraId="168EA15D">
            <w:pPr>
              <w:snapToGrid w:val="0"/>
              <w:spacing w:line="400" w:lineRule="exact"/>
              <w:jc w:val="center"/>
              <w:rPr>
                <w:rFonts w:ascii="宋体" w:hAnsi="宋体"/>
                <w:color w:val="auto"/>
                <w:kern w:val="0"/>
                <w:szCs w:val="21"/>
              </w:rPr>
            </w:pPr>
          </w:p>
          <w:p w14:paraId="0ECBA715">
            <w:pPr>
              <w:snapToGrid w:val="0"/>
              <w:spacing w:line="400" w:lineRule="exact"/>
              <w:jc w:val="center"/>
              <w:rPr>
                <w:rFonts w:ascii="宋体" w:hAnsi="宋体"/>
                <w:color w:val="auto"/>
                <w:kern w:val="0"/>
                <w:szCs w:val="21"/>
              </w:rPr>
            </w:pPr>
          </w:p>
          <w:p w14:paraId="731A55E3">
            <w:pPr>
              <w:snapToGrid w:val="0"/>
              <w:spacing w:line="400" w:lineRule="exact"/>
              <w:jc w:val="center"/>
              <w:rPr>
                <w:rFonts w:ascii="宋体" w:hAnsi="宋体"/>
                <w:color w:val="auto"/>
                <w:kern w:val="0"/>
                <w:szCs w:val="21"/>
              </w:rPr>
            </w:pPr>
          </w:p>
          <w:p w14:paraId="79B68D03">
            <w:pPr>
              <w:snapToGrid w:val="0"/>
              <w:spacing w:line="400" w:lineRule="exact"/>
              <w:jc w:val="center"/>
              <w:rPr>
                <w:rFonts w:ascii="宋体" w:hAnsi="宋体"/>
                <w:color w:val="auto"/>
                <w:kern w:val="0"/>
                <w:szCs w:val="21"/>
              </w:rPr>
            </w:pPr>
          </w:p>
          <w:p w14:paraId="790791BD">
            <w:pPr>
              <w:snapToGrid w:val="0"/>
              <w:spacing w:line="400" w:lineRule="exact"/>
              <w:jc w:val="center"/>
              <w:rPr>
                <w:rFonts w:ascii="宋体" w:hAnsi="宋体"/>
                <w:color w:val="auto"/>
                <w:kern w:val="0"/>
                <w:szCs w:val="21"/>
              </w:rPr>
            </w:pPr>
          </w:p>
          <w:p w14:paraId="39639C0F">
            <w:pPr>
              <w:snapToGrid w:val="0"/>
              <w:spacing w:line="400" w:lineRule="exact"/>
              <w:jc w:val="center"/>
              <w:rPr>
                <w:rFonts w:ascii="宋体" w:hAnsi="宋体"/>
                <w:color w:val="auto"/>
                <w:kern w:val="0"/>
                <w:szCs w:val="21"/>
              </w:rPr>
            </w:pPr>
          </w:p>
          <w:p w14:paraId="6C517E29">
            <w:pPr>
              <w:snapToGrid w:val="0"/>
              <w:spacing w:line="400" w:lineRule="exact"/>
              <w:jc w:val="center"/>
              <w:rPr>
                <w:rFonts w:ascii="宋体" w:hAnsi="宋体"/>
                <w:color w:val="auto"/>
                <w:kern w:val="0"/>
                <w:szCs w:val="21"/>
              </w:rPr>
            </w:pPr>
          </w:p>
          <w:p w14:paraId="5DFE2545">
            <w:pPr>
              <w:snapToGrid w:val="0"/>
              <w:spacing w:line="400" w:lineRule="exact"/>
              <w:jc w:val="center"/>
              <w:rPr>
                <w:rFonts w:ascii="宋体" w:hAnsi="宋体"/>
                <w:color w:val="auto"/>
                <w:kern w:val="0"/>
                <w:szCs w:val="21"/>
              </w:rPr>
            </w:pPr>
          </w:p>
          <w:p w14:paraId="5066DB39">
            <w:pPr>
              <w:snapToGrid w:val="0"/>
              <w:spacing w:line="400" w:lineRule="exact"/>
              <w:jc w:val="center"/>
              <w:rPr>
                <w:rFonts w:ascii="宋体" w:hAnsi="宋体"/>
                <w:color w:val="auto"/>
                <w:kern w:val="0"/>
                <w:szCs w:val="21"/>
              </w:rPr>
            </w:pPr>
          </w:p>
          <w:p w14:paraId="6210E73D">
            <w:pPr>
              <w:snapToGrid w:val="0"/>
              <w:spacing w:line="400" w:lineRule="exact"/>
              <w:jc w:val="center"/>
              <w:rPr>
                <w:rFonts w:ascii="宋体" w:hAnsi="宋体"/>
                <w:color w:val="auto"/>
                <w:kern w:val="0"/>
                <w:szCs w:val="21"/>
              </w:rPr>
            </w:pPr>
          </w:p>
          <w:p w14:paraId="6EBE1D56">
            <w:pPr>
              <w:snapToGrid w:val="0"/>
              <w:spacing w:line="400" w:lineRule="exact"/>
              <w:jc w:val="center"/>
              <w:rPr>
                <w:rFonts w:ascii="宋体" w:hAnsi="宋体"/>
                <w:color w:val="auto"/>
                <w:kern w:val="0"/>
                <w:szCs w:val="21"/>
              </w:rPr>
            </w:pPr>
          </w:p>
          <w:p w14:paraId="6A2606B4">
            <w:pPr>
              <w:snapToGrid w:val="0"/>
              <w:spacing w:line="400" w:lineRule="exact"/>
              <w:jc w:val="center"/>
              <w:rPr>
                <w:rFonts w:ascii="宋体" w:hAnsi="宋体"/>
                <w:color w:val="auto"/>
                <w:kern w:val="0"/>
                <w:szCs w:val="21"/>
              </w:rPr>
            </w:pPr>
          </w:p>
          <w:p w14:paraId="1F38C6E9">
            <w:pPr>
              <w:snapToGrid w:val="0"/>
              <w:spacing w:line="400" w:lineRule="exact"/>
              <w:jc w:val="center"/>
              <w:rPr>
                <w:rFonts w:ascii="宋体" w:hAnsi="宋体"/>
                <w:color w:val="auto"/>
                <w:kern w:val="0"/>
                <w:szCs w:val="21"/>
              </w:rPr>
            </w:pPr>
          </w:p>
          <w:p w14:paraId="720BD7E1">
            <w:pPr>
              <w:snapToGrid w:val="0"/>
              <w:spacing w:line="400" w:lineRule="exact"/>
              <w:jc w:val="center"/>
              <w:rPr>
                <w:rFonts w:ascii="宋体" w:hAnsi="宋体"/>
                <w:color w:val="auto"/>
                <w:kern w:val="0"/>
                <w:szCs w:val="21"/>
              </w:rPr>
            </w:pPr>
          </w:p>
          <w:p w14:paraId="49D5C8F5">
            <w:pPr>
              <w:snapToGrid w:val="0"/>
              <w:spacing w:line="400" w:lineRule="exact"/>
              <w:jc w:val="center"/>
              <w:rPr>
                <w:rFonts w:ascii="宋体" w:hAnsi="宋体"/>
                <w:color w:val="auto"/>
                <w:kern w:val="0"/>
                <w:szCs w:val="21"/>
              </w:rPr>
            </w:pPr>
          </w:p>
          <w:p w14:paraId="00C322CF">
            <w:pPr>
              <w:snapToGrid w:val="0"/>
              <w:spacing w:line="400" w:lineRule="exact"/>
              <w:jc w:val="center"/>
              <w:rPr>
                <w:rFonts w:ascii="宋体" w:hAnsi="宋体"/>
                <w:color w:val="auto"/>
                <w:kern w:val="0"/>
                <w:szCs w:val="21"/>
              </w:rPr>
            </w:pPr>
          </w:p>
          <w:p w14:paraId="63B82CB3">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2F7BAB7D">
            <w:pPr>
              <w:snapToGrid w:val="0"/>
              <w:spacing w:line="400" w:lineRule="exact"/>
              <w:jc w:val="center"/>
              <w:rPr>
                <w:rFonts w:ascii="宋体" w:hAnsi="宋体"/>
                <w:color w:val="auto"/>
                <w:kern w:val="0"/>
                <w:szCs w:val="21"/>
              </w:rPr>
            </w:pPr>
          </w:p>
          <w:p w14:paraId="0ADE7D7D">
            <w:pPr>
              <w:snapToGrid w:val="0"/>
              <w:spacing w:line="400" w:lineRule="exact"/>
              <w:jc w:val="center"/>
              <w:rPr>
                <w:rFonts w:ascii="宋体" w:hAnsi="宋体"/>
                <w:color w:val="auto"/>
                <w:kern w:val="0"/>
                <w:szCs w:val="21"/>
              </w:rPr>
            </w:pPr>
          </w:p>
          <w:p w14:paraId="0E6D70D7">
            <w:pPr>
              <w:snapToGrid w:val="0"/>
              <w:spacing w:line="400" w:lineRule="exact"/>
              <w:jc w:val="center"/>
              <w:rPr>
                <w:rFonts w:ascii="宋体" w:hAnsi="宋体"/>
                <w:color w:val="auto"/>
                <w:kern w:val="0"/>
                <w:szCs w:val="21"/>
              </w:rPr>
            </w:pPr>
          </w:p>
          <w:p w14:paraId="2908DF9F">
            <w:pPr>
              <w:snapToGrid w:val="0"/>
              <w:spacing w:line="400" w:lineRule="exact"/>
              <w:jc w:val="center"/>
              <w:rPr>
                <w:rFonts w:ascii="宋体" w:hAnsi="宋体"/>
                <w:color w:val="auto"/>
                <w:kern w:val="0"/>
                <w:szCs w:val="21"/>
              </w:rPr>
            </w:pPr>
          </w:p>
          <w:p w14:paraId="373646F9">
            <w:pPr>
              <w:snapToGrid w:val="0"/>
              <w:spacing w:line="400" w:lineRule="exact"/>
              <w:jc w:val="center"/>
              <w:rPr>
                <w:rFonts w:ascii="宋体" w:hAnsi="宋体"/>
                <w:color w:val="auto"/>
                <w:kern w:val="0"/>
                <w:szCs w:val="21"/>
              </w:rPr>
            </w:pPr>
          </w:p>
          <w:p w14:paraId="24D541D6">
            <w:pPr>
              <w:snapToGrid w:val="0"/>
              <w:spacing w:line="400" w:lineRule="exact"/>
              <w:jc w:val="center"/>
              <w:rPr>
                <w:rFonts w:ascii="宋体" w:hAnsi="宋体"/>
                <w:color w:val="auto"/>
                <w:kern w:val="0"/>
                <w:szCs w:val="21"/>
              </w:rPr>
            </w:pPr>
          </w:p>
          <w:p w14:paraId="5E9F64E5">
            <w:pPr>
              <w:snapToGrid w:val="0"/>
              <w:spacing w:line="400" w:lineRule="exact"/>
              <w:jc w:val="center"/>
              <w:rPr>
                <w:rFonts w:ascii="宋体" w:hAnsi="宋体"/>
                <w:color w:val="auto"/>
                <w:kern w:val="0"/>
                <w:szCs w:val="21"/>
              </w:rPr>
            </w:pPr>
          </w:p>
          <w:p w14:paraId="228E1887">
            <w:pPr>
              <w:snapToGrid w:val="0"/>
              <w:spacing w:line="400" w:lineRule="exact"/>
              <w:jc w:val="center"/>
              <w:rPr>
                <w:rFonts w:ascii="宋体" w:hAnsi="宋体"/>
                <w:color w:val="auto"/>
                <w:kern w:val="0"/>
                <w:szCs w:val="21"/>
              </w:rPr>
            </w:pPr>
          </w:p>
          <w:p w14:paraId="22D3F84A">
            <w:pPr>
              <w:snapToGrid w:val="0"/>
              <w:spacing w:line="400" w:lineRule="exact"/>
              <w:jc w:val="center"/>
              <w:rPr>
                <w:rFonts w:ascii="宋体" w:hAnsi="宋体"/>
                <w:color w:val="auto"/>
                <w:kern w:val="0"/>
                <w:szCs w:val="21"/>
              </w:rPr>
            </w:pPr>
          </w:p>
          <w:p w14:paraId="51F657D9">
            <w:pPr>
              <w:snapToGrid w:val="0"/>
              <w:spacing w:line="400" w:lineRule="exact"/>
              <w:jc w:val="center"/>
              <w:rPr>
                <w:rFonts w:ascii="宋体" w:hAnsi="宋体"/>
                <w:color w:val="auto"/>
                <w:kern w:val="0"/>
                <w:szCs w:val="21"/>
              </w:rPr>
            </w:pPr>
          </w:p>
          <w:p w14:paraId="3F635B8E">
            <w:pPr>
              <w:snapToGrid w:val="0"/>
              <w:spacing w:line="400" w:lineRule="exact"/>
              <w:jc w:val="center"/>
              <w:rPr>
                <w:rFonts w:ascii="宋体" w:hAnsi="宋体"/>
                <w:color w:val="auto"/>
                <w:kern w:val="0"/>
                <w:szCs w:val="21"/>
              </w:rPr>
            </w:pPr>
          </w:p>
          <w:p w14:paraId="3E5DF6F7">
            <w:pPr>
              <w:snapToGrid w:val="0"/>
              <w:spacing w:line="400" w:lineRule="exact"/>
              <w:jc w:val="center"/>
              <w:rPr>
                <w:rFonts w:ascii="宋体" w:hAnsi="宋体"/>
                <w:color w:val="auto"/>
                <w:kern w:val="0"/>
                <w:szCs w:val="21"/>
              </w:rPr>
            </w:pPr>
          </w:p>
          <w:p w14:paraId="505E8F4E">
            <w:pPr>
              <w:snapToGrid w:val="0"/>
              <w:spacing w:line="400" w:lineRule="exact"/>
              <w:jc w:val="center"/>
              <w:rPr>
                <w:rFonts w:ascii="宋体" w:hAnsi="宋体"/>
                <w:color w:val="auto"/>
                <w:kern w:val="0"/>
                <w:szCs w:val="21"/>
              </w:rPr>
            </w:pPr>
          </w:p>
          <w:p w14:paraId="6BBBAF49">
            <w:pPr>
              <w:snapToGrid w:val="0"/>
              <w:spacing w:line="400" w:lineRule="exact"/>
              <w:jc w:val="center"/>
              <w:rPr>
                <w:rFonts w:ascii="宋体" w:hAnsi="宋体"/>
                <w:color w:val="auto"/>
                <w:kern w:val="0"/>
                <w:szCs w:val="21"/>
              </w:rPr>
            </w:pPr>
          </w:p>
          <w:p w14:paraId="04A616BA">
            <w:pPr>
              <w:snapToGrid w:val="0"/>
              <w:spacing w:line="400" w:lineRule="exact"/>
              <w:jc w:val="center"/>
              <w:rPr>
                <w:rFonts w:ascii="宋体" w:hAnsi="宋体"/>
                <w:color w:val="auto"/>
                <w:kern w:val="0"/>
                <w:szCs w:val="21"/>
              </w:rPr>
            </w:pPr>
          </w:p>
          <w:p w14:paraId="184F14D6">
            <w:pPr>
              <w:snapToGrid w:val="0"/>
              <w:spacing w:line="400" w:lineRule="exact"/>
              <w:jc w:val="center"/>
              <w:rPr>
                <w:rFonts w:ascii="宋体" w:hAnsi="宋体"/>
                <w:color w:val="auto"/>
                <w:kern w:val="0"/>
                <w:szCs w:val="21"/>
              </w:rPr>
            </w:pPr>
          </w:p>
          <w:p w14:paraId="7533E293">
            <w:pPr>
              <w:snapToGrid w:val="0"/>
              <w:spacing w:line="400" w:lineRule="exact"/>
              <w:jc w:val="center"/>
              <w:rPr>
                <w:rFonts w:ascii="宋体" w:hAnsi="宋体"/>
                <w:color w:val="auto"/>
                <w:kern w:val="0"/>
                <w:szCs w:val="21"/>
              </w:rPr>
            </w:pPr>
          </w:p>
          <w:p w14:paraId="2E369596">
            <w:pPr>
              <w:snapToGrid w:val="0"/>
              <w:spacing w:line="400" w:lineRule="exact"/>
              <w:jc w:val="center"/>
              <w:rPr>
                <w:rFonts w:ascii="宋体" w:hAnsi="宋体"/>
                <w:color w:val="auto"/>
                <w:kern w:val="0"/>
                <w:szCs w:val="21"/>
              </w:rPr>
            </w:pPr>
          </w:p>
          <w:p w14:paraId="3ADF5CC8">
            <w:pPr>
              <w:snapToGrid w:val="0"/>
              <w:spacing w:line="400" w:lineRule="exact"/>
              <w:jc w:val="center"/>
              <w:rPr>
                <w:rFonts w:ascii="宋体" w:hAnsi="宋体"/>
                <w:color w:val="auto"/>
                <w:kern w:val="0"/>
                <w:szCs w:val="21"/>
              </w:rPr>
            </w:pPr>
          </w:p>
          <w:p w14:paraId="6B675885">
            <w:pPr>
              <w:snapToGrid w:val="0"/>
              <w:spacing w:line="400" w:lineRule="exact"/>
              <w:jc w:val="center"/>
              <w:rPr>
                <w:rFonts w:ascii="宋体" w:hAnsi="宋体"/>
                <w:color w:val="auto"/>
                <w:kern w:val="0"/>
                <w:szCs w:val="21"/>
              </w:rPr>
            </w:pPr>
          </w:p>
          <w:p w14:paraId="16EFB725">
            <w:pPr>
              <w:snapToGrid w:val="0"/>
              <w:spacing w:line="400" w:lineRule="exact"/>
              <w:jc w:val="center"/>
              <w:rPr>
                <w:rFonts w:ascii="宋体" w:hAnsi="宋体"/>
                <w:color w:val="auto"/>
                <w:kern w:val="0"/>
                <w:szCs w:val="21"/>
              </w:rPr>
            </w:pPr>
          </w:p>
          <w:p w14:paraId="4B2DFBD6">
            <w:pPr>
              <w:snapToGrid w:val="0"/>
              <w:spacing w:line="400" w:lineRule="exact"/>
              <w:jc w:val="center"/>
              <w:rPr>
                <w:rFonts w:ascii="宋体" w:hAnsi="宋体"/>
                <w:color w:val="auto"/>
                <w:kern w:val="0"/>
                <w:szCs w:val="21"/>
              </w:rPr>
            </w:pPr>
          </w:p>
          <w:p w14:paraId="7581AA78">
            <w:pPr>
              <w:snapToGrid w:val="0"/>
              <w:spacing w:line="400" w:lineRule="exact"/>
              <w:jc w:val="center"/>
              <w:rPr>
                <w:rFonts w:ascii="宋体" w:hAnsi="宋体"/>
                <w:color w:val="auto"/>
                <w:kern w:val="0"/>
                <w:szCs w:val="21"/>
              </w:rPr>
            </w:pPr>
          </w:p>
          <w:p w14:paraId="09201778">
            <w:pPr>
              <w:snapToGrid w:val="0"/>
              <w:spacing w:line="400" w:lineRule="exact"/>
              <w:jc w:val="center"/>
              <w:rPr>
                <w:rFonts w:ascii="宋体" w:hAnsi="宋体"/>
                <w:color w:val="auto"/>
                <w:kern w:val="0"/>
                <w:szCs w:val="21"/>
              </w:rPr>
            </w:pPr>
          </w:p>
          <w:p w14:paraId="5CD00E3D">
            <w:pPr>
              <w:snapToGrid w:val="0"/>
              <w:spacing w:line="400" w:lineRule="exact"/>
              <w:jc w:val="center"/>
              <w:rPr>
                <w:rFonts w:ascii="宋体" w:hAnsi="宋体"/>
                <w:color w:val="auto"/>
                <w:kern w:val="0"/>
                <w:szCs w:val="21"/>
              </w:rPr>
            </w:pPr>
          </w:p>
          <w:p w14:paraId="4DC782B2">
            <w:pPr>
              <w:snapToGrid w:val="0"/>
              <w:spacing w:line="400" w:lineRule="exact"/>
              <w:jc w:val="center"/>
              <w:rPr>
                <w:rFonts w:ascii="宋体" w:hAnsi="宋体"/>
                <w:color w:val="auto"/>
                <w:kern w:val="0"/>
                <w:szCs w:val="21"/>
              </w:rPr>
            </w:pPr>
          </w:p>
          <w:p w14:paraId="3DCA324C">
            <w:pPr>
              <w:snapToGrid w:val="0"/>
              <w:spacing w:line="400" w:lineRule="exact"/>
              <w:jc w:val="center"/>
              <w:rPr>
                <w:rFonts w:ascii="宋体" w:hAnsi="宋体"/>
                <w:color w:val="auto"/>
                <w:kern w:val="0"/>
                <w:szCs w:val="21"/>
              </w:rPr>
            </w:pPr>
          </w:p>
          <w:p w14:paraId="415CB937">
            <w:pPr>
              <w:snapToGrid w:val="0"/>
              <w:spacing w:line="400" w:lineRule="exact"/>
              <w:jc w:val="center"/>
              <w:rPr>
                <w:rFonts w:ascii="宋体" w:hAnsi="宋体"/>
                <w:color w:val="auto"/>
                <w:kern w:val="0"/>
                <w:szCs w:val="21"/>
              </w:rPr>
            </w:pPr>
          </w:p>
          <w:p w14:paraId="20D9B29C">
            <w:pPr>
              <w:snapToGrid w:val="0"/>
              <w:spacing w:line="400" w:lineRule="exact"/>
              <w:jc w:val="center"/>
              <w:rPr>
                <w:rFonts w:ascii="宋体" w:hAnsi="宋体"/>
                <w:color w:val="auto"/>
                <w:kern w:val="0"/>
                <w:szCs w:val="21"/>
              </w:rPr>
            </w:pPr>
          </w:p>
          <w:p w14:paraId="2D107993">
            <w:pPr>
              <w:snapToGrid w:val="0"/>
              <w:spacing w:line="400" w:lineRule="exact"/>
              <w:jc w:val="center"/>
              <w:rPr>
                <w:rFonts w:ascii="宋体" w:hAnsi="宋体"/>
                <w:color w:val="auto"/>
                <w:kern w:val="0"/>
                <w:szCs w:val="21"/>
              </w:rPr>
            </w:pPr>
          </w:p>
          <w:p w14:paraId="43338CA6">
            <w:pPr>
              <w:snapToGrid w:val="0"/>
              <w:spacing w:line="400" w:lineRule="exact"/>
              <w:jc w:val="center"/>
              <w:rPr>
                <w:rFonts w:ascii="宋体" w:hAnsi="宋体"/>
                <w:color w:val="auto"/>
                <w:kern w:val="0"/>
                <w:szCs w:val="21"/>
              </w:rPr>
            </w:pPr>
          </w:p>
          <w:p w14:paraId="208F209F">
            <w:pPr>
              <w:snapToGrid w:val="0"/>
              <w:spacing w:line="400" w:lineRule="exact"/>
              <w:jc w:val="center"/>
              <w:rPr>
                <w:rFonts w:ascii="宋体" w:hAnsi="宋体"/>
                <w:color w:val="auto"/>
                <w:kern w:val="0"/>
                <w:szCs w:val="21"/>
              </w:rPr>
            </w:pPr>
          </w:p>
          <w:p w14:paraId="5E09EA4B">
            <w:pPr>
              <w:snapToGrid w:val="0"/>
              <w:spacing w:line="400" w:lineRule="exact"/>
              <w:jc w:val="center"/>
              <w:rPr>
                <w:rFonts w:ascii="宋体" w:hAnsi="宋体"/>
                <w:color w:val="auto"/>
                <w:kern w:val="0"/>
                <w:szCs w:val="21"/>
              </w:rPr>
            </w:pPr>
          </w:p>
          <w:p w14:paraId="6192BEF6">
            <w:pPr>
              <w:snapToGrid w:val="0"/>
              <w:spacing w:line="400" w:lineRule="exact"/>
              <w:jc w:val="center"/>
              <w:rPr>
                <w:rFonts w:ascii="宋体" w:hAnsi="宋体"/>
                <w:color w:val="auto"/>
                <w:kern w:val="0"/>
                <w:szCs w:val="21"/>
              </w:rPr>
            </w:pPr>
          </w:p>
          <w:p w14:paraId="622E01FB">
            <w:pPr>
              <w:snapToGrid w:val="0"/>
              <w:spacing w:line="400" w:lineRule="exact"/>
              <w:jc w:val="center"/>
              <w:rPr>
                <w:rFonts w:ascii="宋体" w:hAnsi="宋体"/>
                <w:color w:val="auto"/>
                <w:kern w:val="0"/>
                <w:szCs w:val="21"/>
              </w:rPr>
            </w:pPr>
          </w:p>
          <w:p w14:paraId="6D2E025C">
            <w:pPr>
              <w:snapToGrid w:val="0"/>
              <w:spacing w:line="400" w:lineRule="exact"/>
              <w:jc w:val="center"/>
              <w:rPr>
                <w:rFonts w:ascii="宋体" w:hAnsi="宋体"/>
                <w:color w:val="auto"/>
                <w:kern w:val="0"/>
                <w:szCs w:val="21"/>
              </w:rPr>
            </w:pPr>
          </w:p>
          <w:p w14:paraId="09FEA54A">
            <w:pPr>
              <w:snapToGrid w:val="0"/>
              <w:spacing w:line="400" w:lineRule="exact"/>
              <w:jc w:val="center"/>
              <w:rPr>
                <w:rFonts w:ascii="宋体" w:hAnsi="宋体"/>
                <w:color w:val="auto"/>
                <w:kern w:val="0"/>
                <w:szCs w:val="21"/>
              </w:rPr>
            </w:pPr>
          </w:p>
          <w:p w14:paraId="4BB7F283">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66A1063F">
            <w:pPr>
              <w:snapToGrid w:val="0"/>
              <w:spacing w:line="400" w:lineRule="exact"/>
              <w:jc w:val="center"/>
              <w:rPr>
                <w:rFonts w:ascii="宋体" w:hAnsi="宋体"/>
                <w:color w:val="auto"/>
                <w:kern w:val="0"/>
                <w:szCs w:val="21"/>
              </w:rPr>
            </w:pPr>
          </w:p>
          <w:p w14:paraId="525A216A">
            <w:pPr>
              <w:snapToGrid w:val="0"/>
              <w:spacing w:line="400" w:lineRule="exact"/>
              <w:jc w:val="center"/>
              <w:rPr>
                <w:rFonts w:ascii="宋体" w:hAnsi="宋体"/>
                <w:color w:val="auto"/>
                <w:kern w:val="0"/>
                <w:szCs w:val="21"/>
              </w:rPr>
            </w:pPr>
          </w:p>
          <w:p w14:paraId="54E02883">
            <w:pPr>
              <w:snapToGrid w:val="0"/>
              <w:spacing w:line="400" w:lineRule="exact"/>
              <w:jc w:val="center"/>
              <w:rPr>
                <w:rFonts w:ascii="宋体" w:hAnsi="宋体"/>
                <w:color w:val="auto"/>
                <w:kern w:val="0"/>
                <w:szCs w:val="21"/>
              </w:rPr>
            </w:pPr>
          </w:p>
          <w:p w14:paraId="298AEA9E">
            <w:pPr>
              <w:snapToGrid w:val="0"/>
              <w:spacing w:line="400" w:lineRule="exact"/>
              <w:jc w:val="center"/>
              <w:rPr>
                <w:rFonts w:ascii="宋体" w:hAnsi="宋体"/>
                <w:color w:val="auto"/>
                <w:kern w:val="0"/>
                <w:szCs w:val="21"/>
              </w:rPr>
            </w:pPr>
          </w:p>
          <w:p w14:paraId="5FBA71CA">
            <w:pPr>
              <w:snapToGrid w:val="0"/>
              <w:spacing w:line="400" w:lineRule="exact"/>
              <w:jc w:val="center"/>
              <w:rPr>
                <w:rFonts w:ascii="宋体" w:hAnsi="宋体"/>
                <w:color w:val="auto"/>
                <w:kern w:val="0"/>
                <w:szCs w:val="21"/>
              </w:rPr>
            </w:pPr>
          </w:p>
          <w:p w14:paraId="4EAAA965">
            <w:pPr>
              <w:snapToGrid w:val="0"/>
              <w:spacing w:line="400" w:lineRule="exact"/>
              <w:jc w:val="center"/>
              <w:rPr>
                <w:rFonts w:ascii="宋体" w:hAnsi="宋体"/>
                <w:color w:val="auto"/>
                <w:kern w:val="0"/>
                <w:szCs w:val="21"/>
              </w:rPr>
            </w:pPr>
          </w:p>
          <w:p w14:paraId="25F28A51">
            <w:pPr>
              <w:snapToGrid w:val="0"/>
              <w:spacing w:line="400" w:lineRule="exact"/>
              <w:jc w:val="center"/>
              <w:rPr>
                <w:rFonts w:ascii="宋体" w:hAnsi="宋体"/>
                <w:color w:val="auto"/>
                <w:kern w:val="0"/>
                <w:szCs w:val="21"/>
              </w:rPr>
            </w:pPr>
          </w:p>
          <w:p w14:paraId="676A09E4">
            <w:pPr>
              <w:snapToGrid w:val="0"/>
              <w:spacing w:line="400" w:lineRule="exact"/>
              <w:jc w:val="center"/>
              <w:rPr>
                <w:rFonts w:ascii="宋体" w:hAnsi="宋体"/>
                <w:color w:val="auto"/>
                <w:kern w:val="0"/>
                <w:szCs w:val="21"/>
              </w:rPr>
            </w:pPr>
          </w:p>
          <w:p w14:paraId="04771BCB">
            <w:pPr>
              <w:snapToGrid w:val="0"/>
              <w:spacing w:line="400" w:lineRule="exact"/>
              <w:jc w:val="center"/>
              <w:rPr>
                <w:rFonts w:ascii="宋体" w:hAnsi="宋体"/>
                <w:color w:val="auto"/>
                <w:kern w:val="0"/>
                <w:szCs w:val="21"/>
              </w:rPr>
            </w:pPr>
          </w:p>
          <w:p w14:paraId="66D13B45">
            <w:pPr>
              <w:snapToGrid w:val="0"/>
              <w:spacing w:line="400" w:lineRule="exact"/>
              <w:jc w:val="center"/>
              <w:rPr>
                <w:rFonts w:ascii="宋体" w:hAnsi="宋体"/>
                <w:color w:val="auto"/>
                <w:kern w:val="0"/>
                <w:szCs w:val="21"/>
              </w:rPr>
            </w:pPr>
          </w:p>
          <w:p w14:paraId="0D093CC7">
            <w:pPr>
              <w:snapToGrid w:val="0"/>
              <w:spacing w:line="400" w:lineRule="exact"/>
              <w:jc w:val="center"/>
              <w:rPr>
                <w:rFonts w:ascii="宋体" w:hAnsi="宋体"/>
                <w:color w:val="auto"/>
                <w:kern w:val="0"/>
                <w:szCs w:val="21"/>
              </w:rPr>
            </w:pPr>
          </w:p>
          <w:p w14:paraId="1A1CD76A">
            <w:pPr>
              <w:snapToGrid w:val="0"/>
              <w:spacing w:line="400" w:lineRule="exact"/>
              <w:jc w:val="center"/>
              <w:rPr>
                <w:rFonts w:ascii="宋体" w:hAnsi="宋体"/>
                <w:color w:val="auto"/>
                <w:kern w:val="0"/>
                <w:szCs w:val="21"/>
              </w:rPr>
            </w:pPr>
          </w:p>
          <w:p w14:paraId="7EEE1C2C">
            <w:pPr>
              <w:snapToGrid w:val="0"/>
              <w:spacing w:line="400" w:lineRule="exact"/>
              <w:jc w:val="center"/>
              <w:rPr>
                <w:rFonts w:ascii="宋体" w:hAnsi="宋体"/>
                <w:color w:val="auto"/>
                <w:kern w:val="0"/>
                <w:szCs w:val="21"/>
              </w:rPr>
            </w:pPr>
          </w:p>
          <w:p w14:paraId="19EEF254">
            <w:pPr>
              <w:snapToGrid w:val="0"/>
              <w:spacing w:line="400" w:lineRule="exact"/>
              <w:jc w:val="center"/>
              <w:rPr>
                <w:rFonts w:ascii="宋体" w:hAnsi="宋体"/>
                <w:color w:val="auto"/>
                <w:kern w:val="0"/>
                <w:szCs w:val="21"/>
              </w:rPr>
            </w:pPr>
          </w:p>
          <w:p w14:paraId="72CE9A35">
            <w:pPr>
              <w:snapToGrid w:val="0"/>
              <w:spacing w:line="400" w:lineRule="exact"/>
              <w:jc w:val="center"/>
              <w:rPr>
                <w:rFonts w:ascii="宋体" w:hAnsi="宋体"/>
                <w:color w:val="auto"/>
                <w:kern w:val="0"/>
                <w:szCs w:val="21"/>
              </w:rPr>
            </w:pPr>
          </w:p>
          <w:p w14:paraId="730562BB">
            <w:pPr>
              <w:snapToGrid w:val="0"/>
              <w:spacing w:line="400" w:lineRule="exact"/>
              <w:rPr>
                <w:rFonts w:ascii="宋体" w:hAnsi="宋体"/>
                <w:color w:val="auto"/>
                <w:kern w:val="0"/>
                <w:szCs w:val="21"/>
              </w:rPr>
            </w:pPr>
          </w:p>
        </w:tc>
        <w:tc>
          <w:tcPr>
            <w:tcW w:w="6683" w:type="dxa"/>
            <w:vAlign w:val="center"/>
          </w:tcPr>
          <w:p w14:paraId="5CBC0FA1">
            <w:pPr>
              <w:autoSpaceDE w:val="0"/>
              <w:autoSpaceDN w:val="0"/>
              <w:adjustRightInd w:val="0"/>
              <w:snapToGrid w:val="0"/>
              <w:spacing w:line="400" w:lineRule="exact"/>
              <w:rPr>
                <w:color w:val="auto"/>
              </w:rPr>
            </w:pPr>
            <w:bookmarkStart w:id="79" w:name="一是"/>
            <w:bookmarkEnd w:id="79"/>
            <w:r>
              <w:rPr>
                <w:rFonts w:hint="eastAsia"/>
                <w:color w:val="auto"/>
              </w:rPr>
              <w:t>1、资格条件</w:t>
            </w:r>
            <w:r>
              <w:rPr>
                <w:color w:val="auto"/>
              </w:rPr>
              <w:t>、营业执照及安全生产条件</w:t>
            </w:r>
          </w:p>
          <w:p w14:paraId="71E7632F">
            <w:pPr>
              <w:autoSpaceDE w:val="0"/>
              <w:autoSpaceDN w:val="0"/>
              <w:adjustRightInd w:val="0"/>
              <w:snapToGrid w:val="0"/>
              <w:spacing w:line="400" w:lineRule="exact"/>
              <w:ind w:firstLine="420" w:firstLineChars="200"/>
              <w:rPr>
                <w:color w:val="auto"/>
              </w:rPr>
            </w:pPr>
            <w:r>
              <w:rPr>
                <w:color w:val="auto"/>
              </w:rPr>
              <w:t>（1）具备建设行政主管部门颁发的有效的</w:t>
            </w:r>
            <w:r>
              <w:rPr>
                <w:rFonts w:hint="eastAsia"/>
                <w:color w:val="auto"/>
              </w:rPr>
              <w:t>市政公用工程施工总承包三级</w:t>
            </w:r>
            <w:r>
              <w:rPr>
                <w:color w:val="auto"/>
              </w:rPr>
              <w:t>及以上</w:t>
            </w:r>
            <w:r>
              <w:rPr>
                <w:rFonts w:hint="eastAsia"/>
                <w:color w:val="auto"/>
              </w:rPr>
              <w:t>资质</w:t>
            </w:r>
            <w:r>
              <w:rPr>
                <w:color w:val="auto"/>
              </w:rPr>
              <w:t>。</w:t>
            </w:r>
          </w:p>
          <w:p w14:paraId="2142E995">
            <w:pPr>
              <w:autoSpaceDE w:val="0"/>
              <w:autoSpaceDN w:val="0"/>
              <w:adjustRightInd w:val="0"/>
              <w:snapToGrid w:val="0"/>
              <w:spacing w:line="400" w:lineRule="exact"/>
              <w:ind w:firstLine="420" w:firstLineChars="200"/>
              <w:rPr>
                <w:color w:val="auto"/>
              </w:rPr>
            </w:pPr>
            <w:r>
              <w:rPr>
                <w:rFonts w:hint="eastAsia"/>
                <w:color w:val="auto"/>
              </w:rPr>
              <w:t>投标人</w:t>
            </w:r>
            <w:r>
              <w:rPr>
                <w:color w:val="auto"/>
              </w:rPr>
              <w:t>须</w:t>
            </w:r>
            <w:r>
              <w:rPr>
                <w:rFonts w:hint="eastAsia"/>
                <w:color w:val="auto"/>
              </w:rPr>
              <w:t>在投标文件资格审查部分</w:t>
            </w:r>
            <w:r>
              <w:rPr>
                <w:color w:val="auto"/>
              </w:rPr>
              <w:t>提供</w:t>
            </w:r>
            <w:r>
              <w:rPr>
                <w:rFonts w:hint="eastAsia"/>
                <w:color w:val="auto"/>
              </w:rPr>
              <w:t>有效的带二维码标识的资质证书</w:t>
            </w:r>
            <w:r>
              <w:rPr>
                <w:color w:val="auto"/>
              </w:rPr>
              <w:t>。</w:t>
            </w:r>
          </w:p>
          <w:p w14:paraId="2C99B456">
            <w:pPr>
              <w:autoSpaceDE w:val="0"/>
              <w:autoSpaceDN w:val="0"/>
              <w:adjustRightInd w:val="0"/>
              <w:snapToGrid w:val="0"/>
              <w:spacing w:line="400" w:lineRule="exact"/>
              <w:ind w:firstLine="420" w:firstLineChars="200"/>
              <w:rPr>
                <w:color w:val="auto"/>
              </w:rPr>
            </w:pPr>
            <w:r>
              <w:rPr>
                <w:color w:val="auto"/>
              </w:rPr>
              <w:t>（2）具备有效的营业执照。</w:t>
            </w:r>
          </w:p>
          <w:p w14:paraId="0A44B923">
            <w:pPr>
              <w:autoSpaceDE w:val="0"/>
              <w:autoSpaceDN w:val="0"/>
              <w:adjustRightInd w:val="0"/>
              <w:snapToGrid w:val="0"/>
              <w:spacing w:line="400" w:lineRule="exact"/>
              <w:ind w:firstLine="420" w:firstLineChars="200"/>
              <w:rPr>
                <w:color w:val="auto"/>
              </w:rPr>
            </w:pPr>
            <w:r>
              <w:rPr>
                <w:rFonts w:hint="eastAsia"/>
                <w:color w:val="auto"/>
              </w:rPr>
              <w:t>投标人</w:t>
            </w:r>
            <w:r>
              <w:rPr>
                <w:color w:val="auto"/>
              </w:rPr>
              <w:t>须</w:t>
            </w:r>
            <w:r>
              <w:rPr>
                <w:rFonts w:hint="eastAsia"/>
                <w:color w:val="auto"/>
              </w:rPr>
              <w:t>在投标文件资格审查部分</w:t>
            </w:r>
            <w:r>
              <w:rPr>
                <w:color w:val="auto"/>
              </w:rPr>
              <w:t>提供有效的带二维码</w:t>
            </w:r>
            <w:r>
              <w:rPr>
                <w:rFonts w:hint="eastAsia"/>
                <w:color w:val="auto"/>
              </w:rPr>
              <w:t>标识</w:t>
            </w:r>
            <w:r>
              <w:rPr>
                <w:color w:val="auto"/>
              </w:rPr>
              <w:t>的营业执照。</w:t>
            </w:r>
            <w:r>
              <w:rPr>
                <w:rFonts w:hint="eastAsia"/>
                <w:color w:val="auto"/>
              </w:rPr>
              <w:t>注：不得将投标人营业执照记载的经营范围作为评审因素。</w:t>
            </w:r>
          </w:p>
          <w:p w14:paraId="05AA45B2">
            <w:pPr>
              <w:autoSpaceDE w:val="0"/>
              <w:autoSpaceDN w:val="0"/>
              <w:adjustRightInd w:val="0"/>
              <w:snapToGrid w:val="0"/>
              <w:spacing w:line="400" w:lineRule="exact"/>
              <w:ind w:firstLine="420" w:firstLineChars="200"/>
              <w:rPr>
                <w:color w:val="auto"/>
              </w:rPr>
            </w:pPr>
            <w:r>
              <w:rPr>
                <w:color w:val="auto"/>
              </w:rPr>
              <w:t>（3）具备建设行政主管部门颁发的有效的安全生产许可证，企业</w:t>
            </w:r>
            <w:r>
              <w:rPr>
                <w:rFonts w:hint="eastAsia"/>
                <w:color w:val="auto"/>
              </w:rPr>
              <w:t>主要</w:t>
            </w:r>
            <w:r>
              <w:rPr>
                <w:color w:val="auto"/>
              </w:rPr>
              <w:t>负责人、拟担任该项目项目经理具备相应的由建设行政主管部门颁发的有效的安全生产考核合格证书</w:t>
            </w:r>
            <w:r>
              <w:rPr>
                <w:rFonts w:hint="eastAsia"/>
                <w:color w:val="auto"/>
              </w:rPr>
              <w:t>。</w:t>
            </w:r>
          </w:p>
          <w:p w14:paraId="6A43D367">
            <w:pPr>
              <w:autoSpaceDE w:val="0"/>
              <w:autoSpaceDN w:val="0"/>
              <w:adjustRightInd w:val="0"/>
              <w:snapToGrid w:val="0"/>
              <w:spacing w:line="400" w:lineRule="exact"/>
              <w:ind w:firstLine="420" w:firstLineChars="200"/>
              <w:rPr>
                <w:color w:val="auto"/>
              </w:rPr>
            </w:pPr>
            <w:r>
              <w:rPr>
                <w:rFonts w:hint="eastAsia"/>
                <w:color w:val="auto"/>
              </w:rPr>
              <w:t>投标人须在投标文件资格审查部分提供有效的安全生产许可证</w:t>
            </w:r>
            <w:r>
              <w:rPr>
                <w:color w:val="auto"/>
              </w:rPr>
              <w:t>及安全生产考核合格证书。</w:t>
            </w:r>
          </w:p>
          <w:p w14:paraId="04A8791D">
            <w:pPr>
              <w:autoSpaceDE w:val="0"/>
              <w:autoSpaceDN w:val="0"/>
              <w:adjustRightInd w:val="0"/>
              <w:snapToGrid w:val="0"/>
              <w:spacing w:line="400" w:lineRule="exact"/>
              <w:ind w:firstLine="420" w:firstLineChars="200"/>
              <w:rPr>
                <w:color w:val="auto"/>
              </w:rPr>
            </w:pPr>
            <w:r>
              <w:rPr>
                <w:color w:val="auto"/>
              </w:rPr>
              <w:t>2.财务要求</w:t>
            </w:r>
          </w:p>
          <w:p w14:paraId="7277945F">
            <w:pPr>
              <w:autoSpaceDE w:val="0"/>
              <w:autoSpaceDN w:val="0"/>
              <w:adjustRightInd w:val="0"/>
              <w:snapToGrid w:val="0"/>
              <w:spacing w:line="400" w:lineRule="exact"/>
              <w:ind w:firstLine="420" w:firstLineChars="200"/>
              <w:rPr>
                <w:color w:val="auto"/>
              </w:rPr>
            </w:pPr>
            <w:r>
              <w:rPr>
                <w:color w:val="auto"/>
              </w:rPr>
              <w:t>20</w:t>
            </w:r>
            <w:r>
              <w:rPr>
                <w:rFonts w:hint="eastAsia"/>
                <w:color w:val="auto"/>
              </w:rPr>
              <w:t>22年、</w:t>
            </w:r>
            <w:r>
              <w:rPr>
                <w:color w:val="auto"/>
              </w:rPr>
              <w:t>20</w:t>
            </w:r>
            <w:r>
              <w:rPr>
                <w:rFonts w:hint="eastAsia"/>
                <w:color w:val="auto"/>
              </w:rPr>
              <w:t>23年、</w:t>
            </w:r>
            <w:r>
              <w:rPr>
                <w:color w:val="auto"/>
              </w:rPr>
              <w:t>202</w:t>
            </w:r>
            <w:r>
              <w:rPr>
                <w:rFonts w:hint="eastAsia"/>
                <w:color w:val="auto"/>
              </w:rPr>
              <w:t>4年的年度财务状况不亏损。</w:t>
            </w:r>
          </w:p>
          <w:p w14:paraId="31763D78">
            <w:pPr>
              <w:snapToGrid w:val="0"/>
              <w:spacing w:line="400" w:lineRule="exact"/>
              <w:ind w:firstLine="420" w:firstLineChars="200"/>
              <w:rPr>
                <w:color w:val="auto"/>
              </w:rPr>
            </w:pPr>
            <w:r>
              <w:rPr>
                <w:rFonts w:hint="eastAsia"/>
                <w:color w:val="auto"/>
              </w:rPr>
              <w:t>投标人须在投标文件资格审查部分提供经会计师事务所或审计机构出具的合法有效的财务审计报告及财务报表，财务报表须至少包括现金流量表、资产负债表、利润表。</w:t>
            </w:r>
          </w:p>
          <w:p w14:paraId="22536432">
            <w:pPr>
              <w:adjustRightInd w:val="0"/>
              <w:snapToGrid w:val="0"/>
              <w:spacing w:line="400" w:lineRule="exact"/>
              <w:ind w:firstLine="420" w:firstLineChars="200"/>
              <w:rPr>
                <w:color w:val="auto"/>
              </w:rPr>
            </w:pPr>
            <w:r>
              <w:rPr>
                <w:color w:val="auto"/>
              </w:rPr>
              <w:t>3.投标截止日投标资格情况</w:t>
            </w:r>
          </w:p>
          <w:p w14:paraId="6BC4E47D">
            <w:pPr>
              <w:snapToGrid w:val="0"/>
              <w:spacing w:line="400" w:lineRule="exact"/>
              <w:ind w:firstLine="420" w:firstLineChars="200"/>
              <w:rPr>
                <w:color w:val="auto"/>
              </w:rPr>
            </w:pPr>
            <w:r>
              <w:rPr>
                <w:rFonts w:hint="eastAsia"/>
                <w:color w:val="auto"/>
              </w:rPr>
              <w:t>投标人自行承诺（格式见第八章投标文件格式）不得存在下列情形之一：</w:t>
            </w:r>
          </w:p>
          <w:p w14:paraId="12FD0FAC">
            <w:pPr>
              <w:snapToGrid w:val="0"/>
              <w:spacing w:line="400" w:lineRule="exact"/>
              <w:ind w:firstLine="420" w:firstLineChars="200"/>
              <w:jc w:val="left"/>
              <w:rPr>
                <w:color w:val="auto"/>
              </w:rPr>
            </w:pPr>
            <w:r>
              <w:rPr>
                <w:rFonts w:hint="eastAsia"/>
                <w:color w:val="auto"/>
              </w:rPr>
              <w:t>（1）被人民法院列入失信被执行人名单且在被执行期内；</w:t>
            </w:r>
          </w:p>
          <w:p w14:paraId="780A40C5">
            <w:pPr>
              <w:snapToGrid w:val="0"/>
              <w:spacing w:line="400" w:lineRule="exact"/>
              <w:ind w:firstLine="420" w:firstLineChars="200"/>
              <w:rPr>
                <w:color w:val="auto"/>
              </w:rPr>
            </w:pPr>
            <w:r>
              <w:rPr>
                <w:rFonts w:hint="eastAsia"/>
                <w:color w:val="auto"/>
              </w:rPr>
              <w:t>（2）被列入《重庆市工程建设领域采购投标信用管理暂行办法》规定的重点关注名单且记分达到12分且在记分有效期内；</w:t>
            </w:r>
          </w:p>
          <w:p w14:paraId="620C2252">
            <w:pPr>
              <w:snapToGrid w:val="0"/>
              <w:spacing w:line="400" w:lineRule="exact"/>
              <w:ind w:firstLine="420" w:firstLineChars="200"/>
              <w:rPr>
                <w:color w:val="auto"/>
              </w:rPr>
            </w:pPr>
            <w:r>
              <w:rPr>
                <w:rFonts w:hint="eastAsia"/>
                <w:color w:val="auto"/>
              </w:rPr>
              <w:t>（3）被列入《重庆市工程建设领域采购投标信用管理暂行办法》规定的重庆市工程建设领域采购投标失信惩戒对象名单（以下称黑名单）且在记分有效期内；</w:t>
            </w:r>
          </w:p>
          <w:p w14:paraId="48BBDFC0">
            <w:pPr>
              <w:snapToGrid w:val="0"/>
              <w:spacing w:line="400" w:lineRule="exact"/>
              <w:ind w:firstLine="420" w:firstLineChars="200"/>
              <w:rPr>
                <w:color w:val="auto"/>
              </w:rPr>
            </w:pPr>
            <w:r>
              <w:rPr>
                <w:rFonts w:hint="eastAsia"/>
                <w:color w:val="auto"/>
              </w:rPr>
              <w:t>（4）被国家、重庆市（含市或任意区县）有关行政部门处以暂停投标资格行政处罚，且在处罚期限内；</w:t>
            </w:r>
          </w:p>
          <w:p w14:paraId="0E02B78B">
            <w:pPr>
              <w:snapToGrid w:val="0"/>
              <w:spacing w:line="400" w:lineRule="exact"/>
              <w:ind w:firstLine="420" w:firstLineChars="200"/>
              <w:rPr>
                <w:color w:val="auto"/>
              </w:rPr>
            </w:pPr>
            <w:r>
              <w:rPr>
                <w:rFonts w:hint="eastAsia"/>
                <w:color w:val="auto"/>
              </w:rPr>
              <w:t>（5）被重庆市住房和城乡建设主管部门暂停在渝承揽新业务且在暂停期内。</w:t>
            </w:r>
          </w:p>
          <w:p w14:paraId="408064E4">
            <w:pPr>
              <w:spacing w:line="400" w:lineRule="exact"/>
              <w:ind w:firstLine="420" w:firstLineChars="200"/>
              <w:rPr>
                <w:color w:val="auto"/>
              </w:rPr>
            </w:pPr>
            <w:r>
              <w:rPr>
                <w:rFonts w:hint="eastAsia"/>
                <w:color w:val="auto"/>
              </w:rPr>
              <w:t>投标人须在投标文件资格审查部分提供承诺。</w:t>
            </w:r>
          </w:p>
          <w:p w14:paraId="516F901D">
            <w:pPr>
              <w:spacing w:line="400" w:lineRule="exact"/>
              <w:ind w:firstLine="420" w:firstLineChars="200"/>
              <w:rPr>
                <w:color w:val="auto"/>
              </w:rPr>
            </w:pPr>
            <w:r>
              <w:rPr>
                <w:rFonts w:hint="eastAsia"/>
                <w:color w:val="auto"/>
              </w:rPr>
              <w:t>上述第（2）、（3）款信用状况在开标环节进行查询，查询结果交由评标委员会评审，若投标人针对上述第（2）、（3）款的承诺内容与查询结果不符，由评标委员会作否决投标处理。</w:t>
            </w:r>
          </w:p>
          <w:p w14:paraId="5310D391">
            <w:pPr>
              <w:spacing w:line="400" w:lineRule="exact"/>
              <w:ind w:firstLine="420" w:firstLineChars="200"/>
              <w:rPr>
                <w:color w:val="auto"/>
              </w:rPr>
            </w:pPr>
            <w:r>
              <w:rPr>
                <w:rFonts w:hint="eastAsia"/>
                <w:color w:val="auto"/>
              </w:rPr>
              <w:t>注：投标人是否因有不良行为记分、进入重点关注名单或黑名单而被限制投标的，以开标环节信用状况查询结果为准。</w:t>
            </w:r>
          </w:p>
          <w:p w14:paraId="7DF50FFD">
            <w:pPr>
              <w:snapToGrid w:val="0"/>
              <w:spacing w:line="400" w:lineRule="exact"/>
              <w:ind w:firstLine="420" w:firstLineChars="200"/>
              <w:rPr>
                <w:color w:val="auto"/>
              </w:rPr>
            </w:pPr>
            <w:r>
              <w:rPr>
                <w:color w:val="auto"/>
              </w:rPr>
              <w:t>4.项目经理资格要求</w:t>
            </w:r>
          </w:p>
          <w:p w14:paraId="4F30F613">
            <w:pPr>
              <w:snapToGrid w:val="0"/>
              <w:spacing w:line="400" w:lineRule="exact"/>
              <w:ind w:firstLine="420" w:firstLineChars="200"/>
              <w:rPr>
                <w:color w:val="auto"/>
              </w:rPr>
            </w:pPr>
            <w:r>
              <w:rPr>
                <w:color w:val="auto"/>
              </w:rPr>
              <w:t>4</w:t>
            </w:r>
            <w:r>
              <w:rPr>
                <w:rFonts w:hint="eastAsia"/>
                <w:color w:val="auto"/>
              </w:rPr>
              <w:t>.1投标人拟派的</w:t>
            </w:r>
            <w:r>
              <w:rPr>
                <w:color w:val="auto"/>
              </w:rPr>
              <w:t>项目经理必须已在</w:t>
            </w:r>
            <w:r>
              <w:rPr>
                <w:rFonts w:hint="eastAsia"/>
                <w:color w:val="auto"/>
              </w:rPr>
              <w:t>投标人本</w:t>
            </w:r>
            <w:r>
              <w:rPr>
                <w:color w:val="auto"/>
              </w:rPr>
              <w:t>单位注册并应具有</w:t>
            </w:r>
            <w:r>
              <w:rPr>
                <w:rFonts w:hint="eastAsia"/>
                <w:color w:val="auto"/>
              </w:rPr>
              <w:t xml:space="preserve">    市政公用工程 专业二</w:t>
            </w:r>
            <w:r>
              <w:rPr>
                <w:color w:val="auto"/>
              </w:rPr>
              <w:t>级及以上注册建造师执业资格</w:t>
            </w:r>
            <w:r>
              <w:rPr>
                <w:rFonts w:hint="eastAsia"/>
                <w:color w:val="auto"/>
              </w:rPr>
              <w:t>。</w:t>
            </w:r>
          </w:p>
          <w:p w14:paraId="6B01A2CF">
            <w:pPr>
              <w:snapToGrid w:val="0"/>
              <w:spacing w:line="400" w:lineRule="exact"/>
              <w:ind w:firstLine="420" w:firstLineChars="200"/>
              <w:jc w:val="left"/>
              <w:rPr>
                <w:color w:val="auto"/>
              </w:rPr>
            </w:pPr>
            <w:r>
              <w:rPr>
                <w:rFonts w:hint="eastAsia"/>
                <w:color w:val="auto"/>
              </w:rPr>
              <w:t>4.2项目经理承诺要求：投标人须承诺拟派项目经理按注册建造师的相关规定到岗履职和未被禁止参与投标。</w:t>
            </w:r>
          </w:p>
          <w:p w14:paraId="4A531BFB">
            <w:pPr>
              <w:snapToGrid w:val="0"/>
              <w:spacing w:line="400" w:lineRule="exact"/>
              <w:ind w:firstLine="420" w:firstLineChars="200"/>
              <w:rPr>
                <w:color w:val="auto"/>
              </w:rPr>
            </w:pPr>
            <w:r>
              <w:rPr>
                <w:rFonts w:hint="eastAsia"/>
                <w:color w:val="auto"/>
              </w:rPr>
              <w:t>4</w:t>
            </w:r>
            <w:r>
              <w:rPr>
                <w:color w:val="auto"/>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color w:val="auto"/>
              </w:rPr>
              <w:t>采购</w:t>
            </w:r>
            <w:r>
              <w:rPr>
                <w:color w:val="auto"/>
              </w:rPr>
              <w:t>人造成损失的，投标人依法承担违约赔偿责任。拟派项目经理中标后不得随意更换。</w:t>
            </w:r>
          </w:p>
          <w:p w14:paraId="0F7BC333">
            <w:pPr>
              <w:snapToGrid w:val="0"/>
              <w:spacing w:line="400" w:lineRule="exact"/>
              <w:ind w:firstLine="420" w:firstLineChars="200"/>
              <w:rPr>
                <w:color w:val="auto"/>
              </w:rPr>
            </w:pPr>
            <w:r>
              <w:rPr>
                <w:rFonts w:hint="eastAsia"/>
                <w:color w:val="auto"/>
              </w:rPr>
              <w:t>4</w:t>
            </w:r>
            <w:r>
              <w:rPr>
                <w:color w:val="auto"/>
              </w:rP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color w:val="auto"/>
              </w:rPr>
              <w:t>采购</w:t>
            </w:r>
            <w:r>
              <w:rPr>
                <w:color w:val="auto"/>
              </w:rPr>
              <w:t>人有权取消其中标候选人资格或中标资格；给</w:t>
            </w:r>
            <w:r>
              <w:rPr>
                <w:rFonts w:hint="eastAsia"/>
                <w:color w:val="auto"/>
              </w:rPr>
              <w:t>采购</w:t>
            </w:r>
            <w:r>
              <w:rPr>
                <w:color w:val="auto"/>
              </w:rPr>
              <w:t>人造成损失的，投标人依法承担违约赔偿责任。</w:t>
            </w:r>
          </w:p>
          <w:p w14:paraId="79930F0D">
            <w:pPr>
              <w:snapToGrid w:val="0"/>
              <w:spacing w:line="400" w:lineRule="exact"/>
              <w:ind w:firstLine="420" w:firstLineChars="200"/>
              <w:rPr>
                <w:color w:val="auto"/>
              </w:rPr>
            </w:pPr>
            <w:r>
              <w:rPr>
                <w:rFonts w:hint="eastAsia"/>
                <w:color w:val="auto"/>
              </w:rPr>
              <w:t>4</w:t>
            </w:r>
            <w:r>
              <w:rPr>
                <w:color w:val="auto"/>
              </w:rPr>
              <w:t>.2.3项目经理的其它承诺要求：为保证中标人拟派的项目经理到本项目到岗履职，中标人还需承诺：</w:t>
            </w:r>
          </w:p>
          <w:p w14:paraId="4386F92C">
            <w:pPr>
              <w:snapToGrid w:val="0"/>
              <w:spacing w:line="400" w:lineRule="exact"/>
              <w:ind w:firstLine="420" w:firstLineChars="200"/>
              <w:rPr>
                <w:color w:val="auto"/>
              </w:rPr>
            </w:pPr>
            <w:r>
              <w:rPr>
                <w:color w:val="auto"/>
              </w:rPr>
              <w:t>若中标人拟派本项目的项目经理有在其他项目任职的情形的（或有在其他项目中标或拟中标的情形的），应在收到中标通知书后 15 日内，办理完成放弃在其他项目任职的手续（或办理完成放弃在其他项目中标</w:t>
            </w:r>
            <w:r>
              <w:rPr>
                <w:rFonts w:hint="eastAsia"/>
                <w:color w:val="auto"/>
              </w:rPr>
              <w:t>或拟中标</w:t>
            </w:r>
            <w:r>
              <w:rPr>
                <w:color w:val="auto"/>
              </w:rPr>
              <w:t>的手续），</w:t>
            </w:r>
            <w:r>
              <w:rPr>
                <w:rFonts w:hint="eastAsia"/>
                <w:color w:val="auto"/>
              </w:rPr>
              <w:t>采购</w:t>
            </w:r>
            <w:r>
              <w:rPr>
                <w:color w:val="auto"/>
              </w:rPr>
              <w:t>人在合同签订前有权对中标人拟派项目经理在其他项目的任职情形（或在其他项目的中标或拟中标情形）进行核查，若与</w:t>
            </w:r>
            <w:r>
              <w:rPr>
                <w:rFonts w:hint="eastAsia"/>
                <w:color w:val="auto"/>
              </w:rPr>
              <w:t>中标人</w:t>
            </w:r>
            <w:r>
              <w:rPr>
                <w:color w:val="auto"/>
              </w:rPr>
              <w:t>承诺内容不符或中标人未在上述时间内按照</w:t>
            </w:r>
            <w:r>
              <w:rPr>
                <w:rFonts w:hint="eastAsia"/>
                <w:color w:val="auto"/>
              </w:rPr>
              <w:t>采购</w:t>
            </w:r>
            <w:r>
              <w:rPr>
                <w:color w:val="auto"/>
              </w:rPr>
              <w:t>文件规定递交放弃在其他项目任职、中标或拟中标的相关资料，视为中标人放弃中标资格。在合同签订时，中标人需确保拟派项目经理符合《建筑施工企业项目经理资质管理办法》规定的项目经理任职条件，否则视为中标人放弃中标资格。</w:t>
            </w:r>
          </w:p>
          <w:p w14:paraId="2E63B065">
            <w:pPr>
              <w:snapToGrid w:val="0"/>
              <w:spacing w:line="400" w:lineRule="exact"/>
              <w:ind w:firstLine="420" w:firstLineChars="200"/>
              <w:rPr>
                <w:color w:val="auto"/>
              </w:rPr>
            </w:pPr>
            <w:r>
              <w:rPr>
                <w:color w:val="auto"/>
              </w:rPr>
              <w:t>放弃在其他项目任职的需提供</w:t>
            </w:r>
            <w:r>
              <w:rPr>
                <w:rFonts w:hint="eastAsia"/>
                <w:color w:val="auto"/>
              </w:rPr>
              <w:t>：</w:t>
            </w:r>
            <w:r>
              <w:rPr>
                <w:color w:val="auto"/>
              </w:rPr>
              <w:t>①</w:t>
            </w:r>
            <w:r>
              <w:rPr>
                <w:rFonts w:hint="eastAsia"/>
                <w:color w:val="auto"/>
              </w:rPr>
              <w:t>经</w:t>
            </w:r>
            <w:r>
              <w:rPr>
                <w:color w:val="auto"/>
              </w:rPr>
              <w:t>业主或建设单位同意任职变更的文件；②负责项目监管的行业行政主管部门出具同意任职变更的证明材料。</w:t>
            </w:r>
          </w:p>
          <w:p w14:paraId="69C7A29D">
            <w:pPr>
              <w:snapToGrid w:val="0"/>
              <w:spacing w:line="400" w:lineRule="exact"/>
              <w:ind w:firstLine="420" w:firstLineChars="200"/>
              <w:rPr>
                <w:color w:val="auto"/>
              </w:rPr>
            </w:pPr>
            <w:r>
              <w:rPr>
                <w:color w:val="auto"/>
              </w:rPr>
              <w:t>放弃在其他项目中标或拟中标的需提供</w:t>
            </w:r>
            <w:r>
              <w:rPr>
                <w:rFonts w:hint="eastAsia"/>
                <w:color w:val="auto"/>
              </w:rPr>
              <w:t>：</w:t>
            </w:r>
            <w:r>
              <w:rPr>
                <w:color w:val="auto"/>
              </w:rPr>
              <w:t>①经中标或拟中标的其他项目建设单位同意的放弃中标函</w:t>
            </w:r>
            <w:r>
              <w:rPr>
                <w:rFonts w:hint="eastAsia"/>
                <w:color w:val="auto"/>
              </w:rPr>
              <w:t>。</w:t>
            </w:r>
          </w:p>
          <w:p w14:paraId="36A299E7">
            <w:pPr>
              <w:snapToGrid w:val="0"/>
              <w:spacing w:line="400" w:lineRule="exact"/>
              <w:ind w:firstLine="420" w:firstLineChars="200"/>
              <w:rPr>
                <w:color w:val="auto"/>
              </w:rPr>
            </w:pPr>
            <w:r>
              <w:rPr>
                <w:rFonts w:hint="eastAsia"/>
                <w:color w:val="auto"/>
              </w:rPr>
              <w:t>4.2.4未提供上述承诺或承诺内容不符合要求的，由评标委员会作否决投标处理。</w:t>
            </w:r>
          </w:p>
          <w:p w14:paraId="69D035E8">
            <w:pPr>
              <w:snapToGrid w:val="0"/>
              <w:spacing w:line="400" w:lineRule="exact"/>
              <w:ind w:firstLine="420" w:firstLineChars="200"/>
              <w:rPr>
                <w:color w:val="auto"/>
              </w:rPr>
            </w:pPr>
            <w:r>
              <w:rPr>
                <w:rFonts w:hint="eastAsia"/>
                <w:color w:val="auto"/>
              </w:rPr>
              <w:t>投标人须在投标文件资格审查部分提供有效的拟派项目经理建造师注册证、身份证、投标人为其缴纳的养老保险证明材料，拟派项目经理到岗履职和未被禁止参与投标的承诺（承诺格式见第八章投标文件格式）。</w:t>
            </w:r>
          </w:p>
          <w:p w14:paraId="60E6635B">
            <w:pPr>
              <w:autoSpaceDE w:val="0"/>
              <w:autoSpaceDN w:val="0"/>
              <w:adjustRightInd w:val="0"/>
              <w:snapToGrid w:val="0"/>
              <w:spacing w:line="400" w:lineRule="exact"/>
              <w:ind w:firstLine="420" w:firstLineChars="200"/>
              <w:rPr>
                <w:color w:val="auto"/>
              </w:rPr>
            </w:pPr>
            <w:r>
              <w:rPr>
                <w:color w:val="auto"/>
              </w:rPr>
              <w:t>5.其他要求</w:t>
            </w:r>
          </w:p>
          <w:p w14:paraId="04A3CD78">
            <w:pPr>
              <w:snapToGrid w:val="0"/>
              <w:spacing w:line="400" w:lineRule="exact"/>
              <w:ind w:firstLine="420" w:firstLineChars="200"/>
              <w:rPr>
                <w:color w:val="auto"/>
              </w:rPr>
            </w:pPr>
            <w:r>
              <w:rPr>
                <w:color w:val="auto"/>
              </w:rPr>
              <w:t>（1）项目技术负责人：</w:t>
            </w:r>
          </w:p>
          <w:p w14:paraId="79763FBB">
            <w:pPr>
              <w:snapToGrid w:val="0"/>
              <w:spacing w:line="400" w:lineRule="exact"/>
              <w:ind w:firstLine="420" w:firstLineChars="200"/>
              <w:rPr>
                <w:color w:val="auto"/>
              </w:rPr>
            </w:pPr>
            <w:r>
              <w:rPr>
                <w:color w:val="auto"/>
              </w:rPr>
              <w:t>应具有</w:t>
            </w:r>
            <w:r>
              <w:rPr>
                <w:rFonts w:hint="eastAsia"/>
                <w:color w:val="auto"/>
              </w:rPr>
              <w:t>工程类中</w:t>
            </w:r>
            <w:r>
              <w:rPr>
                <w:color w:val="auto"/>
              </w:rPr>
              <w:t>级及以上职称；</w:t>
            </w:r>
          </w:p>
          <w:p w14:paraId="3ED35519">
            <w:pPr>
              <w:autoSpaceDE w:val="0"/>
              <w:autoSpaceDN w:val="0"/>
              <w:adjustRightInd w:val="0"/>
              <w:snapToGrid w:val="0"/>
              <w:spacing w:line="400" w:lineRule="exact"/>
              <w:ind w:firstLine="420" w:firstLineChars="200"/>
              <w:rPr>
                <w:color w:val="auto"/>
              </w:rPr>
            </w:pPr>
            <w:r>
              <w:rPr>
                <w:rFonts w:hint="eastAsia"/>
                <w:color w:val="auto"/>
              </w:rPr>
              <w:t>投标人须在投标文件资格审查部分提供拟派技术负责人身份证、职称证及投标人本单位为其缴纳的养老保险证明材料。</w:t>
            </w:r>
          </w:p>
          <w:p w14:paraId="66125D68">
            <w:pPr>
              <w:autoSpaceDE w:val="0"/>
              <w:autoSpaceDN w:val="0"/>
              <w:adjustRightInd w:val="0"/>
              <w:snapToGrid w:val="0"/>
              <w:spacing w:line="400" w:lineRule="exact"/>
              <w:ind w:firstLine="420" w:firstLineChars="200"/>
              <w:rPr>
                <w:color w:val="auto"/>
              </w:rPr>
            </w:pPr>
            <w:r>
              <w:rPr>
                <w:color w:val="auto"/>
              </w:rPr>
              <w:t>（2）主要管理人员：</w:t>
            </w:r>
          </w:p>
          <w:p w14:paraId="4F112B5C">
            <w:pPr>
              <w:autoSpaceDE w:val="0"/>
              <w:autoSpaceDN w:val="0"/>
              <w:adjustRightInd w:val="0"/>
              <w:spacing w:line="400" w:lineRule="exact"/>
              <w:ind w:firstLine="420" w:firstLineChars="200"/>
              <w:rPr>
                <w:color w:val="auto"/>
              </w:rPr>
            </w:pPr>
            <w:r>
              <w:rPr>
                <w:rFonts w:hint="eastAsia"/>
                <w:color w:val="auto"/>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采购人可取消其中标资格，给采购人造成损失的，投标人依法承担违约赔偿责任。</w:t>
            </w:r>
          </w:p>
          <w:p w14:paraId="3B09606D">
            <w:pPr>
              <w:autoSpaceDE w:val="0"/>
              <w:autoSpaceDN w:val="0"/>
              <w:adjustRightInd w:val="0"/>
              <w:spacing w:line="400" w:lineRule="exact"/>
              <w:ind w:firstLine="420" w:firstLineChars="200"/>
              <w:rPr>
                <w:color w:val="auto"/>
              </w:rPr>
            </w:pPr>
            <w:r>
              <w:rPr>
                <w:rFonts w:hint="eastAsia"/>
                <w:color w:val="auto"/>
              </w:rPr>
              <w:t>投标人须在投标文件资格审查部分提供承诺（承诺格式见第八章投标文件格式）。</w:t>
            </w:r>
          </w:p>
          <w:p w14:paraId="4D207521">
            <w:pPr>
              <w:autoSpaceDE w:val="0"/>
              <w:autoSpaceDN w:val="0"/>
              <w:adjustRightInd w:val="0"/>
              <w:snapToGrid w:val="0"/>
              <w:spacing w:line="400" w:lineRule="exact"/>
              <w:ind w:firstLine="420" w:firstLineChars="200"/>
              <w:rPr>
                <w:color w:val="auto"/>
              </w:rPr>
            </w:pPr>
            <w:r>
              <w:rPr>
                <w:color w:val="auto"/>
              </w:rPr>
              <w:t>（</w:t>
            </w:r>
            <w:r>
              <w:rPr>
                <w:rFonts w:hint="eastAsia"/>
                <w:color w:val="auto"/>
              </w:rPr>
              <w:t>3</w:t>
            </w:r>
            <w:r>
              <w:rPr>
                <w:color w:val="auto"/>
              </w:rPr>
              <w:t>）委托代理人</w:t>
            </w:r>
            <w:r>
              <w:rPr>
                <w:rFonts w:hint="eastAsia"/>
                <w:color w:val="auto"/>
              </w:rPr>
              <w:t>：</w:t>
            </w:r>
          </w:p>
          <w:p w14:paraId="0011B38A">
            <w:pPr>
              <w:autoSpaceDE w:val="0"/>
              <w:autoSpaceDN w:val="0"/>
              <w:adjustRightInd w:val="0"/>
              <w:snapToGrid w:val="0"/>
              <w:spacing w:line="400" w:lineRule="exact"/>
              <w:ind w:firstLine="420" w:firstLineChars="200"/>
              <w:rPr>
                <w:color w:val="auto"/>
              </w:rPr>
            </w:pPr>
            <w:r>
              <w:rPr>
                <w:color w:val="auto"/>
              </w:rPr>
              <w:t>委托代理人必须为投标人本单位</w:t>
            </w:r>
            <w:r>
              <w:rPr>
                <w:rFonts w:hint="eastAsia"/>
                <w:color w:val="auto"/>
              </w:rPr>
              <w:t>人员</w:t>
            </w:r>
            <w:r>
              <w:rPr>
                <w:color w:val="auto"/>
              </w:rPr>
              <w:t>。</w:t>
            </w:r>
          </w:p>
          <w:p w14:paraId="6C0A90BA">
            <w:pPr>
              <w:autoSpaceDE w:val="0"/>
              <w:autoSpaceDN w:val="0"/>
              <w:adjustRightInd w:val="0"/>
              <w:snapToGrid w:val="0"/>
              <w:spacing w:line="400" w:lineRule="exact"/>
              <w:ind w:firstLine="420" w:firstLineChars="200"/>
              <w:rPr>
                <w:color w:val="auto"/>
              </w:rPr>
            </w:pPr>
            <w:r>
              <w:rPr>
                <w:rFonts w:hint="eastAsia"/>
                <w:color w:val="auto"/>
              </w:rPr>
              <w:t>投标人</w:t>
            </w:r>
            <w:r>
              <w:rPr>
                <w:color w:val="auto"/>
              </w:rPr>
              <w:t>须</w:t>
            </w:r>
            <w:r>
              <w:rPr>
                <w:rFonts w:hint="eastAsia"/>
                <w:color w:val="auto"/>
              </w:rPr>
              <w:t>在投标文件资格审查部分</w:t>
            </w:r>
            <w:r>
              <w:rPr>
                <w:color w:val="auto"/>
              </w:rPr>
              <w:t>提供</w:t>
            </w:r>
            <w:r>
              <w:rPr>
                <w:rFonts w:hint="eastAsia"/>
                <w:color w:val="auto"/>
              </w:rPr>
              <w:t>投标人为该</w:t>
            </w:r>
            <w:r>
              <w:rPr>
                <w:color w:val="auto"/>
              </w:rPr>
              <w:t>委托代理人</w:t>
            </w:r>
            <w:r>
              <w:rPr>
                <w:rFonts w:hint="eastAsia"/>
                <w:color w:val="auto"/>
              </w:rPr>
              <w:t>缴纳的养老保险证明。否则，将由评标委员会作否决投标处理。</w:t>
            </w:r>
          </w:p>
          <w:p w14:paraId="690A1F70">
            <w:pPr>
              <w:autoSpaceDE w:val="0"/>
              <w:autoSpaceDN w:val="0"/>
              <w:adjustRightInd w:val="0"/>
              <w:snapToGrid w:val="0"/>
              <w:spacing w:line="400" w:lineRule="exact"/>
              <w:ind w:firstLine="415" w:firstLineChars="198"/>
              <w:rPr>
                <w:color w:val="auto"/>
              </w:rPr>
            </w:pPr>
            <w:r>
              <w:rPr>
                <w:rFonts w:hint="eastAsia"/>
                <w:color w:val="auto"/>
              </w:rPr>
              <w:t>特别说明：</w:t>
            </w:r>
          </w:p>
          <w:p w14:paraId="035D6771">
            <w:pPr>
              <w:autoSpaceDE w:val="0"/>
              <w:autoSpaceDN w:val="0"/>
              <w:adjustRightInd w:val="0"/>
              <w:snapToGrid w:val="0"/>
              <w:spacing w:line="400" w:lineRule="exact"/>
              <w:ind w:firstLine="415" w:firstLineChars="198"/>
              <w:rPr>
                <w:color w:val="auto"/>
              </w:rPr>
            </w:pPr>
            <w:r>
              <w:rPr>
                <w:rFonts w:hint="eastAsia"/>
                <w:color w:val="auto"/>
              </w:rPr>
              <w:t>（</w:t>
            </w:r>
            <w:r>
              <w:rPr>
                <w:color w:val="auto"/>
              </w:rPr>
              <w:t>1）上述1～5</w:t>
            </w:r>
            <w:r>
              <w:rPr>
                <w:rFonts w:hint="eastAsia"/>
                <w:color w:val="auto"/>
              </w:rPr>
              <w:t>条所须提交的相关证明材料均为扫描件（扫描件须清晰可辨），且均应加盖投标人合法的鲜章并编入投标文件资格审查部分中，</w:t>
            </w:r>
            <w:r>
              <w:rPr>
                <w:color w:val="auto"/>
              </w:rPr>
              <w:t>上述1～5</w:t>
            </w:r>
            <w:r>
              <w:rPr>
                <w:rFonts w:hint="eastAsia"/>
                <w:color w:val="auto"/>
              </w:rPr>
              <w:t>条，有一条不满足则投标文件由评标委员会作否决投标处理。</w:t>
            </w:r>
          </w:p>
          <w:p w14:paraId="29A69203">
            <w:pPr>
              <w:autoSpaceDE w:val="0"/>
              <w:autoSpaceDN w:val="0"/>
              <w:adjustRightInd w:val="0"/>
              <w:snapToGrid w:val="0"/>
              <w:spacing w:line="400" w:lineRule="exact"/>
              <w:ind w:firstLine="415" w:firstLineChars="198"/>
              <w:rPr>
                <w:color w:val="auto"/>
              </w:rPr>
            </w:pPr>
            <w:r>
              <w:rPr>
                <w:rFonts w:hint="eastAsia"/>
                <w:color w:val="auto"/>
              </w:rPr>
              <w:t>（2）投标人须自行承诺其提供的上述相关证明材料真实有效，不存在弄虚作假情形（格式见第八章投标文件格式）。采购人在合同签订前均有权对投标人提供的资料（如业绩截图信息等相关证明材料）进行核实，若发现弄虚作假，取消其中标资格，并按相关法律法规报采购投标监督部门处理，其投标保证金不予退还，投标人承担因此造成的相关责任并赔偿相应损失。</w:t>
            </w:r>
          </w:p>
          <w:p w14:paraId="056503F8">
            <w:pPr>
              <w:spacing w:line="400" w:lineRule="exact"/>
              <w:ind w:firstLine="420" w:firstLineChars="200"/>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w:t>
            </w:r>
            <w:r>
              <w:rPr>
                <w:rFonts w:hint="eastAsia" w:ascii="宋体" w:hAnsi="宋体"/>
                <w:bCs/>
                <w:color w:val="auto"/>
                <w:kern w:val="0"/>
                <w:szCs w:val="21"/>
              </w:rPr>
              <w:t>采购</w:t>
            </w:r>
            <w:r>
              <w:rPr>
                <w:rFonts w:ascii="宋体" w:hAnsi="宋体"/>
                <w:bCs/>
                <w:color w:val="auto"/>
                <w:kern w:val="0"/>
                <w:szCs w:val="21"/>
              </w:rPr>
              <w:t>文件中所要求的人员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2A01BF7F">
            <w:pPr>
              <w:spacing w:line="400" w:lineRule="exact"/>
              <w:ind w:firstLine="420" w:firstLineChars="200"/>
              <w:rPr>
                <w:color w:val="auto"/>
              </w:rPr>
            </w:pPr>
            <w:r>
              <w:rPr>
                <w:rFonts w:hint="eastAsia" w:ascii="宋体" w:hAnsi="宋体"/>
                <w:bCs/>
                <w:snapToGrid w:val="0"/>
                <w:color w:val="auto"/>
                <w:kern w:val="0"/>
                <w:szCs w:val="21"/>
              </w:rPr>
              <w:t>项目经理、</w:t>
            </w:r>
            <w:r>
              <w:rPr>
                <w:rFonts w:ascii="宋体" w:hAnsi="宋体"/>
                <w:bCs/>
                <w:snapToGrid w:val="0"/>
                <w:color w:val="auto"/>
                <w:kern w:val="0"/>
                <w:szCs w:val="21"/>
              </w:rPr>
              <w:t>项目技术负责人和委托代理人的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证明期限为</w:t>
            </w:r>
            <w:r>
              <w:rPr>
                <w:rFonts w:hint="eastAsia" w:ascii="宋体" w:hAnsi="宋体"/>
                <w:bCs/>
                <w:snapToGrid w:val="0"/>
                <w:color w:val="auto"/>
                <w:kern w:val="0"/>
                <w:szCs w:val="21"/>
              </w:rPr>
              <w:t>开标前6个月</w:t>
            </w:r>
            <w:r>
              <w:rPr>
                <w:rFonts w:hint="eastAsia" w:ascii="宋体" w:hAnsi="宋体"/>
                <w:bCs/>
                <w:snapToGrid w:val="0"/>
                <w:color w:val="auto"/>
                <w:kern w:val="0"/>
                <w:szCs w:val="21"/>
                <w:u w:val="single"/>
              </w:rPr>
              <w:t>2024</w:t>
            </w:r>
            <w:r>
              <w:rPr>
                <w:rFonts w:ascii="宋体" w:hAnsi="宋体"/>
                <w:bCs/>
                <w:snapToGrid w:val="0"/>
                <w:color w:val="auto"/>
                <w:kern w:val="0"/>
                <w:szCs w:val="21"/>
              </w:rPr>
              <w:t>年</w:t>
            </w:r>
            <w:r>
              <w:rPr>
                <w:rFonts w:hint="eastAsia" w:ascii="宋体" w:hAnsi="宋体"/>
                <w:bCs/>
                <w:snapToGrid w:val="0"/>
                <w:color w:val="auto"/>
                <w:kern w:val="0"/>
                <w:szCs w:val="21"/>
                <w:u w:val="single"/>
              </w:rPr>
              <w:t xml:space="preserve"> 10 </w:t>
            </w:r>
            <w:r>
              <w:rPr>
                <w:rFonts w:ascii="宋体" w:hAnsi="宋体"/>
                <w:bCs/>
                <w:snapToGrid w:val="0"/>
                <w:color w:val="auto"/>
                <w:kern w:val="0"/>
                <w:szCs w:val="21"/>
              </w:rPr>
              <w:t>月至</w:t>
            </w:r>
            <w:r>
              <w:rPr>
                <w:rFonts w:hint="eastAsia" w:ascii="宋体" w:hAnsi="宋体"/>
                <w:bCs/>
                <w:snapToGrid w:val="0"/>
                <w:color w:val="auto"/>
                <w:kern w:val="0"/>
                <w:szCs w:val="21"/>
                <w:u w:val="single"/>
              </w:rPr>
              <w:t>2025</w:t>
            </w:r>
            <w:r>
              <w:rPr>
                <w:rFonts w:ascii="宋体" w:hAnsi="宋体"/>
                <w:bCs/>
                <w:snapToGrid w:val="0"/>
                <w:color w:val="auto"/>
                <w:kern w:val="0"/>
                <w:szCs w:val="21"/>
              </w:rPr>
              <w:t>年</w:t>
            </w:r>
            <w:r>
              <w:rPr>
                <w:rFonts w:hint="eastAsia" w:ascii="宋体" w:hAnsi="宋体"/>
                <w:bCs/>
                <w:snapToGrid w:val="0"/>
                <w:color w:val="auto"/>
                <w:kern w:val="0"/>
                <w:szCs w:val="21"/>
                <w:u w:val="single"/>
              </w:rPr>
              <w:t xml:space="preserve"> 3 </w:t>
            </w:r>
            <w:r>
              <w:rPr>
                <w:rFonts w:ascii="宋体" w:hAnsi="宋体"/>
                <w:bCs/>
                <w:snapToGrid w:val="0"/>
                <w:color w:val="auto"/>
                <w:kern w:val="0"/>
                <w:szCs w:val="21"/>
              </w:rPr>
              <w:t>月</w:t>
            </w:r>
            <w:r>
              <w:rPr>
                <w:rFonts w:hint="eastAsia" w:ascii="宋体" w:hAnsi="宋体"/>
                <w:bCs/>
                <w:color w:val="auto"/>
                <w:szCs w:val="21"/>
              </w:rPr>
              <w:t>。提供的养老保险参保证明须体现上述人员的姓名、身份证号（或社保号）、单位名称、单位编号（或单位社保编号）、本单位参保时间（或起始参保时间），并带有社保部门公章。</w:t>
            </w:r>
          </w:p>
        </w:tc>
      </w:tr>
      <w:tr w14:paraId="50842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863F7D8">
            <w:pPr>
              <w:snapToGrid w:val="0"/>
              <w:spacing w:line="400" w:lineRule="exact"/>
              <w:jc w:val="center"/>
              <w:rPr>
                <w:rFonts w:ascii="宋体" w:hAnsi="宋体"/>
                <w:color w:val="auto"/>
                <w:kern w:val="0"/>
                <w:szCs w:val="21"/>
              </w:rPr>
            </w:pPr>
            <w:r>
              <w:rPr>
                <w:rFonts w:ascii="宋体" w:hAnsi="宋体"/>
                <w:color w:val="auto"/>
                <w:kern w:val="0"/>
                <w:szCs w:val="21"/>
              </w:rPr>
              <w:t>1.4.2</w:t>
            </w:r>
          </w:p>
        </w:tc>
        <w:tc>
          <w:tcPr>
            <w:tcW w:w="1451" w:type="dxa"/>
            <w:vAlign w:val="center"/>
          </w:tcPr>
          <w:p w14:paraId="2006766F">
            <w:pPr>
              <w:snapToGrid w:val="0"/>
              <w:spacing w:line="400" w:lineRule="exact"/>
              <w:jc w:val="center"/>
              <w:rPr>
                <w:rFonts w:ascii="宋体" w:hAnsi="宋体"/>
                <w:color w:val="auto"/>
                <w:kern w:val="0"/>
                <w:szCs w:val="21"/>
              </w:rPr>
            </w:pPr>
            <w:r>
              <w:rPr>
                <w:rFonts w:ascii="宋体" w:hAnsi="宋体"/>
                <w:color w:val="auto"/>
                <w:kern w:val="0"/>
                <w:szCs w:val="21"/>
              </w:rPr>
              <w:t>是否接受联合体投标</w:t>
            </w:r>
          </w:p>
        </w:tc>
        <w:tc>
          <w:tcPr>
            <w:tcW w:w="6683" w:type="dxa"/>
            <w:vAlign w:val="center"/>
          </w:tcPr>
          <w:p w14:paraId="77935ACF">
            <w:pPr>
              <w:snapToGrid w:val="0"/>
              <w:spacing w:line="400" w:lineRule="exact"/>
              <w:ind w:firstLine="420" w:firstLineChars="200"/>
              <w:rPr>
                <w:rFonts w:ascii="宋体" w:hAnsi="宋体"/>
                <w:color w:val="auto"/>
                <w:kern w:val="0"/>
                <w:szCs w:val="21"/>
              </w:rPr>
            </w:pPr>
            <w:r>
              <w:rPr>
                <w:rFonts w:ascii="宋体" w:hAnsi="宋体"/>
                <w:color w:val="auto"/>
                <w:kern w:val="0"/>
                <w:szCs w:val="21"/>
              </w:rPr>
              <w:t>不接受</w:t>
            </w:r>
          </w:p>
        </w:tc>
      </w:tr>
      <w:tr w14:paraId="1B609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A2EC641">
            <w:pPr>
              <w:snapToGrid w:val="0"/>
              <w:spacing w:line="400" w:lineRule="exact"/>
              <w:jc w:val="center"/>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4</w:t>
            </w:r>
            <w:r>
              <w:rPr>
                <w:rFonts w:ascii="宋体" w:hAnsi="宋体"/>
                <w:color w:val="auto"/>
                <w:kern w:val="0"/>
                <w:szCs w:val="21"/>
              </w:rPr>
              <w:t>.</w:t>
            </w:r>
            <w:r>
              <w:rPr>
                <w:rFonts w:hint="eastAsia" w:ascii="宋体" w:hAnsi="宋体"/>
                <w:color w:val="auto"/>
                <w:kern w:val="0"/>
                <w:szCs w:val="21"/>
              </w:rPr>
              <w:t>3</w:t>
            </w:r>
          </w:p>
        </w:tc>
        <w:tc>
          <w:tcPr>
            <w:tcW w:w="1451" w:type="dxa"/>
            <w:vAlign w:val="center"/>
          </w:tcPr>
          <w:p w14:paraId="4317D931">
            <w:pPr>
              <w:snapToGrid w:val="0"/>
              <w:spacing w:line="400" w:lineRule="exact"/>
              <w:jc w:val="center"/>
              <w:rPr>
                <w:rFonts w:ascii="宋体" w:hAnsi="宋体"/>
                <w:color w:val="auto"/>
                <w:kern w:val="0"/>
                <w:szCs w:val="21"/>
              </w:rPr>
            </w:pPr>
            <w:r>
              <w:rPr>
                <w:rFonts w:ascii="宋体" w:hAnsi="宋体"/>
                <w:color w:val="auto"/>
                <w:kern w:val="0"/>
                <w:szCs w:val="21"/>
              </w:rPr>
              <w:t>踏勘现场</w:t>
            </w:r>
          </w:p>
        </w:tc>
        <w:tc>
          <w:tcPr>
            <w:tcW w:w="6683" w:type="dxa"/>
            <w:vAlign w:val="center"/>
          </w:tcPr>
          <w:p w14:paraId="23E6162E">
            <w:pPr>
              <w:snapToGrid w:val="0"/>
              <w:spacing w:line="400" w:lineRule="exact"/>
              <w:ind w:firstLine="420" w:firstLineChars="200"/>
              <w:rPr>
                <w:rFonts w:ascii="宋体" w:hAnsi="宋体"/>
                <w:color w:val="auto"/>
                <w:kern w:val="0"/>
                <w:szCs w:val="21"/>
              </w:rPr>
            </w:pPr>
            <w:r>
              <w:rPr>
                <w:rFonts w:ascii="宋体" w:hAnsi="宋体"/>
                <w:color w:val="auto"/>
                <w:kern w:val="0"/>
                <w:szCs w:val="21"/>
              </w:rPr>
              <w:t>不组织</w:t>
            </w:r>
          </w:p>
        </w:tc>
      </w:tr>
      <w:tr w14:paraId="4E873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ECCB0CC">
            <w:pPr>
              <w:snapToGrid w:val="0"/>
              <w:spacing w:line="400" w:lineRule="exact"/>
              <w:jc w:val="center"/>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4</w:t>
            </w:r>
            <w:r>
              <w:rPr>
                <w:rFonts w:ascii="宋体" w:hAnsi="宋体"/>
                <w:color w:val="auto"/>
                <w:kern w:val="0"/>
                <w:szCs w:val="21"/>
              </w:rPr>
              <w:t>.</w:t>
            </w:r>
            <w:r>
              <w:rPr>
                <w:rFonts w:hint="eastAsia" w:ascii="宋体" w:hAnsi="宋体"/>
                <w:color w:val="auto"/>
                <w:kern w:val="0"/>
                <w:szCs w:val="21"/>
              </w:rPr>
              <w:t>4</w:t>
            </w:r>
          </w:p>
        </w:tc>
        <w:tc>
          <w:tcPr>
            <w:tcW w:w="1451" w:type="dxa"/>
            <w:vAlign w:val="center"/>
          </w:tcPr>
          <w:p w14:paraId="1D69DBEA">
            <w:pPr>
              <w:snapToGrid w:val="0"/>
              <w:spacing w:line="400" w:lineRule="exact"/>
              <w:jc w:val="center"/>
              <w:rPr>
                <w:rFonts w:ascii="宋体" w:hAnsi="宋体"/>
                <w:color w:val="auto"/>
                <w:kern w:val="0"/>
                <w:szCs w:val="21"/>
              </w:rPr>
            </w:pPr>
            <w:r>
              <w:rPr>
                <w:rFonts w:ascii="宋体" w:hAnsi="宋体"/>
                <w:color w:val="auto"/>
                <w:kern w:val="0"/>
                <w:szCs w:val="21"/>
              </w:rPr>
              <w:t>投标预备会</w:t>
            </w:r>
          </w:p>
        </w:tc>
        <w:tc>
          <w:tcPr>
            <w:tcW w:w="6683" w:type="dxa"/>
            <w:vAlign w:val="center"/>
          </w:tcPr>
          <w:p w14:paraId="007D4936">
            <w:pPr>
              <w:snapToGrid w:val="0"/>
              <w:spacing w:line="400" w:lineRule="exact"/>
              <w:ind w:firstLine="420" w:firstLineChars="200"/>
              <w:rPr>
                <w:rFonts w:ascii="宋体" w:hAnsi="宋体"/>
                <w:color w:val="auto"/>
                <w:kern w:val="0"/>
                <w:szCs w:val="21"/>
              </w:rPr>
            </w:pPr>
            <w:r>
              <w:rPr>
                <w:rFonts w:ascii="宋体" w:hAnsi="宋体"/>
                <w:color w:val="auto"/>
                <w:kern w:val="0"/>
                <w:szCs w:val="21"/>
              </w:rPr>
              <w:t>不召开</w:t>
            </w:r>
          </w:p>
        </w:tc>
      </w:tr>
      <w:tr w14:paraId="1E693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E570758">
            <w:pPr>
              <w:snapToGrid w:val="0"/>
              <w:spacing w:line="400" w:lineRule="exact"/>
              <w:jc w:val="center"/>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5</w:t>
            </w:r>
          </w:p>
        </w:tc>
        <w:tc>
          <w:tcPr>
            <w:tcW w:w="1451" w:type="dxa"/>
            <w:vAlign w:val="center"/>
          </w:tcPr>
          <w:p w14:paraId="18C7063B">
            <w:pPr>
              <w:snapToGrid w:val="0"/>
              <w:spacing w:line="400" w:lineRule="exact"/>
              <w:jc w:val="center"/>
              <w:rPr>
                <w:rFonts w:ascii="宋体" w:hAnsi="宋体"/>
                <w:color w:val="auto"/>
                <w:kern w:val="0"/>
                <w:szCs w:val="21"/>
              </w:rPr>
            </w:pPr>
            <w:r>
              <w:rPr>
                <w:rFonts w:ascii="宋体" w:hAnsi="宋体"/>
                <w:color w:val="auto"/>
                <w:kern w:val="0"/>
                <w:szCs w:val="21"/>
              </w:rPr>
              <w:t>分包</w:t>
            </w:r>
          </w:p>
        </w:tc>
        <w:tc>
          <w:tcPr>
            <w:tcW w:w="6683" w:type="dxa"/>
            <w:vAlign w:val="center"/>
          </w:tcPr>
          <w:p w14:paraId="1F094CDF">
            <w:pPr>
              <w:snapToGrid w:val="0"/>
              <w:spacing w:line="400" w:lineRule="exact"/>
              <w:ind w:firstLine="420" w:firstLineChars="200"/>
              <w:rPr>
                <w:color w:val="auto"/>
              </w:rPr>
            </w:pPr>
            <w:r>
              <w:rPr>
                <w:color w:val="auto"/>
              </w:rPr>
              <w:t>不允许</w:t>
            </w:r>
          </w:p>
        </w:tc>
      </w:tr>
      <w:tr w14:paraId="144F6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0F9E6A1">
            <w:pPr>
              <w:snapToGrid w:val="0"/>
              <w:spacing w:line="400" w:lineRule="exact"/>
              <w:jc w:val="center"/>
              <w:rPr>
                <w:rFonts w:ascii="宋体" w:hAnsi="宋体"/>
                <w:color w:val="auto"/>
                <w:kern w:val="0"/>
                <w:szCs w:val="21"/>
              </w:rPr>
            </w:pPr>
            <w:r>
              <w:rPr>
                <w:rFonts w:hint="eastAsia" w:ascii="宋体" w:hAnsi="宋体"/>
                <w:color w:val="auto"/>
                <w:kern w:val="0"/>
                <w:szCs w:val="21"/>
              </w:rPr>
              <w:t>2</w:t>
            </w:r>
          </w:p>
        </w:tc>
        <w:tc>
          <w:tcPr>
            <w:tcW w:w="1451" w:type="dxa"/>
            <w:vAlign w:val="center"/>
          </w:tcPr>
          <w:p w14:paraId="12FD5E1D">
            <w:pPr>
              <w:snapToGrid w:val="0"/>
              <w:spacing w:afterLines="5" w:line="400" w:lineRule="exact"/>
              <w:jc w:val="center"/>
              <w:rPr>
                <w:rFonts w:ascii="宋体" w:hAnsi="宋体"/>
                <w:color w:val="auto"/>
                <w:kern w:val="0"/>
                <w:szCs w:val="21"/>
              </w:rPr>
            </w:pPr>
            <w:r>
              <w:rPr>
                <w:rFonts w:ascii="宋体" w:hAnsi="宋体"/>
                <w:color w:val="auto"/>
                <w:kern w:val="0"/>
                <w:szCs w:val="21"/>
              </w:rPr>
              <w:t>构成</w:t>
            </w:r>
            <w:r>
              <w:rPr>
                <w:rFonts w:hint="eastAsia" w:ascii="宋体" w:hAnsi="宋体"/>
                <w:color w:val="auto"/>
                <w:kern w:val="0"/>
                <w:szCs w:val="21"/>
              </w:rPr>
              <w:t>采购</w:t>
            </w:r>
            <w:r>
              <w:rPr>
                <w:rFonts w:ascii="宋体" w:hAnsi="宋体"/>
                <w:color w:val="auto"/>
                <w:kern w:val="0"/>
                <w:szCs w:val="21"/>
              </w:rPr>
              <w:t>文件的其他材料</w:t>
            </w:r>
          </w:p>
        </w:tc>
        <w:tc>
          <w:tcPr>
            <w:tcW w:w="6683" w:type="dxa"/>
            <w:vAlign w:val="center"/>
          </w:tcPr>
          <w:p w14:paraId="6F0C946A">
            <w:pPr>
              <w:snapToGrid w:val="0"/>
              <w:spacing w:line="400" w:lineRule="exact"/>
              <w:ind w:firstLine="420" w:firstLineChars="200"/>
              <w:rPr>
                <w:rFonts w:ascii="宋体" w:hAnsi="宋体"/>
                <w:color w:val="auto"/>
                <w:szCs w:val="21"/>
              </w:rPr>
            </w:pPr>
            <w:r>
              <w:rPr>
                <w:rFonts w:hint="eastAsia" w:ascii="宋体" w:hAnsi="宋体"/>
                <w:color w:val="auto"/>
                <w:szCs w:val="21"/>
              </w:rPr>
              <w:t>采购</w:t>
            </w:r>
            <w:r>
              <w:rPr>
                <w:rFonts w:ascii="宋体" w:hAnsi="宋体"/>
                <w:color w:val="auto"/>
                <w:szCs w:val="21"/>
              </w:rPr>
              <w:t>人发出的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40A98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6CDFA8E">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451" w:type="dxa"/>
            <w:tcBorders>
              <w:bottom w:val="single" w:color="auto" w:sz="4" w:space="0"/>
            </w:tcBorders>
            <w:vAlign w:val="center"/>
          </w:tcPr>
          <w:p w14:paraId="0F76B764">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rPr>
              <w:t>采购</w:t>
            </w:r>
            <w:r>
              <w:rPr>
                <w:rFonts w:ascii="宋体" w:hAnsi="宋体"/>
                <w:color w:val="auto"/>
                <w:kern w:val="0"/>
                <w:szCs w:val="21"/>
              </w:rPr>
              <w:t>文件提出</w:t>
            </w:r>
            <w:r>
              <w:rPr>
                <w:rFonts w:hint="eastAsia" w:ascii="宋体" w:hAnsi="宋体"/>
                <w:color w:val="auto"/>
                <w:kern w:val="0"/>
                <w:szCs w:val="21"/>
              </w:rPr>
              <w:t>疑问</w:t>
            </w:r>
            <w:r>
              <w:rPr>
                <w:rFonts w:ascii="宋体" w:hAnsi="宋体"/>
                <w:color w:val="auto"/>
                <w:kern w:val="0"/>
                <w:szCs w:val="21"/>
              </w:rPr>
              <w:t>的截止时间</w:t>
            </w:r>
          </w:p>
        </w:tc>
        <w:tc>
          <w:tcPr>
            <w:tcW w:w="6683" w:type="dxa"/>
            <w:vAlign w:val="center"/>
          </w:tcPr>
          <w:p w14:paraId="4EE22DC6">
            <w:pPr>
              <w:snapToGrid w:val="0"/>
              <w:spacing w:line="400" w:lineRule="exact"/>
              <w:ind w:firstLine="420" w:firstLineChars="200"/>
              <w:rPr>
                <w:rFonts w:ascii="宋体" w:hAnsi="宋体"/>
                <w:color w:val="auto"/>
                <w:kern w:val="0"/>
                <w:szCs w:val="21"/>
              </w:rPr>
            </w:pPr>
            <w:r>
              <w:rPr>
                <w:rFonts w:ascii="宋体" w:hAnsi="宋体"/>
                <w:color w:val="auto"/>
                <w:kern w:val="0"/>
                <w:szCs w:val="21"/>
              </w:rPr>
              <w:t>投标人应仔细</w:t>
            </w:r>
            <w:r>
              <w:rPr>
                <w:rFonts w:hint="eastAsia" w:ascii="宋体" w:hAnsi="宋体"/>
                <w:color w:val="auto"/>
                <w:kern w:val="0"/>
                <w:szCs w:val="21"/>
              </w:rPr>
              <w:t>阅读采购</w:t>
            </w:r>
            <w:r>
              <w:rPr>
                <w:rFonts w:ascii="宋体" w:hAnsi="宋体"/>
                <w:color w:val="auto"/>
                <w:kern w:val="0"/>
                <w:szCs w:val="21"/>
              </w:rPr>
              <w:t>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在采购公告规定的时间</w:t>
            </w:r>
            <w:r>
              <w:rPr>
                <w:rFonts w:ascii="宋体" w:hAnsi="宋体"/>
                <w:color w:val="auto"/>
                <w:kern w:val="0"/>
                <w:szCs w:val="21"/>
              </w:rPr>
              <w:t>前</w:t>
            </w:r>
            <w:r>
              <w:rPr>
                <w:rFonts w:hint="eastAsia" w:ascii="宋体" w:hAnsi="宋体"/>
                <w:color w:val="auto"/>
                <w:kern w:val="0"/>
                <w:szCs w:val="21"/>
              </w:rPr>
              <w:t>书面</w:t>
            </w:r>
            <w:r>
              <w:rPr>
                <w:rFonts w:ascii="宋体" w:hAnsi="宋体"/>
                <w:color w:val="auto"/>
                <w:kern w:val="0"/>
                <w:szCs w:val="21"/>
              </w:rPr>
              <w:t>提交。</w:t>
            </w:r>
            <w:r>
              <w:rPr>
                <w:rFonts w:hint="eastAsia" w:ascii="宋体" w:hAnsi="宋体"/>
                <w:color w:val="auto"/>
                <w:kern w:val="0"/>
                <w:szCs w:val="21"/>
              </w:rPr>
              <w:t>（提示：公告公示后第二天结束后，不再接收任何书面质疑）</w:t>
            </w:r>
          </w:p>
        </w:tc>
      </w:tr>
      <w:tr w14:paraId="23CC3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14:paraId="78C79515">
            <w:pPr>
              <w:snapToGrid w:val="0"/>
              <w:spacing w:line="400" w:lineRule="exact"/>
              <w:jc w:val="center"/>
              <w:rPr>
                <w:rFonts w:ascii="宋体" w:hAnsi="宋体"/>
                <w:color w:val="auto"/>
                <w:kern w:val="0"/>
                <w:szCs w:val="21"/>
              </w:rPr>
            </w:pPr>
            <w:r>
              <w:rPr>
                <w:rFonts w:ascii="宋体" w:hAnsi="宋体"/>
                <w:color w:val="auto"/>
                <w:kern w:val="0"/>
                <w:szCs w:val="21"/>
              </w:rPr>
              <w:t>2.2</w:t>
            </w:r>
          </w:p>
        </w:tc>
        <w:tc>
          <w:tcPr>
            <w:tcW w:w="1451" w:type="dxa"/>
            <w:tcBorders>
              <w:top w:val="single" w:color="auto" w:sz="4" w:space="0"/>
            </w:tcBorders>
            <w:vAlign w:val="center"/>
          </w:tcPr>
          <w:p w14:paraId="0D832493">
            <w:pPr>
              <w:snapToGrid w:val="0"/>
              <w:spacing w:line="400" w:lineRule="exact"/>
              <w:jc w:val="center"/>
              <w:rPr>
                <w:rFonts w:ascii="宋体" w:hAnsi="宋体"/>
                <w:color w:val="auto"/>
                <w:kern w:val="0"/>
                <w:szCs w:val="21"/>
              </w:rPr>
            </w:pPr>
            <w:r>
              <w:rPr>
                <w:rFonts w:hint="eastAsia" w:ascii="宋体" w:hAnsi="宋体"/>
                <w:color w:val="auto"/>
                <w:kern w:val="0"/>
                <w:szCs w:val="21"/>
              </w:rPr>
              <w:t>采购</w:t>
            </w:r>
            <w:r>
              <w:rPr>
                <w:rFonts w:ascii="宋体" w:hAnsi="宋体"/>
                <w:color w:val="auto"/>
                <w:kern w:val="0"/>
                <w:szCs w:val="21"/>
              </w:rPr>
              <w:t>人对</w:t>
            </w:r>
            <w:r>
              <w:rPr>
                <w:rFonts w:hint="eastAsia" w:ascii="宋体" w:hAnsi="宋体"/>
                <w:color w:val="auto"/>
                <w:kern w:val="0"/>
                <w:szCs w:val="21"/>
              </w:rPr>
              <w:t>采购</w:t>
            </w:r>
            <w:r>
              <w:rPr>
                <w:rFonts w:ascii="宋体" w:hAnsi="宋体"/>
                <w:color w:val="auto"/>
                <w:kern w:val="0"/>
                <w:szCs w:val="21"/>
              </w:rPr>
              <w:t>文件澄清的截止时间</w:t>
            </w:r>
          </w:p>
        </w:tc>
        <w:tc>
          <w:tcPr>
            <w:tcW w:w="6683" w:type="dxa"/>
            <w:vAlign w:val="center"/>
          </w:tcPr>
          <w:p w14:paraId="0E8E3BF3">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rPr>
              <w:t>采购人应在采购公告公示第三天</w:t>
            </w:r>
            <w:r>
              <w:rPr>
                <w:rFonts w:ascii="宋体" w:hAnsi="宋体"/>
                <w:color w:val="auto"/>
                <w:szCs w:val="21"/>
              </w:rPr>
              <w:t>，</w:t>
            </w:r>
            <w:r>
              <w:rPr>
                <w:rFonts w:ascii="宋体" w:hAnsi="宋体"/>
                <w:color w:val="auto"/>
                <w:kern w:val="0"/>
                <w:szCs w:val="21"/>
              </w:rPr>
              <w:t>在</w:t>
            </w:r>
            <w:r>
              <w:rPr>
                <w:rFonts w:hint="eastAsia" w:ascii="宋体" w:hAnsi="宋体"/>
                <w:snapToGrid w:val="0"/>
                <w:color w:val="auto"/>
                <w:kern w:val="0"/>
                <w:szCs w:val="21"/>
              </w:rPr>
              <w:t>重庆经开区投资集团官网</w:t>
            </w:r>
            <w:r>
              <w:rPr>
                <w:rFonts w:hint="eastAsia" w:ascii="宋体" w:hAnsi="宋体"/>
                <w:snapToGrid w:val="0"/>
                <w:color w:val="auto"/>
                <w:kern w:val="0"/>
                <w:szCs w:val="21"/>
                <w:u w:val="single"/>
              </w:rPr>
              <w:t>（</w:t>
            </w:r>
            <w:r>
              <w:rPr>
                <w:color w:val="auto"/>
              </w:rPr>
              <w:fldChar w:fldCharType="begin"/>
            </w:r>
            <w:r>
              <w:rPr>
                <w:color w:val="auto"/>
              </w:rPr>
              <w:instrText xml:space="preserve"> HYPERLINK "http://www.cetzig.com/" </w:instrText>
            </w:r>
            <w:r>
              <w:rPr>
                <w:color w:val="auto"/>
              </w:rPr>
              <w:fldChar w:fldCharType="separate"/>
            </w:r>
            <w:r>
              <w:rPr>
                <w:rFonts w:ascii="宋体" w:hAnsi="宋体"/>
                <w:snapToGrid w:val="0"/>
                <w:color w:val="auto"/>
                <w:kern w:val="0"/>
                <w:szCs w:val="21"/>
                <w:u w:val="single"/>
              </w:rPr>
              <w:t>http://www.cetzig.com/</w:t>
            </w:r>
            <w:r>
              <w:rPr>
                <w:rFonts w:ascii="宋体" w:hAnsi="宋体"/>
                <w:snapToGrid w:val="0"/>
                <w:color w:val="auto"/>
                <w:kern w:val="0"/>
                <w:szCs w:val="21"/>
                <w:u w:val="single"/>
              </w:rPr>
              <w:fldChar w:fldCharType="end"/>
            </w:r>
            <w:r>
              <w:rPr>
                <w:rFonts w:hint="eastAsia" w:ascii="宋体" w:hAnsi="宋体"/>
                <w:snapToGrid w:val="0"/>
                <w:color w:val="auto"/>
                <w:kern w:val="0"/>
                <w:szCs w:val="21"/>
                <w:u w:val="single"/>
              </w:rPr>
              <w:t>）</w:t>
            </w:r>
            <w:r>
              <w:rPr>
                <w:rFonts w:hint="eastAsia" w:ascii="宋体" w:hAnsi="宋体"/>
                <w:snapToGrid w:val="0"/>
                <w:color w:val="auto"/>
                <w:kern w:val="0"/>
                <w:szCs w:val="21"/>
              </w:rPr>
              <w:t>和行采家（https://www.gec123.com/）</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6D406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14:paraId="0757AD11">
            <w:pPr>
              <w:snapToGrid w:val="0"/>
              <w:spacing w:line="400" w:lineRule="exact"/>
              <w:jc w:val="center"/>
              <w:rPr>
                <w:rFonts w:ascii="宋体" w:hAnsi="宋体"/>
                <w:color w:val="auto"/>
                <w:kern w:val="0"/>
                <w:szCs w:val="21"/>
              </w:rPr>
            </w:pPr>
          </w:p>
        </w:tc>
        <w:tc>
          <w:tcPr>
            <w:tcW w:w="1451" w:type="dxa"/>
            <w:vAlign w:val="center"/>
          </w:tcPr>
          <w:p w14:paraId="5B4A4759">
            <w:pPr>
              <w:snapToGrid w:val="0"/>
              <w:spacing w:line="400" w:lineRule="exact"/>
              <w:jc w:val="center"/>
              <w:rPr>
                <w:rFonts w:ascii="宋体" w:hAnsi="宋体"/>
                <w:color w:val="auto"/>
                <w:kern w:val="0"/>
                <w:szCs w:val="21"/>
              </w:rPr>
            </w:pPr>
            <w:r>
              <w:rPr>
                <w:rFonts w:hint="eastAsia" w:ascii="宋体" w:hAnsi="宋体"/>
                <w:color w:val="auto"/>
                <w:kern w:val="0"/>
                <w:szCs w:val="21"/>
              </w:rPr>
              <w:t>投标截止时间</w:t>
            </w:r>
          </w:p>
        </w:tc>
        <w:tc>
          <w:tcPr>
            <w:tcW w:w="6683" w:type="dxa"/>
            <w:vAlign w:val="center"/>
          </w:tcPr>
          <w:p w14:paraId="72C5B704">
            <w:pPr>
              <w:snapToGrid w:val="0"/>
              <w:spacing w:line="400" w:lineRule="exact"/>
              <w:ind w:firstLine="420" w:firstLineChars="200"/>
              <w:rPr>
                <w:rFonts w:ascii="宋体" w:hAnsi="宋体"/>
                <w:color w:val="auto"/>
                <w:szCs w:val="21"/>
                <w:u w:val="single"/>
              </w:rPr>
            </w:pPr>
            <w:r>
              <w:rPr>
                <w:rFonts w:hint="eastAsia" w:ascii="宋体" w:hAnsi="宋体"/>
                <w:color w:val="auto"/>
                <w:szCs w:val="21"/>
              </w:rPr>
              <w:t>详见采购公告规定的投标截止时间2025年5月8日上午9点30分。</w:t>
            </w:r>
          </w:p>
        </w:tc>
      </w:tr>
      <w:tr w14:paraId="6C851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CB466D4">
            <w:pPr>
              <w:snapToGrid w:val="0"/>
              <w:spacing w:line="400" w:lineRule="exact"/>
              <w:jc w:val="center"/>
              <w:rPr>
                <w:rFonts w:ascii="宋体" w:hAnsi="宋体"/>
                <w:color w:val="auto"/>
                <w:kern w:val="0"/>
                <w:szCs w:val="21"/>
              </w:rPr>
            </w:pPr>
            <w:r>
              <w:rPr>
                <w:rFonts w:ascii="宋体" w:hAnsi="宋体"/>
                <w:color w:val="auto"/>
                <w:kern w:val="0"/>
                <w:szCs w:val="21"/>
              </w:rPr>
              <w:t>2.2.3</w:t>
            </w:r>
          </w:p>
        </w:tc>
        <w:tc>
          <w:tcPr>
            <w:tcW w:w="1451" w:type="dxa"/>
            <w:vAlign w:val="center"/>
          </w:tcPr>
          <w:p w14:paraId="1D625BD9">
            <w:pPr>
              <w:snapToGrid w:val="0"/>
              <w:spacing w:afterLines="5" w:line="400" w:lineRule="exact"/>
              <w:jc w:val="center"/>
              <w:rPr>
                <w:rFonts w:ascii="宋体" w:hAnsi="宋体"/>
                <w:color w:val="auto"/>
                <w:kern w:val="0"/>
                <w:szCs w:val="21"/>
              </w:rPr>
            </w:pPr>
            <w:r>
              <w:rPr>
                <w:rFonts w:hint="eastAsia" w:ascii="宋体" w:hAnsi="宋体"/>
                <w:color w:val="auto"/>
                <w:kern w:val="0"/>
                <w:szCs w:val="21"/>
              </w:rPr>
              <w:t>采购</w:t>
            </w:r>
            <w:r>
              <w:rPr>
                <w:rFonts w:ascii="宋体" w:hAnsi="宋体"/>
                <w:color w:val="auto"/>
                <w:kern w:val="0"/>
                <w:szCs w:val="21"/>
              </w:rPr>
              <w:t>人对</w:t>
            </w:r>
            <w:r>
              <w:rPr>
                <w:rFonts w:hint="eastAsia" w:ascii="宋体" w:hAnsi="宋体"/>
                <w:color w:val="auto"/>
                <w:kern w:val="0"/>
                <w:szCs w:val="21"/>
              </w:rPr>
              <w:t>采购</w:t>
            </w:r>
            <w:r>
              <w:rPr>
                <w:rFonts w:ascii="宋体" w:hAnsi="宋体"/>
                <w:color w:val="auto"/>
                <w:kern w:val="0"/>
                <w:szCs w:val="21"/>
              </w:rPr>
              <w:t>文件进行</w:t>
            </w:r>
            <w:r>
              <w:rPr>
                <w:rFonts w:hint="eastAsia" w:ascii="宋体" w:hAnsi="宋体"/>
                <w:color w:val="auto"/>
                <w:kern w:val="0"/>
                <w:szCs w:val="21"/>
              </w:rPr>
              <w:t>修改</w:t>
            </w:r>
            <w:r>
              <w:rPr>
                <w:rFonts w:ascii="宋体" w:hAnsi="宋体"/>
                <w:color w:val="auto"/>
                <w:kern w:val="0"/>
                <w:szCs w:val="21"/>
              </w:rPr>
              <w:t>的时间</w:t>
            </w:r>
          </w:p>
        </w:tc>
        <w:tc>
          <w:tcPr>
            <w:tcW w:w="6683" w:type="dxa"/>
            <w:vAlign w:val="center"/>
          </w:tcPr>
          <w:p w14:paraId="14984AF7">
            <w:pPr>
              <w:snapToGrid w:val="0"/>
              <w:spacing w:line="400" w:lineRule="exact"/>
              <w:ind w:firstLine="420" w:firstLineChars="200"/>
              <w:rPr>
                <w:rFonts w:ascii="宋体" w:hAnsi="宋体"/>
                <w:color w:val="auto"/>
                <w:szCs w:val="21"/>
              </w:rPr>
            </w:pPr>
            <w:r>
              <w:rPr>
                <w:rFonts w:ascii="宋体" w:hAnsi="宋体"/>
                <w:color w:val="auto"/>
                <w:szCs w:val="21"/>
              </w:rPr>
              <w:t>/</w:t>
            </w:r>
          </w:p>
        </w:tc>
      </w:tr>
      <w:tr w14:paraId="6DC07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CC6E90B">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451" w:type="dxa"/>
            <w:vAlign w:val="center"/>
          </w:tcPr>
          <w:p w14:paraId="3FA0A6C9">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rPr>
              <w:t>采购</w:t>
            </w:r>
            <w:r>
              <w:rPr>
                <w:rFonts w:ascii="宋体" w:hAnsi="宋体"/>
                <w:color w:val="auto"/>
                <w:kern w:val="0"/>
                <w:szCs w:val="21"/>
              </w:rPr>
              <w:t>文件及澄清修改提出异议的截止时间</w:t>
            </w:r>
          </w:p>
        </w:tc>
        <w:tc>
          <w:tcPr>
            <w:tcW w:w="6683" w:type="dxa"/>
            <w:vAlign w:val="center"/>
          </w:tcPr>
          <w:p w14:paraId="2E959628">
            <w:pPr>
              <w:snapToGri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w:t>
            </w:r>
          </w:p>
        </w:tc>
      </w:tr>
      <w:tr w14:paraId="54B28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9390703">
            <w:pPr>
              <w:snapToGrid w:val="0"/>
              <w:spacing w:line="400" w:lineRule="exact"/>
              <w:jc w:val="center"/>
              <w:rPr>
                <w:rFonts w:ascii="宋体" w:hAnsi="宋体"/>
                <w:color w:val="auto"/>
                <w:kern w:val="0"/>
                <w:szCs w:val="21"/>
              </w:rPr>
            </w:pPr>
            <w:r>
              <w:rPr>
                <w:rFonts w:ascii="宋体" w:hAnsi="宋体"/>
                <w:color w:val="auto"/>
                <w:kern w:val="0"/>
                <w:szCs w:val="21"/>
              </w:rPr>
              <w:t>3.1.1</w:t>
            </w:r>
          </w:p>
        </w:tc>
        <w:tc>
          <w:tcPr>
            <w:tcW w:w="1451" w:type="dxa"/>
            <w:vAlign w:val="center"/>
          </w:tcPr>
          <w:p w14:paraId="5A2D9CA7">
            <w:pPr>
              <w:snapToGrid w:val="0"/>
              <w:spacing w:afterLines="10" w:line="400" w:lineRule="exact"/>
              <w:jc w:val="center"/>
              <w:rPr>
                <w:rFonts w:ascii="宋体" w:hAnsi="宋体"/>
                <w:color w:val="auto"/>
                <w:kern w:val="0"/>
                <w:szCs w:val="21"/>
              </w:rPr>
            </w:pPr>
            <w:r>
              <w:rPr>
                <w:rFonts w:ascii="宋体" w:hAnsi="宋体"/>
                <w:color w:val="auto"/>
                <w:kern w:val="0"/>
                <w:szCs w:val="21"/>
              </w:rPr>
              <w:t>构成投标文件的其他材料</w:t>
            </w:r>
          </w:p>
        </w:tc>
        <w:tc>
          <w:tcPr>
            <w:tcW w:w="6683" w:type="dxa"/>
            <w:vAlign w:val="center"/>
          </w:tcPr>
          <w:p w14:paraId="4D79ECF2">
            <w:pPr>
              <w:snapToGrid w:val="0"/>
              <w:spacing w:line="40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604F2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B373533">
            <w:pPr>
              <w:snapToGrid w:val="0"/>
              <w:spacing w:line="400" w:lineRule="exact"/>
              <w:jc w:val="center"/>
              <w:rPr>
                <w:rFonts w:ascii="宋体" w:hAnsi="宋体"/>
                <w:color w:val="auto"/>
                <w:kern w:val="0"/>
                <w:szCs w:val="21"/>
              </w:rPr>
            </w:pPr>
            <w:r>
              <w:rPr>
                <w:rFonts w:hint="eastAsia" w:ascii="宋体" w:hAnsi="宋体"/>
                <w:color w:val="auto"/>
                <w:kern w:val="0"/>
                <w:szCs w:val="21"/>
              </w:rPr>
              <w:t>3.2</w:t>
            </w:r>
          </w:p>
        </w:tc>
        <w:tc>
          <w:tcPr>
            <w:tcW w:w="1451" w:type="dxa"/>
            <w:vAlign w:val="center"/>
          </w:tcPr>
          <w:p w14:paraId="10B253C0">
            <w:pPr>
              <w:snapToGrid w:val="0"/>
              <w:spacing w:line="400" w:lineRule="exact"/>
              <w:jc w:val="center"/>
              <w:rPr>
                <w:rFonts w:ascii="宋体" w:hAnsi="宋体"/>
                <w:color w:val="auto"/>
                <w:kern w:val="0"/>
                <w:szCs w:val="21"/>
              </w:rPr>
            </w:pPr>
            <w:r>
              <w:rPr>
                <w:rFonts w:ascii="宋体" w:hAnsi="宋体"/>
                <w:color w:val="auto"/>
                <w:kern w:val="0"/>
                <w:szCs w:val="21"/>
              </w:rPr>
              <w:t>投标报价</w:t>
            </w:r>
          </w:p>
        </w:tc>
        <w:tc>
          <w:tcPr>
            <w:tcW w:w="6683" w:type="dxa"/>
            <w:vAlign w:val="center"/>
          </w:tcPr>
          <w:p w14:paraId="27F6653A">
            <w:pPr>
              <w:pStyle w:val="2"/>
              <w:tabs>
                <w:tab w:val="left" w:pos="546"/>
                <w:tab w:val="left" w:pos="711"/>
              </w:tabs>
              <w:snapToGrid w:val="0"/>
              <w:spacing w:after="0" w:line="400" w:lineRule="exact"/>
              <w:ind w:firstLine="420" w:firstLineChars="200"/>
              <w:rPr>
                <w:rFonts w:ascii="宋体" w:hAnsi="宋体" w:cs="宋体"/>
                <w:color w:val="auto"/>
                <w:szCs w:val="21"/>
              </w:rPr>
            </w:pPr>
            <w:r>
              <w:rPr>
                <w:rFonts w:ascii="宋体" w:hAnsi="宋体"/>
                <w:color w:val="auto"/>
                <w:szCs w:val="21"/>
              </w:rPr>
              <w:t>1.</w:t>
            </w:r>
            <w:r>
              <w:rPr>
                <w:rFonts w:hint="eastAsia" w:ascii="宋体" w:hAnsi="宋体" w:cs="宋体"/>
                <w:color w:val="auto"/>
                <w:szCs w:val="21"/>
              </w:rPr>
              <w:t>使用国有资金投资的建设工程发承包，必须采用工程量清单计价。工程量清单应采用综合单价计价。</w:t>
            </w:r>
          </w:p>
          <w:p w14:paraId="4D3CA96B">
            <w:pPr>
              <w:pStyle w:val="2"/>
              <w:tabs>
                <w:tab w:val="left" w:pos="546"/>
                <w:tab w:val="left" w:pos="711"/>
              </w:tabs>
              <w:snapToGrid w:val="0"/>
              <w:spacing w:after="0" w:line="400" w:lineRule="exact"/>
              <w:ind w:left="6" w:leftChars="3"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采购范围内的全部工程的投标报价，并以投标人在工程量清单中提出的单价或总价</w:t>
            </w:r>
            <w:r>
              <w:rPr>
                <w:rFonts w:ascii="宋体" w:hAnsi="宋体" w:cs="宋体"/>
                <w:color w:val="auto"/>
                <w:szCs w:val="21"/>
              </w:rPr>
              <w:footnoteReference w:id="0"/>
            </w:r>
            <w:r>
              <w:rPr>
                <w:rFonts w:hint="eastAsia" w:ascii="宋体" w:hAnsi="宋体" w:cs="宋体"/>
                <w:color w:val="auto"/>
                <w:szCs w:val="21"/>
              </w:rPr>
              <w:t>为依据。</w:t>
            </w:r>
          </w:p>
          <w:p w14:paraId="4EFDB2BD">
            <w:pPr>
              <w:pStyle w:val="2"/>
              <w:tabs>
                <w:tab w:val="left" w:pos="546"/>
                <w:tab w:val="left" w:pos="711"/>
              </w:tabs>
              <w:snapToGrid w:val="0"/>
              <w:spacing w:after="0" w:line="400" w:lineRule="exact"/>
              <w:ind w:firstLine="420" w:firstLineChars="200"/>
              <w:rPr>
                <w:rFonts w:ascii="宋体" w:hAnsi="宋体"/>
                <w:color w:val="auto"/>
                <w:szCs w:val="21"/>
              </w:rPr>
            </w:pPr>
            <w:r>
              <w:rPr>
                <w:rFonts w:ascii="宋体" w:hAnsi="宋体" w:cs="宋体"/>
                <w:color w:val="auto"/>
                <w:szCs w:val="21"/>
              </w:rPr>
              <w:t>3.</w:t>
            </w:r>
            <w:r>
              <w:rPr>
                <w:rFonts w:hint="eastAsia" w:ascii="宋体" w:hAnsi="宋体" w:cs="宋体"/>
                <w:color w:val="auto"/>
                <w:szCs w:val="21"/>
              </w:rPr>
              <w:t>投标人应认真填写工程量清单中所列的本合同各工程子目的单价或总价。投标人没有填入单价或总价的工程子目，采购人将认为该子目的价款已包括在工程量清单其他子目的单价和总价中。投标人必须按采购工程量清单填报价格。项目编码、项目名称、项目特征、计量单位、工</w:t>
            </w:r>
            <w:r>
              <w:rPr>
                <w:rFonts w:hint="eastAsia" w:ascii="宋体" w:hAnsi="宋体"/>
                <w:color w:val="auto"/>
                <w:szCs w:val="21"/>
              </w:rPr>
              <w:t>程量必须与采购工程量清单一致。否则交由评标委员会作否决投标处理。</w:t>
            </w:r>
          </w:p>
          <w:p w14:paraId="344B7DF4">
            <w:pPr>
              <w:pStyle w:val="2"/>
              <w:tabs>
                <w:tab w:val="left" w:pos="546"/>
                <w:tab w:val="left" w:pos="711"/>
              </w:tabs>
              <w:snapToGrid w:val="0"/>
              <w:spacing w:after="0" w:line="400" w:lineRule="exact"/>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投标函中的总报价必须与已标价工程量清单总报价一致,且工程量清单总报价与依据单价、工程数量、分部分项工程合价计算出的结果应一致，否则由评标委员会作否决投标处理。</w:t>
            </w:r>
          </w:p>
          <w:p w14:paraId="4EB6D2FF">
            <w:pPr>
              <w:pStyle w:val="2"/>
              <w:tabs>
                <w:tab w:val="left" w:pos="546"/>
                <w:tab w:val="left" w:pos="711"/>
              </w:tabs>
              <w:snapToGrid w:val="0"/>
              <w:spacing w:after="0" w:line="400" w:lineRule="exact"/>
              <w:ind w:firstLine="420" w:firstLineChars="200"/>
              <w:rPr>
                <w:rFonts w:ascii="宋体" w:hAnsi="宋体"/>
                <w:color w:val="auto"/>
                <w:szCs w:val="21"/>
              </w:rPr>
            </w:pPr>
            <w:r>
              <w:rPr>
                <w:rFonts w:hint="eastAsia" w:ascii="宋体" w:hAnsi="宋体"/>
                <w:color w:val="auto"/>
                <w:szCs w:val="21"/>
              </w:rPr>
              <w:t>5.如发现工程量清单中的数量与图纸中数量不一致，应于本须知第2.2.1项中规定的时间前书面通知采购人核查，除非采购人以修改的形式予以更正，否则，应以工程量清单中列出的数量为准。</w:t>
            </w:r>
          </w:p>
          <w:p w14:paraId="2CDA8E45">
            <w:pPr>
              <w:pStyle w:val="2"/>
              <w:tabs>
                <w:tab w:val="left" w:pos="546"/>
                <w:tab w:val="left" w:pos="711"/>
              </w:tabs>
              <w:snapToGrid w:val="0"/>
              <w:spacing w:after="0" w:line="400" w:lineRule="exact"/>
              <w:ind w:firstLine="420" w:firstLineChars="200"/>
              <w:rPr>
                <w:rFonts w:ascii="宋体" w:hAnsi="宋体"/>
                <w:color w:val="auto"/>
                <w:szCs w:val="21"/>
              </w:rPr>
            </w:pPr>
            <w:r>
              <w:rPr>
                <w:rFonts w:hint="eastAsia" w:ascii="宋体" w:hAnsi="宋体"/>
                <w:color w:val="auto"/>
                <w:szCs w:val="21"/>
              </w:rPr>
              <w:t>6.采购人在工程量清单中所列出的价格（包括暂列金额、暂估价等），投标人不得修改，否则由评标委员会作否决投标处理。</w:t>
            </w:r>
          </w:p>
          <w:p w14:paraId="421A2811">
            <w:pPr>
              <w:pStyle w:val="2"/>
              <w:tabs>
                <w:tab w:val="left" w:pos="546"/>
                <w:tab w:val="left" w:pos="711"/>
              </w:tabs>
              <w:snapToGrid w:val="0"/>
              <w:spacing w:after="0" w:line="400" w:lineRule="exact"/>
              <w:ind w:firstLine="420" w:firstLineChars="200"/>
              <w:rPr>
                <w:rFonts w:ascii="宋体" w:hAnsi="宋体"/>
                <w:color w:val="auto"/>
                <w:szCs w:val="21"/>
              </w:rPr>
            </w:pPr>
            <w:r>
              <w:rPr>
                <w:rFonts w:hint="eastAsia" w:ascii="宋体" w:hAnsi="宋体"/>
                <w:color w:val="auto"/>
                <w:szCs w:val="21"/>
              </w:rPr>
              <w:t>7.本工程采购将设置投标总报价最高限价，投标总报价最高限价最迟应于投标截止日2日前发布，投标人的投标总报价不得超过投标总报价最高限价，否则由评标委员会作否决投标处理。</w:t>
            </w:r>
          </w:p>
          <w:p w14:paraId="4BD0A036">
            <w:pPr>
              <w:pStyle w:val="2"/>
              <w:spacing w:after="0" w:line="400" w:lineRule="exact"/>
              <w:ind w:firstLine="420" w:firstLineChars="200"/>
              <w:rPr>
                <w:rFonts w:ascii="宋体" w:hAnsi="宋体"/>
                <w:color w:val="auto"/>
                <w:szCs w:val="21"/>
              </w:rPr>
            </w:pPr>
            <w:r>
              <w:rPr>
                <w:rFonts w:hint="eastAsia" w:ascii="宋体" w:hAnsi="宋体"/>
                <w:color w:val="auto"/>
                <w:szCs w:val="21"/>
              </w:rPr>
              <w:t>8.本工程采购将设置全部清单综合单价最高限价，全部清单综合单价最高限价最迟应于投标截止日2日前发布，投标人的每项清单综合单价报价不得超过每项清单综合单价最高限价，否则由评标委员会作否决投标处理。</w:t>
            </w:r>
          </w:p>
          <w:p w14:paraId="38A3C643">
            <w:pPr>
              <w:pStyle w:val="2"/>
              <w:spacing w:after="0" w:line="400" w:lineRule="exact"/>
              <w:ind w:firstLine="420" w:firstLineChars="200"/>
              <w:rPr>
                <w:rFonts w:ascii="宋体" w:hAnsi="宋体" w:cs="宋体"/>
                <w:color w:val="auto"/>
                <w:szCs w:val="21"/>
              </w:rPr>
            </w:pPr>
            <w:r>
              <w:rPr>
                <w:rFonts w:ascii="宋体" w:hAnsi="宋体" w:cs="宋体"/>
                <w:color w:val="auto"/>
                <w:szCs w:val="21"/>
              </w:rPr>
              <w:t>9.安全文明施工费：</w:t>
            </w:r>
          </w:p>
          <w:p w14:paraId="634EF3AD">
            <w:pPr>
              <w:pStyle w:val="2"/>
              <w:tabs>
                <w:tab w:val="left" w:pos="546"/>
                <w:tab w:val="left" w:pos="711"/>
              </w:tabs>
              <w:snapToGrid w:val="0"/>
              <w:spacing w:after="0" w:line="400" w:lineRule="exact"/>
              <w:ind w:firstLine="420" w:firstLineChars="200"/>
              <w:rPr>
                <w:rFonts w:ascii="宋体" w:hAnsi="宋体" w:cs="宋体"/>
                <w:color w:val="auto"/>
                <w:szCs w:val="21"/>
              </w:rPr>
            </w:pPr>
            <w:r>
              <w:rPr>
                <w:rFonts w:ascii="宋体" w:hAnsi="宋体" w:cs="宋体"/>
                <w:color w:val="auto"/>
                <w:szCs w:val="21"/>
              </w:rPr>
              <w:t>9.1</w:t>
            </w:r>
            <w:r>
              <w:rPr>
                <w:rFonts w:hint="eastAsia" w:ascii="宋体" w:hAnsi="宋体" w:cs="宋体"/>
                <w:color w:val="auto"/>
                <w:szCs w:val="21"/>
              </w:rPr>
              <w:t>根据《重庆城乡建设委员会关于印发</w:t>
            </w:r>
            <w:r>
              <w:rPr>
                <w:rFonts w:ascii="宋体" w:hAnsi="宋体" w:cs="宋体"/>
                <w:color w:val="auto"/>
                <w:szCs w:val="21"/>
              </w:rPr>
              <w:t>&lt;</w:t>
            </w:r>
            <w:r>
              <w:rPr>
                <w:rFonts w:hint="eastAsia" w:ascii="宋体" w:hAnsi="宋体" w:cs="宋体"/>
                <w:color w:val="auto"/>
                <w:szCs w:val="21"/>
              </w:rPr>
              <w:t>重庆市建设工程安全文明施工费计取及使用管理规定</w:t>
            </w:r>
            <w:r>
              <w:rPr>
                <w:rFonts w:ascii="宋体" w:hAnsi="宋体" w:cs="宋体"/>
                <w:color w:val="auto"/>
                <w:szCs w:val="21"/>
              </w:rPr>
              <w:t>&gt;</w:t>
            </w:r>
            <w:r>
              <w:rPr>
                <w:rFonts w:hint="eastAsia" w:ascii="宋体" w:hAnsi="宋体" w:cs="宋体"/>
                <w:color w:val="auto"/>
                <w:szCs w:val="21"/>
              </w:rPr>
              <w:t>的通知》（渝建发〔2014〕25号）规定，安全文明施工费由安全施工费、文明施工费、环境保护费及临时设施费组成。</w:t>
            </w:r>
          </w:p>
          <w:p w14:paraId="68C7E170">
            <w:pPr>
              <w:pStyle w:val="84"/>
              <w:spacing w:line="400" w:lineRule="exact"/>
              <w:ind w:firstLineChars="200"/>
              <w:rPr>
                <w:color w:val="auto"/>
                <w:sz w:val="21"/>
                <w:szCs w:val="21"/>
              </w:rPr>
            </w:pPr>
            <w:r>
              <w:rPr>
                <w:color w:val="auto"/>
                <w:sz w:val="21"/>
                <w:szCs w:val="21"/>
              </w:rPr>
              <w:t>9.2本工程安全文明施工费由采购人根据《建设工程工程量清单计价规范》（GB50500-2013）、《重庆市建设工程工程量清单计价规则》（CQJJGZ-2013）、《</w:t>
            </w:r>
            <w:r>
              <w:rPr>
                <w:rFonts w:hint="eastAsia"/>
                <w:color w:val="auto"/>
                <w:sz w:val="21"/>
                <w:szCs w:val="21"/>
              </w:rPr>
              <w:t>重庆市城乡建设委员会</w:t>
            </w:r>
            <w:r>
              <w:rPr>
                <w:color w:val="auto"/>
                <w:sz w:val="21"/>
                <w:szCs w:val="21"/>
              </w:rPr>
              <w:t>关于印发&lt;重庆市建设工程安全文明施工费计取及使用管理规定&gt;的通知》（渝建发</w:t>
            </w:r>
            <w:r>
              <w:rPr>
                <w:rFonts w:hint="eastAsia"/>
                <w:color w:val="auto"/>
                <w:sz w:val="21"/>
                <w:szCs w:val="21"/>
              </w:rPr>
              <w:t>〔</w:t>
            </w:r>
            <w:r>
              <w:rPr>
                <w:color w:val="auto"/>
                <w:sz w:val="21"/>
                <w:szCs w:val="21"/>
              </w:rPr>
              <w:t>2014</w:t>
            </w:r>
            <w:r>
              <w:rPr>
                <w:rFonts w:hint="eastAsia"/>
                <w:color w:val="auto"/>
                <w:sz w:val="21"/>
                <w:szCs w:val="21"/>
              </w:rPr>
              <w:t>〕</w:t>
            </w:r>
            <w:r>
              <w:rPr>
                <w:color w:val="auto"/>
                <w:sz w:val="21"/>
                <w:szCs w:val="21"/>
              </w:rPr>
              <w:t>25号）</w:t>
            </w:r>
            <w:r>
              <w:rPr>
                <w:rFonts w:hint="eastAsia"/>
                <w:color w:val="auto"/>
                <w:sz w:val="21"/>
                <w:szCs w:val="21"/>
              </w:rPr>
              <w:t>、《重庆市住房和城乡建设委员会关于调整建设施工现场形象品质提升安全文明施工费计取的通知》（渝建管〔2020〕97号）</w:t>
            </w:r>
            <w:r>
              <w:rPr>
                <w:color w:val="auto"/>
                <w:sz w:val="21"/>
                <w:szCs w:val="21"/>
              </w:rPr>
              <w:t>、</w:t>
            </w:r>
            <w:r>
              <w:rPr>
                <w:rFonts w:hint="eastAsia"/>
                <w:color w:val="auto"/>
                <w:sz w:val="21"/>
                <w:szCs w:val="21"/>
              </w:rPr>
              <w:t>《重庆市建设工程费用定额》（CQFYDE-2018）、《重庆市住房和城乡建设委员会关于适用增值税新税率调整建设工程计价依据的通知》（渝建〔2019〕143号）</w:t>
            </w:r>
            <w:r>
              <w:rPr>
                <w:color w:val="auto"/>
                <w:sz w:val="21"/>
                <w:szCs w:val="21"/>
              </w:rPr>
              <w:t>的相关规定和费用标准单列计算，安全文明施工费为暂定金额，与最高限价一起公布。《投标函》及工程量清单报价中的安全文明施工费必须按照采购人给出的暂定金额填报，否则视为对采购文件不作实质性响应，其投标文件</w:t>
            </w:r>
            <w:r>
              <w:rPr>
                <w:rFonts w:hint="eastAsia"/>
                <w:color w:val="auto"/>
                <w:sz w:val="21"/>
                <w:szCs w:val="21"/>
              </w:rPr>
              <w:t>由评标委员会</w:t>
            </w:r>
            <w:r>
              <w:rPr>
                <w:color w:val="auto"/>
                <w:sz w:val="21"/>
                <w:szCs w:val="21"/>
              </w:rPr>
              <w:t>作否决投标处理。</w:t>
            </w:r>
            <w:r>
              <w:rPr>
                <w:rFonts w:hint="eastAsia"/>
                <w:color w:val="auto"/>
                <w:sz w:val="21"/>
                <w:szCs w:val="21"/>
              </w:rPr>
              <w:t>注：采用全费用清单计价的项目，安全文明施工费仅针对《投标函》中的安全文明施工费进行评审。</w:t>
            </w:r>
          </w:p>
          <w:p w14:paraId="39CDD7D9">
            <w:pPr>
              <w:pStyle w:val="2"/>
              <w:tabs>
                <w:tab w:val="left" w:pos="546"/>
                <w:tab w:val="left" w:pos="711"/>
              </w:tabs>
              <w:snapToGrid w:val="0"/>
              <w:spacing w:after="0" w:line="400" w:lineRule="exact"/>
              <w:ind w:firstLine="420" w:firstLineChars="200"/>
              <w:rPr>
                <w:rFonts w:ascii="宋体" w:hAnsi="宋体"/>
                <w:color w:val="auto"/>
                <w:szCs w:val="21"/>
              </w:rPr>
            </w:pPr>
            <w:r>
              <w:rPr>
                <w:rFonts w:hint="eastAsia" w:ascii="宋体" w:hAnsi="宋体"/>
                <w:color w:val="auto"/>
                <w:szCs w:val="21"/>
              </w:rPr>
              <w:t>10</w:t>
            </w:r>
            <w:r>
              <w:rPr>
                <w:rFonts w:ascii="宋体" w:hAnsi="宋体"/>
                <w:color w:val="auto"/>
                <w:szCs w:val="21"/>
              </w:rPr>
              <w:t>.</w:t>
            </w:r>
            <w:r>
              <w:rPr>
                <w:rFonts w:hint="eastAsia" w:ascii="宋体" w:hAnsi="宋体"/>
                <w:color w:val="auto"/>
                <w:szCs w:val="21"/>
              </w:rPr>
              <w:t xml:space="preserve">最高限价 </w:t>
            </w:r>
          </w:p>
          <w:p w14:paraId="3F3624DC">
            <w:pPr>
              <w:pStyle w:val="2"/>
              <w:tabs>
                <w:tab w:val="left" w:pos="546"/>
                <w:tab w:val="left" w:pos="711"/>
              </w:tabs>
              <w:snapToGrid w:val="0"/>
              <w:spacing w:after="0" w:line="400" w:lineRule="exact"/>
              <w:ind w:firstLine="420" w:firstLineChars="200"/>
              <w:rPr>
                <w:rFonts w:ascii="宋体" w:hAnsi="宋体"/>
                <w:color w:val="auto"/>
                <w:szCs w:val="21"/>
              </w:rPr>
            </w:pPr>
            <w:r>
              <w:rPr>
                <w:rFonts w:hint="eastAsia" w:ascii="宋体" w:hAnsi="宋体"/>
                <w:color w:val="auto"/>
                <w:szCs w:val="21"/>
              </w:rPr>
              <w:t>本工程招标</w:t>
            </w:r>
            <w:r>
              <w:rPr>
                <w:rFonts w:ascii="宋体" w:hAnsi="宋体"/>
                <w:color w:val="auto"/>
                <w:szCs w:val="21"/>
              </w:rPr>
              <w:t>将设置投标总</w:t>
            </w:r>
            <w:r>
              <w:rPr>
                <w:rFonts w:hint="eastAsia" w:ascii="宋体" w:hAnsi="宋体"/>
                <w:color w:val="auto"/>
                <w:szCs w:val="21"/>
              </w:rPr>
              <w:t>报价</w:t>
            </w:r>
            <w:r>
              <w:rPr>
                <w:rFonts w:ascii="宋体" w:hAnsi="宋体"/>
                <w:color w:val="auto"/>
                <w:szCs w:val="21"/>
              </w:rPr>
              <w:t>最高限价，投标人的投标总报价不得超过投标总报价最高限价，否则由</w:t>
            </w:r>
            <w:r>
              <w:rPr>
                <w:rFonts w:hint="eastAsia" w:ascii="宋体" w:hAnsi="宋体"/>
                <w:color w:val="auto"/>
                <w:szCs w:val="21"/>
              </w:rPr>
              <w:t>评标</w:t>
            </w:r>
            <w:r>
              <w:rPr>
                <w:rFonts w:ascii="宋体" w:hAnsi="宋体"/>
                <w:color w:val="auto"/>
                <w:szCs w:val="21"/>
              </w:rPr>
              <w:t>委员会作否决投标处理。</w:t>
            </w:r>
            <w:r>
              <w:rPr>
                <w:rFonts w:hint="eastAsia" w:ascii="宋体" w:hAnsi="宋体"/>
                <w:color w:val="auto"/>
                <w:szCs w:val="21"/>
              </w:rPr>
              <w:t>本工程</w:t>
            </w:r>
            <w:r>
              <w:rPr>
                <w:rFonts w:ascii="宋体" w:hAnsi="宋体"/>
                <w:color w:val="auto"/>
                <w:szCs w:val="21"/>
              </w:rPr>
              <w:t>招标将设置全部工程量清单综合单价最高限价，投标人的每项清单综合单价报价</w:t>
            </w:r>
            <w:r>
              <w:rPr>
                <w:rFonts w:hint="eastAsia" w:ascii="宋体" w:hAnsi="宋体"/>
                <w:color w:val="auto"/>
                <w:szCs w:val="21"/>
              </w:rPr>
              <w:t>不得</w:t>
            </w:r>
            <w:r>
              <w:rPr>
                <w:rFonts w:ascii="宋体" w:hAnsi="宋体"/>
                <w:color w:val="auto"/>
                <w:szCs w:val="21"/>
              </w:rPr>
              <w:t>超过每项清单综合单价最高限价，否则由评标委员会作否决投标处理。</w:t>
            </w:r>
            <w:r>
              <w:rPr>
                <w:rFonts w:hint="eastAsia" w:ascii="宋体" w:hAnsi="宋体"/>
                <w:color w:val="auto"/>
                <w:szCs w:val="21"/>
              </w:rPr>
              <w:t xml:space="preserve"> </w:t>
            </w:r>
          </w:p>
          <w:p w14:paraId="40A5B185">
            <w:pPr>
              <w:pStyle w:val="2"/>
              <w:tabs>
                <w:tab w:val="left" w:pos="546"/>
                <w:tab w:val="left" w:pos="711"/>
              </w:tabs>
              <w:snapToGrid w:val="0"/>
              <w:spacing w:after="0" w:line="400" w:lineRule="exact"/>
              <w:ind w:firstLine="420" w:firstLineChars="200"/>
              <w:rPr>
                <w:color w:val="auto"/>
                <w:szCs w:val="21"/>
              </w:rPr>
            </w:pPr>
            <w:r>
              <w:rPr>
                <w:rFonts w:hint="eastAsia" w:ascii="宋体" w:hAnsi="宋体"/>
                <w:color w:val="auto"/>
                <w:szCs w:val="21"/>
              </w:rPr>
              <w:t>建筑安装工程费最高限价：暂定建安费投标报价最高限价为</w:t>
            </w:r>
            <w:r>
              <w:rPr>
                <w:rFonts w:ascii="宋体" w:hAnsi="宋体"/>
                <w:color w:val="auto"/>
                <w:szCs w:val="21"/>
                <w:u w:val="single"/>
              </w:rPr>
              <w:t>230</w:t>
            </w:r>
            <w:r>
              <w:rPr>
                <w:rFonts w:hint="eastAsia" w:ascii="宋体" w:hAnsi="宋体"/>
                <w:color w:val="auto"/>
                <w:szCs w:val="21"/>
                <w:u w:val="single"/>
              </w:rPr>
              <w:t>6</w:t>
            </w:r>
            <w:r>
              <w:rPr>
                <w:rFonts w:ascii="宋体" w:hAnsi="宋体"/>
                <w:color w:val="auto"/>
                <w:szCs w:val="21"/>
                <w:u w:val="single"/>
              </w:rPr>
              <w:t>997.56</w:t>
            </w:r>
            <w:r>
              <w:rPr>
                <w:rFonts w:hint="eastAsia" w:ascii="宋体" w:hAnsi="宋体"/>
                <w:color w:val="auto"/>
                <w:szCs w:val="21"/>
              </w:rPr>
              <w:t>元，其中安全文明施工费</w:t>
            </w:r>
            <w:r>
              <w:rPr>
                <w:rFonts w:ascii="宋体" w:hAnsi="宋体"/>
                <w:color w:val="auto"/>
                <w:szCs w:val="21"/>
                <w:u w:val="single"/>
              </w:rPr>
              <w:t>44335.98</w:t>
            </w:r>
            <w:r>
              <w:rPr>
                <w:rFonts w:hint="eastAsia" w:ascii="宋体" w:hAnsi="宋体"/>
                <w:color w:val="auto"/>
                <w:szCs w:val="21"/>
              </w:rPr>
              <w:t>元。(按结算原则最终结算价不超采购最高限价。）</w:t>
            </w:r>
          </w:p>
        </w:tc>
      </w:tr>
      <w:tr w14:paraId="3CF3B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7FD6DD1">
            <w:pPr>
              <w:snapToGrid w:val="0"/>
              <w:spacing w:line="400" w:lineRule="exact"/>
              <w:jc w:val="center"/>
              <w:rPr>
                <w:rFonts w:ascii="宋体" w:hAnsi="宋体"/>
                <w:color w:val="auto"/>
                <w:kern w:val="0"/>
                <w:szCs w:val="21"/>
              </w:rPr>
            </w:pPr>
            <w:r>
              <w:rPr>
                <w:rFonts w:ascii="宋体" w:hAnsi="宋体"/>
                <w:color w:val="auto"/>
                <w:kern w:val="0"/>
                <w:szCs w:val="21"/>
              </w:rPr>
              <w:t>3.3.1</w:t>
            </w:r>
          </w:p>
        </w:tc>
        <w:tc>
          <w:tcPr>
            <w:tcW w:w="1451" w:type="dxa"/>
            <w:vAlign w:val="center"/>
          </w:tcPr>
          <w:p w14:paraId="7A65257D">
            <w:pPr>
              <w:snapToGrid w:val="0"/>
              <w:spacing w:line="400" w:lineRule="exact"/>
              <w:jc w:val="center"/>
              <w:rPr>
                <w:rFonts w:ascii="宋体" w:hAnsi="宋体"/>
                <w:color w:val="auto"/>
                <w:kern w:val="0"/>
                <w:szCs w:val="21"/>
              </w:rPr>
            </w:pPr>
            <w:r>
              <w:rPr>
                <w:rFonts w:ascii="宋体" w:hAnsi="宋体"/>
                <w:color w:val="auto"/>
                <w:kern w:val="0"/>
                <w:szCs w:val="21"/>
              </w:rPr>
              <w:t>投标有效期</w:t>
            </w:r>
          </w:p>
        </w:tc>
        <w:tc>
          <w:tcPr>
            <w:tcW w:w="6683" w:type="dxa"/>
            <w:vAlign w:val="center"/>
          </w:tcPr>
          <w:p w14:paraId="741D3B66">
            <w:pPr>
              <w:snapToGrid w:val="0"/>
              <w:spacing w:line="400" w:lineRule="exact"/>
              <w:ind w:firstLine="420" w:firstLineChars="200"/>
              <w:rPr>
                <w:rFonts w:ascii="宋体" w:hAnsi="宋体"/>
                <w:color w:val="auto"/>
                <w:szCs w:val="21"/>
              </w:rPr>
            </w:pPr>
            <w:r>
              <w:rPr>
                <w:rFonts w:hint="eastAsia" w:ascii="宋体" w:hAnsi="宋体"/>
                <w:color w:val="auto"/>
                <w:szCs w:val="21"/>
                <w:u w:val="single"/>
              </w:rPr>
              <w:t>15</w:t>
            </w:r>
            <w:r>
              <w:rPr>
                <w:rFonts w:ascii="宋体" w:hAnsi="宋体"/>
                <w:color w:val="auto"/>
                <w:szCs w:val="21"/>
              </w:rPr>
              <w:t>日历天（从提交投标文件截止日起计算）</w:t>
            </w:r>
          </w:p>
        </w:tc>
      </w:tr>
      <w:tr w14:paraId="2D1F3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EF55676">
            <w:pPr>
              <w:snapToGrid w:val="0"/>
              <w:spacing w:line="400" w:lineRule="exact"/>
              <w:jc w:val="center"/>
              <w:rPr>
                <w:rFonts w:ascii="宋体" w:hAnsi="宋体"/>
                <w:color w:val="auto"/>
                <w:kern w:val="0"/>
                <w:szCs w:val="21"/>
              </w:rPr>
            </w:pPr>
            <w:r>
              <w:rPr>
                <w:rFonts w:ascii="宋体" w:hAnsi="宋体"/>
                <w:color w:val="auto"/>
                <w:kern w:val="0"/>
                <w:szCs w:val="21"/>
              </w:rPr>
              <w:t>3.4</w:t>
            </w:r>
          </w:p>
        </w:tc>
        <w:tc>
          <w:tcPr>
            <w:tcW w:w="1451" w:type="dxa"/>
            <w:vAlign w:val="center"/>
          </w:tcPr>
          <w:p w14:paraId="79E36AA5">
            <w:pPr>
              <w:snapToGrid w:val="0"/>
              <w:spacing w:line="400" w:lineRule="exact"/>
              <w:jc w:val="center"/>
              <w:rPr>
                <w:rFonts w:ascii="宋体" w:hAnsi="宋体"/>
                <w:color w:val="auto"/>
                <w:kern w:val="0"/>
                <w:szCs w:val="21"/>
              </w:rPr>
            </w:pPr>
            <w:r>
              <w:rPr>
                <w:rFonts w:ascii="宋体" w:hAnsi="宋体"/>
                <w:color w:val="auto"/>
                <w:kern w:val="0"/>
                <w:szCs w:val="21"/>
              </w:rPr>
              <w:t>投标保证金</w:t>
            </w:r>
          </w:p>
        </w:tc>
        <w:tc>
          <w:tcPr>
            <w:tcW w:w="6683" w:type="dxa"/>
            <w:vAlign w:val="center"/>
          </w:tcPr>
          <w:p w14:paraId="3D6E2FF8">
            <w:pPr>
              <w:snapToGrid w:val="0"/>
              <w:spacing w:line="400" w:lineRule="exact"/>
              <w:ind w:firstLine="420" w:firstLineChars="200"/>
              <w:jc w:val="left"/>
              <w:rPr>
                <w:rFonts w:ascii="宋体" w:hAnsi="宋体" w:cs="宋体"/>
                <w:color w:val="auto"/>
                <w:kern w:val="0"/>
                <w:szCs w:val="21"/>
              </w:rPr>
            </w:pPr>
            <w:r>
              <w:rPr>
                <w:rFonts w:hint="eastAsia"/>
                <w:color w:val="auto"/>
              </w:rPr>
              <w:t>/</w:t>
            </w:r>
          </w:p>
        </w:tc>
      </w:tr>
      <w:tr w14:paraId="213D9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87BAD7E">
            <w:pPr>
              <w:snapToGrid w:val="0"/>
              <w:spacing w:line="400" w:lineRule="exact"/>
              <w:jc w:val="center"/>
              <w:rPr>
                <w:rFonts w:ascii="宋体" w:hAnsi="宋体"/>
                <w:color w:val="auto"/>
                <w:kern w:val="0"/>
                <w:szCs w:val="21"/>
              </w:rPr>
            </w:pPr>
            <w:r>
              <w:rPr>
                <w:rFonts w:ascii="宋体" w:hAnsi="宋体"/>
                <w:color w:val="auto"/>
                <w:kern w:val="0"/>
                <w:szCs w:val="21"/>
              </w:rPr>
              <w:t>3.6</w:t>
            </w:r>
          </w:p>
        </w:tc>
        <w:tc>
          <w:tcPr>
            <w:tcW w:w="1451" w:type="dxa"/>
            <w:vAlign w:val="center"/>
          </w:tcPr>
          <w:p w14:paraId="56555C6A">
            <w:pPr>
              <w:snapToGrid w:val="0"/>
              <w:spacing w:line="400" w:lineRule="exact"/>
              <w:jc w:val="center"/>
              <w:rPr>
                <w:rFonts w:ascii="宋体" w:hAnsi="宋体"/>
                <w:color w:val="auto"/>
                <w:kern w:val="0"/>
                <w:szCs w:val="21"/>
              </w:rPr>
            </w:pPr>
            <w:r>
              <w:rPr>
                <w:rFonts w:ascii="宋体" w:hAnsi="宋体"/>
                <w:color w:val="auto"/>
                <w:kern w:val="0"/>
                <w:szCs w:val="21"/>
              </w:rPr>
              <w:t>是否允许递交</w:t>
            </w:r>
          </w:p>
          <w:p w14:paraId="243D65F0">
            <w:pPr>
              <w:snapToGrid w:val="0"/>
              <w:spacing w:afterLines="30" w:line="400" w:lineRule="exact"/>
              <w:jc w:val="center"/>
              <w:rPr>
                <w:rFonts w:ascii="宋体" w:hAnsi="宋体"/>
                <w:color w:val="auto"/>
                <w:kern w:val="0"/>
                <w:szCs w:val="21"/>
              </w:rPr>
            </w:pPr>
            <w:r>
              <w:rPr>
                <w:rFonts w:ascii="宋体" w:hAnsi="宋体"/>
                <w:color w:val="auto"/>
                <w:kern w:val="0"/>
                <w:szCs w:val="21"/>
              </w:rPr>
              <w:t>备选投标方案</w:t>
            </w:r>
          </w:p>
        </w:tc>
        <w:tc>
          <w:tcPr>
            <w:tcW w:w="6683" w:type="dxa"/>
            <w:vAlign w:val="center"/>
          </w:tcPr>
          <w:p w14:paraId="4E45EBE8">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1571F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05DB94A">
            <w:pPr>
              <w:snapToGrid w:val="0"/>
              <w:spacing w:line="400" w:lineRule="exact"/>
              <w:jc w:val="center"/>
              <w:rPr>
                <w:rFonts w:ascii="宋体" w:hAnsi="宋体"/>
                <w:color w:val="auto"/>
                <w:kern w:val="0"/>
                <w:szCs w:val="21"/>
              </w:rPr>
            </w:pPr>
            <w:r>
              <w:rPr>
                <w:rFonts w:hint="eastAsia" w:ascii="宋体" w:hAnsi="宋体"/>
                <w:color w:val="auto"/>
                <w:kern w:val="0"/>
                <w:szCs w:val="21"/>
              </w:rPr>
              <w:t>3.7.1</w:t>
            </w:r>
          </w:p>
        </w:tc>
        <w:tc>
          <w:tcPr>
            <w:tcW w:w="1451" w:type="dxa"/>
            <w:vAlign w:val="center"/>
          </w:tcPr>
          <w:p w14:paraId="346E455A">
            <w:pPr>
              <w:snapToGrid w:val="0"/>
              <w:spacing w:afterLines="30" w:line="40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683" w:type="dxa"/>
            <w:vAlign w:val="center"/>
          </w:tcPr>
          <w:p w14:paraId="3BD74DD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编制投标文件时不得对第八章“投标文件格式”的相应要素作实质性修改，否则视为重大偏差，由评标委员会作否决投标处理。</w:t>
            </w:r>
          </w:p>
        </w:tc>
      </w:tr>
      <w:tr w14:paraId="7F69D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FCA7EF0">
            <w:pPr>
              <w:snapToGrid w:val="0"/>
              <w:spacing w:line="400" w:lineRule="exact"/>
              <w:jc w:val="center"/>
              <w:rPr>
                <w:rFonts w:ascii="宋体" w:hAnsi="宋体"/>
                <w:color w:val="auto"/>
                <w:kern w:val="0"/>
                <w:szCs w:val="21"/>
              </w:rPr>
            </w:pPr>
            <w:r>
              <w:rPr>
                <w:rFonts w:ascii="宋体" w:hAnsi="宋体"/>
                <w:color w:val="auto"/>
                <w:kern w:val="0"/>
                <w:szCs w:val="21"/>
              </w:rPr>
              <w:t>3.7.2</w:t>
            </w:r>
          </w:p>
        </w:tc>
        <w:tc>
          <w:tcPr>
            <w:tcW w:w="1451" w:type="dxa"/>
            <w:vAlign w:val="center"/>
          </w:tcPr>
          <w:p w14:paraId="4FC24661">
            <w:pPr>
              <w:snapToGrid w:val="0"/>
              <w:spacing w:line="400" w:lineRule="exact"/>
              <w:jc w:val="center"/>
              <w:rPr>
                <w:rFonts w:ascii="宋体" w:hAnsi="宋体"/>
                <w:color w:val="auto"/>
                <w:kern w:val="0"/>
                <w:szCs w:val="21"/>
              </w:rPr>
            </w:pPr>
            <w:r>
              <w:rPr>
                <w:rFonts w:hint="eastAsia" w:ascii="宋体" w:hAnsi="宋体"/>
                <w:color w:val="auto"/>
                <w:kern w:val="0"/>
                <w:szCs w:val="21"/>
              </w:rPr>
              <w:t>签字</w:t>
            </w:r>
            <w:r>
              <w:rPr>
                <w:rFonts w:ascii="宋体" w:hAnsi="宋体"/>
                <w:color w:val="auto"/>
                <w:kern w:val="0"/>
                <w:szCs w:val="21"/>
              </w:rPr>
              <w:t>盖章要求</w:t>
            </w:r>
          </w:p>
        </w:tc>
        <w:tc>
          <w:tcPr>
            <w:tcW w:w="6683" w:type="dxa"/>
            <w:vAlign w:val="center"/>
          </w:tcPr>
          <w:p w14:paraId="17273DE0">
            <w:pPr>
              <w:snapToGrid w:val="0"/>
              <w:spacing w:line="400" w:lineRule="exact"/>
              <w:ind w:firstLine="420" w:firstLineChars="200"/>
              <w:rPr>
                <w:rFonts w:ascii="宋体" w:hAnsi="宋体"/>
                <w:color w:val="auto"/>
                <w:szCs w:val="21"/>
              </w:rPr>
            </w:pPr>
            <w:r>
              <w:rPr>
                <w:rFonts w:hint="eastAsia" w:ascii="宋体" w:hAnsi="宋体"/>
                <w:color w:val="auto"/>
                <w:szCs w:val="21"/>
              </w:rPr>
              <w:t>投标文件应按第八章 投标文件格式要求法定代表人或其委托代理人</w:t>
            </w:r>
            <w:r>
              <w:rPr>
                <w:rFonts w:hint="eastAsia" w:ascii="宋体" w:hAnsi="宋体"/>
                <w:color w:val="auto"/>
                <w:kern w:val="0"/>
                <w:szCs w:val="21"/>
              </w:rPr>
              <w:t>签字</w:t>
            </w:r>
            <w:r>
              <w:rPr>
                <w:rFonts w:hint="eastAsia" w:ascii="宋体" w:hAnsi="宋体"/>
                <w:color w:val="auto"/>
                <w:szCs w:val="21"/>
              </w:rPr>
              <w:t>（或盖章）的须齐全。</w:t>
            </w:r>
          </w:p>
          <w:p w14:paraId="7DAC0529">
            <w:pPr>
              <w:snapToGrid w:val="0"/>
              <w:spacing w:line="400" w:lineRule="exact"/>
              <w:ind w:firstLine="420" w:firstLineChars="200"/>
              <w:rPr>
                <w:rFonts w:ascii="宋体" w:hAnsi="宋体"/>
                <w:color w:val="auto"/>
                <w:szCs w:val="21"/>
              </w:rPr>
            </w:pPr>
            <w:r>
              <w:rPr>
                <w:rFonts w:hint="eastAsia" w:ascii="宋体" w:hAnsi="宋体"/>
                <w:color w:val="auto"/>
                <w:szCs w:val="21"/>
              </w:rPr>
              <w:t>未按上述规定执行的，交由评标委员会作否决投标处理。</w:t>
            </w:r>
          </w:p>
        </w:tc>
      </w:tr>
      <w:tr w14:paraId="033F5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759C255">
            <w:pPr>
              <w:snapToGrid w:val="0"/>
              <w:spacing w:line="400" w:lineRule="exact"/>
              <w:jc w:val="center"/>
              <w:rPr>
                <w:rFonts w:ascii="宋体" w:hAnsi="宋体"/>
                <w:color w:val="auto"/>
                <w:kern w:val="0"/>
                <w:szCs w:val="21"/>
              </w:rPr>
            </w:pPr>
            <w:r>
              <w:rPr>
                <w:rFonts w:ascii="宋体" w:hAnsi="宋体"/>
                <w:color w:val="auto"/>
                <w:kern w:val="0"/>
                <w:szCs w:val="21"/>
              </w:rPr>
              <w:t>3.7.3</w:t>
            </w:r>
          </w:p>
        </w:tc>
        <w:tc>
          <w:tcPr>
            <w:tcW w:w="1451" w:type="dxa"/>
            <w:vAlign w:val="center"/>
          </w:tcPr>
          <w:p w14:paraId="4B868CA6">
            <w:pPr>
              <w:snapToGrid w:val="0"/>
              <w:spacing w:line="400" w:lineRule="exact"/>
              <w:rPr>
                <w:rFonts w:ascii="宋体" w:hAnsi="宋体"/>
                <w:color w:val="auto"/>
                <w:spacing w:val="-6"/>
                <w:kern w:val="0"/>
                <w:szCs w:val="21"/>
              </w:rPr>
            </w:pPr>
            <w:r>
              <w:rPr>
                <w:rFonts w:ascii="宋体" w:hAnsi="宋体"/>
                <w:color w:val="auto"/>
                <w:spacing w:val="-6"/>
                <w:kern w:val="0"/>
                <w:szCs w:val="21"/>
              </w:rPr>
              <w:t>投标文件的份数</w:t>
            </w:r>
          </w:p>
        </w:tc>
        <w:tc>
          <w:tcPr>
            <w:tcW w:w="6683" w:type="dxa"/>
            <w:vAlign w:val="center"/>
          </w:tcPr>
          <w:p w14:paraId="3E39F14B">
            <w:pPr>
              <w:autoSpaceDE w:val="0"/>
              <w:autoSpaceDN w:val="0"/>
              <w:adjustRightInd w:val="0"/>
              <w:snapToGrid w:val="0"/>
              <w:spacing w:afterLines="30" w:line="400" w:lineRule="exact"/>
              <w:ind w:firstLine="420" w:firstLineChars="200"/>
              <w:rPr>
                <w:rFonts w:ascii="宋体" w:hAnsi="宋体"/>
                <w:i/>
                <w:color w:val="auto"/>
                <w:kern w:val="0"/>
                <w:szCs w:val="21"/>
              </w:rPr>
            </w:pPr>
            <w:r>
              <w:rPr>
                <w:rFonts w:hint="eastAsia" w:ascii="宋体" w:hAnsi="宋体"/>
                <w:color w:val="auto"/>
                <w:kern w:val="0"/>
                <w:szCs w:val="21"/>
              </w:rPr>
              <w:t>一份。</w:t>
            </w:r>
          </w:p>
        </w:tc>
      </w:tr>
      <w:tr w14:paraId="37D90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14:paraId="121A7E68">
            <w:pPr>
              <w:snapToGrid w:val="0"/>
              <w:spacing w:line="400" w:lineRule="exact"/>
              <w:jc w:val="center"/>
              <w:rPr>
                <w:rFonts w:ascii="宋体" w:hAnsi="宋体"/>
                <w:color w:val="auto"/>
                <w:kern w:val="0"/>
                <w:szCs w:val="21"/>
              </w:rPr>
            </w:pPr>
            <w:r>
              <w:rPr>
                <w:rFonts w:ascii="宋体" w:hAnsi="宋体"/>
                <w:color w:val="auto"/>
                <w:kern w:val="0"/>
                <w:szCs w:val="21"/>
              </w:rPr>
              <w:t>3.7.4</w:t>
            </w:r>
          </w:p>
        </w:tc>
        <w:tc>
          <w:tcPr>
            <w:tcW w:w="1451" w:type="dxa"/>
            <w:vAlign w:val="center"/>
          </w:tcPr>
          <w:p w14:paraId="70EEF917">
            <w:pPr>
              <w:snapToGrid w:val="0"/>
              <w:spacing w:line="400" w:lineRule="exact"/>
              <w:jc w:val="center"/>
              <w:rPr>
                <w:rFonts w:ascii="宋体" w:hAnsi="宋体"/>
                <w:color w:val="auto"/>
                <w:kern w:val="0"/>
                <w:szCs w:val="21"/>
              </w:rPr>
            </w:pPr>
            <w:r>
              <w:rPr>
                <w:rFonts w:hint="eastAsia" w:ascii="宋体" w:hAnsi="宋体"/>
                <w:color w:val="auto"/>
                <w:kern w:val="0"/>
                <w:szCs w:val="21"/>
              </w:rPr>
              <w:t>编制</w:t>
            </w:r>
            <w:r>
              <w:rPr>
                <w:rFonts w:ascii="宋体" w:hAnsi="宋体"/>
                <w:color w:val="auto"/>
                <w:kern w:val="0"/>
                <w:szCs w:val="21"/>
              </w:rPr>
              <w:t>要求</w:t>
            </w:r>
          </w:p>
        </w:tc>
        <w:tc>
          <w:tcPr>
            <w:tcW w:w="6683" w:type="dxa"/>
            <w:vAlign w:val="center"/>
          </w:tcPr>
          <w:p w14:paraId="24515BC7">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具体要求：</w:t>
            </w:r>
          </w:p>
          <w:p w14:paraId="739F36E4">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（1）投标函部分</w:t>
            </w:r>
          </w:p>
          <w:p w14:paraId="21E56E89">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应按照第八章规定格式排版，并应编制目录。</w:t>
            </w:r>
          </w:p>
          <w:p w14:paraId="08D8A9B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（2）经济部分</w:t>
            </w:r>
          </w:p>
          <w:p w14:paraId="5A71170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应按照第八章规定格式排版，并应编制目录。</w:t>
            </w:r>
          </w:p>
          <w:p w14:paraId="1B3CCDCC">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（3）资格审查部分</w:t>
            </w:r>
          </w:p>
          <w:p w14:paraId="5F42D3D6">
            <w:pPr>
              <w:adjustRightInd w:val="0"/>
              <w:snapToGrid w:val="0"/>
              <w:spacing w:line="400" w:lineRule="exact"/>
              <w:ind w:firstLine="420" w:firstLineChars="200"/>
              <w:rPr>
                <w:rStyle w:val="54"/>
                <w:color w:val="auto"/>
              </w:rPr>
            </w:pPr>
            <w:r>
              <w:rPr>
                <w:rFonts w:hint="eastAsia" w:ascii="宋体" w:hAnsi="宋体"/>
                <w:color w:val="auto"/>
                <w:szCs w:val="21"/>
              </w:rPr>
              <w:t>应按照第八章规定格式排版，并应编制目录。</w:t>
            </w:r>
          </w:p>
        </w:tc>
      </w:tr>
      <w:tr w14:paraId="26A89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0E1BE90">
            <w:pPr>
              <w:snapToGrid w:val="0"/>
              <w:spacing w:line="400" w:lineRule="exact"/>
              <w:jc w:val="center"/>
              <w:rPr>
                <w:rFonts w:ascii="宋体" w:hAnsi="宋体"/>
                <w:color w:val="auto"/>
                <w:kern w:val="0"/>
                <w:szCs w:val="21"/>
              </w:rPr>
            </w:pPr>
            <w:r>
              <w:rPr>
                <w:rFonts w:ascii="宋体" w:hAnsi="宋体"/>
                <w:color w:val="auto"/>
                <w:kern w:val="0"/>
                <w:szCs w:val="21"/>
              </w:rPr>
              <w:t>3.7.5</w:t>
            </w:r>
          </w:p>
        </w:tc>
        <w:tc>
          <w:tcPr>
            <w:tcW w:w="1451" w:type="dxa"/>
            <w:vAlign w:val="center"/>
          </w:tcPr>
          <w:p w14:paraId="0BF62C4F">
            <w:pPr>
              <w:snapToGrid w:val="0"/>
              <w:spacing w:line="400" w:lineRule="exact"/>
              <w:jc w:val="center"/>
              <w:rPr>
                <w:rFonts w:ascii="宋体" w:hAnsi="宋体"/>
                <w:color w:val="auto"/>
                <w:kern w:val="0"/>
                <w:szCs w:val="21"/>
              </w:rPr>
            </w:pPr>
            <w:r>
              <w:rPr>
                <w:rFonts w:hint="eastAsia" w:ascii="宋体" w:hAnsi="宋体"/>
                <w:color w:val="auto"/>
                <w:kern w:val="0"/>
                <w:szCs w:val="21"/>
              </w:rPr>
              <w:t>编制要求</w:t>
            </w:r>
          </w:p>
        </w:tc>
        <w:tc>
          <w:tcPr>
            <w:tcW w:w="6683" w:type="dxa"/>
            <w:vAlign w:val="center"/>
          </w:tcPr>
          <w:p w14:paraId="1E01A0B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）投标人在编制投标文件时应当建立分级目录，并按照标签提示导入相关内容。</w:t>
            </w:r>
          </w:p>
          <w:p w14:paraId="54A9F8D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）按本章前附表第3.7.3项签字盖章要求进行投标文件的签署。</w:t>
            </w:r>
          </w:p>
          <w:p w14:paraId="2DFCCAD4">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具体要求：</w:t>
            </w:r>
          </w:p>
          <w:p w14:paraId="2E31CD2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（1）投标函部分</w:t>
            </w:r>
          </w:p>
          <w:p w14:paraId="173A37C6">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应按照第八章规定格式排版，并应编制目录。</w:t>
            </w:r>
          </w:p>
          <w:p w14:paraId="4A684735">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（2）经济部分</w:t>
            </w:r>
          </w:p>
          <w:p w14:paraId="48BC4F2E">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应按照第八章规定格式排版，并应编制目录。</w:t>
            </w:r>
          </w:p>
          <w:p w14:paraId="1E51A15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）资格审查部分</w:t>
            </w:r>
          </w:p>
          <w:p w14:paraId="4489598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应按照第八章规定格式排版，并应编制目录。</w:t>
            </w:r>
          </w:p>
        </w:tc>
      </w:tr>
      <w:tr w14:paraId="380A0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64556BF">
            <w:pPr>
              <w:snapToGrid w:val="0"/>
              <w:spacing w:line="400" w:lineRule="exact"/>
              <w:jc w:val="center"/>
              <w:rPr>
                <w:rFonts w:ascii="宋体" w:hAnsi="宋体"/>
                <w:color w:val="auto"/>
                <w:kern w:val="0"/>
                <w:szCs w:val="21"/>
              </w:rPr>
            </w:pPr>
            <w:r>
              <w:rPr>
                <w:rFonts w:ascii="宋体" w:hAnsi="宋体"/>
                <w:color w:val="auto"/>
                <w:kern w:val="0"/>
                <w:szCs w:val="21"/>
              </w:rPr>
              <w:t>4.1.1</w:t>
            </w:r>
          </w:p>
        </w:tc>
        <w:tc>
          <w:tcPr>
            <w:tcW w:w="1451" w:type="dxa"/>
            <w:vAlign w:val="center"/>
          </w:tcPr>
          <w:p w14:paraId="732547BB">
            <w:pPr>
              <w:snapToGrid w:val="0"/>
              <w:spacing w:line="40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683" w:type="dxa"/>
            <w:vAlign w:val="center"/>
          </w:tcPr>
          <w:p w14:paraId="69A98BEA">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投标人应用“投标文件”袋单独封装，并在封口处加盖投标人单位法人章，同时“投标文件”袋应按本表第4.1.2项的规定写明相应内容。“投标文件”袋未按要求密封的，采购人应该拒收。</w:t>
            </w:r>
          </w:p>
        </w:tc>
      </w:tr>
      <w:tr w14:paraId="27F4D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F630167">
            <w:pPr>
              <w:snapToGrid w:val="0"/>
              <w:spacing w:line="400" w:lineRule="exact"/>
              <w:jc w:val="center"/>
              <w:rPr>
                <w:rFonts w:ascii="宋体" w:hAnsi="宋体"/>
                <w:color w:val="auto"/>
                <w:kern w:val="0"/>
                <w:szCs w:val="21"/>
              </w:rPr>
            </w:pPr>
            <w:r>
              <w:rPr>
                <w:rFonts w:ascii="宋体" w:hAnsi="宋体"/>
                <w:color w:val="auto"/>
                <w:kern w:val="0"/>
                <w:szCs w:val="21"/>
              </w:rPr>
              <w:t>4.1.2</w:t>
            </w:r>
          </w:p>
        </w:tc>
        <w:tc>
          <w:tcPr>
            <w:tcW w:w="1451" w:type="dxa"/>
            <w:vAlign w:val="center"/>
          </w:tcPr>
          <w:p w14:paraId="4D22CB91">
            <w:pPr>
              <w:snapToGrid w:val="0"/>
              <w:spacing w:line="400" w:lineRule="exact"/>
              <w:jc w:val="center"/>
              <w:rPr>
                <w:rFonts w:ascii="宋体" w:hAnsi="宋体"/>
                <w:color w:val="auto"/>
                <w:kern w:val="0"/>
                <w:szCs w:val="21"/>
              </w:rPr>
            </w:pPr>
            <w:r>
              <w:rPr>
                <w:rFonts w:ascii="宋体" w:hAnsi="宋体"/>
                <w:color w:val="auto"/>
                <w:kern w:val="0"/>
                <w:szCs w:val="21"/>
              </w:rPr>
              <w:t>封套上写明</w:t>
            </w:r>
          </w:p>
        </w:tc>
        <w:tc>
          <w:tcPr>
            <w:tcW w:w="6683" w:type="dxa"/>
            <w:vAlign w:val="center"/>
          </w:tcPr>
          <w:p w14:paraId="5CCFA82E">
            <w:pPr>
              <w:snapToGrid w:val="0"/>
              <w:spacing w:line="400" w:lineRule="exact"/>
              <w:ind w:firstLine="420" w:firstLineChars="200"/>
              <w:rPr>
                <w:rFonts w:ascii="宋体" w:hAnsi="宋体"/>
                <w:color w:val="auto"/>
                <w:kern w:val="0"/>
                <w:szCs w:val="21"/>
              </w:rPr>
            </w:pPr>
            <w:r>
              <w:rPr>
                <w:rFonts w:ascii="宋体" w:hAnsi="宋体"/>
                <w:color w:val="auto"/>
                <w:kern w:val="0"/>
                <w:szCs w:val="21"/>
              </w:rPr>
              <w:t>应在</w:t>
            </w:r>
            <w:r>
              <w:rPr>
                <w:rFonts w:ascii="宋体" w:hAnsi="宋体"/>
                <w:color w:val="auto"/>
                <w:szCs w:val="21"/>
              </w:rPr>
              <w:t xml:space="preserve"> </w:t>
            </w:r>
            <w:r>
              <w:rPr>
                <w:rFonts w:ascii="宋体" w:hAnsi="宋体"/>
                <w:color w:val="auto"/>
                <w:kern w:val="0"/>
                <w:szCs w:val="21"/>
              </w:rPr>
              <w:t>“投标文件”袋封套上写明如下内容：</w:t>
            </w:r>
          </w:p>
          <w:p w14:paraId="6DCD5F60">
            <w:pPr>
              <w:snapToGrid w:val="0"/>
              <w:spacing w:line="400" w:lineRule="exact"/>
              <w:ind w:firstLine="420" w:firstLineChars="200"/>
              <w:rPr>
                <w:rFonts w:ascii="宋体" w:hAnsi="宋体"/>
                <w:color w:val="auto"/>
                <w:kern w:val="0"/>
                <w:szCs w:val="21"/>
                <w:u w:val="single"/>
              </w:rPr>
            </w:pPr>
            <w:r>
              <w:rPr>
                <w:rFonts w:hint="eastAsia" w:ascii="宋体" w:hAnsi="宋体"/>
                <w:color w:val="auto"/>
                <w:kern w:val="0"/>
                <w:szCs w:val="21"/>
              </w:rPr>
              <w:t>采购</w:t>
            </w:r>
            <w:r>
              <w:rPr>
                <w:rFonts w:ascii="宋体" w:hAnsi="宋体"/>
                <w:color w:val="auto"/>
                <w:kern w:val="0"/>
                <w:szCs w:val="21"/>
              </w:rPr>
              <w:t>人名称：</w:t>
            </w:r>
            <w:r>
              <w:rPr>
                <w:rFonts w:hint="eastAsia" w:ascii="宋体" w:hAnsi="宋体"/>
                <w:color w:val="auto"/>
                <w:kern w:val="0"/>
                <w:szCs w:val="21"/>
                <w:u w:val="single"/>
              </w:rPr>
              <w:t xml:space="preserve">            </w:t>
            </w:r>
          </w:p>
          <w:p w14:paraId="18B27B9B">
            <w:pPr>
              <w:snapToGrid w:val="0"/>
              <w:spacing w:line="400" w:lineRule="exact"/>
              <w:ind w:firstLine="420" w:firstLineChars="200"/>
              <w:rPr>
                <w:rFonts w:ascii="宋体" w:hAnsi="宋体"/>
                <w:color w:val="auto"/>
                <w:kern w:val="0"/>
                <w:szCs w:val="21"/>
                <w:u w:val="single"/>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14:paraId="16ADAF98">
            <w:pPr>
              <w:snapToGrid w:val="0"/>
              <w:spacing w:line="400" w:lineRule="exact"/>
              <w:ind w:firstLine="420" w:firstLineChars="200"/>
              <w:rPr>
                <w:rFonts w:ascii="宋体" w:hAnsi="宋体"/>
                <w:color w:val="auto"/>
                <w:kern w:val="0"/>
                <w:szCs w:val="21"/>
              </w:rPr>
            </w:pPr>
            <w:r>
              <w:rPr>
                <w:rFonts w:ascii="宋体" w:hAnsi="宋体"/>
                <w:color w:val="auto"/>
                <w:kern w:val="0"/>
                <w:szCs w:val="21"/>
                <w:u w:val="single"/>
              </w:rPr>
              <w:t xml:space="preserve">                （项目名称）</w:t>
            </w:r>
            <w:r>
              <w:rPr>
                <w:rFonts w:ascii="宋体" w:hAnsi="宋体"/>
                <w:color w:val="auto"/>
                <w:kern w:val="0"/>
                <w:szCs w:val="21"/>
              </w:rPr>
              <w:t>投标文件</w:t>
            </w:r>
          </w:p>
          <w:p w14:paraId="7E963F78">
            <w:pPr>
              <w:snapToGrid w:val="0"/>
              <w:spacing w:line="40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5ADB8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0D28563">
            <w:pPr>
              <w:snapToGrid w:val="0"/>
              <w:spacing w:line="400" w:lineRule="exact"/>
              <w:jc w:val="center"/>
              <w:rPr>
                <w:rFonts w:ascii="宋体" w:hAnsi="宋体"/>
                <w:color w:val="auto"/>
                <w:kern w:val="0"/>
                <w:szCs w:val="21"/>
              </w:rPr>
            </w:pPr>
            <w:r>
              <w:rPr>
                <w:rFonts w:ascii="宋体" w:hAnsi="宋体"/>
                <w:color w:val="auto"/>
                <w:kern w:val="0"/>
                <w:szCs w:val="21"/>
              </w:rPr>
              <w:t>4.2.1</w:t>
            </w:r>
          </w:p>
        </w:tc>
        <w:tc>
          <w:tcPr>
            <w:tcW w:w="1451" w:type="dxa"/>
            <w:vAlign w:val="center"/>
          </w:tcPr>
          <w:p w14:paraId="659E59D7">
            <w:pPr>
              <w:snapToGrid w:val="0"/>
              <w:spacing w:line="400" w:lineRule="exact"/>
              <w:jc w:val="center"/>
              <w:rPr>
                <w:rFonts w:ascii="宋体" w:hAnsi="宋体"/>
                <w:color w:val="auto"/>
                <w:kern w:val="0"/>
                <w:szCs w:val="21"/>
              </w:rPr>
            </w:pPr>
            <w:r>
              <w:rPr>
                <w:rFonts w:ascii="宋体" w:hAnsi="宋体"/>
                <w:color w:val="auto"/>
                <w:kern w:val="0"/>
                <w:szCs w:val="21"/>
              </w:rPr>
              <w:t>递交投标文件地点</w:t>
            </w:r>
          </w:p>
        </w:tc>
        <w:tc>
          <w:tcPr>
            <w:tcW w:w="6683" w:type="dxa"/>
            <w:vAlign w:val="center"/>
          </w:tcPr>
          <w:p w14:paraId="47DD65B4">
            <w:pPr>
              <w:snapToGrid w:val="0"/>
              <w:spacing w:line="400" w:lineRule="exact"/>
              <w:ind w:firstLine="420" w:firstLineChars="200"/>
              <w:rPr>
                <w:rFonts w:ascii="宋体" w:hAnsi="宋体"/>
                <w:bCs/>
                <w:color w:val="auto"/>
                <w:szCs w:val="21"/>
              </w:rPr>
            </w:pPr>
            <w:r>
              <w:rPr>
                <w:rFonts w:hint="eastAsia" w:ascii="宋体" w:hAnsi="宋体"/>
                <w:color w:val="auto"/>
                <w:szCs w:val="21"/>
              </w:rPr>
              <w:t>重庆市南岸区茶园江桥路一号附1号1420办公室</w:t>
            </w:r>
          </w:p>
        </w:tc>
      </w:tr>
      <w:tr w14:paraId="451C1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A57C717">
            <w:pPr>
              <w:snapToGrid w:val="0"/>
              <w:spacing w:line="400" w:lineRule="exact"/>
              <w:jc w:val="center"/>
              <w:rPr>
                <w:rFonts w:ascii="宋体" w:hAnsi="宋体"/>
                <w:color w:val="auto"/>
                <w:kern w:val="0"/>
                <w:szCs w:val="21"/>
              </w:rPr>
            </w:pPr>
            <w:r>
              <w:rPr>
                <w:rFonts w:ascii="宋体" w:hAnsi="宋体"/>
                <w:color w:val="auto"/>
                <w:kern w:val="0"/>
                <w:szCs w:val="21"/>
              </w:rPr>
              <w:t>4.2.2</w:t>
            </w:r>
          </w:p>
        </w:tc>
        <w:tc>
          <w:tcPr>
            <w:tcW w:w="1451" w:type="dxa"/>
            <w:vAlign w:val="center"/>
          </w:tcPr>
          <w:p w14:paraId="60E1C9B1">
            <w:pPr>
              <w:snapToGrid w:val="0"/>
              <w:spacing w:line="400" w:lineRule="exact"/>
              <w:jc w:val="center"/>
              <w:rPr>
                <w:rFonts w:ascii="宋体" w:hAnsi="宋体"/>
                <w:color w:val="auto"/>
                <w:kern w:val="0"/>
                <w:szCs w:val="21"/>
              </w:rPr>
            </w:pPr>
            <w:r>
              <w:rPr>
                <w:rFonts w:ascii="宋体" w:hAnsi="宋体"/>
                <w:color w:val="auto"/>
                <w:kern w:val="0"/>
                <w:szCs w:val="21"/>
              </w:rPr>
              <w:t>是否退还投标文件</w:t>
            </w:r>
          </w:p>
        </w:tc>
        <w:tc>
          <w:tcPr>
            <w:tcW w:w="6683" w:type="dxa"/>
            <w:vAlign w:val="center"/>
          </w:tcPr>
          <w:p w14:paraId="6DF907BC">
            <w:pPr>
              <w:snapToGrid w:val="0"/>
              <w:spacing w:line="400" w:lineRule="exact"/>
              <w:ind w:firstLine="420" w:firstLineChars="200"/>
              <w:rPr>
                <w:rFonts w:ascii="宋体" w:hAnsi="宋体"/>
                <w:color w:val="auto"/>
                <w:kern w:val="0"/>
                <w:szCs w:val="21"/>
              </w:rPr>
            </w:pPr>
            <w:r>
              <w:rPr>
                <w:rFonts w:ascii="宋体" w:hAnsi="宋体"/>
                <w:color w:val="auto"/>
                <w:kern w:val="0"/>
                <w:szCs w:val="21"/>
              </w:rPr>
              <w:t>否</w:t>
            </w:r>
            <w:r>
              <w:rPr>
                <w:rFonts w:hint="eastAsia" w:ascii="宋体" w:hAnsi="宋体"/>
                <w:color w:val="auto"/>
                <w:kern w:val="0"/>
                <w:szCs w:val="21"/>
              </w:rPr>
              <w:t>。</w:t>
            </w:r>
          </w:p>
        </w:tc>
      </w:tr>
      <w:tr w14:paraId="029DC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5DF437D">
            <w:pPr>
              <w:snapToGrid w:val="0"/>
              <w:spacing w:line="40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451" w:type="dxa"/>
            <w:vAlign w:val="center"/>
          </w:tcPr>
          <w:p w14:paraId="7370001A">
            <w:pPr>
              <w:snapToGrid w:val="0"/>
              <w:spacing w:line="400" w:lineRule="exact"/>
              <w:jc w:val="center"/>
              <w:rPr>
                <w:rFonts w:ascii="宋体" w:hAnsi="宋体"/>
                <w:color w:val="auto"/>
                <w:kern w:val="0"/>
                <w:szCs w:val="21"/>
              </w:rPr>
            </w:pPr>
            <w:r>
              <w:rPr>
                <w:rFonts w:ascii="宋体" w:hAnsi="宋体"/>
                <w:color w:val="auto"/>
                <w:kern w:val="0"/>
                <w:szCs w:val="21"/>
              </w:rPr>
              <w:t>开标时间和</w:t>
            </w:r>
          </w:p>
          <w:p w14:paraId="22FB628A">
            <w:pPr>
              <w:snapToGrid w:val="0"/>
              <w:spacing w:line="400" w:lineRule="exact"/>
              <w:jc w:val="center"/>
              <w:rPr>
                <w:rFonts w:ascii="宋体" w:hAnsi="宋体"/>
                <w:color w:val="auto"/>
                <w:kern w:val="0"/>
                <w:szCs w:val="21"/>
              </w:rPr>
            </w:pPr>
            <w:r>
              <w:rPr>
                <w:rFonts w:ascii="宋体" w:hAnsi="宋体"/>
                <w:color w:val="auto"/>
                <w:kern w:val="0"/>
                <w:szCs w:val="21"/>
              </w:rPr>
              <w:t>地点</w:t>
            </w:r>
          </w:p>
        </w:tc>
        <w:tc>
          <w:tcPr>
            <w:tcW w:w="6683" w:type="dxa"/>
            <w:vAlign w:val="center"/>
          </w:tcPr>
          <w:p w14:paraId="0B6BDE63">
            <w:pPr>
              <w:snapToGrid w:val="0"/>
              <w:spacing w:line="400" w:lineRule="exact"/>
              <w:ind w:firstLine="420" w:firstLineChars="200"/>
              <w:rPr>
                <w:rFonts w:ascii="宋体" w:hAnsi="宋体"/>
                <w:color w:val="auto"/>
                <w:szCs w:val="21"/>
              </w:rPr>
            </w:pPr>
            <w:r>
              <w:rPr>
                <w:rFonts w:ascii="宋体" w:hAnsi="宋体"/>
                <w:color w:val="auto"/>
                <w:kern w:val="0"/>
                <w:szCs w:val="21"/>
              </w:rPr>
              <w:t>开标时间：：</w:t>
            </w:r>
            <w:r>
              <w:rPr>
                <w:rFonts w:hint="eastAsia" w:ascii="宋体" w:hAnsi="宋体"/>
                <w:color w:val="auto"/>
                <w:szCs w:val="21"/>
              </w:rPr>
              <w:t>2</w:t>
            </w:r>
            <w:r>
              <w:rPr>
                <w:rFonts w:ascii="宋体" w:hAnsi="宋体"/>
                <w:color w:val="auto"/>
                <w:szCs w:val="21"/>
              </w:rPr>
              <w:t>02</w:t>
            </w:r>
            <w:r>
              <w:rPr>
                <w:rFonts w:hint="eastAsia" w:ascii="宋体" w:hAnsi="宋体"/>
                <w:color w:val="auto"/>
                <w:szCs w:val="21"/>
              </w:rPr>
              <w:t>5</w:t>
            </w:r>
            <w:r>
              <w:rPr>
                <w:rFonts w:ascii="宋体" w:hAnsi="宋体"/>
                <w:color w:val="auto"/>
                <w:szCs w:val="21"/>
              </w:rPr>
              <w:t>年</w:t>
            </w:r>
            <w:r>
              <w:rPr>
                <w:rFonts w:hint="eastAsia" w:ascii="宋体" w:hAnsi="宋体"/>
                <w:color w:val="auto"/>
                <w:szCs w:val="21"/>
              </w:rPr>
              <w:t>5月8日上午9点30分</w:t>
            </w:r>
          </w:p>
          <w:p w14:paraId="6A2A49C2">
            <w:pPr>
              <w:snapToGrid w:val="0"/>
              <w:spacing w:line="400" w:lineRule="exact"/>
              <w:ind w:firstLine="420" w:firstLineChars="200"/>
              <w:rPr>
                <w:rFonts w:ascii="宋体" w:hAnsi="宋体"/>
                <w:bCs/>
                <w:color w:val="auto"/>
                <w:szCs w:val="21"/>
              </w:rPr>
            </w:pPr>
            <w:r>
              <w:rPr>
                <w:rFonts w:ascii="宋体" w:hAnsi="宋体"/>
                <w:color w:val="auto"/>
                <w:kern w:val="0"/>
                <w:szCs w:val="21"/>
              </w:rPr>
              <w:t>开标地点：</w:t>
            </w:r>
            <w:r>
              <w:rPr>
                <w:rFonts w:hint="eastAsia" w:ascii="宋体" w:hAnsi="宋体"/>
                <w:color w:val="auto"/>
                <w:szCs w:val="21"/>
              </w:rPr>
              <w:t>重庆市南岸区茶园江桥路一号附1号1420办公室</w:t>
            </w:r>
          </w:p>
        </w:tc>
      </w:tr>
      <w:tr w14:paraId="21D8C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A05FE99">
            <w:pPr>
              <w:snapToGrid w:val="0"/>
              <w:spacing w:line="400" w:lineRule="exact"/>
              <w:jc w:val="center"/>
              <w:rPr>
                <w:rFonts w:ascii="宋体" w:hAnsi="宋体"/>
                <w:color w:val="auto"/>
                <w:kern w:val="0"/>
                <w:szCs w:val="21"/>
              </w:rPr>
            </w:pPr>
            <w:r>
              <w:rPr>
                <w:rFonts w:hint="eastAsia" w:ascii="宋体" w:hAnsi="宋体"/>
                <w:color w:val="auto"/>
                <w:kern w:val="0"/>
                <w:szCs w:val="21"/>
              </w:rPr>
              <w:t>5.1.2</w:t>
            </w:r>
          </w:p>
        </w:tc>
        <w:tc>
          <w:tcPr>
            <w:tcW w:w="1451" w:type="dxa"/>
            <w:vAlign w:val="center"/>
          </w:tcPr>
          <w:p w14:paraId="4DF3B1F6">
            <w:pPr>
              <w:snapToGrid w:val="0"/>
              <w:spacing w:line="400" w:lineRule="exact"/>
              <w:jc w:val="center"/>
              <w:rPr>
                <w:rFonts w:ascii="宋体" w:hAnsi="宋体"/>
                <w:color w:val="auto"/>
                <w:kern w:val="0"/>
                <w:szCs w:val="21"/>
              </w:rPr>
            </w:pPr>
            <w:r>
              <w:rPr>
                <w:rFonts w:hint="eastAsia" w:ascii="宋体" w:hAnsi="宋体"/>
                <w:color w:val="auto"/>
                <w:kern w:val="0"/>
                <w:szCs w:val="21"/>
              </w:rPr>
              <w:t>解密时间</w:t>
            </w:r>
          </w:p>
        </w:tc>
        <w:tc>
          <w:tcPr>
            <w:tcW w:w="6683" w:type="dxa"/>
            <w:vAlign w:val="center"/>
          </w:tcPr>
          <w:p w14:paraId="191683AD">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p>
        </w:tc>
      </w:tr>
      <w:tr w14:paraId="598F0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109D579">
            <w:pPr>
              <w:snapToGrid w:val="0"/>
              <w:spacing w:line="400" w:lineRule="exact"/>
              <w:jc w:val="center"/>
              <w:rPr>
                <w:rFonts w:ascii="宋体" w:hAnsi="宋体"/>
                <w:color w:val="auto"/>
                <w:szCs w:val="21"/>
              </w:rPr>
            </w:pPr>
            <w:r>
              <w:rPr>
                <w:rFonts w:hint="eastAsia" w:ascii="宋体" w:hAnsi="宋体"/>
                <w:color w:val="auto"/>
                <w:szCs w:val="21"/>
              </w:rPr>
              <w:t>5.2</w:t>
            </w:r>
          </w:p>
        </w:tc>
        <w:tc>
          <w:tcPr>
            <w:tcW w:w="1451" w:type="dxa"/>
            <w:vAlign w:val="center"/>
          </w:tcPr>
          <w:p w14:paraId="5B09D598">
            <w:pPr>
              <w:snapToGrid w:val="0"/>
              <w:spacing w:line="400" w:lineRule="exact"/>
              <w:jc w:val="center"/>
              <w:rPr>
                <w:rFonts w:ascii="宋体" w:hAnsi="宋体"/>
                <w:color w:val="auto"/>
                <w:szCs w:val="21"/>
              </w:rPr>
            </w:pPr>
            <w:r>
              <w:rPr>
                <w:rFonts w:hint="eastAsia" w:ascii="宋体" w:hAnsi="宋体"/>
                <w:color w:val="auto"/>
                <w:szCs w:val="21"/>
              </w:rPr>
              <w:t>开标程序</w:t>
            </w:r>
          </w:p>
        </w:tc>
        <w:tc>
          <w:tcPr>
            <w:tcW w:w="6683" w:type="dxa"/>
            <w:vAlign w:val="center"/>
          </w:tcPr>
          <w:p w14:paraId="46610AF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主持人按下列程序进行开标：</w:t>
            </w:r>
          </w:p>
          <w:p w14:paraId="5A6FFC9D">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 开标时间（应与投标截止时间一致），经采购人确认开标开始后，开启各投标人按时递交的投标文件，公布投标人名单。</w:t>
            </w:r>
          </w:p>
          <w:p w14:paraId="10562344">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 公布最高限价，采用经评审最低投标价法的还需计算最高限价的85%数值，以便评标委员会评审。</w:t>
            </w:r>
          </w:p>
          <w:p w14:paraId="7F0AA433">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 公布投标人名称、投标报价、质量目标、工期及其他内容。</w:t>
            </w:r>
          </w:p>
          <w:p w14:paraId="1ABBB4F1">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 投标人对开标有异议的，应当场提出，由采购人当场答复，并记录到开标记录表中。异议处理完毕后，汇总开标情况，打印开标记录表。</w:t>
            </w:r>
          </w:p>
          <w:p w14:paraId="4576C1BB">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 投标人代表、采购人代表、监标人、主持人、记录人等有关人员在开标记录上签字确认。因其他原因未能签字的，视为默认开标结果。</w:t>
            </w:r>
          </w:p>
          <w:p w14:paraId="6520618B">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6</w:t>
            </w:r>
            <w:r>
              <w:rPr>
                <w:rFonts w:hint="eastAsia" w:ascii="宋体" w:hAnsi="宋体"/>
                <w:color w:val="auto"/>
                <w:szCs w:val="21"/>
              </w:rPr>
              <w:t>. 开标结束。</w:t>
            </w:r>
          </w:p>
        </w:tc>
      </w:tr>
      <w:tr w14:paraId="4DECE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90F8354">
            <w:pPr>
              <w:snapToGrid w:val="0"/>
              <w:spacing w:line="400" w:lineRule="exact"/>
              <w:jc w:val="center"/>
              <w:rPr>
                <w:rFonts w:ascii="宋体" w:hAnsi="宋体"/>
                <w:color w:val="auto"/>
                <w:kern w:val="0"/>
                <w:szCs w:val="21"/>
              </w:rPr>
            </w:pPr>
            <w:r>
              <w:rPr>
                <w:rFonts w:ascii="宋体" w:hAnsi="宋体"/>
                <w:color w:val="auto"/>
                <w:kern w:val="0"/>
                <w:szCs w:val="21"/>
              </w:rPr>
              <w:t>6.1.1</w:t>
            </w:r>
          </w:p>
        </w:tc>
        <w:tc>
          <w:tcPr>
            <w:tcW w:w="1451" w:type="dxa"/>
            <w:vAlign w:val="center"/>
          </w:tcPr>
          <w:p w14:paraId="0AEF7488">
            <w:pPr>
              <w:snapToGrid w:val="0"/>
              <w:spacing w:line="400" w:lineRule="exact"/>
              <w:jc w:val="center"/>
              <w:rPr>
                <w:rFonts w:ascii="宋体" w:hAnsi="宋体"/>
                <w:color w:val="auto"/>
                <w:kern w:val="0"/>
                <w:szCs w:val="21"/>
              </w:rPr>
            </w:pPr>
            <w:r>
              <w:rPr>
                <w:rFonts w:ascii="宋体" w:hAnsi="宋体"/>
                <w:color w:val="auto"/>
                <w:kern w:val="0"/>
                <w:szCs w:val="21"/>
              </w:rPr>
              <w:t>评标委员会的组建</w:t>
            </w:r>
          </w:p>
        </w:tc>
        <w:tc>
          <w:tcPr>
            <w:tcW w:w="6683" w:type="dxa"/>
            <w:vAlign w:val="center"/>
          </w:tcPr>
          <w:p w14:paraId="426055E2">
            <w:pPr>
              <w:autoSpaceDE w:val="0"/>
              <w:autoSpaceDN w:val="0"/>
              <w:adjustRightInd w:val="0"/>
              <w:snapToGrid w:val="0"/>
              <w:spacing w:line="400" w:lineRule="exact"/>
              <w:ind w:firstLine="436" w:firstLineChars="200"/>
              <w:rPr>
                <w:rFonts w:ascii="宋体" w:hAnsi="宋体"/>
                <w:color w:val="auto"/>
                <w:kern w:val="0"/>
                <w:szCs w:val="21"/>
              </w:rPr>
            </w:pPr>
            <w:r>
              <w:rPr>
                <w:rFonts w:hint="eastAsia" w:ascii="宋体" w:hAnsi="宋体"/>
                <w:color w:val="auto"/>
                <w:spacing w:val="4"/>
                <w:kern w:val="0"/>
                <w:szCs w:val="21"/>
              </w:rPr>
              <w:t>由采购人依法自行组建评标委员会</w:t>
            </w:r>
          </w:p>
        </w:tc>
      </w:tr>
      <w:tr w14:paraId="78A90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0A34C52">
            <w:pPr>
              <w:snapToGrid w:val="0"/>
              <w:spacing w:line="400" w:lineRule="exact"/>
              <w:jc w:val="center"/>
              <w:rPr>
                <w:rFonts w:ascii="宋体" w:hAnsi="宋体"/>
                <w:color w:val="auto"/>
                <w:kern w:val="0"/>
                <w:szCs w:val="21"/>
              </w:rPr>
            </w:pPr>
            <w:r>
              <w:rPr>
                <w:rFonts w:ascii="宋体" w:hAnsi="宋体"/>
                <w:color w:val="auto"/>
                <w:kern w:val="0"/>
                <w:szCs w:val="21"/>
              </w:rPr>
              <w:t>7.1</w:t>
            </w:r>
          </w:p>
        </w:tc>
        <w:tc>
          <w:tcPr>
            <w:tcW w:w="1451" w:type="dxa"/>
            <w:vAlign w:val="center"/>
          </w:tcPr>
          <w:p w14:paraId="26D5237D">
            <w:pPr>
              <w:snapToGrid w:val="0"/>
              <w:spacing w:afterLines="20" w:line="40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683" w:type="dxa"/>
            <w:vAlign w:val="center"/>
          </w:tcPr>
          <w:p w14:paraId="55EDD290">
            <w:pPr>
              <w:snapToGrid w:val="0"/>
              <w:spacing w:line="400" w:lineRule="exact"/>
              <w:ind w:firstLine="420" w:firstLineChars="200"/>
              <w:rPr>
                <w:rFonts w:ascii="宋体" w:hAnsi="宋体"/>
                <w:color w:val="auto"/>
                <w:kern w:val="0"/>
                <w:szCs w:val="21"/>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由低到高排名前三名为中标候选人。</w:t>
            </w:r>
            <w:r>
              <w:rPr>
                <w:rFonts w:ascii="宋体" w:hAnsi="宋体"/>
                <w:i/>
                <w:color w:val="auto"/>
                <w:kern w:val="0"/>
                <w:szCs w:val="21"/>
              </w:rPr>
              <w:t xml:space="preserve"> </w:t>
            </w:r>
          </w:p>
        </w:tc>
      </w:tr>
      <w:tr w14:paraId="318CA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8078974">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451" w:type="dxa"/>
            <w:vAlign w:val="center"/>
          </w:tcPr>
          <w:p w14:paraId="1C313182">
            <w:pPr>
              <w:snapToGrid w:val="0"/>
              <w:spacing w:afterLines="20" w:line="400" w:lineRule="exact"/>
              <w:jc w:val="center"/>
              <w:rPr>
                <w:rFonts w:ascii="宋体" w:hAnsi="宋体"/>
                <w:color w:val="auto"/>
                <w:kern w:val="0"/>
                <w:szCs w:val="21"/>
              </w:rPr>
            </w:pPr>
            <w:r>
              <w:rPr>
                <w:rFonts w:ascii="宋体" w:hAnsi="宋体"/>
                <w:color w:val="auto"/>
                <w:kern w:val="0"/>
                <w:szCs w:val="21"/>
              </w:rPr>
              <w:t>中标公示</w:t>
            </w:r>
          </w:p>
        </w:tc>
        <w:tc>
          <w:tcPr>
            <w:tcW w:w="6683" w:type="dxa"/>
            <w:vAlign w:val="center"/>
          </w:tcPr>
          <w:p w14:paraId="78F711EC">
            <w:pPr>
              <w:snapToGrid w:val="0"/>
              <w:spacing w:line="400" w:lineRule="exact"/>
              <w:ind w:firstLine="420" w:firstLineChars="200"/>
              <w:rPr>
                <w:rFonts w:ascii="宋体" w:hAnsi="宋体"/>
                <w:color w:val="auto"/>
                <w:kern w:val="0"/>
                <w:szCs w:val="21"/>
              </w:rPr>
            </w:pPr>
            <w:r>
              <w:rPr>
                <w:rFonts w:hint="eastAsia" w:ascii="宋体" w:hAnsi="宋体" w:cs="宋体"/>
                <w:color w:val="auto"/>
                <w:szCs w:val="21"/>
              </w:rPr>
              <w:t>采购人在收到评标报告后3日内将评标结果在</w:t>
            </w:r>
            <w:r>
              <w:rPr>
                <w:rFonts w:hint="eastAsia" w:ascii="宋体" w:hAnsi="宋体"/>
                <w:snapToGrid w:val="0"/>
                <w:color w:val="auto"/>
                <w:kern w:val="0"/>
                <w:szCs w:val="21"/>
              </w:rPr>
              <w:t>重庆经开区投资集团官网</w:t>
            </w:r>
            <w:r>
              <w:rPr>
                <w:rFonts w:hint="eastAsia" w:ascii="宋体" w:hAnsi="宋体"/>
                <w:snapToGrid w:val="0"/>
                <w:color w:val="auto"/>
                <w:kern w:val="0"/>
                <w:szCs w:val="21"/>
                <w:u w:val="single"/>
              </w:rPr>
              <w:t>（</w:t>
            </w:r>
            <w:r>
              <w:rPr>
                <w:color w:val="auto"/>
              </w:rPr>
              <w:fldChar w:fldCharType="begin"/>
            </w:r>
            <w:r>
              <w:rPr>
                <w:color w:val="auto"/>
              </w:rPr>
              <w:instrText xml:space="preserve"> HYPERLINK "http://www.cetzig.com/" </w:instrText>
            </w:r>
            <w:r>
              <w:rPr>
                <w:color w:val="auto"/>
              </w:rPr>
              <w:fldChar w:fldCharType="separate"/>
            </w:r>
            <w:r>
              <w:rPr>
                <w:rFonts w:ascii="宋体" w:hAnsi="宋体"/>
                <w:snapToGrid w:val="0"/>
                <w:color w:val="auto"/>
                <w:kern w:val="0"/>
                <w:szCs w:val="21"/>
                <w:u w:val="single"/>
              </w:rPr>
              <w:t>http://www.cetzig.com/</w:t>
            </w:r>
            <w:r>
              <w:rPr>
                <w:rFonts w:ascii="宋体" w:hAnsi="宋体"/>
                <w:snapToGrid w:val="0"/>
                <w:color w:val="auto"/>
                <w:kern w:val="0"/>
                <w:szCs w:val="21"/>
                <w:u w:val="single"/>
              </w:rPr>
              <w:fldChar w:fldCharType="end"/>
            </w:r>
            <w:r>
              <w:rPr>
                <w:rFonts w:hint="eastAsia" w:ascii="宋体" w:hAnsi="宋体"/>
                <w:snapToGrid w:val="0"/>
                <w:color w:val="auto"/>
                <w:kern w:val="0"/>
                <w:szCs w:val="21"/>
                <w:u w:val="single"/>
              </w:rPr>
              <w:t>）</w:t>
            </w:r>
            <w:r>
              <w:rPr>
                <w:rFonts w:hint="eastAsia" w:ascii="宋体" w:hAnsi="宋体"/>
                <w:snapToGrid w:val="0"/>
                <w:color w:val="auto"/>
                <w:kern w:val="0"/>
                <w:szCs w:val="21"/>
              </w:rPr>
              <w:t>和行采家（https://www.gec123.com/）</w:t>
            </w:r>
            <w:r>
              <w:rPr>
                <w:rFonts w:hint="eastAsia" w:ascii="宋体" w:hAnsi="宋体" w:cs="宋体"/>
                <w:color w:val="auto"/>
                <w:szCs w:val="21"/>
              </w:rPr>
              <w:t>上进行公示，公示期为3日。</w:t>
            </w:r>
          </w:p>
        </w:tc>
      </w:tr>
      <w:tr w14:paraId="34EDF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B5EFB07">
            <w:pPr>
              <w:snapToGrid w:val="0"/>
              <w:spacing w:line="400" w:lineRule="exact"/>
              <w:jc w:val="center"/>
              <w:rPr>
                <w:rFonts w:ascii="宋体" w:hAnsi="宋体"/>
                <w:color w:val="auto"/>
                <w:kern w:val="0"/>
                <w:szCs w:val="21"/>
              </w:rPr>
            </w:pPr>
            <w:r>
              <w:rPr>
                <w:rFonts w:ascii="宋体" w:hAnsi="宋体"/>
                <w:color w:val="auto"/>
                <w:kern w:val="0"/>
                <w:szCs w:val="21"/>
              </w:rPr>
              <w:t>7.3.1</w:t>
            </w:r>
          </w:p>
        </w:tc>
        <w:tc>
          <w:tcPr>
            <w:tcW w:w="1451" w:type="dxa"/>
            <w:vAlign w:val="center"/>
          </w:tcPr>
          <w:p w14:paraId="4599AC3A">
            <w:pPr>
              <w:snapToGrid w:val="0"/>
              <w:spacing w:line="400" w:lineRule="exact"/>
              <w:jc w:val="center"/>
              <w:rPr>
                <w:rFonts w:ascii="宋体" w:hAnsi="宋体"/>
                <w:color w:val="auto"/>
                <w:kern w:val="0"/>
                <w:szCs w:val="21"/>
              </w:rPr>
            </w:pPr>
            <w:r>
              <w:rPr>
                <w:rFonts w:ascii="宋体" w:hAnsi="宋体"/>
                <w:color w:val="auto"/>
                <w:kern w:val="0"/>
                <w:szCs w:val="21"/>
              </w:rPr>
              <w:t>履约担保</w:t>
            </w:r>
          </w:p>
        </w:tc>
        <w:tc>
          <w:tcPr>
            <w:tcW w:w="6683" w:type="dxa"/>
            <w:vAlign w:val="center"/>
          </w:tcPr>
          <w:p w14:paraId="3137AC0F">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1、中标人是否提供履约担保：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14:paraId="73AEDD8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2、中标人提供履约担保的形式、金额及期限：</w:t>
            </w:r>
          </w:p>
          <w:p w14:paraId="3463613C">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（1）履约担保的形式：现金或银行保函或现金+银行保函的组合；采用银行保函(仅限于全国性商业银行不含地方银行)形式的，保函必须为不可撤销且见索即付；</w:t>
            </w:r>
          </w:p>
          <w:p w14:paraId="225FE19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（2）履约担保的金额：</w:t>
            </w:r>
            <w:r>
              <w:rPr>
                <w:rFonts w:hint="eastAsia" w:ascii="宋体" w:hAnsi="宋体"/>
                <w:color w:val="auto"/>
                <w:kern w:val="0"/>
                <w:szCs w:val="21"/>
                <w:u w:val="single"/>
              </w:rPr>
              <w:t xml:space="preserve"> </w:t>
            </w:r>
            <w:r>
              <w:rPr>
                <w:rFonts w:ascii="宋体" w:hAnsi="宋体"/>
                <w:color w:val="auto"/>
                <w:szCs w:val="32"/>
                <w:u w:val="single"/>
              </w:rPr>
              <w:t>中标价的10％</w:t>
            </w:r>
            <w:r>
              <w:rPr>
                <w:rFonts w:hint="eastAsia" w:ascii="宋体" w:hAnsi="宋体"/>
                <w:color w:val="auto"/>
                <w:kern w:val="0"/>
                <w:szCs w:val="21"/>
              </w:rPr>
              <w:t>。</w:t>
            </w:r>
          </w:p>
          <w:p w14:paraId="4518F4F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（3）履约担保的提交时间：见专用合同条款。</w:t>
            </w:r>
          </w:p>
          <w:p w14:paraId="60B8ED2C">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（4）履约担保的期限：见专用合同条款。</w:t>
            </w:r>
          </w:p>
          <w:p w14:paraId="73A6F705">
            <w:pPr>
              <w:snapToGrid w:val="0"/>
              <w:spacing w:afterLines="20" w:line="400" w:lineRule="exact"/>
              <w:ind w:firstLine="420" w:firstLineChars="200"/>
              <w:rPr>
                <w:rFonts w:ascii="宋体" w:hAnsi="宋体"/>
                <w:color w:val="auto"/>
                <w:kern w:val="0"/>
                <w:szCs w:val="21"/>
              </w:rPr>
            </w:pPr>
            <w:r>
              <w:rPr>
                <w:rFonts w:hint="eastAsia" w:ascii="宋体" w:hAnsi="宋体"/>
                <w:color w:val="auto"/>
                <w:kern w:val="0"/>
                <w:szCs w:val="21"/>
              </w:rPr>
              <w:t>（5）履约担保的退还时间：见专用合同条款。</w:t>
            </w:r>
          </w:p>
        </w:tc>
      </w:tr>
      <w:tr w14:paraId="5F2E9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5EB943C">
            <w:pPr>
              <w:snapToGrid w:val="0"/>
              <w:spacing w:line="400" w:lineRule="exact"/>
              <w:jc w:val="center"/>
              <w:rPr>
                <w:rFonts w:ascii="宋体" w:hAnsi="宋体"/>
                <w:color w:val="auto"/>
                <w:kern w:val="0"/>
                <w:szCs w:val="21"/>
              </w:rPr>
            </w:pPr>
            <w:r>
              <w:rPr>
                <w:rFonts w:ascii="宋体" w:hAnsi="宋体"/>
                <w:color w:val="auto"/>
                <w:kern w:val="0"/>
                <w:szCs w:val="21"/>
              </w:rPr>
              <w:t>8.1</w:t>
            </w:r>
          </w:p>
        </w:tc>
        <w:tc>
          <w:tcPr>
            <w:tcW w:w="1451" w:type="dxa"/>
            <w:vAlign w:val="center"/>
          </w:tcPr>
          <w:p w14:paraId="00DB3534">
            <w:pPr>
              <w:snapToGrid w:val="0"/>
              <w:spacing w:line="400" w:lineRule="exact"/>
              <w:jc w:val="center"/>
              <w:rPr>
                <w:rFonts w:ascii="宋体" w:hAnsi="宋体"/>
                <w:color w:val="auto"/>
                <w:kern w:val="0"/>
                <w:szCs w:val="21"/>
              </w:rPr>
            </w:pPr>
            <w:r>
              <w:rPr>
                <w:rFonts w:ascii="宋体" w:hAnsi="宋体"/>
                <w:color w:val="auto"/>
                <w:kern w:val="0"/>
                <w:szCs w:val="21"/>
              </w:rPr>
              <w:t>重新</w:t>
            </w:r>
            <w:r>
              <w:rPr>
                <w:rFonts w:hint="eastAsia" w:ascii="宋体" w:hAnsi="宋体"/>
                <w:color w:val="auto"/>
                <w:kern w:val="0"/>
                <w:szCs w:val="21"/>
              </w:rPr>
              <w:t>采购的情形</w:t>
            </w:r>
          </w:p>
        </w:tc>
        <w:tc>
          <w:tcPr>
            <w:tcW w:w="6683" w:type="dxa"/>
            <w:vAlign w:val="center"/>
          </w:tcPr>
          <w:p w14:paraId="1E11C623">
            <w:pPr>
              <w:snapToGrid w:val="0"/>
              <w:spacing w:line="40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48B36F79">
            <w:pPr>
              <w:snapToGrid w:val="0"/>
              <w:spacing w:line="40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3E9D18C9">
            <w:pPr>
              <w:snapToGrid w:val="0"/>
              <w:spacing w:line="400" w:lineRule="exact"/>
              <w:ind w:firstLine="420" w:firstLineChars="200"/>
              <w:rPr>
                <w:rFonts w:ascii="宋体" w:hAnsi="宋体"/>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02C4C034">
            <w:pPr>
              <w:snapToGrid w:val="0"/>
              <w:spacing w:line="400" w:lineRule="exact"/>
              <w:ind w:firstLine="420" w:firstLineChars="200"/>
              <w:rPr>
                <w:rFonts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5ED8F498">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5.投标人之和少于3个的。</w:t>
            </w:r>
          </w:p>
        </w:tc>
      </w:tr>
      <w:tr w14:paraId="11499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19C4656">
            <w:pPr>
              <w:snapToGrid w:val="0"/>
              <w:spacing w:line="400" w:lineRule="exact"/>
              <w:jc w:val="center"/>
              <w:rPr>
                <w:rFonts w:ascii="宋体" w:hAnsi="宋体"/>
                <w:color w:val="auto"/>
                <w:kern w:val="0"/>
                <w:szCs w:val="21"/>
              </w:rPr>
            </w:pPr>
            <w:r>
              <w:rPr>
                <w:rFonts w:ascii="宋体" w:hAnsi="宋体"/>
                <w:color w:val="auto"/>
                <w:kern w:val="0"/>
                <w:szCs w:val="21"/>
              </w:rPr>
              <w:t>8.2</w:t>
            </w:r>
          </w:p>
        </w:tc>
        <w:tc>
          <w:tcPr>
            <w:tcW w:w="1451" w:type="dxa"/>
            <w:vAlign w:val="center"/>
          </w:tcPr>
          <w:p w14:paraId="5047391A">
            <w:pPr>
              <w:snapToGrid w:val="0"/>
              <w:spacing w:line="400" w:lineRule="exact"/>
              <w:jc w:val="center"/>
              <w:rPr>
                <w:color w:val="auto"/>
              </w:rPr>
            </w:pPr>
            <w:bookmarkStart w:id="80" w:name="_Toc430530434"/>
            <w:bookmarkStart w:id="81" w:name="_Toc536628250"/>
            <w:bookmarkStart w:id="82" w:name="_Toc16930431"/>
            <w:bookmarkStart w:id="83" w:name="_Toc13210670"/>
            <w:bookmarkStart w:id="84" w:name="_Toc509218709"/>
            <w:r>
              <w:rPr>
                <w:rFonts w:hint="eastAsia" w:ascii="宋体" w:hAnsi="宋体"/>
                <w:color w:val="auto"/>
                <w:kern w:val="0"/>
                <w:szCs w:val="21"/>
              </w:rPr>
              <w:t>重新采购</w:t>
            </w:r>
            <w:r>
              <w:rPr>
                <w:rFonts w:ascii="宋体" w:hAnsi="宋体"/>
                <w:color w:val="auto"/>
                <w:kern w:val="0"/>
                <w:szCs w:val="21"/>
              </w:rPr>
              <w:t>和不再</w:t>
            </w:r>
            <w:bookmarkEnd w:id="80"/>
            <w:bookmarkEnd w:id="81"/>
            <w:bookmarkEnd w:id="82"/>
            <w:bookmarkEnd w:id="83"/>
            <w:bookmarkEnd w:id="84"/>
            <w:r>
              <w:rPr>
                <w:rFonts w:hint="eastAsia" w:ascii="宋体" w:hAnsi="宋体"/>
                <w:color w:val="auto"/>
                <w:kern w:val="0"/>
                <w:szCs w:val="21"/>
              </w:rPr>
              <w:t>采购</w:t>
            </w:r>
          </w:p>
        </w:tc>
        <w:tc>
          <w:tcPr>
            <w:tcW w:w="6683" w:type="dxa"/>
            <w:vAlign w:val="center"/>
          </w:tcPr>
          <w:p w14:paraId="175ACAEF">
            <w:pPr>
              <w:autoSpaceDE w:val="0"/>
              <w:autoSpaceDN w:val="0"/>
              <w:adjustRightInd w:val="0"/>
              <w:snapToGrid w:val="0"/>
              <w:spacing w:afterLines="20"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color w:val="auto"/>
                <w:kern w:val="0"/>
                <w:szCs w:val="21"/>
              </w:rPr>
              <w:t>。</w:t>
            </w:r>
          </w:p>
        </w:tc>
      </w:tr>
      <w:tr w14:paraId="481C2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FA11567">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8.3</w:t>
            </w:r>
          </w:p>
        </w:tc>
        <w:tc>
          <w:tcPr>
            <w:tcW w:w="1451" w:type="dxa"/>
            <w:vAlign w:val="center"/>
          </w:tcPr>
          <w:p w14:paraId="6F83B252">
            <w:pPr>
              <w:snapToGrid w:val="0"/>
              <w:spacing w:line="400" w:lineRule="exact"/>
              <w:jc w:val="center"/>
              <w:rPr>
                <w:rFonts w:hint="eastAsia" w:ascii="宋体" w:hAnsi="宋体" w:eastAsia="宋体"/>
                <w:color w:val="auto"/>
                <w:kern w:val="0"/>
                <w:szCs w:val="21"/>
                <w:lang w:eastAsia="zh-CN"/>
              </w:rPr>
            </w:pPr>
            <w:r>
              <w:rPr>
                <w:rFonts w:hint="eastAsia" w:ascii="宋体" w:hAnsi="宋体"/>
                <w:color w:val="auto"/>
                <w:kern w:val="0"/>
                <w:szCs w:val="21"/>
                <w:lang w:eastAsia="zh-CN"/>
              </w:rPr>
              <w:t>预付款的支付</w:t>
            </w:r>
          </w:p>
        </w:tc>
        <w:tc>
          <w:tcPr>
            <w:tcW w:w="6683" w:type="dxa"/>
            <w:vAlign w:val="center"/>
          </w:tcPr>
          <w:p w14:paraId="3F1F2EFF">
            <w:pPr>
              <w:autoSpaceDE w:val="0"/>
              <w:autoSpaceDN w:val="0"/>
              <w:adjustRightInd w:val="0"/>
              <w:snapToGrid w:val="0"/>
              <w:spacing w:afterLines="20" w:line="400" w:lineRule="exact"/>
              <w:ind w:firstLine="420" w:firstLineChars="200"/>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无</w:t>
            </w:r>
          </w:p>
        </w:tc>
      </w:tr>
      <w:tr w14:paraId="4E39F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54041BD">
            <w:pPr>
              <w:snapToGrid w:val="0"/>
              <w:spacing w:line="400" w:lineRule="exact"/>
              <w:jc w:val="center"/>
              <w:rPr>
                <w:rFonts w:ascii="宋体" w:hAnsi="宋体"/>
                <w:color w:val="auto"/>
                <w:kern w:val="0"/>
                <w:szCs w:val="21"/>
              </w:rPr>
            </w:pPr>
            <w:r>
              <w:rPr>
                <w:rFonts w:ascii="宋体" w:hAnsi="宋体"/>
                <w:color w:val="auto"/>
                <w:kern w:val="0"/>
                <w:szCs w:val="21"/>
              </w:rPr>
              <w:t>9</w:t>
            </w:r>
            <w:r>
              <w:rPr>
                <w:rFonts w:hint="eastAsia" w:ascii="宋体" w:hAnsi="宋体"/>
                <w:color w:val="auto"/>
                <w:kern w:val="0"/>
                <w:szCs w:val="21"/>
              </w:rPr>
              <w:t>.</w:t>
            </w:r>
            <w:r>
              <w:rPr>
                <w:rFonts w:ascii="宋体" w:hAnsi="宋体"/>
                <w:color w:val="auto"/>
                <w:kern w:val="0"/>
                <w:szCs w:val="21"/>
              </w:rPr>
              <w:t>1</w:t>
            </w:r>
          </w:p>
        </w:tc>
        <w:tc>
          <w:tcPr>
            <w:tcW w:w="1451" w:type="dxa"/>
            <w:vAlign w:val="center"/>
          </w:tcPr>
          <w:p w14:paraId="6D0A20E1">
            <w:pPr>
              <w:snapToGrid w:val="0"/>
              <w:spacing w:line="400" w:lineRule="exact"/>
              <w:jc w:val="center"/>
              <w:rPr>
                <w:rFonts w:ascii="宋体" w:hAnsi="宋体"/>
                <w:color w:val="auto"/>
                <w:kern w:val="0"/>
                <w:szCs w:val="21"/>
              </w:rPr>
            </w:pPr>
            <w:r>
              <w:rPr>
                <w:rFonts w:hint="eastAsia" w:ascii="宋体" w:hAnsi="宋体"/>
                <w:color w:val="auto"/>
                <w:kern w:val="0"/>
                <w:szCs w:val="21"/>
              </w:rPr>
              <w:t>低价风险担保</w:t>
            </w:r>
          </w:p>
        </w:tc>
        <w:tc>
          <w:tcPr>
            <w:tcW w:w="6683" w:type="dxa"/>
            <w:vAlign w:val="center"/>
          </w:tcPr>
          <w:p w14:paraId="4A1E4581">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1、低价风险担保：中标价低于最高限价的85%时提供，如不按时足额提供，视为中标人放弃中标，采购人有权不退还其投标保证金，</w:t>
            </w:r>
            <w:r>
              <w:rPr>
                <w:rFonts w:hint="eastAsia"/>
                <w:color w:val="auto"/>
              </w:rPr>
              <w:t>并报采购投标行政监督部门按照信用管理办法的规定处理，对中标人的不良行为直接记12分，纳入重点关注名单。</w:t>
            </w:r>
          </w:p>
          <w:p w14:paraId="153C1ABA">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2、中标人提供低价风险担保的形式、金额及期限：</w:t>
            </w:r>
          </w:p>
          <w:p w14:paraId="1269419E">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1</w:t>
            </w:r>
            <w:r>
              <w:rPr>
                <w:rFonts w:hint="eastAsia" w:ascii="宋体" w:hAnsi="宋体"/>
                <w:color w:val="auto"/>
                <w:kern w:val="0"/>
                <w:szCs w:val="21"/>
              </w:rPr>
              <w:t>）低价风险担保的形式：现金或银行保函</w:t>
            </w:r>
            <w:r>
              <w:rPr>
                <w:rFonts w:hint="eastAsia"/>
                <w:color w:val="auto"/>
              </w:rPr>
              <w:t>或现金+银行保函的组合；采用银行保函</w:t>
            </w:r>
            <w:r>
              <w:rPr>
                <w:rFonts w:hint="eastAsia" w:ascii="宋体" w:hAnsi="宋体"/>
                <w:color w:val="auto"/>
                <w:kern w:val="0"/>
                <w:szCs w:val="21"/>
              </w:rPr>
              <w:t>(仅限于全国性商业银行不含地方银行)</w:t>
            </w:r>
            <w:r>
              <w:rPr>
                <w:rFonts w:hint="eastAsia"/>
                <w:color w:val="auto"/>
              </w:rPr>
              <w:t>形式的，保函必须为不可撤销且见索即付</w:t>
            </w:r>
            <w:r>
              <w:rPr>
                <w:rFonts w:hint="eastAsia" w:ascii="宋体" w:hAnsi="宋体"/>
                <w:color w:val="auto"/>
                <w:kern w:val="0"/>
                <w:szCs w:val="21"/>
              </w:rPr>
              <w:t>。</w:t>
            </w:r>
          </w:p>
          <w:p w14:paraId="0A3BE9F7">
            <w:pPr>
              <w:autoSpaceDE w:val="0"/>
              <w:autoSpaceDN w:val="0"/>
              <w:adjustRightInd w:val="0"/>
              <w:snapToGrid w:val="0"/>
              <w:spacing w:line="400" w:lineRule="exact"/>
              <w:ind w:firstLine="420" w:firstLineChars="200"/>
              <w:rPr>
                <w:color w:val="auto"/>
              </w:rPr>
            </w:pPr>
            <w:r>
              <w:rPr>
                <w:rFonts w:hint="eastAsia" w:ascii="宋体" w:hAnsi="宋体"/>
                <w:color w:val="auto"/>
                <w:kern w:val="0"/>
                <w:szCs w:val="21"/>
              </w:rPr>
              <w:t>（</w:t>
            </w:r>
            <w:r>
              <w:rPr>
                <w:rFonts w:ascii="宋体" w:hAnsi="宋体"/>
                <w:color w:val="auto"/>
                <w:kern w:val="0"/>
                <w:szCs w:val="21"/>
              </w:rPr>
              <w:t>2</w:t>
            </w:r>
            <w:r>
              <w:rPr>
                <w:rFonts w:hint="eastAsia" w:ascii="宋体" w:hAnsi="宋体"/>
                <w:color w:val="auto"/>
                <w:kern w:val="0"/>
                <w:szCs w:val="21"/>
              </w:rPr>
              <w:t>）低价风险担保的金额：（最高限价×</w:t>
            </w:r>
            <w:r>
              <w:rPr>
                <w:rFonts w:ascii="宋体" w:hAnsi="宋体"/>
                <w:color w:val="auto"/>
                <w:kern w:val="0"/>
                <w:szCs w:val="21"/>
              </w:rPr>
              <w:t>85%-</w:t>
            </w:r>
            <w:r>
              <w:rPr>
                <w:rFonts w:hint="eastAsia" w:ascii="宋体" w:hAnsi="宋体"/>
                <w:color w:val="auto"/>
                <w:kern w:val="0"/>
                <w:szCs w:val="21"/>
              </w:rPr>
              <w:t>中标价）×3</w:t>
            </w:r>
            <w:r>
              <w:rPr>
                <w:rStyle w:val="54"/>
                <w:rFonts w:hint="eastAsia"/>
                <w:color w:val="auto"/>
              </w:rPr>
              <w:t>，</w:t>
            </w:r>
            <w:r>
              <w:rPr>
                <w:rStyle w:val="54"/>
                <w:color w:val="auto"/>
              </w:rPr>
              <w:t>且最高不超过最高限价的85%</w:t>
            </w:r>
            <w:r>
              <w:rPr>
                <w:rStyle w:val="54"/>
                <w:rFonts w:hint="eastAsia"/>
                <w:color w:val="auto"/>
              </w:rPr>
              <w:t>，</w:t>
            </w:r>
          </w:p>
          <w:p w14:paraId="32038681">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）低价风险担保送达采购人的时间：</w:t>
            </w:r>
            <w:r>
              <w:rPr>
                <w:rFonts w:hint="eastAsia"/>
                <w:color w:val="auto"/>
                <w:szCs w:val="21"/>
              </w:rPr>
              <w:t>从采购人低价风险担保书面通知送达拟中标人之日起</w:t>
            </w:r>
            <w:r>
              <w:rPr>
                <w:rFonts w:hint="eastAsia"/>
                <w:color w:val="auto"/>
                <w:szCs w:val="21"/>
                <w:u w:val="single"/>
              </w:rPr>
              <w:t xml:space="preserve"> </w:t>
            </w:r>
            <w:r>
              <w:rPr>
                <w:color w:val="auto"/>
                <w:szCs w:val="21"/>
                <w:u w:val="single"/>
              </w:rPr>
              <w:t>10</w:t>
            </w:r>
            <w:r>
              <w:rPr>
                <w:rFonts w:hint="eastAsia"/>
                <w:color w:val="auto"/>
                <w:szCs w:val="21"/>
                <w:u w:val="single"/>
              </w:rPr>
              <w:t xml:space="preserve"> </w:t>
            </w:r>
            <w:r>
              <w:rPr>
                <w:rFonts w:hint="eastAsia"/>
                <w:color w:val="auto"/>
                <w:szCs w:val="21"/>
              </w:rPr>
              <w:t>工作日内</w:t>
            </w:r>
            <w:r>
              <w:rPr>
                <w:rFonts w:hint="eastAsia" w:ascii="宋体" w:hAnsi="宋体"/>
                <w:color w:val="auto"/>
                <w:kern w:val="0"/>
                <w:szCs w:val="21"/>
              </w:rPr>
              <w:t>；</w:t>
            </w:r>
          </w:p>
          <w:p w14:paraId="45DEF104">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（4）中标人因自身原因未按中标通知书规定的时限与采购人签订合同的，采购人有权扣除其低价风险担保并取消中标资格。</w:t>
            </w:r>
          </w:p>
          <w:p w14:paraId="089DC8F9">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（5）低价风险担保的期限：</w:t>
            </w:r>
            <w:r>
              <w:rPr>
                <w:rFonts w:hint="eastAsia" w:ascii="宋体" w:hAnsi="宋体"/>
                <w:color w:val="auto"/>
                <w:kern w:val="0"/>
                <w:szCs w:val="21"/>
                <w:u w:val="single"/>
              </w:rPr>
              <w:t>自低价风险担保生效之日起至竣工验收合格之日止</w:t>
            </w:r>
            <w:r>
              <w:rPr>
                <w:rFonts w:hint="eastAsia" w:ascii="宋体" w:hAnsi="宋体"/>
                <w:color w:val="auto"/>
                <w:kern w:val="0"/>
                <w:szCs w:val="21"/>
              </w:rPr>
              <w:t>。</w:t>
            </w:r>
          </w:p>
          <w:p w14:paraId="207FDC1D">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3、低价风险担保的退还时间：见专用合同条款。</w:t>
            </w:r>
          </w:p>
          <w:p w14:paraId="0CB583B0">
            <w:pPr>
              <w:widowControl/>
              <w:spacing w:line="400" w:lineRule="exact"/>
              <w:ind w:firstLine="420" w:firstLineChars="200"/>
              <w:rPr>
                <w:color w:val="auto"/>
              </w:rPr>
            </w:pPr>
            <w:r>
              <w:rPr>
                <w:rFonts w:hint="eastAsia"/>
                <w:color w:val="auto"/>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14:paraId="450A187A">
            <w:pPr>
              <w:widowControl/>
              <w:spacing w:line="400" w:lineRule="exact"/>
              <w:ind w:firstLine="420" w:firstLineChars="200"/>
              <w:rPr>
                <w:rFonts w:ascii="宋体" w:hAnsi="宋体"/>
                <w:color w:val="auto"/>
                <w:kern w:val="0"/>
                <w:szCs w:val="21"/>
              </w:rPr>
            </w:pPr>
            <w:r>
              <w:rPr>
                <w:rFonts w:hint="eastAsia"/>
                <w:color w:val="auto"/>
              </w:rPr>
              <w:t>5、投标总报价低于最高限价85%的，投标人应在编制投标文件时，在投标函部分中递交低价风险担保缴纳承诺书。承诺书格式详见第八章投标文件格式。</w:t>
            </w:r>
          </w:p>
        </w:tc>
      </w:tr>
      <w:tr w14:paraId="461B3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461DC47">
            <w:pPr>
              <w:snapToGrid w:val="0"/>
              <w:spacing w:line="400" w:lineRule="exact"/>
              <w:jc w:val="center"/>
              <w:rPr>
                <w:rFonts w:ascii="宋体" w:hAnsi="宋体"/>
                <w:color w:val="auto"/>
                <w:kern w:val="0"/>
                <w:szCs w:val="21"/>
              </w:rPr>
            </w:pPr>
            <w:r>
              <w:rPr>
                <w:rFonts w:hint="eastAsia" w:ascii="宋体" w:hAnsi="宋体"/>
                <w:color w:val="auto"/>
                <w:kern w:val="0"/>
                <w:szCs w:val="21"/>
              </w:rPr>
              <w:t>10.7</w:t>
            </w:r>
          </w:p>
        </w:tc>
        <w:tc>
          <w:tcPr>
            <w:tcW w:w="1451" w:type="dxa"/>
            <w:vAlign w:val="center"/>
          </w:tcPr>
          <w:p w14:paraId="3BB9A9E8">
            <w:pPr>
              <w:snapToGrid w:val="0"/>
              <w:spacing w:line="400" w:lineRule="exact"/>
              <w:jc w:val="center"/>
              <w:rPr>
                <w:rFonts w:ascii="宋体" w:hAnsi="宋体"/>
                <w:color w:val="auto"/>
                <w:kern w:val="0"/>
                <w:szCs w:val="21"/>
              </w:rPr>
            </w:pPr>
            <w:r>
              <w:rPr>
                <w:rFonts w:hint="eastAsia" w:ascii="宋体" w:hAnsi="宋体"/>
                <w:color w:val="auto"/>
                <w:kern w:val="0"/>
                <w:szCs w:val="21"/>
              </w:rPr>
              <w:t>关于对采购文件及投标争议的解释</w:t>
            </w:r>
          </w:p>
        </w:tc>
        <w:tc>
          <w:tcPr>
            <w:tcW w:w="6683" w:type="dxa"/>
            <w:vAlign w:val="center"/>
          </w:tcPr>
          <w:p w14:paraId="0E266DAF">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对资格预审文件或者采购文件的评标标准和方法，以及资格审查和否决投标条款理解有争议的，应当作出不利于采购人的解释，但违背国家利益、社会公共利益的除外。</w:t>
            </w:r>
          </w:p>
          <w:p w14:paraId="349F0342">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对投标文件理解有争议的，应当作出不利于提交该投标文件的投标人的解释。</w:t>
            </w:r>
          </w:p>
        </w:tc>
      </w:tr>
      <w:tr w14:paraId="7164B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F828FAD">
            <w:pPr>
              <w:snapToGrid w:val="0"/>
              <w:spacing w:line="400" w:lineRule="exact"/>
              <w:jc w:val="center"/>
              <w:rPr>
                <w:rFonts w:ascii="宋体" w:hAnsi="宋体"/>
                <w:color w:val="auto"/>
                <w:kern w:val="0"/>
                <w:szCs w:val="21"/>
              </w:rPr>
            </w:pPr>
            <w:r>
              <w:rPr>
                <w:rFonts w:hint="eastAsia" w:ascii="宋体" w:hAnsi="宋体"/>
                <w:color w:val="auto"/>
                <w:kern w:val="0"/>
                <w:szCs w:val="21"/>
              </w:rPr>
              <w:t>10.9</w:t>
            </w:r>
          </w:p>
        </w:tc>
        <w:tc>
          <w:tcPr>
            <w:tcW w:w="1451" w:type="dxa"/>
            <w:vAlign w:val="center"/>
          </w:tcPr>
          <w:p w14:paraId="3FA10559">
            <w:pPr>
              <w:snapToGrid w:val="0"/>
              <w:spacing w:line="400" w:lineRule="exact"/>
              <w:jc w:val="center"/>
              <w:rPr>
                <w:rFonts w:ascii="宋体" w:hAnsi="宋体"/>
                <w:color w:val="auto"/>
                <w:kern w:val="0"/>
                <w:szCs w:val="21"/>
              </w:rPr>
            </w:pPr>
            <w:r>
              <w:rPr>
                <w:rFonts w:hint="eastAsia" w:ascii="宋体" w:hAnsi="宋体"/>
                <w:color w:val="auto"/>
                <w:kern w:val="0"/>
                <w:szCs w:val="21"/>
              </w:rPr>
              <w:t>其他</w:t>
            </w:r>
          </w:p>
        </w:tc>
        <w:tc>
          <w:tcPr>
            <w:tcW w:w="6683" w:type="dxa"/>
            <w:vAlign w:val="center"/>
          </w:tcPr>
          <w:p w14:paraId="6CF84DC1">
            <w:pPr>
              <w:spacing w:line="360" w:lineRule="auto"/>
              <w:ind w:firstLine="422" w:firstLineChars="200"/>
              <w:jc w:val="left"/>
              <w:rPr>
                <w:rFonts w:ascii="宋体" w:hAnsi="宋体"/>
                <w:b/>
                <w:bCs/>
                <w:color w:val="auto"/>
                <w:szCs w:val="21"/>
              </w:rPr>
            </w:pPr>
            <w:r>
              <w:rPr>
                <w:rFonts w:hint="eastAsia" w:ascii="宋体" w:hAnsi="宋体"/>
                <w:b/>
                <w:bCs/>
                <w:color w:val="auto"/>
                <w:kern w:val="0"/>
                <w:szCs w:val="21"/>
              </w:rPr>
              <w:t>1、</w:t>
            </w:r>
            <w:r>
              <w:rPr>
                <w:rFonts w:hint="eastAsia" w:ascii="宋体" w:hAnsi="宋体"/>
                <w:b/>
                <w:bCs/>
                <w:color w:val="auto"/>
                <w:szCs w:val="21"/>
              </w:rPr>
              <w:t>进度款支付：</w:t>
            </w:r>
          </w:p>
          <w:p w14:paraId="2EDD0613">
            <w:pPr>
              <w:spacing w:line="360" w:lineRule="auto"/>
              <w:ind w:firstLine="420" w:firstLineChars="200"/>
              <w:jc w:val="left"/>
              <w:rPr>
                <w:color w:val="auto"/>
              </w:rPr>
            </w:pPr>
            <w:r>
              <w:rPr>
                <w:rFonts w:hint="eastAsia"/>
                <w:color w:val="auto"/>
              </w:rPr>
              <w:t xml:space="preserve">①安全文明施工费：安全文明施工费的拨付仍按《重庆市建设工程安全文明施工费计取及使用管理规定》(渝建发〔2014〕25号）执行。 </w:t>
            </w:r>
          </w:p>
          <w:p w14:paraId="03EF0957">
            <w:pPr>
              <w:spacing w:line="360" w:lineRule="auto"/>
              <w:ind w:firstLine="420" w:firstLineChars="200"/>
              <w:jc w:val="left"/>
              <w:rPr>
                <w:color w:val="auto"/>
              </w:rPr>
            </w:pPr>
            <w:r>
              <w:rPr>
                <w:rFonts w:hint="eastAsia"/>
                <w:color w:val="auto"/>
              </w:rPr>
              <w:t>②</w:t>
            </w:r>
            <w:r>
              <w:rPr>
                <w:rFonts w:hint="eastAsia" w:ascii="宋体" w:hAnsi="宋体"/>
                <w:iCs/>
                <w:color w:val="auto"/>
                <w:kern w:val="0"/>
                <w:szCs w:val="21"/>
              </w:rPr>
              <w:t>按月支付进度款，每月以发包人和全过程咨询单位审核的合格工程量的80%进行支付。工程竣工验收合格后，累计支付不超过合同建安工程费暂定总金额的80%；待工程竣工结算审计完成，并完成移交给相关管护单位后，支付至合同建安工程费结算金额的97%，其余3%为本工程质保金，工程质保金在缺陷责任期满后28日内无息付清。</w:t>
            </w:r>
            <w:r>
              <w:rPr>
                <w:rFonts w:hint="eastAsia"/>
                <w:color w:val="auto"/>
              </w:rPr>
              <w:t>（不计利息）</w:t>
            </w:r>
          </w:p>
          <w:p w14:paraId="312B10B6">
            <w:pPr>
              <w:pStyle w:val="2"/>
              <w:ind w:firstLine="422" w:firstLineChars="200"/>
              <w:rPr>
                <w:b/>
                <w:bCs/>
                <w:color w:val="auto"/>
              </w:rPr>
            </w:pPr>
            <w:r>
              <w:rPr>
                <w:b/>
                <w:bCs/>
                <w:color w:val="auto"/>
              </w:rPr>
              <w:t>2、</w:t>
            </w:r>
            <w:r>
              <w:rPr>
                <w:rFonts w:hint="eastAsia"/>
                <w:b/>
                <w:bCs/>
                <w:color w:val="auto"/>
              </w:rPr>
              <w:t>审计费：</w:t>
            </w:r>
          </w:p>
          <w:p w14:paraId="1F9940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采购人只支付基本审计费，所有审减金额的效益费由投标人支付；按规定应由施工单位支付审减效益费的，审减效益费</w:t>
            </w:r>
            <w:r>
              <w:rPr>
                <w:rFonts w:ascii="宋体" w:hAnsi="宋体"/>
                <w:color w:val="auto"/>
                <w:kern w:val="0"/>
                <w:szCs w:val="21"/>
              </w:rPr>
              <w:t>按渝价</w:t>
            </w:r>
            <w:r>
              <w:rPr>
                <w:rFonts w:hint="eastAsia" w:ascii="宋体" w:hAnsi="宋体"/>
                <w:color w:val="auto"/>
                <w:kern w:val="0"/>
                <w:szCs w:val="21"/>
              </w:rPr>
              <w:t>【2013】428号</w:t>
            </w:r>
            <w:r>
              <w:rPr>
                <w:rFonts w:ascii="宋体" w:hAnsi="宋体"/>
                <w:color w:val="auto"/>
                <w:kern w:val="0"/>
                <w:szCs w:val="21"/>
              </w:rPr>
              <w:t>文件中相关规定计算</w:t>
            </w:r>
            <w:r>
              <w:rPr>
                <w:rFonts w:hint="eastAsia" w:ascii="宋体" w:hAnsi="宋体"/>
                <w:color w:val="auto"/>
                <w:kern w:val="0"/>
                <w:szCs w:val="21"/>
              </w:rPr>
              <w:t>。</w:t>
            </w:r>
          </w:p>
          <w:p w14:paraId="4D7D391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14:paraId="5952A85B">
            <w:pPr>
              <w:numPr>
                <w:ilvl w:val="0"/>
                <w:numId w:val="1"/>
              </w:numPr>
              <w:spacing w:line="360" w:lineRule="auto"/>
              <w:ind w:firstLine="422" w:firstLineChars="200"/>
              <w:jc w:val="left"/>
              <w:rPr>
                <w:rFonts w:ascii="宋体" w:hAnsi="宋体"/>
                <w:b/>
                <w:bCs/>
                <w:color w:val="auto"/>
                <w:kern w:val="0"/>
                <w:szCs w:val="21"/>
              </w:rPr>
            </w:pPr>
            <w:r>
              <w:rPr>
                <w:rFonts w:hint="eastAsia" w:ascii="宋体" w:hAnsi="宋体"/>
                <w:b/>
                <w:bCs/>
                <w:color w:val="auto"/>
                <w:kern w:val="0"/>
                <w:szCs w:val="21"/>
              </w:rPr>
              <w:t>结算原则：材料不调差</w:t>
            </w:r>
          </w:p>
          <w:p w14:paraId="0670CDE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结算价=已完工合格分部分项工程量清单结算价+措施费（安全文明施工费除外）+分部分项工程量清单新增或变更等引起的增（减）子项结算价+暂列金额确定价+安全文明施工费+规费+税金</w:t>
            </w:r>
          </w:p>
          <w:p w14:paraId="11C9C88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各部分的结算原则如下： </w:t>
            </w:r>
          </w:p>
          <w:p w14:paraId="617E9C4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3.1各分部分项工程量清单结算价：</w:t>
            </w:r>
          </w:p>
          <w:p w14:paraId="101FC36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以中标人投标报价时的分部分项工程量清单中子项综合单价×子项工程量。</w:t>
            </w:r>
          </w:p>
          <w:p w14:paraId="4AB2C3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40D27AD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14:paraId="593FAC8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3.2措施项目费。</w:t>
            </w:r>
          </w:p>
          <w:p w14:paraId="3E47BF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1C1351F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14:paraId="00D34A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3.3安全文明施工费：施工合同签订后10日内支付安全文明施工方费暂定金额的50%，剩余部分随工程进度支付，其余规定按渝建发〔2014〕25号文结合渝建发〔2016〕35号、渝建管〔2020〕97号文规定执行。</w:t>
            </w:r>
          </w:p>
          <w:p w14:paraId="2E39A1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3.4规费：按规定费率结算。</w:t>
            </w:r>
          </w:p>
          <w:p w14:paraId="2B71397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3.5税金：按规定费率结算。若中标人的投标报价中税金费率高于规定费率，则以规定费率结算。投标报价中低于规定费率则以中标人的费率结算。</w:t>
            </w:r>
          </w:p>
          <w:p w14:paraId="37418B8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0E177C0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7DB3768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FC9CEE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3.7本工程结算以审核结果为准，若需相关部门结（决）算审查的，采购人将对工程结算审核价款进行调整，最后价格以调整后的为准。审计依据包括本合同以及政府审计相关法律法规及规范性文件。</w:t>
            </w:r>
          </w:p>
          <w:p w14:paraId="50EDD53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3.8分部分项清单中相同项目名称、项目特征、工作内容、计量单位的清单投标报价必须一致，若不一致按最低报价进行结算。</w:t>
            </w:r>
          </w:p>
          <w:p w14:paraId="45D4E7FB">
            <w:pPr>
              <w:pStyle w:val="2"/>
              <w:ind w:firstLine="420" w:firstLineChars="200"/>
              <w:rPr>
                <w:color w:val="auto"/>
              </w:rPr>
            </w:pPr>
            <w:r>
              <w:rPr>
                <w:rFonts w:hint="eastAsia"/>
                <w:color w:val="auto"/>
              </w:rPr>
              <w:t>3.9本项目</w:t>
            </w:r>
            <w:r>
              <w:rPr>
                <w:color w:val="auto"/>
              </w:rPr>
              <w:t>不因市场价格的波动调整材料价格</w:t>
            </w:r>
          </w:p>
          <w:p w14:paraId="4ECE76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w:t>
            </w:r>
            <w:r>
              <w:rPr>
                <w:rFonts w:ascii="宋体" w:hAnsi="宋体"/>
                <w:color w:val="auto"/>
                <w:kern w:val="0"/>
                <w:szCs w:val="21"/>
              </w:rPr>
              <w:t>10</w:t>
            </w:r>
            <w:r>
              <w:rPr>
                <w:rFonts w:hint="eastAsia" w:ascii="宋体" w:hAnsi="宋体"/>
                <w:color w:val="auto"/>
                <w:kern w:val="0"/>
                <w:szCs w:val="21"/>
              </w:rPr>
              <w:t>据实结算后不得超过概算批复</w:t>
            </w:r>
            <w:r>
              <w:rPr>
                <w:rFonts w:ascii="宋体" w:hAnsi="宋体"/>
                <w:color w:val="auto"/>
                <w:kern w:val="0"/>
                <w:szCs w:val="21"/>
              </w:rPr>
              <w:t>的建安工程费，超过部分不予结算</w:t>
            </w:r>
            <w:r>
              <w:rPr>
                <w:rFonts w:hint="eastAsia" w:ascii="宋体" w:hAnsi="宋体"/>
                <w:color w:val="auto"/>
                <w:kern w:val="0"/>
                <w:szCs w:val="21"/>
              </w:rPr>
              <w:t>。</w:t>
            </w:r>
          </w:p>
          <w:p w14:paraId="41A398E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4、特别注意事项（若有）：弃土场回填过程中应符合业主相关管理规定。严禁私自接收外来渣土。若经发现违者罚款10万元每车每次。累计3次业主有权解除合同并追究相关责任。</w:t>
            </w:r>
          </w:p>
          <w:p w14:paraId="0C98DDEA">
            <w:pPr>
              <w:spacing w:line="360" w:lineRule="auto"/>
              <w:ind w:firstLine="422" w:firstLineChars="200"/>
              <w:jc w:val="left"/>
              <w:rPr>
                <w:color w:val="auto"/>
              </w:rPr>
            </w:pPr>
            <w:r>
              <w:rPr>
                <w:rFonts w:hint="eastAsia" w:ascii="宋体" w:hAnsi="宋体"/>
                <w:b/>
                <w:bCs/>
                <w:color w:val="auto"/>
                <w:kern w:val="0"/>
                <w:szCs w:val="21"/>
              </w:rPr>
              <w:t>5、特别说明：渣场处置费必须按照工程量清单综合单价价格45元/m³填报，否则由评标委员会作否决投标处理。</w:t>
            </w:r>
          </w:p>
        </w:tc>
      </w:tr>
    </w:tbl>
    <w:p w14:paraId="5BCB8774">
      <w:pPr>
        <w:pStyle w:val="4"/>
        <w:spacing w:before="0" w:after="0" w:line="20" w:lineRule="exact"/>
        <w:rPr>
          <w:rFonts w:ascii="宋体" w:hAnsi="宋体"/>
          <w:b w:val="0"/>
          <w:snapToGrid w:val="0"/>
          <w:color w:val="auto"/>
        </w:rPr>
      </w:pPr>
      <w:bookmarkStart w:id="85" w:name="_Toc430530435"/>
      <w:bookmarkStart w:id="86" w:name="_Toc200513126"/>
      <w:bookmarkStart w:id="87" w:name="_Toc277082552"/>
      <w:bookmarkStart w:id="88" w:name="_Toc287607746"/>
      <w:bookmarkStart w:id="89" w:name="_Toc224103317"/>
      <w:bookmarkStart w:id="90" w:name="_Toc287620685"/>
    </w:p>
    <w:p w14:paraId="7C3DBCB5">
      <w:pPr>
        <w:pStyle w:val="4"/>
        <w:spacing w:before="0" w:after="0" w:line="200" w:lineRule="exact"/>
        <w:rPr>
          <w:rFonts w:ascii="宋体" w:hAnsi="宋体"/>
          <w:b w:val="0"/>
          <w:snapToGrid w:val="0"/>
          <w:color w:val="auto"/>
        </w:rPr>
      </w:pPr>
      <w:r>
        <w:rPr>
          <w:rFonts w:ascii="宋体" w:hAnsi="宋体"/>
          <w:b w:val="0"/>
          <w:snapToGrid w:val="0"/>
          <w:color w:val="auto"/>
        </w:rPr>
        <w:br w:type="page"/>
      </w:r>
    </w:p>
    <w:p w14:paraId="7A314F54">
      <w:pPr>
        <w:pStyle w:val="4"/>
        <w:spacing w:before="0" w:after="0" w:line="360" w:lineRule="auto"/>
        <w:rPr>
          <w:rFonts w:ascii="宋体" w:hAnsi="宋体"/>
          <w:b w:val="0"/>
          <w:snapToGrid w:val="0"/>
          <w:color w:val="auto"/>
        </w:rPr>
      </w:pPr>
      <w:bookmarkStart w:id="91" w:name="_Toc29380"/>
      <w:bookmarkStart w:id="92" w:name="_Toc509218710"/>
      <w:r>
        <w:rPr>
          <w:rFonts w:ascii="宋体" w:hAnsi="宋体"/>
          <w:b w:val="0"/>
          <w:snapToGrid w:val="0"/>
          <w:color w:val="auto"/>
        </w:rPr>
        <w:t>1.  总则</w:t>
      </w:r>
      <w:bookmarkEnd w:id="85"/>
      <w:bookmarkEnd w:id="86"/>
      <w:bookmarkEnd w:id="87"/>
      <w:bookmarkEnd w:id="88"/>
      <w:bookmarkEnd w:id="89"/>
      <w:bookmarkEnd w:id="90"/>
      <w:bookmarkEnd w:id="91"/>
      <w:bookmarkEnd w:id="92"/>
    </w:p>
    <w:p w14:paraId="17BCFDB5">
      <w:pPr>
        <w:pStyle w:val="5"/>
        <w:snapToGrid w:val="0"/>
        <w:spacing w:before="0" w:after="0" w:line="360" w:lineRule="auto"/>
        <w:rPr>
          <w:rFonts w:ascii="宋体" w:hAnsi="宋体"/>
          <w:b w:val="0"/>
          <w:snapToGrid w:val="0"/>
          <w:color w:val="auto"/>
          <w:sz w:val="24"/>
          <w:szCs w:val="24"/>
        </w:rPr>
      </w:pPr>
      <w:bookmarkStart w:id="93" w:name="_Toc277082553"/>
      <w:bookmarkStart w:id="94" w:name="_Toc200513127"/>
      <w:bookmarkStart w:id="95" w:name="_Toc509218711"/>
      <w:bookmarkStart w:id="96" w:name="_Toc464"/>
      <w:bookmarkStart w:id="97" w:name="_Toc224103318"/>
      <w:bookmarkStart w:id="98" w:name="_Toc430530436"/>
      <w:bookmarkStart w:id="99" w:name="_Toc287620686"/>
      <w:bookmarkStart w:id="100" w:name="_Toc287607747"/>
      <w:r>
        <w:rPr>
          <w:rFonts w:ascii="宋体" w:hAnsi="宋体"/>
          <w:b w:val="0"/>
          <w:snapToGrid w:val="0"/>
          <w:color w:val="auto"/>
          <w:sz w:val="24"/>
          <w:szCs w:val="24"/>
        </w:rPr>
        <w:t>1.1  项目概况</w:t>
      </w:r>
      <w:bookmarkEnd w:id="93"/>
      <w:bookmarkEnd w:id="94"/>
      <w:bookmarkEnd w:id="95"/>
      <w:bookmarkEnd w:id="96"/>
      <w:bookmarkEnd w:id="97"/>
      <w:bookmarkEnd w:id="98"/>
      <w:bookmarkEnd w:id="99"/>
      <w:bookmarkEnd w:id="100"/>
    </w:p>
    <w:p w14:paraId="17D60DC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1.1.1  根据《中华人民共和国</w:t>
      </w:r>
      <w:r>
        <w:rPr>
          <w:rFonts w:hint="eastAsia" w:ascii="宋体" w:hAnsi="宋体"/>
          <w:snapToGrid w:val="0"/>
          <w:color w:val="auto"/>
          <w:kern w:val="0"/>
          <w:szCs w:val="21"/>
        </w:rPr>
        <w:t>采购</w:t>
      </w:r>
      <w:r>
        <w:rPr>
          <w:rFonts w:ascii="宋体" w:hAnsi="宋体"/>
          <w:snapToGrid w:val="0"/>
          <w:color w:val="auto"/>
          <w:kern w:val="0"/>
          <w:szCs w:val="21"/>
        </w:rPr>
        <w:t>投标法》等有关法律、法规和规章的规定，本</w:t>
      </w:r>
      <w:r>
        <w:rPr>
          <w:rFonts w:hint="eastAsia" w:ascii="宋体" w:hAnsi="宋体"/>
          <w:snapToGrid w:val="0"/>
          <w:color w:val="auto"/>
          <w:kern w:val="0"/>
          <w:szCs w:val="21"/>
        </w:rPr>
        <w:t>采购</w:t>
      </w:r>
      <w:r>
        <w:rPr>
          <w:rFonts w:ascii="宋体" w:hAnsi="宋体"/>
          <w:snapToGrid w:val="0"/>
          <w:color w:val="auto"/>
          <w:kern w:val="0"/>
          <w:szCs w:val="21"/>
        </w:rPr>
        <w:t>项目已具备</w:t>
      </w:r>
      <w:r>
        <w:rPr>
          <w:rFonts w:hint="eastAsia" w:ascii="宋体" w:hAnsi="宋体"/>
          <w:snapToGrid w:val="0"/>
          <w:color w:val="auto"/>
          <w:kern w:val="0"/>
          <w:szCs w:val="21"/>
        </w:rPr>
        <w:t>采购</w:t>
      </w:r>
      <w:r>
        <w:rPr>
          <w:rFonts w:ascii="宋体" w:hAnsi="宋体"/>
          <w:snapToGrid w:val="0"/>
          <w:color w:val="auto"/>
          <w:kern w:val="0"/>
          <w:szCs w:val="21"/>
        </w:rPr>
        <w:t>条件，现对本</w:t>
      </w:r>
      <w:r>
        <w:rPr>
          <w:rFonts w:hint="eastAsia" w:ascii="宋体" w:hAnsi="宋体"/>
          <w:snapToGrid w:val="0"/>
          <w:color w:val="auto"/>
          <w:kern w:val="0"/>
          <w:szCs w:val="21"/>
        </w:rPr>
        <w:t>项目</w:t>
      </w:r>
      <w:r>
        <w:rPr>
          <w:rFonts w:ascii="宋体" w:hAnsi="宋体"/>
          <w:snapToGrid w:val="0"/>
          <w:color w:val="auto"/>
          <w:kern w:val="0"/>
          <w:szCs w:val="21"/>
        </w:rPr>
        <w:t>施工进行</w:t>
      </w:r>
      <w:r>
        <w:rPr>
          <w:rFonts w:hint="eastAsia" w:ascii="宋体" w:hAnsi="宋体"/>
          <w:snapToGrid w:val="0"/>
          <w:color w:val="auto"/>
          <w:kern w:val="0"/>
          <w:szCs w:val="21"/>
        </w:rPr>
        <w:t>采购</w:t>
      </w:r>
      <w:r>
        <w:rPr>
          <w:rFonts w:ascii="宋体" w:hAnsi="宋体"/>
          <w:snapToGrid w:val="0"/>
          <w:color w:val="auto"/>
          <w:kern w:val="0"/>
          <w:szCs w:val="21"/>
        </w:rPr>
        <w:t>。</w:t>
      </w:r>
    </w:p>
    <w:p w14:paraId="491AF5B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1.1.2  本</w:t>
      </w:r>
      <w:r>
        <w:rPr>
          <w:rFonts w:hint="eastAsia" w:ascii="宋体" w:hAnsi="宋体"/>
          <w:snapToGrid w:val="0"/>
          <w:color w:val="auto"/>
          <w:kern w:val="0"/>
          <w:szCs w:val="21"/>
        </w:rPr>
        <w:t>采购</w:t>
      </w:r>
      <w:r>
        <w:rPr>
          <w:rFonts w:ascii="宋体" w:hAnsi="宋体"/>
          <w:snapToGrid w:val="0"/>
          <w:color w:val="auto"/>
          <w:kern w:val="0"/>
          <w:szCs w:val="21"/>
        </w:rPr>
        <w:t>项目</w:t>
      </w:r>
      <w:r>
        <w:rPr>
          <w:rFonts w:hint="eastAsia" w:ascii="宋体" w:hAnsi="宋体"/>
          <w:snapToGrid w:val="0"/>
          <w:color w:val="auto"/>
          <w:kern w:val="0"/>
          <w:szCs w:val="21"/>
        </w:rPr>
        <w:t>采购</w:t>
      </w:r>
      <w:r>
        <w:rPr>
          <w:rFonts w:ascii="宋体" w:hAnsi="宋体"/>
          <w:snapToGrid w:val="0"/>
          <w:color w:val="auto"/>
          <w:kern w:val="0"/>
          <w:szCs w:val="21"/>
        </w:rPr>
        <w:t>人：见投标人须知前附表。</w:t>
      </w:r>
    </w:p>
    <w:p w14:paraId="44E808B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1.1.3  本</w:t>
      </w:r>
      <w:r>
        <w:rPr>
          <w:rFonts w:hint="eastAsia" w:ascii="宋体" w:hAnsi="宋体"/>
          <w:snapToGrid w:val="0"/>
          <w:color w:val="auto"/>
          <w:kern w:val="0"/>
          <w:szCs w:val="21"/>
        </w:rPr>
        <w:t>采购</w:t>
      </w:r>
      <w:r>
        <w:rPr>
          <w:rFonts w:ascii="宋体" w:hAnsi="宋体"/>
          <w:snapToGrid w:val="0"/>
          <w:color w:val="auto"/>
          <w:kern w:val="0"/>
          <w:szCs w:val="21"/>
        </w:rPr>
        <w:t>项目</w:t>
      </w:r>
      <w:r>
        <w:rPr>
          <w:rFonts w:hint="eastAsia" w:ascii="宋体" w:hAnsi="宋体"/>
          <w:snapToGrid w:val="0"/>
          <w:color w:val="auto"/>
          <w:kern w:val="0"/>
          <w:szCs w:val="21"/>
        </w:rPr>
        <w:t>采购</w:t>
      </w:r>
      <w:r>
        <w:rPr>
          <w:rFonts w:ascii="宋体" w:hAnsi="宋体"/>
          <w:snapToGrid w:val="0"/>
          <w:color w:val="auto"/>
          <w:kern w:val="0"/>
          <w:szCs w:val="21"/>
        </w:rPr>
        <w:t>代理机构：见投标人须知前附表。</w:t>
      </w:r>
    </w:p>
    <w:p w14:paraId="2DFA69C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w:t>
      </w:r>
      <w:r>
        <w:rPr>
          <w:rFonts w:hint="eastAsia" w:ascii="宋体" w:hAnsi="宋体"/>
          <w:snapToGrid w:val="0"/>
          <w:color w:val="auto"/>
          <w:kern w:val="0"/>
          <w:szCs w:val="21"/>
        </w:rPr>
        <w:t>采购</w:t>
      </w:r>
      <w:r>
        <w:rPr>
          <w:rFonts w:ascii="宋体" w:hAnsi="宋体"/>
          <w:snapToGrid w:val="0"/>
          <w:color w:val="auto"/>
          <w:kern w:val="0"/>
          <w:szCs w:val="21"/>
        </w:rPr>
        <w:t>项目名称：见投标人须知前附表。</w:t>
      </w:r>
    </w:p>
    <w:p w14:paraId="791FCB2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1.1.5  本</w:t>
      </w:r>
      <w:r>
        <w:rPr>
          <w:rFonts w:hint="eastAsia" w:ascii="宋体" w:hAnsi="宋体"/>
          <w:snapToGrid w:val="0"/>
          <w:color w:val="auto"/>
          <w:kern w:val="0"/>
          <w:szCs w:val="21"/>
        </w:rPr>
        <w:t>采购</w:t>
      </w:r>
      <w:r>
        <w:rPr>
          <w:rFonts w:ascii="宋体" w:hAnsi="宋体"/>
          <w:snapToGrid w:val="0"/>
          <w:color w:val="auto"/>
          <w:kern w:val="0"/>
          <w:szCs w:val="21"/>
        </w:rPr>
        <w:t>项目建设地点：见投标人须知前附表。</w:t>
      </w:r>
    </w:p>
    <w:p w14:paraId="1AFF6CA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1.1.6  本</w:t>
      </w:r>
      <w:r>
        <w:rPr>
          <w:rFonts w:hint="eastAsia" w:ascii="宋体" w:hAnsi="宋体"/>
          <w:snapToGrid w:val="0"/>
          <w:color w:val="auto"/>
          <w:kern w:val="0"/>
          <w:szCs w:val="21"/>
        </w:rPr>
        <w:t>采购</w:t>
      </w:r>
      <w:r>
        <w:rPr>
          <w:rFonts w:ascii="宋体" w:hAnsi="宋体"/>
          <w:snapToGrid w:val="0"/>
          <w:color w:val="auto"/>
          <w:kern w:val="0"/>
          <w:szCs w:val="21"/>
        </w:rPr>
        <w:t>项目建设规模：见投标人须知前附表。</w:t>
      </w:r>
    </w:p>
    <w:p w14:paraId="2B101D38">
      <w:pPr>
        <w:pStyle w:val="5"/>
        <w:snapToGrid w:val="0"/>
        <w:spacing w:before="0" w:after="0" w:line="360" w:lineRule="auto"/>
        <w:rPr>
          <w:rFonts w:ascii="宋体" w:hAnsi="宋体"/>
          <w:b w:val="0"/>
          <w:snapToGrid w:val="0"/>
          <w:color w:val="auto"/>
          <w:sz w:val="24"/>
          <w:szCs w:val="24"/>
        </w:rPr>
      </w:pPr>
      <w:bookmarkStart w:id="101" w:name="_Toc430530437"/>
      <w:bookmarkStart w:id="102" w:name="_Toc287620687"/>
      <w:bookmarkStart w:id="103" w:name="_Toc20757"/>
      <w:bookmarkStart w:id="104" w:name="_Toc509218712"/>
      <w:bookmarkStart w:id="105" w:name="_Toc200513128"/>
      <w:bookmarkStart w:id="106" w:name="_Toc287607748"/>
      <w:bookmarkStart w:id="107" w:name="_Toc277082554"/>
      <w:bookmarkStart w:id="108" w:name="_Toc224103319"/>
      <w:r>
        <w:rPr>
          <w:rFonts w:ascii="宋体" w:hAnsi="宋体"/>
          <w:b w:val="0"/>
          <w:snapToGrid w:val="0"/>
          <w:color w:val="auto"/>
          <w:sz w:val="24"/>
          <w:szCs w:val="24"/>
        </w:rPr>
        <w:t>1.2  资金来源和落实情况</w:t>
      </w:r>
      <w:bookmarkEnd w:id="101"/>
      <w:bookmarkEnd w:id="102"/>
      <w:bookmarkEnd w:id="103"/>
      <w:bookmarkEnd w:id="104"/>
      <w:bookmarkEnd w:id="105"/>
      <w:bookmarkEnd w:id="106"/>
      <w:bookmarkEnd w:id="107"/>
      <w:bookmarkEnd w:id="108"/>
    </w:p>
    <w:p w14:paraId="4812854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1.2.1  本</w:t>
      </w:r>
      <w:r>
        <w:rPr>
          <w:rFonts w:hint="eastAsia" w:ascii="宋体" w:hAnsi="宋体"/>
          <w:snapToGrid w:val="0"/>
          <w:color w:val="auto"/>
          <w:kern w:val="0"/>
          <w:szCs w:val="21"/>
        </w:rPr>
        <w:t>采购</w:t>
      </w:r>
      <w:r>
        <w:rPr>
          <w:rFonts w:ascii="宋体" w:hAnsi="宋体"/>
          <w:snapToGrid w:val="0"/>
          <w:color w:val="auto"/>
          <w:kern w:val="0"/>
          <w:szCs w:val="21"/>
        </w:rPr>
        <w:t>项目的资金来源：见投标人须知前附表。</w:t>
      </w:r>
    </w:p>
    <w:p w14:paraId="0AA8CD3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1.2.2  本</w:t>
      </w:r>
      <w:r>
        <w:rPr>
          <w:rFonts w:hint="eastAsia" w:ascii="宋体" w:hAnsi="宋体"/>
          <w:snapToGrid w:val="0"/>
          <w:color w:val="auto"/>
          <w:kern w:val="0"/>
          <w:szCs w:val="21"/>
        </w:rPr>
        <w:t>采购</w:t>
      </w:r>
      <w:r>
        <w:rPr>
          <w:rFonts w:ascii="宋体" w:hAnsi="宋体"/>
          <w:snapToGrid w:val="0"/>
          <w:color w:val="auto"/>
          <w:kern w:val="0"/>
          <w:szCs w:val="21"/>
        </w:rPr>
        <w:t>项目的出资比例：见投标人须知前附表。</w:t>
      </w:r>
    </w:p>
    <w:p w14:paraId="7A629EE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1.2.3  本</w:t>
      </w:r>
      <w:r>
        <w:rPr>
          <w:rFonts w:hint="eastAsia" w:ascii="宋体" w:hAnsi="宋体"/>
          <w:snapToGrid w:val="0"/>
          <w:color w:val="auto"/>
          <w:kern w:val="0"/>
          <w:szCs w:val="21"/>
        </w:rPr>
        <w:t>采购</w:t>
      </w:r>
      <w:r>
        <w:rPr>
          <w:rFonts w:ascii="宋体" w:hAnsi="宋体"/>
          <w:snapToGrid w:val="0"/>
          <w:color w:val="auto"/>
          <w:kern w:val="0"/>
          <w:szCs w:val="21"/>
        </w:rPr>
        <w:t>项目的资金落实情况：见投标人须知前附表。</w:t>
      </w:r>
    </w:p>
    <w:p w14:paraId="5D3459CA">
      <w:pPr>
        <w:pStyle w:val="5"/>
        <w:snapToGrid w:val="0"/>
        <w:spacing w:before="0" w:after="0" w:line="360" w:lineRule="auto"/>
        <w:rPr>
          <w:rFonts w:ascii="宋体" w:hAnsi="宋体"/>
          <w:b w:val="0"/>
          <w:snapToGrid w:val="0"/>
          <w:color w:val="auto"/>
          <w:sz w:val="24"/>
          <w:szCs w:val="24"/>
        </w:rPr>
      </w:pPr>
      <w:bookmarkStart w:id="109" w:name="_Toc287607749"/>
      <w:bookmarkStart w:id="110" w:name="_Toc254"/>
      <w:bookmarkStart w:id="111" w:name="_Toc224103320"/>
      <w:bookmarkStart w:id="112" w:name="_Toc277082555"/>
      <w:bookmarkStart w:id="113" w:name="_Toc287620688"/>
      <w:bookmarkStart w:id="114" w:name="_Toc509218713"/>
      <w:bookmarkStart w:id="115" w:name="_Toc200513129"/>
      <w:bookmarkStart w:id="116" w:name="_Toc430530438"/>
      <w:r>
        <w:rPr>
          <w:rFonts w:ascii="宋体" w:hAnsi="宋体"/>
          <w:b w:val="0"/>
          <w:snapToGrid w:val="0"/>
          <w:color w:val="auto"/>
          <w:sz w:val="24"/>
          <w:szCs w:val="24"/>
        </w:rPr>
        <w:t xml:space="preserve">1.3  </w:t>
      </w:r>
      <w:r>
        <w:rPr>
          <w:rFonts w:hint="eastAsia" w:ascii="宋体" w:hAnsi="宋体"/>
          <w:b w:val="0"/>
          <w:snapToGrid w:val="0"/>
          <w:color w:val="auto"/>
          <w:sz w:val="24"/>
          <w:szCs w:val="24"/>
        </w:rPr>
        <w:t>采购</w:t>
      </w:r>
      <w:r>
        <w:rPr>
          <w:rFonts w:ascii="宋体" w:hAnsi="宋体"/>
          <w:b w:val="0"/>
          <w:snapToGrid w:val="0"/>
          <w:color w:val="auto"/>
          <w:sz w:val="24"/>
          <w:szCs w:val="24"/>
        </w:rPr>
        <w:t>范围、计划工期和质量要求</w:t>
      </w:r>
      <w:bookmarkEnd w:id="109"/>
      <w:bookmarkEnd w:id="110"/>
      <w:bookmarkEnd w:id="111"/>
      <w:bookmarkEnd w:id="112"/>
      <w:bookmarkEnd w:id="113"/>
      <w:bookmarkEnd w:id="114"/>
      <w:bookmarkEnd w:id="115"/>
      <w:bookmarkEnd w:id="116"/>
    </w:p>
    <w:p w14:paraId="3A21FF6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1.3.1  </w:t>
      </w:r>
      <w:r>
        <w:rPr>
          <w:rFonts w:hint="eastAsia" w:ascii="宋体" w:hAnsi="宋体"/>
          <w:snapToGrid w:val="0"/>
          <w:color w:val="auto"/>
          <w:kern w:val="0"/>
          <w:szCs w:val="21"/>
        </w:rPr>
        <w:t>采购</w:t>
      </w:r>
      <w:r>
        <w:rPr>
          <w:rFonts w:ascii="宋体" w:hAnsi="宋体"/>
          <w:snapToGrid w:val="0"/>
          <w:color w:val="auto"/>
          <w:kern w:val="0"/>
          <w:szCs w:val="21"/>
        </w:rPr>
        <w:t>范围：见投标人须知前附表。</w:t>
      </w:r>
    </w:p>
    <w:p w14:paraId="71D1F77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1.3.2  计划工期：见投标人须知前附表。</w:t>
      </w:r>
    </w:p>
    <w:p w14:paraId="7D3BD64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1.3.3  质量要求：见投标人须知前附表。</w:t>
      </w:r>
    </w:p>
    <w:p w14:paraId="6AE61301">
      <w:pPr>
        <w:pStyle w:val="5"/>
        <w:snapToGrid w:val="0"/>
        <w:spacing w:before="0" w:after="0" w:line="360" w:lineRule="auto"/>
        <w:rPr>
          <w:rFonts w:ascii="宋体" w:hAnsi="宋体"/>
          <w:b w:val="0"/>
          <w:snapToGrid w:val="0"/>
          <w:color w:val="auto"/>
          <w:sz w:val="24"/>
          <w:szCs w:val="24"/>
        </w:rPr>
      </w:pPr>
      <w:bookmarkStart w:id="117" w:name="_Toc224103322"/>
      <w:bookmarkStart w:id="118" w:name="_Toc287607751"/>
      <w:bookmarkStart w:id="119" w:name="_Toc200513131"/>
      <w:bookmarkStart w:id="120" w:name="_Toc277082557"/>
      <w:bookmarkStart w:id="121" w:name="_Toc287620690"/>
      <w:bookmarkStart w:id="122" w:name="_Toc25787"/>
      <w:bookmarkStart w:id="123" w:name="_Toc509218715"/>
      <w:bookmarkStart w:id="124" w:name="_Toc430530440"/>
      <w:r>
        <w:rPr>
          <w:rFonts w:ascii="宋体" w:hAnsi="宋体"/>
          <w:b w:val="0"/>
          <w:snapToGrid w:val="0"/>
          <w:color w:val="auto"/>
          <w:sz w:val="24"/>
          <w:szCs w:val="24"/>
        </w:rPr>
        <w:t>1.4  投标人资格要求</w:t>
      </w:r>
      <w:bookmarkEnd w:id="117"/>
      <w:bookmarkEnd w:id="118"/>
      <w:bookmarkEnd w:id="119"/>
      <w:bookmarkEnd w:id="120"/>
      <w:bookmarkEnd w:id="121"/>
      <w:bookmarkEnd w:id="122"/>
      <w:bookmarkEnd w:id="123"/>
      <w:bookmarkEnd w:id="124"/>
    </w:p>
    <w:p w14:paraId="4FDF902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1.4.1 投标人应具备承担本标段施工的资质条件、能力和信誉。</w:t>
      </w:r>
    </w:p>
    <w:p w14:paraId="6B2109F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资质条件、营业执照及安全生产条件</w:t>
      </w:r>
      <w:r>
        <w:rPr>
          <w:rFonts w:ascii="宋体" w:hAnsi="宋体"/>
          <w:snapToGrid w:val="0"/>
          <w:color w:val="auto"/>
          <w:kern w:val="0"/>
          <w:szCs w:val="21"/>
        </w:rPr>
        <w:t>：见投标人须知前附表；</w:t>
      </w:r>
    </w:p>
    <w:p w14:paraId="342131C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（2）财务要求：见投标人须知前附表；</w:t>
      </w:r>
    </w:p>
    <w:p w14:paraId="02AA557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（3）业绩要求：见投标人须知前附表；</w:t>
      </w:r>
    </w:p>
    <w:p w14:paraId="18F57C8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4C6765C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（5）项目经理资格</w:t>
      </w:r>
      <w:r>
        <w:rPr>
          <w:rFonts w:hint="eastAsia" w:ascii="宋体" w:hAnsi="宋体"/>
          <w:snapToGrid w:val="0"/>
          <w:color w:val="auto"/>
          <w:kern w:val="0"/>
          <w:szCs w:val="21"/>
        </w:rPr>
        <w:t>要求</w:t>
      </w:r>
      <w:r>
        <w:rPr>
          <w:rFonts w:ascii="宋体" w:hAnsi="宋体"/>
          <w:snapToGrid w:val="0"/>
          <w:color w:val="auto"/>
          <w:kern w:val="0"/>
          <w:szCs w:val="21"/>
        </w:rPr>
        <w:t>：见投标人须知前附表；</w:t>
      </w:r>
    </w:p>
    <w:p w14:paraId="2595B84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（6）其他要求：见投标人须知前附表。</w:t>
      </w:r>
    </w:p>
    <w:p w14:paraId="1391212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1.4.2  投标人须知前附表规定接受联合体投标的，除应符合本章第1.4.1项和投标人须知前附表的要求外，还应遵守以下规定：</w:t>
      </w:r>
    </w:p>
    <w:p w14:paraId="465E216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（1）联合体各方应按</w:t>
      </w:r>
      <w:r>
        <w:rPr>
          <w:rFonts w:hint="eastAsia" w:ascii="宋体" w:hAnsi="宋体"/>
          <w:snapToGrid w:val="0"/>
          <w:color w:val="auto"/>
          <w:kern w:val="0"/>
          <w:szCs w:val="21"/>
        </w:rPr>
        <w:t>采购</w:t>
      </w:r>
      <w:r>
        <w:rPr>
          <w:rFonts w:ascii="宋体" w:hAnsi="宋体"/>
          <w:snapToGrid w:val="0"/>
          <w:color w:val="auto"/>
          <w:kern w:val="0"/>
          <w:szCs w:val="21"/>
        </w:rPr>
        <w:t>文件提供的格式签订联合体协议书，明确联合体牵头人和各方权利义务；</w:t>
      </w:r>
    </w:p>
    <w:p w14:paraId="0F2C17C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（2）联合体各方均应当具备承担</w:t>
      </w:r>
      <w:r>
        <w:rPr>
          <w:rFonts w:hint="eastAsia" w:ascii="宋体" w:hAnsi="宋体"/>
          <w:snapToGrid w:val="0"/>
          <w:color w:val="auto"/>
          <w:kern w:val="0"/>
          <w:szCs w:val="21"/>
        </w:rPr>
        <w:t>采购</w:t>
      </w:r>
      <w:r>
        <w:rPr>
          <w:rFonts w:ascii="宋体" w:hAnsi="宋体"/>
          <w:snapToGrid w:val="0"/>
          <w:color w:val="auto"/>
          <w:kern w:val="0"/>
          <w:szCs w:val="21"/>
        </w:rPr>
        <w:t>项目的相应能力；联合体协议约定同一专业分工由两个及以上单位共同承担的，</w:t>
      </w:r>
      <w:r>
        <w:rPr>
          <w:rFonts w:hint="eastAsia" w:ascii="宋体" w:hAnsi="宋体"/>
          <w:snapToGrid w:val="0"/>
          <w:color w:val="auto"/>
          <w:kern w:val="0"/>
          <w:szCs w:val="21"/>
        </w:rPr>
        <w:t>按照资质等级较低的单位确定资质等级</w:t>
      </w:r>
      <w:r>
        <w:rPr>
          <w:rFonts w:ascii="宋体" w:hAnsi="宋体"/>
          <w:snapToGrid w:val="0"/>
          <w:color w:val="auto"/>
          <w:kern w:val="0"/>
          <w:szCs w:val="21"/>
        </w:rPr>
        <w:t>；</w:t>
      </w:r>
    </w:p>
    <w:p w14:paraId="4746254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（3）联合体各方不得再以自己名义单独或参加其他联合体在同一标段中投标。</w:t>
      </w:r>
    </w:p>
    <w:p w14:paraId="3929E2F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58F402C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（1）与</w:t>
      </w:r>
      <w:r>
        <w:rPr>
          <w:rFonts w:hint="eastAsia" w:ascii="宋体" w:hAnsi="宋体"/>
          <w:snapToGrid w:val="0"/>
          <w:color w:val="auto"/>
          <w:kern w:val="0"/>
          <w:position w:val="-2"/>
          <w:szCs w:val="21"/>
        </w:rPr>
        <w:t>采购</w:t>
      </w:r>
      <w:r>
        <w:rPr>
          <w:rFonts w:ascii="宋体" w:hAnsi="宋体"/>
          <w:snapToGrid w:val="0"/>
          <w:color w:val="auto"/>
          <w:kern w:val="0"/>
          <w:position w:val="-2"/>
          <w:szCs w:val="21"/>
        </w:rPr>
        <w:t>人存在利害关系可能影响</w:t>
      </w:r>
      <w:r>
        <w:rPr>
          <w:rFonts w:hint="eastAsia" w:ascii="宋体" w:hAnsi="宋体"/>
          <w:snapToGrid w:val="0"/>
          <w:color w:val="auto"/>
          <w:kern w:val="0"/>
          <w:position w:val="-2"/>
          <w:szCs w:val="21"/>
        </w:rPr>
        <w:t>采购</w:t>
      </w:r>
      <w:r>
        <w:rPr>
          <w:rFonts w:ascii="宋体" w:hAnsi="宋体"/>
          <w:snapToGrid w:val="0"/>
          <w:color w:val="auto"/>
          <w:kern w:val="0"/>
          <w:position w:val="-2"/>
          <w:szCs w:val="21"/>
        </w:rPr>
        <w:t>公正性的法人、其他组织或者个人；</w:t>
      </w:r>
    </w:p>
    <w:p w14:paraId="0D77AE0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（2）为本标段前期准备提供设计或咨询服务的，但设计施工总承包的除外；</w:t>
      </w:r>
    </w:p>
    <w:p w14:paraId="709E919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（3）为本标段的监理人；</w:t>
      </w:r>
    </w:p>
    <w:p w14:paraId="1083177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（4）为本标段的代建人；</w:t>
      </w:r>
    </w:p>
    <w:p w14:paraId="01818FB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（5）为本标段提供</w:t>
      </w:r>
      <w:r>
        <w:rPr>
          <w:rFonts w:hint="eastAsia" w:ascii="宋体" w:hAnsi="宋体"/>
          <w:snapToGrid w:val="0"/>
          <w:color w:val="auto"/>
          <w:kern w:val="0"/>
          <w:szCs w:val="21"/>
        </w:rPr>
        <w:t>采购</w:t>
      </w:r>
      <w:r>
        <w:rPr>
          <w:rFonts w:ascii="宋体" w:hAnsi="宋体"/>
          <w:snapToGrid w:val="0"/>
          <w:color w:val="auto"/>
          <w:kern w:val="0"/>
          <w:szCs w:val="21"/>
        </w:rPr>
        <w:t>代理服务的；</w:t>
      </w:r>
    </w:p>
    <w:p w14:paraId="2843D1F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（6）与本标段的监理人或代建人或</w:t>
      </w:r>
      <w:r>
        <w:rPr>
          <w:rFonts w:hint="eastAsia" w:ascii="宋体" w:hAnsi="宋体"/>
          <w:snapToGrid w:val="0"/>
          <w:color w:val="auto"/>
          <w:kern w:val="0"/>
          <w:szCs w:val="21"/>
        </w:rPr>
        <w:t>采购</w:t>
      </w:r>
      <w:r>
        <w:rPr>
          <w:rFonts w:ascii="宋体" w:hAnsi="宋体"/>
          <w:snapToGrid w:val="0"/>
          <w:color w:val="auto"/>
          <w:kern w:val="0"/>
          <w:szCs w:val="21"/>
        </w:rPr>
        <w:t>代理机构同为一个法定代表人的；</w:t>
      </w:r>
    </w:p>
    <w:p w14:paraId="051ACFF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（7）与本标段的监理人或代建人或</w:t>
      </w:r>
      <w:r>
        <w:rPr>
          <w:rFonts w:hint="eastAsia" w:ascii="宋体" w:hAnsi="宋体"/>
          <w:snapToGrid w:val="0"/>
          <w:color w:val="auto"/>
          <w:kern w:val="0"/>
          <w:szCs w:val="21"/>
        </w:rPr>
        <w:t>采购</w:t>
      </w:r>
      <w:r>
        <w:rPr>
          <w:rFonts w:ascii="宋体" w:hAnsi="宋体"/>
          <w:snapToGrid w:val="0"/>
          <w:color w:val="auto"/>
          <w:kern w:val="0"/>
          <w:szCs w:val="21"/>
        </w:rPr>
        <w:t>代理机构相互控股或参股的；</w:t>
      </w:r>
    </w:p>
    <w:p w14:paraId="67A4C83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（8）与本标段的监理人或代建人或</w:t>
      </w:r>
      <w:r>
        <w:rPr>
          <w:rFonts w:hint="eastAsia" w:ascii="宋体" w:hAnsi="宋体"/>
          <w:snapToGrid w:val="0"/>
          <w:color w:val="auto"/>
          <w:kern w:val="0"/>
          <w:szCs w:val="21"/>
        </w:rPr>
        <w:t>采购</w:t>
      </w:r>
      <w:r>
        <w:rPr>
          <w:rFonts w:ascii="宋体" w:hAnsi="宋体"/>
          <w:snapToGrid w:val="0"/>
          <w:color w:val="auto"/>
          <w:kern w:val="0"/>
          <w:szCs w:val="21"/>
        </w:rPr>
        <w:t>代理机构相互任职或工作的；</w:t>
      </w:r>
    </w:p>
    <w:p w14:paraId="50AF2E3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（9）被责令停业的；</w:t>
      </w:r>
    </w:p>
    <w:p w14:paraId="129F525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（10）</w:t>
      </w:r>
      <w:r>
        <w:rPr>
          <w:rFonts w:hint="eastAsia" w:ascii="宋体" w:hAnsi="宋体"/>
          <w:snapToGrid w:val="0"/>
          <w:color w:val="auto"/>
          <w:kern w:val="0"/>
          <w:szCs w:val="21"/>
        </w:rPr>
        <w:t>被国家、重庆市（含市或任意区县）有关行政部门处以暂停投标资格行政处罚，且在处罚期限内的</w:t>
      </w:r>
      <w:r>
        <w:rPr>
          <w:rFonts w:ascii="宋体" w:hAnsi="宋体"/>
          <w:snapToGrid w:val="0"/>
          <w:color w:val="auto"/>
          <w:kern w:val="0"/>
          <w:szCs w:val="21"/>
        </w:rPr>
        <w:t>；</w:t>
      </w:r>
    </w:p>
    <w:p w14:paraId="5191417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（11）财产被接管或冻结的；</w:t>
      </w:r>
    </w:p>
    <w:p w14:paraId="302A92A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（12）</w:t>
      </w:r>
      <w:r>
        <w:rPr>
          <w:rFonts w:ascii="宋体" w:hAnsi="宋体"/>
          <w:color w:val="auto"/>
          <w:szCs w:val="21"/>
        </w:rPr>
        <w:t>单位负责人为同一人或者存在控股、管理关系的不同单位，不得在同一标段中同时投标</w:t>
      </w:r>
      <w:r>
        <w:rPr>
          <w:rFonts w:ascii="宋体" w:hAnsi="宋体"/>
          <w:snapToGrid w:val="0"/>
          <w:color w:val="auto"/>
          <w:kern w:val="0"/>
          <w:szCs w:val="21"/>
        </w:rPr>
        <w:t>。</w:t>
      </w:r>
    </w:p>
    <w:p w14:paraId="55A41DED">
      <w:pPr>
        <w:pStyle w:val="5"/>
        <w:snapToGrid w:val="0"/>
        <w:spacing w:before="0" w:after="0" w:line="360" w:lineRule="auto"/>
        <w:rPr>
          <w:rFonts w:ascii="宋体" w:hAnsi="宋体"/>
          <w:b w:val="0"/>
          <w:snapToGrid w:val="0"/>
          <w:color w:val="auto"/>
          <w:sz w:val="24"/>
          <w:szCs w:val="24"/>
        </w:rPr>
      </w:pPr>
      <w:bookmarkStart w:id="125" w:name="_Toc287607752"/>
      <w:bookmarkStart w:id="126" w:name="_Toc277082558"/>
      <w:bookmarkStart w:id="127" w:name="_Toc224103323"/>
      <w:bookmarkStart w:id="128" w:name="_Toc509218716"/>
      <w:bookmarkStart w:id="129" w:name="_Toc430530441"/>
      <w:bookmarkStart w:id="130" w:name="_Toc29714"/>
      <w:bookmarkStart w:id="131" w:name="_Toc200513132"/>
      <w:bookmarkStart w:id="132" w:name="_Toc287620691"/>
      <w:r>
        <w:rPr>
          <w:rFonts w:ascii="宋体" w:hAnsi="宋体"/>
          <w:b w:val="0"/>
          <w:snapToGrid w:val="0"/>
          <w:color w:val="auto"/>
          <w:sz w:val="24"/>
          <w:szCs w:val="24"/>
        </w:rPr>
        <w:t>1.5  费用承担</w:t>
      </w:r>
      <w:bookmarkEnd w:id="125"/>
      <w:bookmarkEnd w:id="126"/>
      <w:bookmarkEnd w:id="127"/>
      <w:bookmarkEnd w:id="128"/>
      <w:bookmarkEnd w:id="129"/>
      <w:bookmarkEnd w:id="130"/>
      <w:bookmarkEnd w:id="131"/>
      <w:bookmarkEnd w:id="132"/>
    </w:p>
    <w:p w14:paraId="598B61A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455A7D83">
      <w:pPr>
        <w:pStyle w:val="5"/>
        <w:snapToGrid w:val="0"/>
        <w:spacing w:before="0" w:after="0" w:line="360" w:lineRule="auto"/>
        <w:rPr>
          <w:rFonts w:ascii="宋体" w:hAnsi="宋体"/>
          <w:b w:val="0"/>
          <w:snapToGrid w:val="0"/>
          <w:color w:val="auto"/>
          <w:sz w:val="24"/>
          <w:szCs w:val="24"/>
        </w:rPr>
      </w:pPr>
      <w:bookmarkStart w:id="133" w:name="_Toc287620692"/>
      <w:bookmarkStart w:id="134" w:name="_Toc224103324"/>
      <w:bookmarkStart w:id="135" w:name="_Toc509218717"/>
      <w:bookmarkStart w:id="136" w:name="_Toc9481"/>
      <w:bookmarkStart w:id="137" w:name="_Toc277082559"/>
      <w:bookmarkStart w:id="138" w:name="_Toc430530442"/>
      <w:bookmarkStart w:id="139" w:name="_Toc287607753"/>
      <w:bookmarkStart w:id="140" w:name="_Toc200513133"/>
      <w:r>
        <w:rPr>
          <w:rFonts w:ascii="宋体" w:hAnsi="宋体"/>
          <w:b w:val="0"/>
          <w:snapToGrid w:val="0"/>
          <w:color w:val="auto"/>
          <w:sz w:val="24"/>
          <w:szCs w:val="24"/>
        </w:rPr>
        <w:t>1.6  保密</w:t>
      </w:r>
      <w:bookmarkEnd w:id="133"/>
      <w:bookmarkEnd w:id="134"/>
      <w:bookmarkEnd w:id="135"/>
      <w:bookmarkEnd w:id="136"/>
      <w:bookmarkEnd w:id="137"/>
      <w:bookmarkEnd w:id="138"/>
      <w:bookmarkEnd w:id="139"/>
      <w:bookmarkEnd w:id="140"/>
    </w:p>
    <w:p w14:paraId="7B5FB97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w:t>
      </w:r>
      <w:r>
        <w:rPr>
          <w:rFonts w:hint="eastAsia" w:ascii="宋体" w:hAnsi="宋体"/>
          <w:snapToGrid w:val="0"/>
          <w:color w:val="auto"/>
          <w:kern w:val="0"/>
          <w:szCs w:val="21"/>
        </w:rPr>
        <w:t>采购</w:t>
      </w:r>
      <w:r>
        <w:rPr>
          <w:rFonts w:ascii="宋体" w:hAnsi="宋体"/>
          <w:snapToGrid w:val="0"/>
          <w:color w:val="auto"/>
          <w:kern w:val="0"/>
          <w:szCs w:val="21"/>
        </w:rPr>
        <w:t>投标活动的各方应对</w:t>
      </w:r>
      <w:r>
        <w:rPr>
          <w:rFonts w:hint="eastAsia" w:ascii="宋体" w:hAnsi="宋体"/>
          <w:snapToGrid w:val="0"/>
          <w:color w:val="auto"/>
          <w:kern w:val="0"/>
          <w:szCs w:val="21"/>
        </w:rPr>
        <w:t>采购</w:t>
      </w:r>
      <w:r>
        <w:rPr>
          <w:rFonts w:ascii="宋体" w:hAnsi="宋体"/>
          <w:snapToGrid w:val="0"/>
          <w:color w:val="auto"/>
          <w:kern w:val="0"/>
          <w:szCs w:val="21"/>
        </w:rPr>
        <w:t>文件和投标文件中的商业和技术等秘密保密，违者应对由此造成的后果承担法律责任。</w:t>
      </w:r>
    </w:p>
    <w:p w14:paraId="13808D60">
      <w:pPr>
        <w:pStyle w:val="5"/>
        <w:snapToGrid w:val="0"/>
        <w:spacing w:before="0" w:after="0" w:line="360" w:lineRule="auto"/>
        <w:rPr>
          <w:rFonts w:ascii="宋体" w:hAnsi="宋体"/>
          <w:b w:val="0"/>
          <w:snapToGrid w:val="0"/>
          <w:color w:val="auto"/>
          <w:sz w:val="24"/>
          <w:szCs w:val="24"/>
        </w:rPr>
      </w:pPr>
      <w:bookmarkStart w:id="141" w:name="_Toc200513134"/>
      <w:bookmarkStart w:id="142" w:name="_Toc509218718"/>
      <w:bookmarkStart w:id="143" w:name="_Toc277082560"/>
      <w:bookmarkStart w:id="144" w:name="_Toc287607754"/>
      <w:bookmarkStart w:id="145" w:name="_Toc287620693"/>
      <w:bookmarkStart w:id="146" w:name="_Toc15202"/>
      <w:bookmarkStart w:id="147" w:name="_Toc224103325"/>
      <w:bookmarkStart w:id="148" w:name="_Toc430530443"/>
      <w:r>
        <w:rPr>
          <w:rFonts w:ascii="宋体" w:hAnsi="宋体"/>
          <w:b w:val="0"/>
          <w:snapToGrid w:val="0"/>
          <w:color w:val="auto"/>
          <w:sz w:val="24"/>
          <w:szCs w:val="24"/>
        </w:rPr>
        <w:t>1.7  语言文字</w:t>
      </w:r>
      <w:bookmarkEnd w:id="141"/>
      <w:bookmarkEnd w:id="142"/>
      <w:bookmarkEnd w:id="143"/>
      <w:bookmarkEnd w:id="144"/>
      <w:bookmarkEnd w:id="145"/>
      <w:bookmarkEnd w:id="146"/>
      <w:bookmarkEnd w:id="147"/>
      <w:bookmarkEnd w:id="148"/>
    </w:p>
    <w:p w14:paraId="3633FC3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w:t>
      </w:r>
      <w:r>
        <w:rPr>
          <w:rFonts w:hint="eastAsia" w:ascii="宋体" w:hAnsi="宋体"/>
          <w:snapToGrid w:val="0"/>
          <w:color w:val="auto"/>
          <w:kern w:val="0"/>
          <w:szCs w:val="21"/>
        </w:rPr>
        <w:t>采购</w:t>
      </w:r>
      <w:r>
        <w:rPr>
          <w:rFonts w:ascii="宋体" w:hAnsi="宋体"/>
          <w:snapToGrid w:val="0"/>
          <w:color w:val="auto"/>
          <w:kern w:val="0"/>
          <w:szCs w:val="21"/>
        </w:rPr>
        <w:t>投标有关的语言均使用中文。必要时专用术语应附有中文注释。</w:t>
      </w:r>
    </w:p>
    <w:p w14:paraId="68396065">
      <w:pPr>
        <w:pStyle w:val="5"/>
        <w:snapToGrid w:val="0"/>
        <w:spacing w:before="0" w:after="0" w:line="360" w:lineRule="auto"/>
        <w:rPr>
          <w:rFonts w:ascii="宋体" w:hAnsi="宋体"/>
          <w:b w:val="0"/>
          <w:snapToGrid w:val="0"/>
          <w:color w:val="auto"/>
          <w:sz w:val="24"/>
          <w:szCs w:val="24"/>
        </w:rPr>
      </w:pPr>
      <w:bookmarkStart w:id="149" w:name="_Toc287620694"/>
      <w:bookmarkStart w:id="150" w:name="_Toc430530444"/>
      <w:bookmarkStart w:id="151" w:name="_Toc224103326"/>
      <w:bookmarkStart w:id="152" w:name="_Toc287607755"/>
      <w:bookmarkStart w:id="153" w:name="_Toc277082561"/>
      <w:bookmarkStart w:id="154" w:name="_Toc200513135"/>
      <w:bookmarkStart w:id="155" w:name="_Toc509218719"/>
      <w:bookmarkStart w:id="156" w:name="_Toc27153"/>
      <w:r>
        <w:rPr>
          <w:rFonts w:ascii="宋体" w:hAnsi="宋体"/>
          <w:b w:val="0"/>
          <w:snapToGrid w:val="0"/>
          <w:color w:val="auto"/>
          <w:sz w:val="24"/>
          <w:szCs w:val="24"/>
        </w:rPr>
        <w:t>1.8  计量单位</w:t>
      </w:r>
      <w:bookmarkEnd w:id="149"/>
      <w:bookmarkEnd w:id="150"/>
      <w:bookmarkEnd w:id="151"/>
      <w:bookmarkEnd w:id="152"/>
      <w:bookmarkEnd w:id="153"/>
      <w:bookmarkEnd w:id="154"/>
      <w:bookmarkEnd w:id="155"/>
      <w:bookmarkEnd w:id="156"/>
    </w:p>
    <w:p w14:paraId="1C76B3FA">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771D5F88">
      <w:pPr>
        <w:pStyle w:val="5"/>
        <w:snapToGrid w:val="0"/>
        <w:spacing w:before="0" w:after="0" w:line="360" w:lineRule="auto"/>
        <w:rPr>
          <w:rFonts w:ascii="宋体" w:hAnsi="宋体"/>
          <w:b w:val="0"/>
          <w:snapToGrid w:val="0"/>
          <w:color w:val="auto"/>
          <w:sz w:val="24"/>
          <w:szCs w:val="24"/>
        </w:rPr>
      </w:pPr>
      <w:bookmarkStart w:id="157" w:name="_Toc277082562"/>
      <w:bookmarkStart w:id="158" w:name="_Toc132"/>
      <w:bookmarkStart w:id="159" w:name="_Toc287620695"/>
      <w:bookmarkStart w:id="160" w:name="_Toc224103327"/>
      <w:bookmarkStart w:id="161" w:name="_Toc200513136"/>
      <w:bookmarkStart w:id="162" w:name="_Toc287607756"/>
      <w:bookmarkStart w:id="163" w:name="_Toc509218720"/>
      <w:bookmarkStart w:id="164" w:name="_Toc430530445"/>
      <w:r>
        <w:rPr>
          <w:rFonts w:ascii="宋体" w:hAnsi="宋体"/>
          <w:b w:val="0"/>
          <w:snapToGrid w:val="0"/>
          <w:color w:val="auto"/>
          <w:sz w:val="24"/>
          <w:szCs w:val="24"/>
        </w:rPr>
        <w:t>1.9  踏勘现场</w:t>
      </w:r>
      <w:bookmarkEnd w:id="157"/>
      <w:bookmarkEnd w:id="158"/>
      <w:bookmarkEnd w:id="159"/>
      <w:bookmarkEnd w:id="160"/>
      <w:bookmarkEnd w:id="161"/>
      <w:bookmarkEnd w:id="162"/>
      <w:bookmarkEnd w:id="163"/>
      <w:bookmarkEnd w:id="164"/>
    </w:p>
    <w:p w14:paraId="6DF3331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1.9.1  投标人须知前附表规定组织踏勘现场的，</w:t>
      </w:r>
      <w:r>
        <w:rPr>
          <w:rFonts w:hint="eastAsia" w:ascii="宋体" w:hAnsi="宋体"/>
          <w:snapToGrid w:val="0"/>
          <w:color w:val="auto"/>
          <w:kern w:val="0"/>
          <w:szCs w:val="21"/>
        </w:rPr>
        <w:t>采购</w:t>
      </w:r>
      <w:r>
        <w:rPr>
          <w:rFonts w:ascii="宋体" w:hAnsi="宋体"/>
          <w:snapToGrid w:val="0"/>
          <w:color w:val="auto"/>
          <w:kern w:val="0"/>
          <w:szCs w:val="21"/>
        </w:rPr>
        <w:t>人按投标人须知前附表规定的时间、 地点组织投标人踏勘项目现场。</w:t>
      </w:r>
    </w:p>
    <w:p w14:paraId="6C32496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1.9.2  投标人踏勘现场发生的费用自理。</w:t>
      </w:r>
    </w:p>
    <w:p w14:paraId="5B298E5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1.9.3  除</w:t>
      </w:r>
      <w:r>
        <w:rPr>
          <w:rFonts w:hint="eastAsia" w:ascii="宋体" w:hAnsi="宋体"/>
          <w:snapToGrid w:val="0"/>
          <w:color w:val="auto"/>
          <w:kern w:val="0"/>
          <w:szCs w:val="21"/>
        </w:rPr>
        <w:t>采购</w:t>
      </w:r>
      <w:r>
        <w:rPr>
          <w:rFonts w:ascii="宋体" w:hAnsi="宋体"/>
          <w:snapToGrid w:val="0"/>
          <w:color w:val="auto"/>
          <w:kern w:val="0"/>
          <w:szCs w:val="21"/>
        </w:rPr>
        <w:t>人的原因外，投标人自行负责在踏勘现场中所发生的人员伤亡和财产损失。</w:t>
      </w:r>
    </w:p>
    <w:p w14:paraId="084FC9A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1.9.4  </w:t>
      </w:r>
      <w:r>
        <w:rPr>
          <w:rFonts w:hint="eastAsia" w:ascii="宋体" w:hAnsi="宋体"/>
          <w:snapToGrid w:val="0"/>
          <w:color w:val="auto"/>
          <w:kern w:val="0"/>
          <w:szCs w:val="21"/>
        </w:rPr>
        <w:t>采购</w:t>
      </w:r>
      <w:r>
        <w:rPr>
          <w:rFonts w:ascii="宋体" w:hAnsi="宋体"/>
          <w:snapToGrid w:val="0"/>
          <w:color w:val="auto"/>
          <w:kern w:val="0"/>
          <w:szCs w:val="21"/>
        </w:rPr>
        <w:t>人在踏勘现场中介绍的工程场地和相关的周边环境情况，供投标人在编制投标文件时参考，</w:t>
      </w:r>
      <w:r>
        <w:rPr>
          <w:rFonts w:hint="eastAsia" w:ascii="宋体" w:hAnsi="宋体"/>
          <w:snapToGrid w:val="0"/>
          <w:color w:val="auto"/>
          <w:kern w:val="0"/>
          <w:szCs w:val="21"/>
        </w:rPr>
        <w:t>采购</w:t>
      </w:r>
      <w:r>
        <w:rPr>
          <w:rFonts w:ascii="宋体" w:hAnsi="宋体"/>
          <w:snapToGrid w:val="0"/>
          <w:color w:val="auto"/>
          <w:kern w:val="0"/>
          <w:szCs w:val="21"/>
        </w:rPr>
        <w:t>人不对投标人据此做出的判断和决策负责。</w:t>
      </w:r>
    </w:p>
    <w:p w14:paraId="10A6438C">
      <w:pPr>
        <w:pStyle w:val="5"/>
        <w:snapToGrid w:val="0"/>
        <w:spacing w:before="0" w:after="0" w:line="360" w:lineRule="auto"/>
        <w:rPr>
          <w:rFonts w:ascii="宋体" w:hAnsi="宋体"/>
          <w:b w:val="0"/>
          <w:snapToGrid w:val="0"/>
          <w:color w:val="auto"/>
          <w:sz w:val="24"/>
          <w:szCs w:val="24"/>
        </w:rPr>
      </w:pPr>
      <w:bookmarkStart w:id="165" w:name="_Toc11926"/>
      <w:bookmarkStart w:id="166" w:name="_Toc287620696"/>
      <w:bookmarkStart w:id="167" w:name="_Toc224103328"/>
      <w:bookmarkStart w:id="168" w:name="_Toc200513137"/>
      <w:bookmarkStart w:id="169" w:name="_Toc430530446"/>
      <w:bookmarkStart w:id="170" w:name="_Toc277082563"/>
      <w:bookmarkStart w:id="171" w:name="_Toc509218721"/>
      <w:bookmarkStart w:id="172" w:name="_Toc287607757"/>
      <w:r>
        <w:rPr>
          <w:rFonts w:ascii="宋体" w:hAnsi="宋体"/>
          <w:b w:val="0"/>
          <w:snapToGrid w:val="0"/>
          <w:color w:val="auto"/>
          <w:sz w:val="24"/>
          <w:szCs w:val="24"/>
        </w:rPr>
        <w:t>1.10  投标预备会</w:t>
      </w:r>
      <w:bookmarkEnd w:id="165"/>
      <w:bookmarkEnd w:id="166"/>
      <w:bookmarkEnd w:id="167"/>
      <w:bookmarkEnd w:id="168"/>
      <w:bookmarkEnd w:id="169"/>
      <w:bookmarkEnd w:id="170"/>
      <w:bookmarkEnd w:id="171"/>
      <w:bookmarkEnd w:id="172"/>
    </w:p>
    <w:p w14:paraId="5DCEBC5D">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1.10.1  投标人须知前附表规定召开投标预备会的，</w:t>
      </w:r>
      <w:r>
        <w:rPr>
          <w:rFonts w:hint="eastAsia" w:ascii="宋体" w:hAnsi="宋体"/>
          <w:snapToGrid w:val="0"/>
          <w:color w:val="auto"/>
          <w:kern w:val="0"/>
          <w:szCs w:val="21"/>
        </w:rPr>
        <w:t>采购</w:t>
      </w:r>
      <w:r>
        <w:rPr>
          <w:rFonts w:ascii="宋体" w:hAnsi="宋体"/>
          <w:snapToGrid w:val="0"/>
          <w:color w:val="auto"/>
          <w:kern w:val="0"/>
          <w:szCs w:val="21"/>
        </w:rPr>
        <w:t>人按投标人须知前附表规定的时间和地点召开投标预备会，澄清投标人提出的问题。</w:t>
      </w:r>
    </w:p>
    <w:p w14:paraId="43EED4C7">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1.10.2  投标人应在投标人须知前附表第</w:t>
      </w:r>
      <w:r>
        <w:rPr>
          <w:rFonts w:ascii="宋体" w:hAnsi="宋体"/>
          <w:color w:val="auto"/>
          <w:kern w:val="0"/>
          <w:szCs w:val="21"/>
        </w:rPr>
        <w:t>2.2.4项</w:t>
      </w:r>
      <w:r>
        <w:rPr>
          <w:rFonts w:ascii="宋体" w:hAnsi="宋体"/>
          <w:snapToGrid w:val="0"/>
          <w:color w:val="auto"/>
          <w:kern w:val="0"/>
          <w:szCs w:val="21"/>
        </w:rPr>
        <w:t>规定的时间前，以书面形式将提出的问题送达</w:t>
      </w:r>
      <w:r>
        <w:rPr>
          <w:rFonts w:hint="eastAsia" w:ascii="宋体" w:hAnsi="宋体"/>
          <w:snapToGrid w:val="0"/>
          <w:color w:val="auto"/>
          <w:kern w:val="0"/>
          <w:szCs w:val="21"/>
        </w:rPr>
        <w:t>采购</w:t>
      </w:r>
      <w:r>
        <w:rPr>
          <w:rFonts w:ascii="宋体" w:hAnsi="宋体"/>
          <w:snapToGrid w:val="0"/>
          <w:color w:val="auto"/>
          <w:kern w:val="0"/>
          <w:szCs w:val="21"/>
        </w:rPr>
        <w:t>人，以便</w:t>
      </w:r>
      <w:r>
        <w:rPr>
          <w:rFonts w:hint="eastAsia" w:ascii="宋体" w:hAnsi="宋体"/>
          <w:snapToGrid w:val="0"/>
          <w:color w:val="auto"/>
          <w:kern w:val="0"/>
          <w:szCs w:val="21"/>
        </w:rPr>
        <w:t>采购</w:t>
      </w:r>
      <w:r>
        <w:rPr>
          <w:rFonts w:ascii="宋体" w:hAnsi="宋体"/>
          <w:snapToGrid w:val="0"/>
          <w:color w:val="auto"/>
          <w:kern w:val="0"/>
          <w:szCs w:val="21"/>
        </w:rPr>
        <w:t>人澄清。</w:t>
      </w:r>
    </w:p>
    <w:p w14:paraId="48C8A8BD">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 xml:space="preserve">1.10.3  </w:t>
      </w:r>
      <w:r>
        <w:rPr>
          <w:rFonts w:hint="eastAsia" w:ascii="宋体" w:hAnsi="宋体"/>
          <w:snapToGrid w:val="0"/>
          <w:color w:val="auto"/>
          <w:kern w:val="0"/>
          <w:szCs w:val="21"/>
        </w:rPr>
        <w:t>采购</w:t>
      </w:r>
      <w:r>
        <w:rPr>
          <w:rFonts w:ascii="宋体" w:hAnsi="宋体"/>
          <w:snapToGrid w:val="0"/>
          <w:color w:val="auto"/>
          <w:kern w:val="0"/>
          <w:szCs w:val="21"/>
        </w:rPr>
        <w:t>人在投标人须知前附表规定的时间内，将对投标人所提</w:t>
      </w:r>
      <w:r>
        <w:rPr>
          <w:rFonts w:ascii="宋体" w:hAnsi="宋体"/>
          <w:snapToGrid w:val="0"/>
          <w:color w:val="auto"/>
          <w:kern w:val="0"/>
          <w:position w:val="-2"/>
          <w:szCs w:val="21"/>
        </w:rPr>
        <w:t>的</w:t>
      </w:r>
      <w:r>
        <w:rPr>
          <w:rFonts w:ascii="宋体" w:hAnsi="宋体"/>
          <w:snapToGrid w:val="0"/>
          <w:color w:val="auto"/>
          <w:kern w:val="0"/>
          <w:szCs w:val="21"/>
        </w:rPr>
        <w:t>问题</w:t>
      </w:r>
      <w:r>
        <w:rPr>
          <w:rFonts w:ascii="宋体" w:hAnsi="宋体"/>
          <w:snapToGrid w:val="0"/>
          <w:color w:val="auto"/>
          <w:kern w:val="0"/>
          <w:position w:val="-2"/>
          <w:szCs w:val="21"/>
        </w:rPr>
        <w:t>进行澄清。该澄清内容为</w:t>
      </w:r>
      <w:r>
        <w:rPr>
          <w:rFonts w:hint="eastAsia" w:ascii="宋体" w:hAnsi="宋体"/>
          <w:snapToGrid w:val="0"/>
          <w:color w:val="auto"/>
          <w:kern w:val="0"/>
          <w:position w:val="-2"/>
          <w:szCs w:val="21"/>
        </w:rPr>
        <w:t>采购</w:t>
      </w:r>
      <w:r>
        <w:rPr>
          <w:rFonts w:ascii="宋体" w:hAnsi="宋体"/>
          <w:snapToGrid w:val="0"/>
          <w:color w:val="auto"/>
          <w:kern w:val="0"/>
          <w:position w:val="-2"/>
          <w:szCs w:val="21"/>
        </w:rPr>
        <w:t>文件的组成部分。</w:t>
      </w:r>
    </w:p>
    <w:p w14:paraId="6C7272B2">
      <w:pPr>
        <w:pStyle w:val="5"/>
        <w:snapToGrid w:val="0"/>
        <w:spacing w:before="0" w:after="0" w:line="360" w:lineRule="auto"/>
        <w:rPr>
          <w:rFonts w:ascii="宋体" w:hAnsi="宋体"/>
          <w:b w:val="0"/>
          <w:snapToGrid w:val="0"/>
          <w:color w:val="auto"/>
          <w:sz w:val="24"/>
          <w:szCs w:val="24"/>
        </w:rPr>
      </w:pPr>
      <w:bookmarkStart w:id="173" w:name="_Toc224103329"/>
      <w:bookmarkStart w:id="174" w:name="_Toc509218722"/>
      <w:bookmarkStart w:id="175" w:name="_Toc287620697"/>
      <w:bookmarkStart w:id="176" w:name="_Toc287607758"/>
      <w:bookmarkStart w:id="177" w:name="_Toc200513138"/>
      <w:bookmarkStart w:id="178" w:name="_Toc277082564"/>
      <w:bookmarkStart w:id="179" w:name="_Toc1359"/>
      <w:bookmarkStart w:id="180" w:name="_Toc430530447"/>
      <w:r>
        <w:rPr>
          <w:rFonts w:ascii="宋体" w:hAnsi="宋体"/>
          <w:b w:val="0"/>
          <w:snapToGrid w:val="0"/>
          <w:color w:val="auto"/>
          <w:sz w:val="24"/>
          <w:szCs w:val="24"/>
        </w:rPr>
        <w:t>1.11  分包</w:t>
      </w:r>
      <w:bookmarkEnd w:id="173"/>
      <w:bookmarkEnd w:id="174"/>
      <w:bookmarkEnd w:id="175"/>
      <w:bookmarkEnd w:id="176"/>
      <w:bookmarkEnd w:id="177"/>
      <w:bookmarkEnd w:id="178"/>
      <w:bookmarkEnd w:id="179"/>
      <w:bookmarkEnd w:id="180"/>
    </w:p>
    <w:p w14:paraId="5538842B">
      <w:pPr>
        <w:autoSpaceDE w:val="0"/>
        <w:autoSpaceDN w:val="0"/>
        <w:adjustRightInd w:val="0"/>
        <w:snapToGrid w:val="0"/>
        <w:spacing w:line="360" w:lineRule="auto"/>
        <w:ind w:firstLine="426"/>
        <w:rPr>
          <w:rFonts w:ascii="宋体" w:hAnsi="宋体"/>
          <w:snapToGrid w:val="0"/>
          <w:color w:val="auto"/>
          <w:kern w:val="0"/>
          <w:szCs w:val="21"/>
        </w:rPr>
      </w:pPr>
      <w:r>
        <w:rPr>
          <w:rFonts w:ascii="宋体" w:hAnsi="宋体"/>
          <w:snapToGrid w:val="0"/>
          <w:color w:val="auto"/>
          <w:kern w:val="0"/>
          <w:szCs w:val="21"/>
        </w:rPr>
        <w:t>投标人拟在中标后将中标项目的部分非主体、非关键性工作进行分包的，应符合投标人须知前附表规定的分包内容、分包金额和接受分包的第三人资质要求等限制性条件。</w:t>
      </w:r>
    </w:p>
    <w:p w14:paraId="0C24ACEF">
      <w:pPr>
        <w:pStyle w:val="5"/>
        <w:snapToGrid w:val="0"/>
        <w:spacing w:before="0" w:after="0" w:line="360" w:lineRule="auto"/>
        <w:rPr>
          <w:rFonts w:ascii="宋体" w:hAnsi="宋体"/>
          <w:b w:val="0"/>
          <w:snapToGrid w:val="0"/>
          <w:color w:val="auto"/>
          <w:sz w:val="24"/>
          <w:szCs w:val="24"/>
        </w:rPr>
      </w:pPr>
      <w:bookmarkStart w:id="181" w:name="_Toc430530448"/>
      <w:bookmarkStart w:id="182" w:name="_Toc287620698"/>
      <w:bookmarkStart w:id="183" w:name="_Toc224103330"/>
      <w:bookmarkStart w:id="184" w:name="_Toc277082565"/>
      <w:bookmarkStart w:id="185" w:name="_Toc32458"/>
      <w:bookmarkStart w:id="186" w:name="_Toc287607759"/>
      <w:bookmarkStart w:id="187" w:name="_Toc200513139"/>
      <w:bookmarkStart w:id="188" w:name="_Toc509218723"/>
      <w:r>
        <w:rPr>
          <w:rFonts w:ascii="宋体" w:hAnsi="宋体"/>
          <w:b w:val="0"/>
          <w:snapToGrid w:val="0"/>
          <w:color w:val="auto"/>
          <w:sz w:val="24"/>
          <w:szCs w:val="24"/>
        </w:rPr>
        <w:t>1.12  偏离</w:t>
      </w:r>
      <w:bookmarkEnd w:id="181"/>
      <w:bookmarkEnd w:id="182"/>
      <w:bookmarkEnd w:id="183"/>
      <w:bookmarkEnd w:id="184"/>
      <w:bookmarkEnd w:id="185"/>
      <w:bookmarkEnd w:id="186"/>
      <w:bookmarkEnd w:id="187"/>
      <w:bookmarkEnd w:id="188"/>
    </w:p>
    <w:p w14:paraId="2D33792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w:t>
      </w:r>
      <w:r>
        <w:rPr>
          <w:rFonts w:hint="eastAsia" w:ascii="宋体" w:hAnsi="宋体"/>
          <w:snapToGrid w:val="0"/>
          <w:color w:val="auto"/>
          <w:kern w:val="0"/>
          <w:szCs w:val="21"/>
        </w:rPr>
        <w:t>采购</w:t>
      </w:r>
      <w:r>
        <w:rPr>
          <w:rFonts w:ascii="宋体" w:hAnsi="宋体"/>
          <w:snapToGrid w:val="0"/>
          <w:color w:val="auto"/>
          <w:kern w:val="0"/>
          <w:szCs w:val="21"/>
        </w:rPr>
        <w:t>文件某些要求的，偏离应当符合</w:t>
      </w:r>
      <w:r>
        <w:rPr>
          <w:rFonts w:hint="eastAsia" w:ascii="宋体" w:hAnsi="宋体"/>
          <w:snapToGrid w:val="0"/>
          <w:color w:val="auto"/>
          <w:kern w:val="0"/>
          <w:szCs w:val="21"/>
        </w:rPr>
        <w:t>采购</w:t>
      </w:r>
      <w:r>
        <w:rPr>
          <w:rFonts w:ascii="宋体" w:hAnsi="宋体"/>
          <w:snapToGrid w:val="0"/>
          <w:color w:val="auto"/>
          <w:kern w:val="0"/>
          <w:szCs w:val="21"/>
        </w:rPr>
        <w:t>文件规定 的偏离范围和幅度。</w:t>
      </w:r>
    </w:p>
    <w:p w14:paraId="5CCDACD8">
      <w:pPr>
        <w:pStyle w:val="4"/>
        <w:spacing w:before="0" w:after="0" w:line="360" w:lineRule="auto"/>
        <w:rPr>
          <w:rFonts w:ascii="宋体" w:hAnsi="宋体"/>
          <w:b w:val="0"/>
          <w:snapToGrid w:val="0"/>
          <w:color w:val="auto"/>
        </w:rPr>
      </w:pPr>
      <w:bookmarkStart w:id="189" w:name="_Toc287620699"/>
      <w:bookmarkStart w:id="190" w:name="_Toc277082566"/>
      <w:bookmarkStart w:id="191" w:name="_Toc287607760"/>
      <w:bookmarkStart w:id="192" w:name="_Toc200513140"/>
      <w:bookmarkStart w:id="193" w:name="_Toc30737"/>
      <w:bookmarkStart w:id="194" w:name="_Toc224103331"/>
      <w:bookmarkStart w:id="195" w:name="_Toc430530449"/>
      <w:bookmarkStart w:id="196" w:name="_Toc509218724"/>
      <w:r>
        <w:rPr>
          <w:rFonts w:ascii="宋体" w:hAnsi="宋体"/>
          <w:b w:val="0"/>
          <w:snapToGrid w:val="0"/>
          <w:color w:val="auto"/>
        </w:rPr>
        <w:t xml:space="preserve">2.  </w:t>
      </w:r>
      <w:r>
        <w:rPr>
          <w:rFonts w:hint="eastAsia" w:ascii="宋体" w:hAnsi="宋体"/>
          <w:b w:val="0"/>
          <w:snapToGrid w:val="0"/>
          <w:color w:val="auto"/>
        </w:rPr>
        <w:t>采购</w:t>
      </w:r>
      <w:r>
        <w:rPr>
          <w:rFonts w:ascii="宋体" w:hAnsi="宋体"/>
          <w:b w:val="0"/>
          <w:snapToGrid w:val="0"/>
          <w:color w:val="auto"/>
        </w:rPr>
        <w:t>文件</w:t>
      </w:r>
      <w:bookmarkEnd w:id="189"/>
      <w:bookmarkEnd w:id="190"/>
      <w:bookmarkEnd w:id="191"/>
      <w:bookmarkEnd w:id="192"/>
      <w:bookmarkEnd w:id="193"/>
      <w:bookmarkEnd w:id="194"/>
      <w:bookmarkEnd w:id="195"/>
      <w:bookmarkEnd w:id="196"/>
    </w:p>
    <w:p w14:paraId="2F0329B9">
      <w:pPr>
        <w:pStyle w:val="5"/>
        <w:snapToGrid w:val="0"/>
        <w:spacing w:before="0" w:after="0" w:line="360" w:lineRule="auto"/>
        <w:rPr>
          <w:rFonts w:ascii="宋体" w:hAnsi="宋体"/>
          <w:b w:val="0"/>
          <w:snapToGrid w:val="0"/>
          <w:color w:val="auto"/>
          <w:sz w:val="24"/>
          <w:szCs w:val="24"/>
        </w:rPr>
      </w:pPr>
      <w:bookmarkStart w:id="197" w:name="_Toc509218725"/>
      <w:bookmarkStart w:id="198" w:name="_Toc430530450"/>
      <w:bookmarkStart w:id="199" w:name="_Toc277082567"/>
      <w:bookmarkStart w:id="200" w:name="_Toc287607761"/>
      <w:bookmarkStart w:id="201" w:name="_Toc32517"/>
      <w:bookmarkStart w:id="202" w:name="_Toc200513141"/>
      <w:bookmarkStart w:id="203" w:name="_Toc287620700"/>
      <w:bookmarkStart w:id="204" w:name="_Toc224103332"/>
      <w:r>
        <w:rPr>
          <w:rFonts w:ascii="宋体" w:hAnsi="宋体"/>
          <w:b w:val="0"/>
          <w:snapToGrid w:val="0"/>
          <w:color w:val="auto"/>
          <w:sz w:val="24"/>
          <w:szCs w:val="24"/>
        </w:rPr>
        <w:t xml:space="preserve">2.1  </w:t>
      </w:r>
      <w:r>
        <w:rPr>
          <w:rFonts w:hint="eastAsia" w:ascii="宋体" w:hAnsi="宋体"/>
          <w:b w:val="0"/>
          <w:snapToGrid w:val="0"/>
          <w:color w:val="auto"/>
          <w:sz w:val="24"/>
          <w:szCs w:val="24"/>
        </w:rPr>
        <w:t>采购</w:t>
      </w:r>
      <w:r>
        <w:rPr>
          <w:rFonts w:ascii="宋体" w:hAnsi="宋体"/>
          <w:b w:val="0"/>
          <w:snapToGrid w:val="0"/>
          <w:color w:val="auto"/>
          <w:sz w:val="24"/>
          <w:szCs w:val="24"/>
        </w:rPr>
        <w:t>文件的组成</w:t>
      </w:r>
      <w:bookmarkEnd w:id="197"/>
      <w:bookmarkEnd w:id="198"/>
      <w:bookmarkEnd w:id="199"/>
      <w:bookmarkEnd w:id="200"/>
      <w:bookmarkEnd w:id="201"/>
      <w:bookmarkEnd w:id="202"/>
      <w:bookmarkEnd w:id="203"/>
      <w:bookmarkEnd w:id="204"/>
    </w:p>
    <w:p w14:paraId="7564005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rPr>
        <w:t>采购</w:t>
      </w:r>
      <w:r>
        <w:rPr>
          <w:rFonts w:ascii="宋体" w:hAnsi="宋体"/>
          <w:snapToGrid w:val="0"/>
          <w:color w:val="auto"/>
          <w:kern w:val="0"/>
          <w:szCs w:val="21"/>
        </w:rPr>
        <w:t>文件包括：</w:t>
      </w:r>
    </w:p>
    <w:p w14:paraId="21FDE2D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采购</w:t>
      </w:r>
      <w:r>
        <w:rPr>
          <w:rFonts w:ascii="宋体" w:hAnsi="宋体"/>
          <w:snapToGrid w:val="0"/>
          <w:color w:val="auto"/>
          <w:kern w:val="0"/>
          <w:szCs w:val="21"/>
        </w:rPr>
        <w:t>公告（或投标邀请书）；</w:t>
      </w:r>
    </w:p>
    <w:p w14:paraId="5F877B4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20C6DFDE">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765E8B5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3797BD9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（5）工程量清单；</w:t>
      </w:r>
    </w:p>
    <w:p w14:paraId="3EE1F2F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（6）图纸；</w:t>
      </w:r>
    </w:p>
    <w:p w14:paraId="1A62FD9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（7）技术标准和要求；</w:t>
      </w:r>
    </w:p>
    <w:p w14:paraId="0E13405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（8）投标文件格式；</w:t>
      </w:r>
    </w:p>
    <w:p w14:paraId="7719969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（9）投标人须知前附表规定的其他材料。</w:t>
      </w:r>
    </w:p>
    <w:p w14:paraId="2061A1CD">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w:t>
      </w:r>
      <w:r>
        <w:rPr>
          <w:rFonts w:hint="eastAsia" w:ascii="宋体" w:hAnsi="宋体"/>
          <w:snapToGrid w:val="0"/>
          <w:color w:val="auto"/>
          <w:kern w:val="0"/>
          <w:szCs w:val="21"/>
        </w:rPr>
        <w:t>采购</w:t>
      </w:r>
      <w:r>
        <w:rPr>
          <w:rFonts w:ascii="宋体" w:hAnsi="宋体"/>
          <w:snapToGrid w:val="0"/>
          <w:color w:val="auto"/>
          <w:kern w:val="0"/>
          <w:szCs w:val="21"/>
        </w:rPr>
        <w:t>文件所作的澄清、修改，构成</w:t>
      </w:r>
      <w:r>
        <w:rPr>
          <w:rFonts w:hint="eastAsia" w:ascii="宋体" w:hAnsi="宋体"/>
          <w:snapToGrid w:val="0"/>
          <w:color w:val="auto"/>
          <w:kern w:val="0"/>
          <w:szCs w:val="21"/>
        </w:rPr>
        <w:t>采购</w:t>
      </w:r>
      <w:r>
        <w:rPr>
          <w:rFonts w:ascii="宋体" w:hAnsi="宋体"/>
          <w:snapToGrid w:val="0"/>
          <w:color w:val="auto"/>
          <w:kern w:val="0"/>
          <w:szCs w:val="21"/>
        </w:rPr>
        <w:t>文件的组成部分。</w:t>
      </w:r>
    </w:p>
    <w:p w14:paraId="3281C819">
      <w:pPr>
        <w:pStyle w:val="4"/>
        <w:spacing w:before="0" w:after="0" w:line="360" w:lineRule="auto"/>
        <w:rPr>
          <w:rFonts w:ascii="宋体" w:hAnsi="宋体"/>
          <w:b w:val="0"/>
          <w:snapToGrid w:val="0"/>
          <w:color w:val="auto"/>
        </w:rPr>
      </w:pPr>
      <w:bookmarkStart w:id="205" w:name="_Toc509218728"/>
      <w:bookmarkStart w:id="206" w:name="_Toc287607764"/>
      <w:bookmarkStart w:id="207" w:name="_Toc287620703"/>
      <w:bookmarkStart w:id="208" w:name="_Toc277082570"/>
      <w:bookmarkStart w:id="209" w:name="_Toc13895"/>
      <w:bookmarkStart w:id="210" w:name="_Toc224103335"/>
      <w:bookmarkStart w:id="211" w:name="_Toc200513144"/>
      <w:bookmarkStart w:id="212" w:name="_Toc430530453"/>
      <w:r>
        <w:rPr>
          <w:rFonts w:ascii="宋体" w:hAnsi="宋体"/>
          <w:b w:val="0"/>
          <w:snapToGrid w:val="0"/>
          <w:color w:val="auto"/>
        </w:rPr>
        <w:t>3.  投标文件</w:t>
      </w:r>
      <w:bookmarkEnd w:id="205"/>
      <w:bookmarkEnd w:id="206"/>
      <w:bookmarkEnd w:id="207"/>
      <w:bookmarkEnd w:id="208"/>
      <w:bookmarkEnd w:id="209"/>
      <w:bookmarkEnd w:id="210"/>
      <w:bookmarkEnd w:id="211"/>
      <w:bookmarkEnd w:id="212"/>
    </w:p>
    <w:p w14:paraId="201CDA22">
      <w:pPr>
        <w:pStyle w:val="5"/>
        <w:snapToGrid w:val="0"/>
        <w:spacing w:before="0" w:after="0" w:line="360" w:lineRule="auto"/>
        <w:rPr>
          <w:rFonts w:ascii="宋体" w:hAnsi="宋体"/>
          <w:b w:val="0"/>
          <w:snapToGrid w:val="0"/>
          <w:color w:val="auto"/>
          <w:sz w:val="24"/>
          <w:szCs w:val="24"/>
        </w:rPr>
      </w:pPr>
      <w:bookmarkStart w:id="213" w:name="_Toc200513145"/>
      <w:bookmarkStart w:id="214" w:name="_Toc287620704"/>
      <w:bookmarkStart w:id="215" w:name="_Toc277082571"/>
      <w:bookmarkStart w:id="216" w:name="_Toc509218729"/>
      <w:bookmarkStart w:id="217" w:name="_Toc224103336"/>
      <w:bookmarkStart w:id="218" w:name="_Toc430530454"/>
      <w:bookmarkStart w:id="219" w:name="_Toc287607765"/>
      <w:bookmarkStart w:id="220" w:name="_Toc25335"/>
      <w:r>
        <w:rPr>
          <w:rFonts w:ascii="宋体" w:hAnsi="宋体"/>
          <w:b w:val="0"/>
          <w:snapToGrid w:val="0"/>
          <w:color w:val="auto"/>
          <w:sz w:val="24"/>
          <w:szCs w:val="24"/>
        </w:rPr>
        <w:t>3.1  投标文件的组成</w:t>
      </w:r>
      <w:bookmarkEnd w:id="213"/>
      <w:bookmarkEnd w:id="214"/>
      <w:bookmarkEnd w:id="215"/>
      <w:bookmarkEnd w:id="216"/>
      <w:bookmarkEnd w:id="217"/>
      <w:bookmarkEnd w:id="218"/>
      <w:bookmarkEnd w:id="219"/>
      <w:bookmarkEnd w:id="220"/>
    </w:p>
    <w:p w14:paraId="353B430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3.1.1 投标文件应包括下列内容：</w:t>
      </w:r>
    </w:p>
    <w:p w14:paraId="0461D01B">
      <w:pPr>
        <w:spacing w:line="360" w:lineRule="auto"/>
        <w:ind w:firstLine="420" w:firstLineChars="200"/>
        <w:rPr>
          <w:rFonts w:ascii="宋体" w:hAnsi="宋体"/>
          <w:color w:val="auto"/>
        </w:rPr>
      </w:pPr>
      <w:r>
        <w:rPr>
          <w:rFonts w:hint="eastAsia" w:ascii="宋体" w:hAnsi="宋体"/>
          <w:color w:val="auto"/>
        </w:rPr>
        <w:t>3.1.1.1投标函部分</w:t>
      </w:r>
    </w:p>
    <w:p w14:paraId="375236B9">
      <w:pPr>
        <w:spacing w:line="360" w:lineRule="auto"/>
        <w:ind w:firstLine="420" w:firstLineChars="200"/>
        <w:rPr>
          <w:rFonts w:ascii="宋体" w:hAnsi="宋体"/>
          <w:color w:val="auto"/>
        </w:rPr>
      </w:pPr>
      <w:r>
        <w:rPr>
          <w:rFonts w:hint="eastAsia" w:ascii="宋体" w:hAnsi="宋体"/>
          <w:color w:val="auto"/>
        </w:rPr>
        <w:t>（1）投标函</w:t>
      </w:r>
    </w:p>
    <w:p w14:paraId="5E7B1D8B">
      <w:pPr>
        <w:spacing w:line="360" w:lineRule="auto"/>
        <w:ind w:firstLine="420" w:firstLineChars="200"/>
        <w:rPr>
          <w:rFonts w:ascii="宋体" w:hAnsi="宋体"/>
          <w:color w:val="auto"/>
        </w:rPr>
      </w:pPr>
      <w:r>
        <w:rPr>
          <w:rFonts w:hint="eastAsia" w:ascii="宋体" w:hAnsi="宋体"/>
          <w:color w:val="auto"/>
        </w:rPr>
        <w:t>（2）投标函附录</w:t>
      </w:r>
    </w:p>
    <w:p w14:paraId="63283FB1">
      <w:pPr>
        <w:spacing w:line="360" w:lineRule="auto"/>
        <w:ind w:firstLine="420" w:firstLineChars="200"/>
        <w:rPr>
          <w:rFonts w:ascii="宋体" w:hAnsi="宋体"/>
          <w:color w:val="auto"/>
        </w:rPr>
      </w:pPr>
      <w:r>
        <w:rPr>
          <w:rFonts w:hint="eastAsia" w:ascii="宋体" w:hAnsi="宋体"/>
          <w:color w:val="auto"/>
        </w:rPr>
        <w:t>（3）法定代表人身份证明或附有法定代表人身份证明的授权委托书</w:t>
      </w:r>
    </w:p>
    <w:p w14:paraId="1EAE128D">
      <w:pPr>
        <w:spacing w:line="360" w:lineRule="auto"/>
        <w:ind w:firstLine="420" w:firstLineChars="200"/>
        <w:rPr>
          <w:rFonts w:ascii="宋体" w:hAnsi="宋体"/>
          <w:color w:val="auto"/>
        </w:rPr>
      </w:pPr>
      <w:r>
        <w:rPr>
          <w:rFonts w:hint="eastAsia" w:ascii="宋体" w:hAnsi="宋体"/>
          <w:color w:val="auto"/>
        </w:rPr>
        <w:t>（4）低价风险担保缴纳承诺书（如有）</w:t>
      </w:r>
    </w:p>
    <w:p w14:paraId="3E523E9A">
      <w:pPr>
        <w:spacing w:line="360" w:lineRule="auto"/>
        <w:ind w:firstLine="420" w:firstLineChars="200"/>
        <w:rPr>
          <w:rFonts w:ascii="宋体" w:hAnsi="宋体"/>
          <w:color w:val="auto"/>
        </w:rPr>
      </w:pPr>
      <w:r>
        <w:rPr>
          <w:rFonts w:hint="eastAsia" w:ascii="宋体" w:hAnsi="宋体"/>
          <w:color w:val="auto"/>
        </w:rPr>
        <w:t>（5）联合体协议书（如有）</w:t>
      </w:r>
    </w:p>
    <w:p w14:paraId="56412689">
      <w:pPr>
        <w:spacing w:line="360" w:lineRule="auto"/>
        <w:ind w:firstLine="420" w:firstLineChars="200"/>
        <w:rPr>
          <w:rFonts w:ascii="宋体" w:hAnsi="宋体"/>
          <w:color w:val="auto"/>
        </w:rPr>
      </w:pPr>
      <w:r>
        <w:rPr>
          <w:rFonts w:hint="eastAsia" w:ascii="宋体" w:hAnsi="宋体"/>
          <w:color w:val="auto"/>
        </w:rPr>
        <w:t>3.1.1.2经济部分</w:t>
      </w:r>
    </w:p>
    <w:p w14:paraId="6A3C5341">
      <w:pPr>
        <w:spacing w:line="360" w:lineRule="auto"/>
        <w:ind w:firstLine="420" w:firstLineChars="200"/>
        <w:rPr>
          <w:rFonts w:ascii="宋体" w:hAnsi="宋体"/>
          <w:color w:val="auto"/>
        </w:rPr>
      </w:pPr>
      <w:r>
        <w:rPr>
          <w:rFonts w:hint="eastAsia" w:ascii="宋体" w:hAnsi="宋体"/>
          <w:color w:val="auto"/>
        </w:rPr>
        <w:t>（1）已标价工程量清单</w:t>
      </w:r>
    </w:p>
    <w:p w14:paraId="5E000A41">
      <w:pPr>
        <w:spacing w:line="360" w:lineRule="auto"/>
        <w:ind w:firstLine="420" w:firstLineChars="200"/>
        <w:rPr>
          <w:rFonts w:ascii="宋体" w:hAnsi="宋体"/>
          <w:color w:val="auto"/>
        </w:rPr>
      </w:pPr>
      <w:r>
        <w:rPr>
          <w:rFonts w:hint="eastAsia" w:ascii="宋体" w:hAnsi="宋体"/>
          <w:color w:val="auto"/>
        </w:rPr>
        <w:t>3.1.1.3技术部分（不设置技术方案评审的不设此部分）</w:t>
      </w:r>
    </w:p>
    <w:p w14:paraId="3368C732">
      <w:pPr>
        <w:spacing w:line="360" w:lineRule="auto"/>
        <w:ind w:firstLine="420" w:firstLineChars="200"/>
        <w:rPr>
          <w:rFonts w:ascii="宋体" w:hAnsi="宋体"/>
          <w:color w:val="auto"/>
        </w:rPr>
      </w:pPr>
      <w:r>
        <w:rPr>
          <w:rFonts w:hint="eastAsia" w:ascii="宋体" w:hAnsi="宋体"/>
          <w:color w:val="auto"/>
        </w:rPr>
        <w:t>3.1.1.4资格审查部分</w:t>
      </w:r>
    </w:p>
    <w:p w14:paraId="46E3CA87">
      <w:pPr>
        <w:spacing w:line="360" w:lineRule="auto"/>
        <w:ind w:firstLine="420" w:firstLineChars="200"/>
        <w:rPr>
          <w:rFonts w:ascii="宋体" w:hAnsi="宋体"/>
          <w:color w:val="auto"/>
        </w:rPr>
      </w:pPr>
      <w:r>
        <w:rPr>
          <w:rFonts w:hint="eastAsia" w:ascii="宋体" w:hAnsi="宋体"/>
          <w:color w:val="auto"/>
        </w:rPr>
        <w:t>（1）法定代表人身份证明或附有法定代表人身份证明的授权委托书</w:t>
      </w:r>
    </w:p>
    <w:p w14:paraId="3712B6A3">
      <w:pPr>
        <w:spacing w:line="360" w:lineRule="auto"/>
        <w:ind w:firstLine="420" w:firstLineChars="200"/>
        <w:rPr>
          <w:rFonts w:ascii="宋体" w:hAnsi="宋体"/>
          <w:color w:val="auto"/>
        </w:rPr>
      </w:pPr>
      <w:r>
        <w:rPr>
          <w:rFonts w:hint="eastAsia" w:ascii="宋体" w:hAnsi="宋体"/>
          <w:color w:val="auto"/>
        </w:rPr>
        <w:t>（2）联合体协议书（如有）</w:t>
      </w:r>
    </w:p>
    <w:p w14:paraId="4C18B6A8">
      <w:pPr>
        <w:spacing w:line="360" w:lineRule="auto"/>
        <w:ind w:firstLine="420" w:firstLineChars="200"/>
        <w:rPr>
          <w:rFonts w:ascii="宋体" w:hAnsi="宋体"/>
          <w:color w:val="auto"/>
        </w:rPr>
      </w:pPr>
      <w:r>
        <w:rPr>
          <w:rFonts w:hint="eastAsia" w:ascii="宋体" w:hAnsi="宋体"/>
          <w:color w:val="auto"/>
        </w:rPr>
        <w:t>（3）投标人基本情况表</w:t>
      </w:r>
    </w:p>
    <w:p w14:paraId="00D6CEBE">
      <w:pPr>
        <w:spacing w:line="360" w:lineRule="auto"/>
        <w:ind w:firstLine="420" w:firstLineChars="200"/>
        <w:rPr>
          <w:rFonts w:ascii="宋体" w:hAnsi="宋体"/>
          <w:color w:val="auto"/>
        </w:rPr>
      </w:pPr>
      <w:r>
        <w:rPr>
          <w:rFonts w:hint="eastAsia" w:ascii="宋体" w:hAnsi="宋体"/>
          <w:color w:val="auto"/>
        </w:rPr>
        <w:t>（4）项目管理机构</w:t>
      </w:r>
    </w:p>
    <w:p w14:paraId="5DCE8005">
      <w:pPr>
        <w:spacing w:line="360" w:lineRule="auto"/>
        <w:ind w:firstLine="420" w:firstLineChars="200"/>
        <w:rPr>
          <w:rFonts w:ascii="宋体" w:hAnsi="宋体"/>
          <w:color w:val="auto"/>
        </w:rPr>
      </w:pPr>
      <w:r>
        <w:rPr>
          <w:rFonts w:hint="eastAsia" w:ascii="宋体" w:hAnsi="宋体"/>
          <w:color w:val="auto"/>
        </w:rPr>
        <w:t>（5）近年财务状况表</w:t>
      </w:r>
    </w:p>
    <w:p w14:paraId="23BE5924">
      <w:pPr>
        <w:spacing w:line="360" w:lineRule="auto"/>
        <w:ind w:firstLine="420" w:firstLineChars="200"/>
        <w:rPr>
          <w:rFonts w:ascii="宋体" w:hAnsi="宋体"/>
          <w:color w:val="auto"/>
        </w:rPr>
      </w:pPr>
      <w:r>
        <w:rPr>
          <w:rFonts w:hint="eastAsia" w:ascii="宋体" w:hAnsi="宋体"/>
          <w:color w:val="auto"/>
        </w:rPr>
        <w:t>（6）类似项目情况表</w:t>
      </w:r>
    </w:p>
    <w:p w14:paraId="2EEAB77E">
      <w:pPr>
        <w:spacing w:line="360" w:lineRule="auto"/>
        <w:ind w:firstLine="420" w:firstLineChars="200"/>
        <w:rPr>
          <w:rFonts w:ascii="宋体" w:hAnsi="宋体"/>
          <w:color w:val="auto"/>
        </w:rPr>
      </w:pPr>
      <w:r>
        <w:rPr>
          <w:rFonts w:hint="eastAsia" w:ascii="宋体" w:hAnsi="宋体"/>
          <w:color w:val="auto"/>
        </w:rPr>
        <w:t>（7）承诺</w:t>
      </w:r>
    </w:p>
    <w:p w14:paraId="5B45639E">
      <w:pPr>
        <w:spacing w:line="360" w:lineRule="auto"/>
        <w:ind w:firstLine="420" w:firstLineChars="200"/>
        <w:rPr>
          <w:rFonts w:ascii="宋体" w:hAnsi="宋体"/>
          <w:color w:val="auto"/>
        </w:rPr>
      </w:pPr>
      <w:r>
        <w:rPr>
          <w:rFonts w:hint="eastAsia" w:ascii="宋体" w:hAnsi="宋体"/>
          <w:color w:val="auto"/>
        </w:rPr>
        <w:t>（8）其他资料</w:t>
      </w:r>
    </w:p>
    <w:p w14:paraId="458F84A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3.1.2  投标人须知前附表规定不接受联合体投标的，或投标人没有组成联合体的，投标文件不包括联合体协议书。</w:t>
      </w:r>
    </w:p>
    <w:p w14:paraId="347C9751">
      <w:pPr>
        <w:pStyle w:val="5"/>
        <w:snapToGrid w:val="0"/>
        <w:spacing w:before="0" w:after="0" w:line="360" w:lineRule="auto"/>
        <w:rPr>
          <w:rFonts w:ascii="宋体" w:hAnsi="宋体"/>
          <w:b w:val="0"/>
          <w:snapToGrid w:val="0"/>
          <w:color w:val="auto"/>
          <w:sz w:val="24"/>
          <w:szCs w:val="24"/>
        </w:rPr>
      </w:pPr>
      <w:bookmarkStart w:id="221" w:name="_Toc200513146"/>
      <w:bookmarkStart w:id="222" w:name="_Toc430530455"/>
      <w:bookmarkStart w:id="223" w:name="_Toc287607766"/>
      <w:bookmarkStart w:id="224" w:name="_Toc287620705"/>
      <w:bookmarkStart w:id="225" w:name="_Toc509218730"/>
      <w:bookmarkStart w:id="226" w:name="_Toc277082572"/>
      <w:bookmarkStart w:id="227" w:name="_Toc224103337"/>
      <w:bookmarkStart w:id="228" w:name="_Toc6572"/>
      <w:r>
        <w:rPr>
          <w:rFonts w:ascii="宋体" w:hAnsi="宋体"/>
          <w:b w:val="0"/>
          <w:snapToGrid w:val="0"/>
          <w:color w:val="auto"/>
          <w:sz w:val="24"/>
          <w:szCs w:val="24"/>
        </w:rPr>
        <w:t>3.2  投标报价</w:t>
      </w:r>
      <w:bookmarkEnd w:id="221"/>
      <w:bookmarkEnd w:id="222"/>
      <w:bookmarkEnd w:id="223"/>
      <w:bookmarkEnd w:id="224"/>
      <w:bookmarkEnd w:id="225"/>
      <w:bookmarkEnd w:id="226"/>
      <w:bookmarkEnd w:id="227"/>
      <w:bookmarkEnd w:id="228"/>
    </w:p>
    <w:p w14:paraId="5D6E3FA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3.2.1  投标人应按第五章“工程量清单”的要求填写相应表格。</w:t>
      </w:r>
    </w:p>
    <w:p w14:paraId="2314FE1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3.2.2</w:t>
      </w:r>
      <w:r>
        <w:rPr>
          <w:rFonts w:hint="eastAsia" w:ascii="宋体" w:hAnsi="宋体"/>
          <w:snapToGrid w:val="0"/>
          <w:color w:val="auto"/>
          <w:kern w:val="0"/>
          <w:szCs w:val="21"/>
        </w:rPr>
        <w:t xml:space="preserve">  </w:t>
      </w:r>
      <w:r>
        <w:rPr>
          <w:rFonts w:ascii="宋体" w:hAnsi="宋体"/>
          <w:snapToGrid w:val="0"/>
          <w:color w:val="auto"/>
          <w:kern w:val="0"/>
          <w:szCs w:val="21"/>
        </w:rPr>
        <w:t>投标人在投标截止时间前修改投标函中的投标总报价，应同时修改第五章“工程量清单”中的相应报价。此修改须符合本章第 4.3 款的有关要求。</w:t>
      </w:r>
    </w:p>
    <w:p w14:paraId="5C806667">
      <w:pPr>
        <w:pStyle w:val="5"/>
        <w:snapToGrid w:val="0"/>
        <w:spacing w:before="0" w:after="0" w:line="360" w:lineRule="auto"/>
        <w:rPr>
          <w:rFonts w:ascii="宋体" w:hAnsi="宋体"/>
          <w:b w:val="0"/>
          <w:snapToGrid w:val="0"/>
          <w:color w:val="auto"/>
          <w:sz w:val="24"/>
          <w:szCs w:val="24"/>
        </w:rPr>
      </w:pPr>
      <w:bookmarkStart w:id="229" w:name="_Toc287620706"/>
      <w:bookmarkStart w:id="230" w:name="_Toc430530456"/>
      <w:bookmarkStart w:id="231" w:name="_Toc277082573"/>
      <w:bookmarkStart w:id="232" w:name="_Toc287607767"/>
      <w:bookmarkStart w:id="233" w:name="_Toc200513147"/>
      <w:bookmarkStart w:id="234" w:name="_Toc509218731"/>
      <w:bookmarkStart w:id="235" w:name="_Toc224103338"/>
      <w:bookmarkStart w:id="236" w:name="_Toc5556"/>
      <w:r>
        <w:rPr>
          <w:rFonts w:ascii="宋体" w:hAnsi="宋体"/>
          <w:b w:val="0"/>
          <w:snapToGrid w:val="0"/>
          <w:color w:val="auto"/>
          <w:sz w:val="24"/>
          <w:szCs w:val="24"/>
        </w:rPr>
        <w:t>3.3  投标有效期</w:t>
      </w:r>
      <w:bookmarkEnd w:id="229"/>
      <w:bookmarkEnd w:id="230"/>
      <w:bookmarkEnd w:id="231"/>
      <w:bookmarkEnd w:id="232"/>
      <w:bookmarkEnd w:id="233"/>
      <w:bookmarkEnd w:id="234"/>
      <w:bookmarkEnd w:id="235"/>
      <w:bookmarkEnd w:id="236"/>
    </w:p>
    <w:p w14:paraId="1EDAB4C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4EAB400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3.3.2  出现特殊情况需要延长投标有效期的，</w:t>
      </w:r>
      <w:r>
        <w:rPr>
          <w:rFonts w:hint="eastAsia" w:ascii="宋体" w:hAnsi="宋体"/>
          <w:snapToGrid w:val="0"/>
          <w:color w:val="auto"/>
          <w:kern w:val="0"/>
          <w:szCs w:val="21"/>
        </w:rPr>
        <w:t>采购</w:t>
      </w:r>
      <w:r>
        <w:rPr>
          <w:rFonts w:ascii="宋体" w:hAnsi="宋体"/>
          <w:snapToGrid w:val="0"/>
          <w:color w:val="auto"/>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rPr>
        <w:t>（适用于投标保证金采用投标保函形式的）</w:t>
      </w:r>
    </w:p>
    <w:p w14:paraId="02CF22C6">
      <w:pPr>
        <w:autoSpaceDE w:val="0"/>
        <w:autoSpaceDN w:val="0"/>
        <w:adjustRightInd w:val="0"/>
        <w:snapToGrid w:val="0"/>
        <w:spacing w:line="360" w:lineRule="auto"/>
        <w:ind w:firstLine="420" w:firstLineChars="200"/>
        <w:rPr>
          <w:rFonts w:ascii="宋体" w:hAnsi="宋体" w:cs="MingLiU"/>
          <w:snapToGrid w:val="0"/>
          <w:color w:val="auto"/>
          <w:kern w:val="0"/>
          <w:szCs w:val="21"/>
        </w:rPr>
      </w:pPr>
      <w:r>
        <w:rPr>
          <w:rFonts w:hint="eastAsia" w:ascii="宋体" w:hAnsi="宋体" w:cs="MingLiU"/>
          <w:snapToGrid w:val="0"/>
          <w:color w:val="auto"/>
          <w:kern w:val="0"/>
          <w:szCs w:val="21"/>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394BB4B4">
      <w:pPr>
        <w:pStyle w:val="5"/>
        <w:keepNext w:val="0"/>
        <w:keepLines w:val="0"/>
        <w:snapToGrid w:val="0"/>
        <w:spacing w:before="0" w:after="0" w:line="360" w:lineRule="auto"/>
        <w:rPr>
          <w:rFonts w:ascii="宋体" w:hAnsi="宋体"/>
          <w:b w:val="0"/>
          <w:snapToGrid w:val="0"/>
          <w:color w:val="auto"/>
          <w:sz w:val="24"/>
          <w:szCs w:val="24"/>
        </w:rPr>
      </w:pPr>
      <w:bookmarkStart w:id="237" w:name="_Toc509218734"/>
      <w:bookmarkStart w:id="238" w:name="_Toc287620709"/>
      <w:bookmarkStart w:id="239" w:name="_Toc287607770"/>
      <w:bookmarkStart w:id="240" w:name="_Toc224103341"/>
      <w:bookmarkStart w:id="241" w:name="_Toc277082576"/>
      <w:bookmarkStart w:id="242" w:name="_Toc430530459"/>
      <w:bookmarkStart w:id="243" w:name="_Toc200513150"/>
      <w:bookmarkStart w:id="244" w:name="_Toc18052"/>
      <w:r>
        <w:rPr>
          <w:rFonts w:ascii="宋体" w:hAnsi="宋体"/>
          <w:b w:val="0"/>
          <w:snapToGrid w:val="0"/>
          <w:color w:val="auto"/>
          <w:sz w:val="24"/>
          <w:szCs w:val="24"/>
        </w:rPr>
        <w:t>3.4  资格审查资料</w:t>
      </w:r>
      <w:bookmarkEnd w:id="237"/>
      <w:bookmarkEnd w:id="238"/>
      <w:bookmarkEnd w:id="239"/>
      <w:bookmarkEnd w:id="240"/>
      <w:bookmarkEnd w:id="241"/>
      <w:bookmarkEnd w:id="242"/>
      <w:bookmarkEnd w:id="243"/>
      <w:bookmarkEnd w:id="244"/>
    </w:p>
    <w:p w14:paraId="20487884">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.4.1项</w:t>
      </w:r>
      <w:r>
        <w:rPr>
          <w:rFonts w:hint="eastAsia" w:ascii="宋体" w:hAnsi="宋体"/>
          <w:color w:val="auto"/>
          <w:kern w:val="0"/>
          <w:szCs w:val="21"/>
        </w:rPr>
        <w:t>中要求的相关证明材料</w:t>
      </w:r>
      <w:r>
        <w:rPr>
          <w:rFonts w:ascii="宋体" w:hAnsi="宋体"/>
          <w:color w:val="auto"/>
          <w:szCs w:val="21"/>
        </w:rPr>
        <w:t>。</w:t>
      </w:r>
    </w:p>
    <w:p w14:paraId="1BC60A71">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rPr>
      </w:pPr>
      <w:r>
        <w:rPr>
          <w:rFonts w:hint="eastAsia" w:ascii="宋体" w:hAnsi="宋体"/>
          <w:snapToGrid w:val="0"/>
          <w:color w:val="auto"/>
          <w:kern w:val="0"/>
          <w:szCs w:val="21"/>
        </w:rPr>
        <w:t>投标人须知前附表规定接受联合体投标的，详见投标人须知前附表联合体投标相关内容。</w:t>
      </w:r>
    </w:p>
    <w:p w14:paraId="4ACA1AA7">
      <w:pPr>
        <w:pStyle w:val="5"/>
        <w:snapToGrid w:val="0"/>
        <w:spacing w:before="0" w:after="0" w:line="360" w:lineRule="auto"/>
        <w:rPr>
          <w:rFonts w:ascii="宋体" w:hAnsi="宋体"/>
          <w:b w:val="0"/>
          <w:snapToGrid w:val="0"/>
          <w:color w:val="auto"/>
          <w:sz w:val="24"/>
          <w:szCs w:val="24"/>
        </w:rPr>
      </w:pPr>
      <w:bookmarkStart w:id="245" w:name="_Toc277082578"/>
      <w:bookmarkStart w:id="246" w:name="_Toc287607772"/>
      <w:bookmarkStart w:id="247" w:name="_Toc509218736"/>
      <w:bookmarkStart w:id="248" w:name="_Toc200513152"/>
      <w:bookmarkStart w:id="249" w:name="_Toc26108"/>
      <w:bookmarkStart w:id="250" w:name="_Toc287620711"/>
      <w:bookmarkStart w:id="251" w:name="_Toc430530461"/>
      <w:bookmarkStart w:id="252" w:name="_Toc224103343"/>
      <w:r>
        <w:rPr>
          <w:rFonts w:ascii="宋体" w:hAnsi="宋体"/>
          <w:b w:val="0"/>
          <w:snapToGrid w:val="0"/>
          <w:color w:val="auto"/>
          <w:sz w:val="24"/>
          <w:szCs w:val="24"/>
        </w:rPr>
        <w:t>3.5  投标文件的编制</w:t>
      </w:r>
      <w:bookmarkEnd w:id="245"/>
      <w:bookmarkEnd w:id="246"/>
      <w:bookmarkEnd w:id="247"/>
      <w:bookmarkEnd w:id="248"/>
      <w:bookmarkEnd w:id="249"/>
      <w:bookmarkEnd w:id="250"/>
      <w:bookmarkEnd w:id="251"/>
      <w:bookmarkEnd w:id="252"/>
    </w:p>
    <w:p w14:paraId="045F078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3.5.1  投标文件应按第八章“投标文件格式”进行编写，如有必要，可以增加附页，作为投标文件的组成部分。其中，投标函附录在满足</w:t>
      </w:r>
      <w:r>
        <w:rPr>
          <w:rFonts w:hint="eastAsia" w:ascii="宋体" w:hAnsi="宋体"/>
          <w:snapToGrid w:val="0"/>
          <w:color w:val="auto"/>
          <w:kern w:val="0"/>
          <w:szCs w:val="21"/>
        </w:rPr>
        <w:t>采购</w:t>
      </w:r>
      <w:r>
        <w:rPr>
          <w:rFonts w:ascii="宋体" w:hAnsi="宋体"/>
          <w:snapToGrid w:val="0"/>
          <w:color w:val="auto"/>
          <w:kern w:val="0"/>
          <w:szCs w:val="21"/>
        </w:rPr>
        <w:t>文件实质性要求的基础上，可以提出比</w:t>
      </w:r>
      <w:r>
        <w:rPr>
          <w:rFonts w:hint="eastAsia" w:ascii="宋体" w:hAnsi="宋体"/>
          <w:snapToGrid w:val="0"/>
          <w:color w:val="auto"/>
          <w:kern w:val="0"/>
          <w:szCs w:val="21"/>
        </w:rPr>
        <w:t>采购</w:t>
      </w:r>
      <w:r>
        <w:rPr>
          <w:rFonts w:ascii="宋体" w:hAnsi="宋体"/>
          <w:snapToGrid w:val="0"/>
          <w:color w:val="auto"/>
          <w:kern w:val="0"/>
          <w:szCs w:val="21"/>
        </w:rPr>
        <w:t>文件要求更有利于</w:t>
      </w:r>
      <w:r>
        <w:rPr>
          <w:rFonts w:hint="eastAsia" w:ascii="宋体" w:hAnsi="宋体"/>
          <w:snapToGrid w:val="0"/>
          <w:color w:val="auto"/>
          <w:kern w:val="0"/>
          <w:szCs w:val="21"/>
        </w:rPr>
        <w:t>采购</w:t>
      </w:r>
      <w:r>
        <w:rPr>
          <w:rFonts w:ascii="宋体" w:hAnsi="宋体"/>
          <w:snapToGrid w:val="0"/>
          <w:color w:val="auto"/>
          <w:kern w:val="0"/>
          <w:szCs w:val="21"/>
        </w:rPr>
        <w:t>人的承诺。</w:t>
      </w:r>
    </w:p>
    <w:p w14:paraId="6D4EFD9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3.5.2  投标文件应当对</w:t>
      </w:r>
      <w:r>
        <w:rPr>
          <w:rFonts w:hint="eastAsia" w:ascii="宋体" w:hAnsi="宋体"/>
          <w:snapToGrid w:val="0"/>
          <w:color w:val="auto"/>
          <w:kern w:val="0"/>
          <w:szCs w:val="21"/>
        </w:rPr>
        <w:t>采购</w:t>
      </w:r>
      <w:r>
        <w:rPr>
          <w:rFonts w:ascii="宋体" w:hAnsi="宋体"/>
          <w:snapToGrid w:val="0"/>
          <w:color w:val="auto"/>
          <w:kern w:val="0"/>
          <w:szCs w:val="21"/>
        </w:rPr>
        <w:t>文件有关工期、投标有效期、质量要求、技术标准和要求、</w:t>
      </w:r>
      <w:r>
        <w:rPr>
          <w:rFonts w:hint="eastAsia" w:ascii="宋体" w:hAnsi="宋体"/>
          <w:snapToGrid w:val="0"/>
          <w:color w:val="auto"/>
          <w:kern w:val="0"/>
          <w:szCs w:val="21"/>
        </w:rPr>
        <w:t>采购</w:t>
      </w:r>
      <w:r>
        <w:rPr>
          <w:rFonts w:ascii="宋体" w:hAnsi="宋体"/>
          <w:snapToGrid w:val="0"/>
          <w:color w:val="auto"/>
          <w:kern w:val="0"/>
          <w:szCs w:val="21"/>
        </w:rPr>
        <w:t>范围等实质性内容做出响应。</w:t>
      </w:r>
    </w:p>
    <w:p w14:paraId="41D3B59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3.5.3  </w:t>
      </w:r>
      <w:r>
        <w:rPr>
          <w:rFonts w:hint="eastAsia" w:ascii="宋体" w:hAnsi="宋体"/>
          <w:snapToGrid w:val="0"/>
          <w:color w:val="auto"/>
          <w:kern w:val="0"/>
          <w:position w:val="-2"/>
          <w:szCs w:val="21"/>
        </w:rPr>
        <w:t>投标文件的签字盖章要求：按本章投标人须知前附表第3.7.3项执行。</w:t>
      </w:r>
    </w:p>
    <w:p w14:paraId="4CA8C361">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3.5.4  投标文件</w:t>
      </w:r>
      <w:r>
        <w:rPr>
          <w:rFonts w:hint="eastAsia" w:ascii="宋体" w:hAnsi="宋体"/>
          <w:snapToGrid w:val="0"/>
          <w:color w:val="auto"/>
          <w:kern w:val="0"/>
          <w:szCs w:val="21"/>
        </w:rPr>
        <w:t>应按规定格式排版</w:t>
      </w:r>
      <w:r>
        <w:rPr>
          <w:rFonts w:ascii="宋体" w:hAnsi="宋体"/>
          <w:snapToGrid w:val="0"/>
          <w:color w:val="auto"/>
          <w:kern w:val="0"/>
          <w:szCs w:val="21"/>
        </w:rPr>
        <w:t>，并编制目录，具体</w:t>
      </w:r>
      <w:r>
        <w:rPr>
          <w:rFonts w:hint="eastAsia" w:ascii="宋体" w:hAnsi="宋体"/>
          <w:snapToGrid w:val="0"/>
          <w:color w:val="auto"/>
          <w:kern w:val="0"/>
          <w:szCs w:val="21"/>
        </w:rPr>
        <w:t>编制</w:t>
      </w:r>
      <w:r>
        <w:rPr>
          <w:rFonts w:ascii="宋体" w:hAnsi="宋体"/>
          <w:snapToGrid w:val="0"/>
          <w:color w:val="auto"/>
          <w:kern w:val="0"/>
          <w:szCs w:val="21"/>
        </w:rPr>
        <w:t>要求见投标人须知前附表规定。</w:t>
      </w:r>
    </w:p>
    <w:p w14:paraId="4253A35C">
      <w:pPr>
        <w:pStyle w:val="4"/>
        <w:keepNext w:val="0"/>
        <w:keepLines w:val="0"/>
        <w:spacing w:before="0" w:after="0" w:line="360" w:lineRule="auto"/>
        <w:rPr>
          <w:rFonts w:ascii="宋体" w:hAnsi="宋体"/>
          <w:b w:val="0"/>
          <w:snapToGrid w:val="0"/>
          <w:color w:val="auto"/>
        </w:rPr>
      </w:pPr>
      <w:bookmarkStart w:id="253" w:name="_Toc287620712"/>
      <w:bookmarkStart w:id="254" w:name="_Toc200513153"/>
      <w:bookmarkStart w:id="255" w:name="_Toc430530462"/>
      <w:bookmarkStart w:id="256" w:name="_Toc277082579"/>
      <w:bookmarkStart w:id="257" w:name="_Toc224103344"/>
      <w:bookmarkStart w:id="258" w:name="_Toc509218737"/>
      <w:bookmarkStart w:id="259" w:name="_Toc287607773"/>
      <w:bookmarkStart w:id="260" w:name="_Toc456"/>
      <w:r>
        <w:rPr>
          <w:rFonts w:ascii="宋体" w:hAnsi="宋体"/>
          <w:b w:val="0"/>
          <w:snapToGrid w:val="0"/>
          <w:color w:val="auto"/>
        </w:rPr>
        <w:t>4.  投标</w:t>
      </w:r>
      <w:bookmarkEnd w:id="253"/>
      <w:bookmarkEnd w:id="254"/>
      <w:bookmarkEnd w:id="255"/>
      <w:bookmarkEnd w:id="256"/>
      <w:bookmarkEnd w:id="257"/>
      <w:bookmarkEnd w:id="258"/>
      <w:bookmarkEnd w:id="259"/>
      <w:bookmarkEnd w:id="260"/>
    </w:p>
    <w:p w14:paraId="0CF9A250">
      <w:pPr>
        <w:pStyle w:val="5"/>
        <w:keepNext w:val="0"/>
        <w:keepLines w:val="0"/>
        <w:snapToGrid w:val="0"/>
        <w:spacing w:before="0" w:after="0" w:line="360" w:lineRule="auto"/>
        <w:rPr>
          <w:rFonts w:ascii="宋体" w:hAnsi="宋体"/>
          <w:b w:val="0"/>
          <w:snapToGrid w:val="0"/>
          <w:color w:val="auto"/>
          <w:sz w:val="24"/>
          <w:szCs w:val="24"/>
        </w:rPr>
      </w:pPr>
      <w:bookmarkStart w:id="261" w:name="_Toc200513154"/>
      <w:bookmarkStart w:id="262" w:name="_Toc430530463"/>
      <w:bookmarkStart w:id="263" w:name="_Toc287607774"/>
      <w:bookmarkStart w:id="264" w:name="_Toc277082580"/>
      <w:bookmarkStart w:id="265" w:name="_Toc287620713"/>
      <w:bookmarkStart w:id="266" w:name="_Toc509218738"/>
      <w:bookmarkStart w:id="267" w:name="_Toc224103345"/>
      <w:bookmarkStart w:id="268" w:name="_Toc30188"/>
      <w:r>
        <w:rPr>
          <w:rFonts w:ascii="宋体" w:hAnsi="宋体"/>
          <w:b w:val="0"/>
          <w:snapToGrid w:val="0"/>
          <w:color w:val="auto"/>
          <w:sz w:val="24"/>
          <w:szCs w:val="24"/>
        </w:rPr>
        <w:t>4.1  投标文件的密封和标记</w:t>
      </w:r>
      <w:bookmarkEnd w:id="261"/>
      <w:bookmarkEnd w:id="262"/>
      <w:bookmarkEnd w:id="263"/>
      <w:bookmarkEnd w:id="264"/>
      <w:bookmarkEnd w:id="265"/>
      <w:bookmarkEnd w:id="266"/>
      <w:bookmarkEnd w:id="267"/>
      <w:bookmarkEnd w:id="268"/>
    </w:p>
    <w:p w14:paraId="0025956B">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269" w:name="_Toc200513155"/>
      <w:r>
        <w:rPr>
          <w:rFonts w:ascii="宋体" w:hAnsi="宋体"/>
          <w:snapToGrid w:val="0"/>
          <w:color w:val="auto"/>
          <w:kern w:val="0"/>
          <w:szCs w:val="21"/>
        </w:rPr>
        <w:t>4.1.1  投标文件的密封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59555FA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7D88E9A">
      <w:pPr>
        <w:pStyle w:val="5"/>
        <w:keepNext w:val="0"/>
        <w:keepLines w:val="0"/>
        <w:snapToGrid w:val="0"/>
        <w:spacing w:before="0" w:after="0" w:line="360" w:lineRule="auto"/>
        <w:rPr>
          <w:rFonts w:ascii="宋体" w:hAnsi="宋体"/>
          <w:b w:val="0"/>
          <w:snapToGrid w:val="0"/>
          <w:color w:val="auto"/>
          <w:sz w:val="24"/>
          <w:szCs w:val="24"/>
        </w:rPr>
      </w:pPr>
      <w:bookmarkStart w:id="270" w:name="_Toc287620714"/>
      <w:bookmarkStart w:id="271" w:name="_Toc287607775"/>
      <w:bookmarkStart w:id="272" w:name="_Toc430530464"/>
      <w:bookmarkStart w:id="273" w:name="_Toc509218739"/>
      <w:bookmarkStart w:id="274" w:name="_Toc224103346"/>
      <w:bookmarkStart w:id="275" w:name="_Toc3927"/>
      <w:bookmarkStart w:id="276" w:name="_Toc277082581"/>
      <w:r>
        <w:rPr>
          <w:rFonts w:ascii="宋体" w:hAnsi="宋体"/>
          <w:b w:val="0"/>
          <w:snapToGrid w:val="0"/>
          <w:color w:val="auto"/>
          <w:sz w:val="24"/>
          <w:szCs w:val="24"/>
        </w:rPr>
        <w:t>4.2  投标文件的递交</w:t>
      </w:r>
      <w:bookmarkEnd w:id="269"/>
      <w:bookmarkEnd w:id="270"/>
      <w:bookmarkEnd w:id="271"/>
      <w:bookmarkEnd w:id="272"/>
      <w:bookmarkEnd w:id="273"/>
      <w:bookmarkEnd w:id="274"/>
      <w:bookmarkEnd w:id="275"/>
      <w:bookmarkEnd w:id="276"/>
    </w:p>
    <w:p w14:paraId="03B9608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7A283F3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1B7F91C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4D76963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4.2.4  逾期送达的或者未送达指定地点的投标文件，</w:t>
      </w:r>
      <w:r>
        <w:rPr>
          <w:rFonts w:hint="eastAsia" w:ascii="宋体" w:hAnsi="宋体"/>
          <w:snapToGrid w:val="0"/>
          <w:color w:val="auto"/>
          <w:kern w:val="0"/>
          <w:szCs w:val="21"/>
        </w:rPr>
        <w:t>采购</w:t>
      </w:r>
      <w:r>
        <w:rPr>
          <w:rFonts w:ascii="宋体" w:hAnsi="宋体"/>
          <w:snapToGrid w:val="0"/>
          <w:color w:val="auto"/>
          <w:kern w:val="0"/>
          <w:szCs w:val="21"/>
        </w:rPr>
        <w:t>人不予受理。</w:t>
      </w:r>
    </w:p>
    <w:p w14:paraId="6392FBE9">
      <w:pPr>
        <w:pStyle w:val="4"/>
        <w:keepNext w:val="0"/>
        <w:keepLines w:val="0"/>
        <w:spacing w:before="0" w:after="0" w:line="360" w:lineRule="auto"/>
        <w:rPr>
          <w:rFonts w:ascii="宋体" w:hAnsi="宋体"/>
          <w:b w:val="0"/>
          <w:snapToGrid w:val="0"/>
          <w:color w:val="auto"/>
        </w:rPr>
      </w:pPr>
      <w:bookmarkStart w:id="277" w:name="_Toc277082583"/>
      <w:bookmarkStart w:id="278" w:name="_Toc430530466"/>
      <w:bookmarkStart w:id="279" w:name="_Toc287620716"/>
      <w:bookmarkStart w:id="280" w:name="_Toc200513157"/>
      <w:bookmarkStart w:id="281" w:name="_Toc509218741"/>
      <w:bookmarkStart w:id="282" w:name="_Toc224103348"/>
      <w:bookmarkStart w:id="283" w:name="_Toc287607777"/>
      <w:bookmarkStart w:id="284" w:name="_Toc31220"/>
      <w:r>
        <w:rPr>
          <w:rFonts w:ascii="宋体" w:hAnsi="宋体"/>
          <w:b w:val="0"/>
          <w:snapToGrid w:val="0"/>
          <w:color w:val="auto"/>
        </w:rPr>
        <w:t>5.  开标</w:t>
      </w:r>
      <w:bookmarkEnd w:id="277"/>
      <w:bookmarkEnd w:id="278"/>
      <w:bookmarkEnd w:id="279"/>
      <w:bookmarkEnd w:id="280"/>
      <w:bookmarkEnd w:id="281"/>
      <w:bookmarkEnd w:id="282"/>
      <w:bookmarkEnd w:id="283"/>
      <w:bookmarkEnd w:id="284"/>
    </w:p>
    <w:p w14:paraId="76730872">
      <w:pPr>
        <w:pStyle w:val="5"/>
        <w:keepNext w:val="0"/>
        <w:keepLines w:val="0"/>
        <w:snapToGrid w:val="0"/>
        <w:spacing w:before="0" w:after="0" w:line="360" w:lineRule="auto"/>
        <w:rPr>
          <w:rFonts w:ascii="宋体" w:hAnsi="宋体"/>
          <w:b w:val="0"/>
          <w:snapToGrid w:val="0"/>
          <w:color w:val="auto"/>
          <w:sz w:val="24"/>
          <w:szCs w:val="24"/>
        </w:rPr>
      </w:pPr>
      <w:bookmarkStart w:id="285" w:name="_Toc287607778"/>
      <w:bookmarkStart w:id="286" w:name="_Toc277082584"/>
      <w:bookmarkStart w:id="287" w:name="_Toc224103349"/>
      <w:bookmarkStart w:id="288" w:name="_Toc430530467"/>
      <w:bookmarkStart w:id="289" w:name="_Toc509218742"/>
      <w:bookmarkStart w:id="290" w:name="_Toc200513158"/>
      <w:bookmarkStart w:id="291" w:name="_Toc287620717"/>
      <w:bookmarkStart w:id="292" w:name="_Toc9150"/>
      <w:r>
        <w:rPr>
          <w:rFonts w:ascii="宋体" w:hAnsi="宋体"/>
          <w:b w:val="0"/>
          <w:snapToGrid w:val="0"/>
          <w:color w:val="auto"/>
          <w:sz w:val="24"/>
          <w:szCs w:val="24"/>
        </w:rPr>
        <w:t>5.1  开标时间和地点</w:t>
      </w:r>
      <w:bookmarkEnd w:id="285"/>
      <w:bookmarkEnd w:id="286"/>
      <w:bookmarkEnd w:id="287"/>
      <w:bookmarkEnd w:id="288"/>
      <w:bookmarkEnd w:id="289"/>
      <w:bookmarkEnd w:id="290"/>
      <w:bookmarkEnd w:id="291"/>
      <w:bookmarkEnd w:id="292"/>
    </w:p>
    <w:p w14:paraId="7F41C83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5.1.1  采购</w:t>
      </w:r>
      <w:r>
        <w:rPr>
          <w:rFonts w:ascii="宋体" w:hAnsi="宋体"/>
          <w:snapToGrid w:val="0"/>
          <w:color w:val="auto"/>
          <w:kern w:val="0"/>
          <w:szCs w:val="21"/>
        </w:rPr>
        <w:t>人在投标人须知前附表第 2.2.2 项规定的投标截止时间（开标时间）和投标人须知前附表规定的地点公开开标，并邀请所有投标人的法定代表人或其委托代理人准时参加。</w:t>
      </w:r>
    </w:p>
    <w:p w14:paraId="57E8DB85">
      <w:pPr>
        <w:pStyle w:val="5"/>
        <w:keepNext w:val="0"/>
        <w:keepLines w:val="0"/>
        <w:snapToGrid w:val="0"/>
        <w:spacing w:before="0" w:after="0" w:line="360" w:lineRule="auto"/>
        <w:rPr>
          <w:rFonts w:ascii="宋体" w:hAnsi="宋体"/>
          <w:b w:val="0"/>
          <w:snapToGrid w:val="0"/>
          <w:color w:val="auto"/>
          <w:sz w:val="24"/>
          <w:szCs w:val="24"/>
        </w:rPr>
      </w:pPr>
      <w:bookmarkStart w:id="293" w:name="_Toc277082585"/>
      <w:bookmarkStart w:id="294" w:name="_Toc287607779"/>
      <w:bookmarkStart w:id="295" w:name="_Toc430530468"/>
      <w:bookmarkStart w:id="296" w:name="_Toc200513159"/>
      <w:bookmarkStart w:id="297" w:name="_Toc11554"/>
      <w:bookmarkStart w:id="298" w:name="_Toc224103350"/>
      <w:bookmarkStart w:id="299" w:name="_Toc509218743"/>
      <w:bookmarkStart w:id="300" w:name="_Toc287620718"/>
      <w:r>
        <w:rPr>
          <w:rFonts w:ascii="宋体" w:hAnsi="宋体"/>
          <w:b w:val="0"/>
          <w:snapToGrid w:val="0"/>
          <w:color w:val="auto"/>
          <w:sz w:val="24"/>
          <w:szCs w:val="24"/>
        </w:rPr>
        <w:t>5.2  开标程序</w:t>
      </w:r>
      <w:bookmarkEnd w:id="293"/>
      <w:bookmarkEnd w:id="294"/>
      <w:bookmarkEnd w:id="295"/>
      <w:bookmarkEnd w:id="296"/>
      <w:bookmarkEnd w:id="297"/>
      <w:bookmarkEnd w:id="298"/>
      <w:bookmarkEnd w:id="299"/>
      <w:bookmarkEnd w:id="300"/>
    </w:p>
    <w:p w14:paraId="390E2F0D">
      <w:pPr>
        <w:autoSpaceDE w:val="0"/>
        <w:autoSpaceDN w:val="0"/>
        <w:adjustRightInd w:val="0"/>
        <w:snapToGrid w:val="0"/>
        <w:spacing w:line="360" w:lineRule="auto"/>
        <w:ind w:firstLine="420" w:firstLineChars="200"/>
        <w:rPr>
          <w:rFonts w:ascii="宋体" w:hAnsi="宋体"/>
          <w:color w:val="auto"/>
          <w:szCs w:val="21"/>
        </w:rPr>
      </w:pPr>
      <w:bookmarkStart w:id="301" w:name="_Toc287607780"/>
      <w:bookmarkStart w:id="302" w:name="_Toc277082586"/>
      <w:bookmarkStart w:id="303" w:name="_Toc200513160"/>
      <w:bookmarkStart w:id="304" w:name="_Toc287620719"/>
      <w:bookmarkStart w:id="305" w:name="_Toc224103351"/>
      <w:r>
        <w:rPr>
          <w:rFonts w:ascii="宋体" w:hAnsi="宋体"/>
          <w:color w:val="auto"/>
          <w:szCs w:val="21"/>
        </w:rPr>
        <w:t>详见投标人须知前附表第5.2款开标程序。</w:t>
      </w:r>
    </w:p>
    <w:p w14:paraId="0DFCEDBE">
      <w:pPr>
        <w:pStyle w:val="5"/>
        <w:keepNext w:val="0"/>
        <w:keepLines w:val="0"/>
        <w:snapToGrid w:val="0"/>
        <w:spacing w:before="0" w:after="0" w:line="360" w:lineRule="auto"/>
        <w:rPr>
          <w:rFonts w:ascii="宋体" w:hAnsi="宋体"/>
          <w:b w:val="0"/>
          <w:snapToGrid w:val="0"/>
          <w:color w:val="auto"/>
          <w:sz w:val="24"/>
          <w:szCs w:val="24"/>
        </w:rPr>
      </w:pPr>
      <w:bookmarkStart w:id="306" w:name="_Toc11875"/>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306"/>
    </w:p>
    <w:p w14:paraId="44B8A246">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或在线（不见面开标适用）提出，开标现场提出异议的，应出示法定代表人身份证明或附有法定代表人身份证明的授权委托书。采购人当场作出答复，并制作记录，有异议的投标人代表、采购人代表、主持人、记录人等有关人员在记录上签字确认</w:t>
      </w:r>
      <w:r>
        <w:rPr>
          <w:rFonts w:ascii="宋体" w:hAnsi="宋体"/>
          <w:color w:val="auto"/>
          <w:szCs w:val="21"/>
        </w:rPr>
        <w:t>。</w:t>
      </w:r>
    </w:p>
    <w:p w14:paraId="6E191638">
      <w:pPr>
        <w:pStyle w:val="4"/>
        <w:keepNext w:val="0"/>
        <w:keepLines w:val="0"/>
        <w:spacing w:before="0" w:after="0" w:line="360" w:lineRule="auto"/>
        <w:rPr>
          <w:rFonts w:ascii="宋体" w:hAnsi="宋体"/>
          <w:b w:val="0"/>
          <w:snapToGrid w:val="0"/>
          <w:color w:val="auto"/>
        </w:rPr>
      </w:pPr>
      <w:bookmarkStart w:id="307" w:name="_Toc32069"/>
      <w:bookmarkStart w:id="308" w:name="_Toc509218744"/>
      <w:bookmarkStart w:id="309" w:name="_Toc430530469"/>
      <w:r>
        <w:rPr>
          <w:rFonts w:ascii="宋体" w:hAnsi="宋体"/>
          <w:b w:val="0"/>
          <w:snapToGrid w:val="0"/>
          <w:color w:val="auto"/>
        </w:rPr>
        <w:t>6.  评标</w:t>
      </w:r>
      <w:bookmarkEnd w:id="301"/>
      <w:bookmarkEnd w:id="302"/>
      <w:bookmarkEnd w:id="303"/>
      <w:bookmarkEnd w:id="304"/>
      <w:bookmarkEnd w:id="305"/>
      <w:bookmarkEnd w:id="307"/>
      <w:bookmarkEnd w:id="308"/>
      <w:bookmarkEnd w:id="309"/>
    </w:p>
    <w:p w14:paraId="2974CD4C">
      <w:pPr>
        <w:pStyle w:val="5"/>
        <w:keepNext w:val="0"/>
        <w:keepLines w:val="0"/>
        <w:snapToGrid w:val="0"/>
        <w:spacing w:before="0" w:after="0" w:line="360" w:lineRule="auto"/>
        <w:rPr>
          <w:rFonts w:ascii="宋体" w:hAnsi="宋体"/>
          <w:b w:val="0"/>
          <w:snapToGrid w:val="0"/>
          <w:color w:val="auto"/>
          <w:sz w:val="24"/>
          <w:szCs w:val="24"/>
        </w:rPr>
      </w:pPr>
      <w:bookmarkStart w:id="310" w:name="_Toc509218745"/>
      <w:bookmarkStart w:id="311" w:name="_Toc200513161"/>
      <w:bookmarkStart w:id="312" w:name="_Toc287607781"/>
      <w:bookmarkStart w:id="313" w:name="_Toc22494"/>
      <w:bookmarkStart w:id="314" w:name="_Toc224103352"/>
      <w:bookmarkStart w:id="315" w:name="_Toc277082587"/>
      <w:bookmarkStart w:id="316" w:name="_Toc287620720"/>
      <w:bookmarkStart w:id="317" w:name="_Toc430530470"/>
      <w:r>
        <w:rPr>
          <w:rFonts w:ascii="宋体" w:hAnsi="宋体"/>
          <w:b w:val="0"/>
          <w:snapToGrid w:val="0"/>
          <w:color w:val="auto"/>
          <w:sz w:val="24"/>
          <w:szCs w:val="24"/>
        </w:rPr>
        <w:t>6.1  评标委员会</w:t>
      </w:r>
      <w:bookmarkEnd w:id="310"/>
      <w:bookmarkEnd w:id="311"/>
      <w:bookmarkEnd w:id="312"/>
      <w:bookmarkEnd w:id="313"/>
      <w:bookmarkEnd w:id="314"/>
      <w:bookmarkEnd w:id="315"/>
      <w:bookmarkEnd w:id="316"/>
      <w:bookmarkEnd w:id="317"/>
    </w:p>
    <w:p w14:paraId="69FFFA8E">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w:t>
      </w:r>
      <w:r>
        <w:rPr>
          <w:rFonts w:hint="eastAsia" w:ascii="宋体" w:hAnsi="宋体"/>
          <w:snapToGrid w:val="0"/>
          <w:color w:val="auto"/>
          <w:kern w:val="0"/>
          <w:szCs w:val="21"/>
        </w:rPr>
        <w:t>采购</w:t>
      </w:r>
      <w:r>
        <w:rPr>
          <w:rFonts w:ascii="宋体" w:hAnsi="宋体"/>
          <w:snapToGrid w:val="0"/>
          <w:color w:val="auto"/>
          <w:kern w:val="0"/>
          <w:szCs w:val="21"/>
        </w:rPr>
        <w:t>人由</w:t>
      </w:r>
      <w:r>
        <w:rPr>
          <w:rFonts w:hint="eastAsia" w:ascii="宋体" w:hAnsi="宋体"/>
          <w:snapToGrid w:val="0"/>
          <w:color w:val="auto"/>
          <w:kern w:val="0"/>
          <w:szCs w:val="21"/>
        </w:rPr>
        <w:t>采购</w:t>
      </w:r>
      <w:r>
        <w:rPr>
          <w:rFonts w:ascii="宋体" w:hAnsi="宋体"/>
          <w:snapToGrid w:val="0"/>
          <w:color w:val="auto"/>
          <w:kern w:val="0"/>
          <w:szCs w:val="21"/>
        </w:rPr>
        <w:t>人自行组织评标小组。</w:t>
      </w:r>
    </w:p>
    <w:p w14:paraId="3AD05357">
      <w:pPr>
        <w:pStyle w:val="98"/>
        <w:spacing w:before="0" w:after="0" w:line="360" w:lineRule="auto"/>
        <w:ind w:firstLine="420" w:firstLineChars="200"/>
        <w:jc w:val="lef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6.1.</w:t>
      </w:r>
      <w:r>
        <w:rPr>
          <w:rFonts w:eastAsia="宋体" w:cs="宋体" w:asciiTheme="minorHAnsi" w:hAnsiTheme="minorHAnsi"/>
          <w:color w:val="auto"/>
          <w:sz w:val="21"/>
          <w:szCs w:val="21"/>
          <w:lang w:eastAsia="zh-CN"/>
        </w:rPr>
        <w:t>2</w:t>
      </w:r>
      <w:r>
        <w:rPr>
          <w:rFonts w:hint="eastAsia" w:ascii="宋体" w:hAnsi="宋体" w:eastAsia="宋体" w:cs="宋体"/>
          <w:color w:val="auto"/>
          <w:sz w:val="21"/>
          <w:szCs w:val="21"/>
          <w:lang w:eastAsia="zh-CN"/>
        </w:rPr>
        <w:t xml:space="preserve">  评标过程中，评标委员会成员有回避事由、擅离职守或者因健康等原因不能继续评标的，应当及时更换。被更换的评标委员会成员作出的评审结论无效，由更换后的评标委员会成员重新进行评审。</w:t>
      </w:r>
    </w:p>
    <w:p w14:paraId="614C75A7">
      <w:pPr>
        <w:pStyle w:val="5"/>
        <w:snapToGrid w:val="0"/>
        <w:spacing w:before="0" w:after="0" w:line="360" w:lineRule="auto"/>
        <w:rPr>
          <w:rFonts w:ascii="宋体" w:hAnsi="宋体"/>
          <w:b w:val="0"/>
          <w:snapToGrid w:val="0"/>
          <w:color w:val="auto"/>
          <w:sz w:val="24"/>
          <w:szCs w:val="24"/>
        </w:rPr>
      </w:pPr>
      <w:bookmarkStart w:id="318" w:name="_Toc430530471"/>
      <w:bookmarkStart w:id="319" w:name="_Toc224103353"/>
      <w:bookmarkStart w:id="320" w:name="_Toc509218746"/>
      <w:bookmarkStart w:id="321" w:name="_Toc29897"/>
      <w:bookmarkStart w:id="322" w:name="_Toc287620721"/>
      <w:bookmarkStart w:id="323" w:name="_Toc200513162"/>
      <w:bookmarkStart w:id="324" w:name="_Toc277082588"/>
      <w:bookmarkStart w:id="325" w:name="_Toc287607782"/>
      <w:r>
        <w:rPr>
          <w:rFonts w:ascii="宋体" w:hAnsi="宋体"/>
          <w:b w:val="0"/>
          <w:snapToGrid w:val="0"/>
          <w:color w:val="auto"/>
          <w:sz w:val="24"/>
          <w:szCs w:val="24"/>
        </w:rPr>
        <w:t>6.2  评标原则</w:t>
      </w:r>
      <w:bookmarkEnd w:id="318"/>
      <w:bookmarkEnd w:id="319"/>
      <w:bookmarkEnd w:id="320"/>
      <w:bookmarkEnd w:id="321"/>
      <w:bookmarkEnd w:id="322"/>
      <w:bookmarkEnd w:id="323"/>
      <w:bookmarkEnd w:id="324"/>
      <w:bookmarkEnd w:id="325"/>
    </w:p>
    <w:p w14:paraId="4AACDDE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6B5C2841">
      <w:pPr>
        <w:pStyle w:val="5"/>
        <w:snapToGrid w:val="0"/>
        <w:spacing w:before="0" w:after="0" w:line="360" w:lineRule="auto"/>
        <w:rPr>
          <w:rFonts w:ascii="宋体" w:hAnsi="宋体"/>
          <w:b w:val="0"/>
          <w:snapToGrid w:val="0"/>
          <w:color w:val="auto"/>
          <w:sz w:val="24"/>
          <w:szCs w:val="24"/>
        </w:rPr>
      </w:pPr>
      <w:bookmarkStart w:id="326" w:name="_Toc277082589"/>
      <w:bookmarkStart w:id="327" w:name="_Toc200513163"/>
      <w:bookmarkStart w:id="328" w:name="_Toc287607783"/>
      <w:bookmarkStart w:id="329" w:name="_Toc224103354"/>
      <w:bookmarkStart w:id="330" w:name="_Toc287620722"/>
      <w:bookmarkStart w:id="331" w:name="_Toc20628"/>
      <w:bookmarkStart w:id="332" w:name="_Toc509218747"/>
      <w:bookmarkStart w:id="333" w:name="_Toc430530472"/>
      <w:r>
        <w:rPr>
          <w:rFonts w:ascii="宋体" w:hAnsi="宋体"/>
          <w:b w:val="0"/>
          <w:snapToGrid w:val="0"/>
          <w:color w:val="auto"/>
          <w:sz w:val="24"/>
          <w:szCs w:val="24"/>
        </w:rPr>
        <w:t>6.3  评标</w:t>
      </w:r>
      <w:bookmarkEnd w:id="326"/>
      <w:bookmarkEnd w:id="327"/>
      <w:bookmarkEnd w:id="328"/>
      <w:bookmarkEnd w:id="329"/>
      <w:bookmarkEnd w:id="330"/>
      <w:bookmarkEnd w:id="331"/>
      <w:bookmarkEnd w:id="332"/>
      <w:bookmarkEnd w:id="333"/>
    </w:p>
    <w:p w14:paraId="59EB56D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1AB7B86F">
      <w:pPr>
        <w:pStyle w:val="4"/>
        <w:spacing w:before="0" w:after="0" w:line="360" w:lineRule="auto"/>
        <w:rPr>
          <w:rFonts w:ascii="宋体" w:hAnsi="宋体"/>
          <w:b w:val="0"/>
          <w:snapToGrid w:val="0"/>
          <w:color w:val="auto"/>
        </w:rPr>
      </w:pPr>
      <w:bookmarkStart w:id="334" w:name="_Toc15230"/>
      <w:bookmarkStart w:id="335" w:name="_Toc224103355"/>
      <w:bookmarkStart w:id="336" w:name="_Toc200513164"/>
      <w:bookmarkStart w:id="337" w:name="_Toc287620723"/>
      <w:bookmarkStart w:id="338" w:name="_Toc277082590"/>
      <w:bookmarkStart w:id="339" w:name="_Toc430530473"/>
      <w:bookmarkStart w:id="340" w:name="_Toc509218748"/>
      <w:bookmarkStart w:id="341" w:name="_Toc287607784"/>
      <w:r>
        <w:rPr>
          <w:rFonts w:ascii="宋体" w:hAnsi="宋体"/>
          <w:b w:val="0"/>
          <w:snapToGrid w:val="0"/>
          <w:color w:val="auto"/>
        </w:rPr>
        <w:t>7.  合同授予</w:t>
      </w:r>
      <w:bookmarkEnd w:id="334"/>
      <w:bookmarkEnd w:id="335"/>
      <w:bookmarkEnd w:id="336"/>
      <w:bookmarkEnd w:id="337"/>
      <w:bookmarkEnd w:id="338"/>
      <w:bookmarkEnd w:id="339"/>
      <w:bookmarkEnd w:id="340"/>
      <w:bookmarkEnd w:id="341"/>
    </w:p>
    <w:p w14:paraId="64BC91D7">
      <w:pPr>
        <w:pStyle w:val="5"/>
        <w:snapToGrid w:val="0"/>
        <w:spacing w:before="0" w:after="0" w:line="360" w:lineRule="auto"/>
        <w:rPr>
          <w:rFonts w:ascii="宋体" w:hAnsi="宋体"/>
          <w:b w:val="0"/>
          <w:snapToGrid w:val="0"/>
          <w:color w:val="auto"/>
          <w:sz w:val="24"/>
          <w:szCs w:val="24"/>
        </w:rPr>
      </w:pPr>
      <w:bookmarkStart w:id="342" w:name="_Toc277082591"/>
      <w:bookmarkStart w:id="343" w:name="_Toc509218749"/>
      <w:bookmarkStart w:id="344" w:name="_Toc287607785"/>
      <w:bookmarkStart w:id="345" w:name="_Toc32274"/>
      <w:bookmarkStart w:id="346" w:name="_Toc430530474"/>
      <w:bookmarkStart w:id="347" w:name="_Toc200513165"/>
      <w:bookmarkStart w:id="348" w:name="_Toc287620724"/>
      <w:bookmarkStart w:id="349" w:name="_Toc224103356"/>
      <w:r>
        <w:rPr>
          <w:rFonts w:ascii="宋体" w:hAnsi="宋体"/>
          <w:b w:val="0"/>
          <w:snapToGrid w:val="0"/>
          <w:color w:val="auto"/>
          <w:sz w:val="24"/>
          <w:szCs w:val="24"/>
        </w:rPr>
        <w:t>7.1  定标方式</w:t>
      </w:r>
      <w:bookmarkEnd w:id="342"/>
      <w:bookmarkEnd w:id="343"/>
      <w:bookmarkEnd w:id="344"/>
      <w:bookmarkEnd w:id="345"/>
      <w:bookmarkEnd w:id="346"/>
      <w:bookmarkEnd w:id="347"/>
      <w:bookmarkEnd w:id="348"/>
      <w:bookmarkEnd w:id="349"/>
    </w:p>
    <w:p w14:paraId="33D97567">
      <w:pPr>
        <w:spacing w:line="360" w:lineRule="auto"/>
        <w:ind w:firstLine="420" w:firstLineChars="200"/>
        <w:rPr>
          <w:rFonts w:ascii="宋体" w:hAnsi="宋体"/>
          <w:color w:val="auto"/>
          <w:szCs w:val="21"/>
        </w:rPr>
      </w:pPr>
      <w:r>
        <w:rPr>
          <w:rFonts w:ascii="宋体" w:hAnsi="宋体"/>
          <w:color w:val="auto"/>
          <w:szCs w:val="21"/>
        </w:rPr>
        <w:t>国有资金占控股或者主导地位的依法必须进行</w:t>
      </w:r>
      <w:r>
        <w:rPr>
          <w:rFonts w:hint="eastAsia" w:ascii="宋体" w:hAnsi="宋体"/>
          <w:color w:val="auto"/>
          <w:szCs w:val="21"/>
        </w:rPr>
        <w:t>采购</w:t>
      </w:r>
      <w:r>
        <w:rPr>
          <w:rFonts w:ascii="宋体" w:hAnsi="宋体"/>
          <w:color w:val="auto"/>
          <w:szCs w:val="21"/>
        </w:rPr>
        <w:t>的项目，</w:t>
      </w:r>
      <w:r>
        <w:rPr>
          <w:rFonts w:hint="eastAsia" w:ascii="宋体" w:hAnsi="宋体"/>
          <w:color w:val="auto"/>
          <w:szCs w:val="21"/>
        </w:rPr>
        <w:t>采购</w:t>
      </w:r>
      <w:r>
        <w:rPr>
          <w:rFonts w:ascii="宋体" w:hAnsi="宋体"/>
          <w:color w:val="auto"/>
          <w:szCs w:val="21"/>
        </w:rPr>
        <w:t>人应当确定排名第一的中标候选人为中标人。排名第一的中标候选人放弃中标、因不可抗力不能履行合同、不按照</w:t>
      </w:r>
      <w:r>
        <w:rPr>
          <w:rFonts w:hint="eastAsia" w:ascii="宋体" w:hAnsi="宋体"/>
          <w:color w:val="auto"/>
          <w:szCs w:val="21"/>
        </w:rPr>
        <w:t>采购</w:t>
      </w:r>
      <w:r>
        <w:rPr>
          <w:rFonts w:ascii="宋体" w:hAnsi="宋体"/>
          <w:color w:val="auto"/>
          <w:szCs w:val="21"/>
        </w:rPr>
        <w:t>文件要求提交履约保证金，或者被查实存在影响中标结果的违法行为等情形，不符合中标条件的，</w:t>
      </w:r>
      <w:r>
        <w:rPr>
          <w:rFonts w:hint="eastAsia" w:ascii="宋体" w:hAnsi="宋体"/>
          <w:color w:val="auto"/>
          <w:szCs w:val="21"/>
        </w:rPr>
        <w:t>采购</w:t>
      </w:r>
      <w:r>
        <w:rPr>
          <w:rFonts w:ascii="宋体" w:hAnsi="宋体"/>
          <w:color w:val="auto"/>
          <w:szCs w:val="21"/>
        </w:rPr>
        <w:t>人可以按照评标委员会提出的中标候选人名单排序依次确定其他中标候选人为中标人，也可以重新</w:t>
      </w:r>
      <w:r>
        <w:rPr>
          <w:rFonts w:hint="eastAsia" w:ascii="宋体" w:hAnsi="宋体"/>
          <w:color w:val="auto"/>
          <w:szCs w:val="21"/>
        </w:rPr>
        <w:t>采购</w:t>
      </w:r>
      <w:r>
        <w:rPr>
          <w:rFonts w:ascii="宋体" w:hAnsi="宋体"/>
          <w:color w:val="auto"/>
          <w:szCs w:val="21"/>
        </w:rPr>
        <w:t>。</w:t>
      </w:r>
    </w:p>
    <w:p w14:paraId="315CC9D0">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33BDA36">
      <w:pPr>
        <w:pStyle w:val="5"/>
        <w:snapToGrid w:val="0"/>
        <w:spacing w:before="0" w:after="0" w:line="360" w:lineRule="auto"/>
        <w:rPr>
          <w:rFonts w:ascii="宋体" w:hAnsi="宋体"/>
          <w:b w:val="0"/>
          <w:snapToGrid w:val="0"/>
          <w:color w:val="auto"/>
          <w:sz w:val="24"/>
          <w:szCs w:val="24"/>
        </w:rPr>
      </w:pPr>
      <w:bookmarkStart w:id="350" w:name="_Toc29133"/>
      <w:bookmarkStart w:id="351" w:name="_Toc509218750"/>
      <w:bookmarkStart w:id="352" w:name="_Toc430530475"/>
      <w:r>
        <w:rPr>
          <w:rFonts w:ascii="宋体" w:hAnsi="宋体"/>
          <w:b w:val="0"/>
          <w:snapToGrid w:val="0"/>
          <w:color w:val="auto"/>
          <w:sz w:val="24"/>
          <w:szCs w:val="24"/>
        </w:rPr>
        <w:t>7.2  中标公示及中标通知</w:t>
      </w:r>
      <w:bookmarkEnd w:id="350"/>
      <w:bookmarkEnd w:id="351"/>
      <w:bookmarkEnd w:id="352"/>
    </w:p>
    <w:p w14:paraId="566ED61B">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snapToGrid w:val="0"/>
          <w:color w:val="auto"/>
          <w:kern w:val="0"/>
          <w:szCs w:val="21"/>
        </w:rPr>
        <w:t>采购</w:t>
      </w:r>
      <w:r>
        <w:rPr>
          <w:rFonts w:ascii="宋体" w:hAnsi="宋体"/>
          <w:snapToGrid w:val="0"/>
          <w:color w:val="auto"/>
          <w:kern w:val="0"/>
          <w:szCs w:val="21"/>
        </w:rPr>
        <w:t>人在收到评标报告之日起3日内公示中标候选人，公示期不得少于3日</w:t>
      </w:r>
      <w:r>
        <w:rPr>
          <w:rFonts w:hint="eastAsia" w:ascii="宋体" w:hAnsi="宋体"/>
          <w:color w:val="auto"/>
          <w:szCs w:val="21"/>
        </w:rPr>
        <w:t>。</w:t>
      </w:r>
    </w:p>
    <w:p w14:paraId="7BDCC88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w:t>
      </w:r>
      <w:r>
        <w:rPr>
          <w:rFonts w:hint="eastAsia" w:ascii="宋体" w:hAnsi="宋体"/>
          <w:snapToGrid w:val="0"/>
          <w:color w:val="auto"/>
          <w:kern w:val="0"/>
          <w:szCs w:val="21"/>
        </w:rPr>
        <w:t>采购</w:t>
      </w:r>
      <w:r>
        <w:rPr>
          <w:rFonts w:ascii="宋体" w:hAnsi="宋体"/>
          <w:snapToGrid w:val="0"/>
          <w:color w:val="auto"/>
          <w:kern w:val="0"/>
          <w:szCs w:val="21"/>
        </w:rPr>
        <w:t>人以书面形式向中标人发出中标通知书。</w:t>
      </w:r>
    </w:p>
    <w:p w14:paraId="53725694">
      <w:pPr>
        <w:pStyle w:val="5"/>
        <w:snapToGrid w:val="0"/>
        <w:spacing w:before="0" w:after="0" w:line="360" w:lineRule="auto"/>
        <w:rPr>
          <w:rFonts w:ascii="宋体" w:hAnsi="宋体"/>
          <w:b w:val="0"/>
          <w:snapToGrid w:val="0"/>
          <w:color w:val="auto"/>
          <w:sz w:val="24"/>
          <w:szCs w:val="24"/>
        </w:rPr>
      </w:pPr>
      <w:bookmarkStart w:id="353" w:name="_Toc200513167"/>
      <w:bookmarkStart w:id="354" w:name="_Toc509218751"/>
      <w:bookmarkStart w:id="355" w:name="_Toc287620726"/>
      <w:bookmarkStart w:id="356" w:name="_Toc21475"/>
      <w:bookmarkStart w:id="357" w:name="_Toc430530476"/>
      <w:bookmarkStart w:id="358" w:name="_Toc277082593"/>
      <w:bookmarkStart w:id="359" w:name="_Toc224103358"/>
      <w:bookmarkStart w:id="360" w:name="_Toc287607787"/>
      <w:r>
        <w:rPr>
          <w:rFonts w:ascii="宋体" w:hAnsi="宋体"/>
          <w:b w:val="0"/>
          <w:snapToGrid w:val="0"/>
          <w:color w:val="auto"/>
          <w:sz w:val="24"/>
          <w:szCs w:val="24"/>
        </w:rPr>
        <w:t>7.3  履约担保</w:t>
      </w:r>
      <w:bookmarkEnd w:id="353"/>
      <w:bookmarkEnd w:id="354"/>
      <w:bookmarkEnd w:id="355"/>
      <w:bookmarkEnd w:id="356"/>
      <w:bookmarkEnd w:id="357"/>
      <w:bookmarkEnd w:id="358"/>
      <w:bookmarkEnd w:id="359"/>
      <w:bookmarkEnd w:id="360"/>
    </w:p>
    <w:p w14:paraId="37D3B7F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w:t>
      </w:r>
      <w:r>
        <w:rPr>
          <w:rFonts w:hint="eastAsia" w:ascii="宋体" w:hAnsi="宋体"/>
          <w:snapToGrid w:val="0"/>
          <w:color w:val="auto"/>
          <w:kern w:val="0"/>
          <w:szCs w:val="21"/>
        </w:rPr>
        <w:t>采购</w:t>
      </w:r>
      <w:r>
        <w:rPr>
          <w:rFonts w:ascii="宋体" w:hAnsi="宋体"/>
          <w:snapToGrid w:val="0"/>
          <w:color w:val="auto"/>
          <w:kern w:val="0"/>
          <w:szCs w:val="21"/>
        </w:rPr>
        <w:t>文件第四章“合同条款及格式”规定的履约担保格式向</w:t>
      </w:r>
      <w:r>
        <w:rPr>
          <w:rFonts w:hint="eastAsia" w:ascii="宋体" w:hAnsi="宋体"/>
          <w:snapToGrid w:val="0"/>
          <w:color w:val="auto"/>
          <w:kern w:val="0"/>
          <w:szCs w:val="21"/>
        </w:rPr>
        <w:t>采购</w:t>
      </w:r>
      <w:r>
        <w:rPr>
          <w:rFonts w:ascii="宋体" w:hAnsi="宋体"/>
          <w:snapToGrid w:val="0"/>
          <w:color w:val="auto"/>
          <w:kern w:val="0"/>
          <w:szCs w:val="21"/>
        </w:rPr>
        <w:t>人提交履约担保。联合体中标的，其履约担保由牵头人递交，并应符合投标人须知前附表规定的金额、担保形式和</w:t>
      </w:r>
      <w:r>
        <w:rPr>
          <w:rFonts w:hint="eastAsia" w:ascii="宋体" w:hAnsi="宋体"/>
          <w:snapToGrid w:val="0"/>
          <w:color w:val="auto"/>
          <w:kern w:val="0"/>
          <w:szCs w:val="21"/>
        </w:rPr>
        <w:t>采购</w:t>
      </w:r>
      <w:r>
        <w:rPr>
          <w:rFonts w:ascii="宋体" w:hAnsi="宋体"/>
          <w:snapToGrid w:val="0"/>
          <w:color w:val="auto"/>
          <w:kern w:val="0"/>
          <w:szCs w:val="21"/>
        </w:rPr>
        <w:t>文件第四章“合同条款及格式”规定的履约担保格式要求。</w:t>
      </w:r>
    </w:p>
    <w:p w14:paraId="09FBFFF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w:t>
      </w:r>
      <w:r>
        <w:rPr>
          <w:rFonts w:hint="eastAsia" w:ascii="宋体" w:hAnsi="宋体"/>
          <w:snapToGrid w:val="0"/>
          <w:color w:val="auto"/>
          <w:kern w:val="0"/>
          <w:szCs w:val="21"/>
        </w:rPr>
        <w:t>采购</w:t>
      </w:r>
      <w:r>
        <w:rPr>
          <w:rFonts w:ascii="宋体" w:hAnsi="宋体"/>
          <w:snapToGrid w:val="0"/>
          <w:color w:val="auto"/>
          <w:kern w:val="0"/>
          <w:szCs w:val="21"/>
        </w:rPr>
        <w:t>人造成的损失超过投标保证金数额的，中标人还应当对超过部分予以赔偿。</w:t>
      </w:r>
    </w:p>
    <w:p w14:paraId="4D7649A2">
      <w:pPr>
        <w:pStyle w:val="5"/>
        <w:snapToGrid w:val="0"/>
        <w:spacing w:before="0" w:after="0" w:line="360" w:lineRule="auto"/>
        <w:rPr>
          <w:rFonts w:ascii="宋体" w:hAnsi="宋体"/>
          <w:b w:val="0"/>
          <w:snapToGrid w:val="0"/>
          <w:color w:val="auto"/>
          <w:sz w:val="24"/>
          <w:szCs w:val="24"/>
        </w:rPr>
      </w:pPr>
      <w:bookmarkStart w:id="361" w:name="_Toc287620727"/>
      <w:bookmarkStart w:id="362" w:name="_Toc26300"/>
      <w:bookmarkStart w:id="363" w:name="_Toc287607788"/>
      <w:bookmarkStart w:id="364" w:name="_Toc224103359"/>
      <w:bookmarkStart w:id="365" w:name="_Toc509218752"/>
      <w:bookmarkStart w:id="366" w:name="_Toc277082594"/>
      <w:bookmarkStart w:id="367" w:name="_Toc430530477"/>
      <w:bookmarkStart w:id="368" w:name="_Toc200513168"/>
      <w:r>
        <w:rPr>
          <w:rFonts w:ascii="宋体" w:hAnsi="宋体"/>
          <w:b w:val="0"/>
          <w:snapToGrid w:val="0"/>
          <w:color w:val="auto"/>
          <w:sz w:val="24"/>
          <w:szCs w:val="24"/>
        </w:rPr>
        <w:t>7.4  签订合同</w:t>
      </w:r>
      <w:bookmarkEnd w:id="361"/>
      <w:bookmarkEnd w:id="362"/>
      <w:bookmarkEnd w:id="363"/>
      <w:bookmarkEnd w:id="364"/>
      <w:bookmarkEnd w:id="365"/>
      <w:bookmarkEnd w:id="366"/>
      <w:bookmarkEnd w:id="367"/>
      <w:bookmarkEnd w:id="368"/>
    </w:p>
    <w:p w14:paraId="3EF03679">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7.4.1 </w:t>
      </w:r>
      <w:r>
        <w:rPr>
          <w:rFonts w:hint="eastAsia" w:ascii="宋体" w:hAnsi="宋体"/>
          <w:snapToGrid w:val="0"/>
          <w:color w:val="auto"/>
          <w:kern w:val="0"/>
          <w:szCs w:val="21"/>
        </w:rPr>
        <w:t xml:space="preserve"> 采购</w:t>
      </w:r>
      <w:r>
        <w:rPr>
          <w:rFonts w:ascii="宋体" w:hAnsi="宋体"/>
          <w:snapToGrid w:val="0"/>
          <w:color w:val="auto"/>
          <w:kern w:val="0"/>
          <w:szCs w:val="21"/>
        </w:rPr>
        <w:t>人和中标人应当自中标通知书发出之日起 30 天内，根据</w:t>
      </w:r>
      <w:r>
        <w:rPr>
          <w:rFonts w:hint="eastAsia" w:ascii="宋体" w:hAnsi="宋体"/>
          <w:snapToGrid w:val="0"/>
          <w:color w:val="auto"/>
          <w:kern w:val="0"/>
          <w:szCs w:val="21"/>
        </w:rPr>
        <w:t>采购</w:t>
      </w:r>
      <w:r>
        <w:rPr>
          <w:rFonts w:ascii="宋体" w:hAnsi="宋体"/>
          <w:snapToGrid w:val="0"/>
          <w:color w:val="auto"/>
          <w:kern w:val="0"/>
          <w:szCs w:val="21"/>
        </w:rPr>
        <w:t>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不与采购人签订合同，在签订合同时向采购人提出附加条件或者更改合同实质性内容</w:t>
      </w:r>
      <w:r>
        <w:rPr>
          <w:rFonts w:ascii="宋体" w:hAnsi="宋体"/>
          <w:snapToGrid w:val="0"/>
          <w:color w:val="auto"/>
          <w:kern w:val="0"/>
          <w:szCs w:val="21"/>
        </w:rPr>
        <w:t>，</w:t>
      </w:r>
      <w:r>
        <w:rPr>
          <w:rFonts w:hint="eastAsia" w:ascii="宋体" w:hAnsi="宋体" w:cs="宋体"/>
          <w:color w:val="auto"/>
          <w:szCs w:val="21"/>
        </w:rPr>
        <w:t>或不按照采购文件要求提交低价风险担保（适用于经评审最低投标价法）或履约保证金的，</w:t>
      </w:r>
      <w:r>
        <w:rPr>
          <w:rFonts w:hint="eastAsia" w:ascii="宋体" w:hAnsi="宋体"/>
          <w:snapToGrid w:val="0"/>
          <w:color w:val="auto"/>
          <w:kern w:val="0"/>
          <w:szCs w:val="21"/>
        </w:rPr>
        <w:t>采购</w:t>
      </w:r>
      <w:r>
        <w:rPr>
          <w:rFonts w:ascii="宋体" w:hAnsi="宋体"/>
          <w:snapToGrid w:val="0"/>
          <w:color w:val="auto"/>
          <w:kern w:val="0"/>
          <w:szCs w:val="21"/>
        </w:rPr>
        <w:t>人取消其中标资格，其投标保证金不予退还；给</w:t>
      </w:r>
      <w:r>
        <w:rPr>
          <w:rFonts w:hint="eastAsia" w:ascii="宋体" w:hAnsi="宋体"/>
          <w:snapToGrid w:val="0"/>
          <w:color w:val="auto"/>
          <w:kern w:val="0"/>
          <w:szCs w:val="21"/>
        </w:rPr>
        <w:t>采购</w:t>
      </w:r>
      <w:r>
        <w:rPr>
          <w:rFonts w:ascii="宋体" w:hAnsi="宋体"/>
          <w:snapToGrid w:val="0"/>
          <w:color w:val="auto"/>
          <w:kern w:val="0"/>
          <w:szCs w:val="21"/>
        </w:rPr>
        <w:t>人造成的损失超过投标保证金数额的，中标人还应当对超过部分予以赔偿。</w:t>
      </w:r>
    </w:p>
    <w:p w14:paraId="4F11686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w:t>
      </w:r>
      <w:r>
        <w:rPr>
          <w:rFonts w:hint="eastAsia" w:ascii="宋体" w:hAnsi="宋体"/>
          <w:snapToGrid w:val="0"/>
          <w:color w:val="auto"/>
          <w:kern w:val="0"/>
          <w:szCs w:val="21"/>
        </w:rPr>
        <w:t>采购</w:t>
      </w:r>
      <w:r>
        <w:rPr>
          <w:rFonts w:ascii="宋体" w:hAnsi="宋体"/>
          <w:snapToGrid w:val="0"/>
          <w:color w:val="auto"/>
          <w:kern w:val="0"/>
          <w:szCs w:val="21"/>
        </w:rPr>
        <w:t>人无正当理由拒签合同的，</w:t>
      </w:r>
      <w:r>
        <w:rPr>
          <w:rFonts w:hint="eastAsia" w:ascii="宋体" w:hAnsi="宋体"/>
          <w:snapToGrid w:val="0"/>
          <w:color w:val="auto"/>
          <w:kern w:val="0"/>
          <w:szCs w:val="21"/>
        </w:rPr>
        <w:t>采购</w:t>
      </w:r>
      <w:r>
        <w:rPr>
          <w:rFonts w:ascii="宋体" w:hAnsi="宋体"/>
          <w:snapToGrid w:val="0"/>
          <w:color w:val="auto"/>
          <w:kern w:val="0"/>
          <w:szCs w:val="21"/>
        </w:rPr>
        <w:t>人向中标人退还投标保证金；给中标人造成损失的，还应当赔偿损失。</w:t>
      </w:r>
    </w:p>
    <w:p w14:paraId="1E592630">
      <w:pPr>
        <w:pStyle w:val="4"/>
        <w:spacing w:before="0" w:after="0" w:line="360" w:lineRule="auto"/>
        <w:rPr>
          <w:rFonts w:ascii="宋体" w:hAnsi="宋体"/>
          <w:b w:val="0"/>
          <w:snapToGrid w:val="0"/>
          <w:color w:val="auto"/>
        </w:rPr>
      </w:pPr>
      <w:bookmarkStart w:id="369" w:name="_Toc430530478"/>
      <w:bookmarkStart w:id="370" w:name="_Toc28692"/>
      <w:bookmarkStart w:id="371" w:name="_Toc224103360"/>
      <w:bookmarkStart w:id="372" w:name="_Toc509218753"/>
      <w:bookmarkStart w:id="373" w:name="_Toc200513169"/>
      <w:bookmarkStart w:id="374" w:name="_Toc287607789"/>
      <w:bookmarkStart w:id="375" w:name="_Toc287620728"/>
      <w:bookmarkStart w:id="376" w:name="_Toc277082595"/>
      <w:r>
        <w:rPr>
          <w:rFonts w:ascii="宋体" w:hAnsi="宋体"/>
          <w:b w:val="0"/>
          <w:snapToGrid w:val="0"/>
          <w:color w:val="auto"/>
        </w:rPr>
        <w:t>8.  重新</w:t>
      </w:r>
      <w:r>
        <w:rPr>
          <w:rFonts w:hint="eastAsia" w:ascii="宋体" w:hAnsi="宋体"/>
          <w:b w:val="0"/>
          <w:snapToGrid w:val="0"/>
          <w:color w:val="auto"/>
        </w:rPr>
        <w:t>采购</w:t>
      </w:r>
      <w:r>
        <w:rPr>
          <w:rFonts w:ascii="宋体" w:hAnsi="宋体"/>
          <w:b w:val="0"/>
          <w:snapToGrid w:val="0"/>
          <w:color w:val="auto"/>
        </w:rPr>
        <w:t>和不再</w:t>
      </w:r>
      <w:bookmarkEnd w:id="369"/>
      <w:bookmarkEnd w:id="370"/>
      <w:bookmarkEnd w:id="371"/>
      <w:bookmarkEnd w:id="372"/>
      <w:bookmarkEnd w:id="373"/>
      <w:bookmarkEnd w:id="374"/>
      <w:bookmarkEnd w:id="375"/>
      <w:bookmarkEnd w:id="376"/>
      <w:r>
        <w:rPr>
          <w:rFonts w:hint="eastAsia" w:ascii="宋体" w:hAnsi="宋体"/>
          <w:b w:val="0"/>
          <w:snapToGrid w:val="0"/>
          <w:color w:val="auto"/>
        </w:rPr>
        <w:t>采购</w:t>
      </w:r>
    </w:p>
    <w:p w14:paraId="000F7672">
      <w:pPr>
        <w:pStyle w:val="5"/>
        <w:snapToGrid w:val="0"/>
        <w:spacing w:before="0" w:after="0" w:line="360" w:lineRule="auto"/>
        <w:rPr>
          <w:rFonts w:ascii="宋体" w:hAnsi="宋体"/>
          <w:b w:val="0"/>
          <w:snapToGrid w:val="0"/>
          <w:color w:val="auto"/>
          <w:sz w:val="24"/>
          <w:szCs w:val="24"/>
        </w:rPr>
      </w:pPr>
      <w:bookmarkStart w:id="377" w:name="_Toc287620729"/>
      <w:bookmarkStart w:id="378" w:name="_Toc200513170"/>
      <w:bookmarkStart w:id="379" w:name="_Toc287607790"/>
      <w:bookmarkStart w:id="380" w:name="_Toc277082596"/>
      <w:bookmarkStart w:id="381" w:name="_Toc224103361"/>
      <w:bookmarkStart w:id="382" w:name="_Toc509218754"/>
      <w:bookmarkStart w:id="383" w:name="_Toc430530479"/>
      <w:bookmarkStart w:id="384" w:name="_Toc1745"/>
      <w:r>
        <w:rPr>
          <w:rFonts w:ascii="宋体" w:hAnsi="宋体"/>
          <w:b w:val="0"/>
          <w:snapToGrid w:val="0"/>
          <w:color w:val="auto"/>
          <w:sz w:val="24"/>
          <w:szCs w:val="24"/>
        </w:rPr>
        <w:t>8.1  重新</w:t>
      </w:r>
      <w:bookmarkEnd w:id="377"/>
      <w:bookmarkEnd w:id="378"/>
      <w:bookmarkEnd w:id="379"/>
      <w:bookmarkEnd w:id="380"/>
      <w:bookmarkEnd w:id="381"/>
      <w:bookmarkEnd w:id="382"/>
      <w:bookmarkEnd w:id="383"/>
      <w:r>
        <w:rPr>
          <w:rFonts w:hint="eastAsia" w:ascii="宋体" w:hAnsi="宋体"/>
          <w:b w:val="0"/>
          <w:snapToGrid w:val="0"/>
          <w:color w:val="auto"/>
          <w:sz w:val="24"/>
          <w:szCs w:val="24"/>
        </w:rPr>
        <w:t>采购的情形</w:t>
      </w:r>
      <w:bookmarkEnd w:id="384"/>
    </w:p>
    <w:p w14:paraId="35448A4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w:t>
      </w:r>
      <w:r>
        <w:rPr>
          <w:rFonts w:hint="eastAsia" w:ascii="宋体" w:hAnsi="宋体"/>
          <w:snapToGrid w:val="0"/>
          <w:color w:val="auto"/>
          <w:kern w:val="0"/>
          <w:szCs w:val="21"/>
        </w:rPr>
        <w:t>采购</w:t>
      </w:r>
      <w:r>
        <w:rPr>
          <w:rFonts w:ascii="宋体" w:hAnsi="宋体"/>
          <w:snapToGrid w:val="0"/>
          <w:color w:val="auto"/>
          <w:kern w:val="0"/>
          <w:szCs w:val="21"/>
        </w:rPr>
        <w:t>人将重新</w:t>
      </w:r>
      <w:r>
        <w:rPr>
          <w:rFonts w:hint="eastAsia" w:ascii="宋体" w:hAnsi="宋体"/>
          <w:snapToGrid w:val="0"/>
          <w:color w:val="auto"/>
          <w:kern w:val="0"/>
          <w:szCs w:val="21"/>
        </w:rPr>
        <w:t>采购</w:t>
      </w:r>
      <w:r>
        <w:rPr>
          <w:rFonts w:ascii="宋体" w:hAnsi="宋体"/>
          <w:snapToGrid w:val="0"/>
          <w:color w:val="auto"/>
          <w:kern w:val="0"/>
          <w:szCs w:val="21"/>
        </w:rPr>
        <w:t>：</w:t>
      </w:r>
    </w:p>
    <w:p w14:paraId="62FB759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 3 个的；</w:t>
      </w:r>
    </w:p>
    <w:p w14:paraId="78A86F4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4BFCE70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采购文件要求的，评标委员会可以继续评标并确定中标候选人</w:t>
      </w:r>
      <w:r>
        <w:rPr>
          <w:rFonts w:ascii="宋体" w:hAnsi="宋体"/>
          <w:snapToGrid w:val="0"/>
          <w:color w:val="auto"/>
          <w:kern w:val="0"/>
          <w:szCs w:val="21"/>
        </w:rPr>
        <w:t>；</w:t>
      </w:r>
    </w:p>
    <w:p w14:paraId="30B7CC9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4DBED6F2">
      <w:pPr>
        <w:pStyle w:val="5"/>
        <w:snapToGrid w:val="0"/>
        <w:spacing w:before="0" w:after="0" w:line="360" w:lineRule="auto"/>
        <w:rPr>
          <w:rFonts w:ascii="宋体" w:hAnsi="宋体"/>
          <w:b w:val="0"/>
          <w:snapToGrid w:val="0"/>
          <w:color w:val="auto"/>
          <w:sz w:val="24"/>
          <w:szCs w:val="24"/>
        </w:rPr>
      </w:pPr>
      <w:bookmarkStart w:id="385" w:name="_Toc224103362"/>
      <w:bookmarkStart w:id="386" w:name="_Toc287620730"/>
      <w:bookmarkStart w:id="387" w:name="_Toc248"/>
      <w:bookmarkStart w:id="388" w:name="_Toc287607791"/>
      <w:bookmarkStart w:id="389" w:name="_Toc277082597"/>
      <w:bookmarkStart w:id="390" w:name="_Toc200513171"/>
      <w:bookmarkStart w:id="391" w:name="_Toc509218755"/>
      <w:bookmarkStart w:id="392" w:name="_Toc430530480"/>
      <w:r>
        <w:rPr>
          <w:rFonts w:ascii="宋体" w:hAnsi="宋体"/>
          <w:b w:val="0"/>
          <w:snapToGrid w:val="0"/>
          <w:color w:val="auto"/>
          <w:sz w:val="24"/>
          <w:szCs w:val="24"/>
        </w:rPr>
        <w:t xml:space="preserve">8.2  </w:t>
      </w:r>
      <w:r>
        <w:rPr>
          <w:rFonts w:hint="eastAsia" w:ascii="宋体" w:hAnsi="宋体"/>
          <w:b w:val="0"/>
          <w:snapToGrid w:val="0"/>
          <w:color w:val="auto"/>
          <w:sz w:val="24"/>
          <w:szCs w:val="24"/>
        </w:rPr>
        <w:t>重新采购</w:t>
      </w:r>
      <w:r>
        <w:rPr>
          <w:rFonts w:ascii="宋体" w:hAnsi="宋体"/>
          <w:b w:val="0"/>
          <w:snapToGrid w:val="0"/>
          <w:color w:val="auto"/>
          <w:sz w:val="24"/>
          <w:szCs w:val="24"/>
        </w:rPr>
        <w:t>和不再</w:t>
      </w:r>
      <w:bookmarkEnd w:id="385"/>
      <w:bookmarkEnd w:id="386"/>
      <w:bookmarkEnd w:id="387"/>
      <w:bookmarkEnd w:id="388"/>
      <w:bookmarkEnd w:id="389"/>
      <w:bookmarkEnd w:id="390"/>
      <w:bookmarkEnd w:id="391"/>
      <w:bookmarkEnd w:id="392"/>
      <w:r>
        <w:rPr>
          <w:rFonts w:hint="eastAsia" w:ascii="宋体" w:hAnsi="宋体"/>
          <w:b w:val="0"/>
          <w:snapToGrid w:val="0"/>
          <w:color w:val="auto"/>
          <w:sz w:val="24"/>
          <w:szCs w:val="24"/>
        </w:rPr>
        <w:t>采购</w:t>
      </w:r>
    </w:p>
    <w:p w14:paraId="49282509">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color w:val="auto"/>
          <w:kern w:val="0"/>
          <w:szCs w:val="21"/>
        </w:rPr>
        <w:t>。</w:t>
      </w:r>
      <w:bookmarkStart w:id="393" w:name="_Toc3833"/>
    </w:p>
    <w:p w14:paraId="788D6F5F">
      <w:pPr>
        <w:pStyle w:val="2"/>
        <w:rPr>
          <w:color w:val="auto"/>
        </w:rPr>
      </w:pPr>
    </w:p>
    <w:p w14:paraId="30A0CA7F">
      <w:pPr>
        <w:rPr>
          <w:color w:val="auto"/>
        </w:rPr>
      </w:pPr>
    </w:p>
    <w:p w14:paraId="5CEE7545">
      <w:pPr>
        <w:pStyle w:val="2"/>
        <w:rPr>
          <w:color w:val="auto"/>
        </w:rPr>
      </w:pPr>
    </w:p>
    <w:p w14:paraId="08504A18">
      <w:pPr>
        <w:rPr>
          <w:color w:val="auto"/>
        </w:rPr>
      </w:pPr>
    </w:p>
    <w:p w14:paraId="3E0DBAA0">
      <w:pPr>
        <w:pStyle w:val="2"/>
        <w:rPr>
          <w:color w:val="auto"/>
        </w:rPr>
      </w:pPr>
    </w:p>
    <w:p w14:paraId="36C45095">
      <w:pPr>
        <w:rPr>
          <w:color w:val="auto"/>
        </w:rPr>
      </w:pPr>
    </w:p>
    <w:p w14:paraId="6246467E">
      <w:pPr>
        <w:pStyle w:val="2"/>
        <w:rPr>
          <w:color w:val="auto"/>
        </w:rPr>
      </w:pPr>
    </w:p>
    <w:p w14:paraId="7DF540BA">
      <w:pPr>
        <w:rPr>
          <w:color w:val="auto"/>
        </w:rPr>
      </w:pPr>
    </w:p>
    <w:p w14:paraId="756309F5">
      <w:pPr>
        <w:pStyle w:val="2"/>
        <w:rPr>
          <w:color w:val="auto"/>
        </w:rPr>
      </w:pPr>
    </w:p>
    <w:p w14:paraId="23D7CFB7">
      <w:pPr>
        <w:rPr>
          <w:color w:val="auto"/>
        </w:rPr>
      </w:pPr>
    </w:p>
    <w:p w14:paraId="4AEF0117">
      <w:pPr>
        <w:pStyle w:val="2"/>
        <w:rPr>
          <w:color w:val="auto"/>
        </w:rPr>
      </w:pPr>
    </w:p>
    <w:p w14:paraId="0DABAD48">
      <w:pPr>
        <w:rPr>
          <w:color w:val="auto"/>
        </w:rPr>
      </w:pPr>
    </w:p>
    <w:p w14:paraId="67165406">
      <w:pPr>
        <w:pStyle w:val="2"/>
        <w:rPr>
          <w:color w:val="auto"/>
        </w:rPr>
      </w:pPr>
    </w:p>
    <w:p w14:paraId="22B89F69">
      <w:pPr>
        <w:rPr>
          <w:color w:val="auto"/>
        </w:rPr>
      </w:pPr>
    </w:p>
    <w:p w14:paraId="37C494DC">
      <w:pPr>
        <w:pStyle w:val="2"/>
        <w:rPr>
          <w:color w:val="auto"/>
        </w:rPr>
      </w:pPr>
    </w:p>
    <w:p w14:paraId="430C5C50">
      <w:pPr>
        <w:rPr>
          <w:color w:val="auto"/>
        </w:rPr>
      </w:pPr>
    </w:p>
    <w:p w14:paraId="2E5DAEDE">
      <w:pPr>
        <w:pStyle w:val="2"/>
        <w:rPr>
          <w:color w:val="auto"/>
        </w:rPr>
      </w:pPr>
    </w:p>
    <w:p w14:paraId="6B1002D0">
      <w:pPr>
        <w:rPr>
          <w:color w:val="auto"/>
        </w:rPr>
      </w:pPr>
    </w:p>
    <w:p w14:paraId="1F35B012">
      <w:pPr>
        <w:pStyle w:val="2"/>
        <w:rPr>
          <w:color w:val="auto"/>
        </w:rPr>
      </w:pPr>
    </w:p>
    <w:p w14:paraId="2F98D11C">
      <w:pPr>
        <w:rPr>
          <w:color w:val="auto"/>
        </w:rPr>
      </w:pPr>
    </w:p>
    <w:p w14:paraId="4A7CE508">
      <w:pPr>
        <w:pStyle w:val="2"/>
        <w:rPr>
          <w:color w:val="auto"/>
        </w:rPr>
      </w:pPr>
    </w:p>
    <w:p w14:paraId="34B8351C">
      <w:pPr>
        <w:rPr>
          <w:color w:val="auto"/>
        </w:rPr>
      </w:pPr>
    </w:p>
    <w:p w14:paraId="05B2A402">
      <w:pPr>
        <w:pStyle w:val="2"/>
        <w:rPr>
          <w:color w:val="auto"/>
        </w:rPr>
      </w:pPr>
    </w:p>
    <w:p w14:paraId="4A6CDD94">
      <w:pPr>
        <w:pStyle w:val="3"/>
        <w:spacing w:line="360" w:lineRule="auto"/>
        <w:jc w:val="center"/>
        <w:rPr>
          <w:rFonts w:ascii="宋体" w:hAnsi="宋体"/>
          <w:snapToGrid w:val="0"/>
          <w:color w:val="auto"/>
          <w:kern w:val="0"/>
        </w:rPr>
      </w:pPr>
      <w:r>
        <w:rPr>
          <w:rFonts w:ascii="宋体" w:hAnsi="宋体"/>
          <w:snapToGrid w:val="0"/>
          <w:color w:val="auto"/>
          <w:kern w:val="0"/>
        </w:rPr>
        <w:t xml:space="preserve">第三章 </w:t>
      </w:r>
      <w:r>
        <w:rPr>
          <w:rFonts w:hint="eastAsia" w:ascii="宋体" w:hAnsi="宋体"/>
          <w:snapToGrid w:val="0"/>
          <w:color w:val="auto"/>
          <w:kern w:val="0"/>
        </w:rPr>
        <w:t xml:space="preserve"> </w:t>
      </w:r>
      <w:r>
        <w:rPr>
          <w:rFonts w:ascii="宋体" w:hAnsi="宋体"/>
          <w:snapToGrid w:val="0"/>
          <w:color w:val="auto"/>
          <w:kern w:val="0"/>
        </w:rPr>
        <w:t>评标办法（</w:t>
      </w:r>
      <w:r>
        <w:rPr>
          <w:rFonts w:hint="eastAsia" w:ascii="宋体" w:hAnsi="宋体"/>
          <w:snapToGrid w:val="0"/>
          <w:color w:val="auto"/>
          <w:kern w:val="0"/>
        </w:rPr>
        <w:t>经评审的最低投标价法</w:t>
      </w:r>
      <w:r>
        <w:rPr>
          <w:rFonts w:ascii="宋体" w:hAnsi="宋体"/>
          <w:snapToGrid w:val="0"/>
          <w:color w:val="auto"/>
          <w:kern w:val="0"/>
        </w:rPr>
        <w:t>）</w:t>
      </w:r>
      <w:bookmarkEnd w:id="393"/>
    </w:p>
    <w:p w14:paraId="66B9575A">
      <w:pPr>
        <w:keepNext/>
        <w:keepLines/>
        <w:spacing w:before="100" w:after="100" w:line="360" w:lineRule="auto"/>
        <w:outlineLvl w:val="1"/>
        <w:rPr>
          <w:rFonts w:ascii="宋体" w:hAnsi="宋体"/>
          <w:b/>
          <w:color w:val="auto"/>
          <w:sz w:val="32"/>
          <w:szCs w:val="32"/>
        </w:rPr>
      </w:pPr>
      <w:bookmarkStart w:id="394" w:name="_Toc13155"/>
      <w:r>
        <w:rPr>
          <w:rFonts w:hint="eastAsia" w:ascii="宋体" w:hAnsi="宋体"/>
          <w:b/>
          <w:color w:val="auto"/>
          <w:sz w:val="32"/>
          <w:szCs w:val="32"/>
        </w:rPr>
        <w:t>评标办法前附表</w:t>
      </w:r>
      <w:bookmarkEnd w:id="394"/>
    </w:p>
    <w:p w14:paraId="0C321F9F">
      <w:pPr>
        <w:spacing w:line="400" w:lineRule="exact"/>
        <w:ind w:firstLine="427" w:firstLineChars="196"/>
        <w:rPr>
          <w:rFonts w:ascii="宋体" w:hAnsi="宋体"/>
          <w:color w:val="auto"/>
          <w:spacing w:val="4"/>
          <w:kern w:val="0"/>
          <w:szCs w:val="21"/>
        </w:rPr>
      </w:pPr>
      <w:bookmarkStart w:id="395"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395"/>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7C1DC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137358C1">
            <w:pPr>
              <w:spacing w:line="400" w:lineRule="exact"/>
              <w:jc w:val="center"/>
              <w:rPr>
                <w:rFonts w:ascii="宋体" w:hAnsi="宋体"/>
                <w:b/>
                <w:color w:val="auto"/>
                <w:kern w:val="0"/>
              </w:rPr>
            </w:pPr>
            <w:r>
              <w:rPr>
                <w:rFonts w:ascii="宋体" w:hAnsi="宋体"/>
                <w:b/>
                <w:color w:val="auto"/>
                <w:kern w:val="0"/>
              </w:rPr>
              <w:t>条款号</w:t>
            </w:r>
          </w:p>
        </w:tc>
        <w:tc>
          <w:tcPr>
            <w:tcW w:w="1560" w:type="dxa"/>
            <w:tcBorders>
              <w:left w:val="single" w:color="auto" w:sz="4" w:space="0"/>
            </w:tcBorders>
            <w:vAlign w:val="center"/>
          </w:tcPr>
          <w:p w14:paraId="27BEBA03">
            <w:pPr>
              <w:spacing w:line="400" w:lineRule="exact"/>
              <w:jc w:val="center"/>
              <w:rPr>
                <w:rFonts w:ascii="宋体" w:hAnsi="宋体"/>
                <w:b/>
                <w:color w:val="auto"/>
                <w:kern w:val="0"/>
              </w:rPr>
            </w:pPr>
            <w:r>
              <w:rPr>
                <w:rFonts w:ascii="宋体" w:hAnsi="宋体"/>
                <w:b/>
                <w:color w:val="auto"/>
                <w:kern w:val="0"/>
              </w:rPr>
              <w:t>评审因素</w:t>
            </w:r>
          </w:p>
        </w:tc>
        <w:tc>
          <w:tcPr>
            <w:tcW w:w="6882" w:type="dxa"/>
            <w:gridSpan w:val="2"/>
            <w:vAlign w:val="center"/>
          </w:tcPr>
          <w:p w14:paraId="04B4C5EF">
            <w:pPr>
              <w:spacing w:line="400" w:lineRule="exact"/>
              <w:jc w:val="center"/>
              <w:rPr>
                <w:rFonts w:ascii="宋体" w:hAnsi="宋体"/>
                <w:b/>
                <w:color w:val="auto"/>
                <w:kern w:val="0"/>
              </w:rPr>
            </w:pPr>
            <w:r>
              <w:rPr>
                <w:rFonts w:ascii="宋体" w:hAnsi="宋体"/>
                <w:b/>
                <w:color w:val="auto"/>
                <w:kern w:val="0"/>
              </w:rPr>
              <w:t>评审标准</w:t>
            </w:r>
          </w:p>
        </w:tc>
      </w:tr>
      <w:tr w14:paraId="2CE7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05D5D52C">
            <w:pPr>
              <w:pStyle w:val="106"/>
              <w:spacing w:line="400" w:lineRule="exact"/>
              <w:ind w:firstLine="420"/>
              <w:rPr>
                <w:color w:val="auto"/>
                <w:sz w:val="21"/>
                <w:szCs w:val="21"/>
              </w:rPr>
            </w:pPr>
            <w:r>
              <w:rPr>
                <w:color w:val="auto"/>
                <w:sz w:val="21"/>
                <w:szCs w:val="21"/>
              </w:rPr>
              <w:t>1</w:t>
            </w:r>
          </w:p>
        </w:tc>
        <w:tc>
          <w:tcPr>
            <w:tcW w:w="1560" w:type="dxa"/>
            <w:tcBorders>
              <w:left w:val="single" w:color="auto" w:sz="4" w:space="0"/>
            </w:tcBorders>
            <w:vAlign w:val="center"/>
          </w:tcPr>
          <w:p w14:paraId="5613A7BB">
            <w:pPr>
              <w:pStyle w:val="106"/>
              <w:spacing w:line="400" w:lineRule="exact"/>
              <w:ind w:firstLine="0" w:firstLineChars="0"/>
              <w:jc w:val="center"/>
              <w:rPr>
                <w:color w:val="auto"/>
                <w:sz w:val="21"/>
                <w:szCs w:val="21"/>
              </w:rPr>
            </w:pPr>
            <w:r>
              <w:rPr>
                <w:rFonts w:hint="eastAsia"/>
                <w:color w:val="auto"/>
                <w:sz w:val="21"/>
                <w:szCs w:val="21"/>
              </w:rPr>
              <w:t>评标办法</w:t>
            </w:r>
          </w:p>
        </w:tc>
        <w:tc>
          <w:tcPr>
            <w:tcW w:w="6882" w:type="dxa"/>
            <w:gridSpan w:val="2"/>
            <w:vAlign w:val="center"/>
          </w:tcPr>
          <w:p w14:paraId="0FE907FE">
            <w:pPr>
              <w:spacing w:line="400" w:lineRule="exact"/>
              <w:ind w:firstLine="427" w:firstLineChars="196"/>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14:paraId="4CE1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9573D77">
            <w:pPr>
              <w:spacing w:line="400" w:lineRule="exact"/>
              <w:jc w:val="center"/>
              <w:rPr>
                <w:rFonts w:ascii="宋体" w:hAnsi="宋体"/>
                <w:color w:val="auto"/>
                <w:kern w:val="0"/>
              </w:rPr>
            </w:pPr>
            <w:r>
              <w:rPr>
                <w:rFonts w:hint="eastAsia" w:ascii="宋体" w:hAnsi="宋体"/>
                <w:color w:val="auto"/>
                <w:kern w:val="0"/>
              </w:rPr>
              <w:t>2.1</w:t>
            </w:r>
          </w:p>
        </w:tc>
        <w:tc>
          <w:tcPr>
            <w:tcW w:w="1560" w:type="dxa"/>
            <w:tcBorders>
              <w:left w:val="single" w:color="auto" w:sz="4" w:space="0"/>
              <w:right w:val="single" w:color="auto" w:sz="4" w:space="0"/>
            </w:tcBorders>
            <w:vAlign w:val="center"/>
          </w:tcPr>
          <w:p w14:paraId="522C1FAE">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6882" w:type="dxa"/>
            <w:gridSpan w:val="2"/>
            <w:tcBorders>
              <w:left w:val="single" w:color="auto" w:sz="4" w:space="0"/>
            </w:tcBorders>
            <w:vAlign w:val="center"/>
          </w:tcPr>
          <w:p w14:paraId="7045FB37">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对报价不高于最高限价的所有投标人的投标文件，按照报价由低到高的顺序排序。</w:t>
            </w:r>
          </w:p>
        </w:tc>
      </w:tr>
      <w:tr w14:paraId="133C0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35148106">
            <w:pPr>
              <w:spacing w:line="400" w:lineRule="exact"/>
              <w:jc w:val="center"/>
              <w:rPr>
                <w:rFonts w:ascii="宋体" w:hAnsi="宋体"/>
                <w:color w:val="auto"/>
                <w:kern w:val="0"/>
              </w:rPr>
            </w:pPr>
            <w:r>
              <w:rPr>
                <w:rFonts w:hint="eastAsia" w:ascii="宋体" w:hAnsi="宋体"/>
                <w:color w:val="auto"/>
                <w:kern w:val="0"/>
              </w:rPr>
              <w:t>2.2</w:t>
            </w:r>
          </w:p>
        </w:tc>
        <w:tc>
          <w:tcPr>
            <w:tcW w:w="1560" w:type="dxa"/>
            <w:tcBorders>
              <w:left w:val="single" w:color="auto" w:sz="4" w:space="0"/>
              <w:right w:val="single" w:color="auto" w:sz="4" w:space="0"/>
            </w:tcBorders>
            <w:vAlign w:val="center"/>
          </w:tcPr>
          <w:p w14:paraId="002234DA">
            <w:pPr>
              <w:spacing w:line="400" w:lineRule="exact"/>
              <w:jc w:val="center"/>
              <w:rPr>
                <w:rFonts w:ascii="宋体" w:hAnsi="宋体"/>
                <w:color w:val="auto"/>
                <w:kern w:val="0"/>
              </w:rPr>
            </w:pPr>
            <w:r>
              <w:rPr>
                <w:rFonts w:hint="eastAsia" w:ascii="宋体" w:hAnsi="宋体"/>
                <w:color w:val="auto"/>
                <w:kern w:val="0"/>
              </w:rPr>
              <w:t>符合性审查</w:t>
            </w:r>
          </w:p>
        </w:tc>
        <w:tc>
          <w:tcPr>
            <w:tcW w:w="6882" w:type="dxa"/>
            <w:gridSpan w:val="2"/>
            <w:tcBorders>
              <w:left w:val="single" w:color="auto" w:sz="4" w:space="0"/>
            </w:tcBorders>
            <w:vAlign w:val="center"/>
          </w:tcPr>
          <w:p w14:paraId="3FC66CBD">
            <w:pPr>
              <w:spacing w:line="400" w:lineRule="exact"/>
              <w:ind w:firstLine="420" w:firstLineChars="200"/>
              <w:jc w:val="left"/>
              <w:rPr>
                <w:rFonts w:ascii="宋体" w:hAnsi="宋体"/>
                <w:color w:val="auto"/>
                <w:kern w:val="0"/>
              </w:rPr>
            </w:pPr>
            <w:r>
              <w:rPr>
                <w:rFonts w:hint="eastAsia" w:ascii="宋体" w:hAnsi="宋体"/>
                <w:color w:val="auto"/>
                <w:kern w:val="0"/>
              </w:rPr>
              <w:t>取报价排序前3名（若实际投标人数量小于勾选数量，</w:t>
            </w:r>
            <w:r>
              <w:rPr>
                <w:rFonts w:hint="eastAsia" w:ascii="宋体" w:hAnsi="宋体"/>
                <w:color w:val="auto"/>
                <w:spacing w:val="4"/>
                <w:kern w:val="0"/>
                <w:szCs w:val="21"/>
              </w:rPr>
              <w:t>则全部纳入）进行符合性审查。符合性审查内容：资格评审、形式评审、响应性评审、投标函部分及经济部分评审。符合性审查</w:t>
            </w:r>
            <w:r>
              <w:rPr>
                <w:rFonts w:hint="eastAsia" w:ascii="宋体" w:hAnsi="宋体"/>
                <w:color w:val="auto"/>
                <w:kern w:val="0"/>
              </w:rPr>
              <w:t>合格的投标人中，报价最低的成为第一中标候选人，报价次低的成为第二中标候选人，依次类推。</w:t>
            </w:r>
          </w:p>
        </w:tc>
      </w:tr>
      <w:tr w14:paraId="3F22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403C57A1">
            <w:pPr>
              <w:spacing w:line="400" w:lineRule="exact"/>
              <w:jc w:val="center"/>
              <w:rPr>
                <w:rFonts w:ascii="宋体" w:hAnsi="宋体" w:cs="宋体"/>
                <w:color w:val="auto"/>
                <w:szCs w:val="21"/>
              </w:rPr>
            </w:pPr>
            <w:r>
              <w:rPr>
                <w:rFonts w:hint="eastAsia" w:ascii="宋体" w:hAnsi="宋体" w:cs="宋体"/>
                <w:color w:val="auto"/>
                <w:szCs w:val="21"/>
              </w:rPr>
              <w:t>2.2.</w:t>
            </w:r>
            <w:r>
              <w:rPr>
                <w:rFonts w:ascii="宋体" w:hAnsi="宋体" w:cs="宋体"/>
                <w:color w:val="auto"/>
                <w:szCs w:val="21"/>
              </w:rPr>
              <w:t>1</w:t>
            </w:r>
          </w:p>
        </w:tc>
        <w:tc>
          <w:tcPr>
            <w:tcW w:w="1560" w:type="dxa"/>
            <w:vMerge w:val="restart"/>
            <w:tcBorders>
              <w:left w:val="single" w:color="auto" w:sz="4" w:space="0"/>
              <w:right w:val="single" w:color="auto" w:sz="4" w:space="0"/>
            </w:tcBorders>
            <w:vAlign w:val="center"/>
          </w:tcPr>
          <w:p w14:paraId="3C882A9C">
            <w:pPr>
              <w:spacing w:line="400" w:lineRule="exact"/>
              <w:jc w:val="center"/>
              <w:rPr>
                <w:rFonts w:ascii="宋体" w:hAnsi="宋体"/>
                <w:color w:val="auto"/>
                <w:kern w:val="0"/>
              </w:rPr>
            </w:pPr>
            <w:r>
              <w:rPr>
                <w:rFonts w:hint="eastAsia" w:ascii="宋体" w:hAnsi="宋体"/>
                <w:color w:val="auto"/>
                <w:kern w:val="0"/>
              </w:rPr>
              <w:t>资格评审标准</w:t>
            </w:r>
          </w:p>
        </w:tc>
        <w:tc>
          <w:tcPr>
            <w:tcW w:w="2267" w:type="dxa"/>
            <w:tcBorders>
              <w:top w:val="single" w:color="auto" w:sz="4" w:space="0"/>
              <w:left w:val="single" w:color="auto" w:sz="4" w:space="0"/>
              <w:right w:val="single" w:color="auto" w:sz="4" w:space="0"/>
            </w:tcBorders>
            <w:vAlign w:val="center"/>
          </w:tcPr>
          <w:p w14:paraId="18C26500">
            <w:pPr>
              <w:snapToGrid w:val="0"/>
              <w:spacing w:line="400" w:lineRule="exact"/>
              <w:jc w:val="left"/>
              <w:rPr>
                <w:rFonts w:ascii="宋体" w:hAnsi="宋体" w:cs="宋体"/>
                <w:color w:val="auto"/>
                <w:kern w:val="0"/>
              </w:rPr>
            </w:pPr>
            <w:r>
              <w:rPr>
                <w:rFonts w:hint="eastAsia" w:ascii="宋体" w:hAnsi="宋体" w:cs="宋体"/>
                <w:color w:val="auto"/>
                <w:kern w:val="0"/>
              </w:rPr>
              <w:t>资质条件</w:t>
            </w:r>
          </w:p>
        </w:tc>
        <w:tc>
          <w:tcPr>
            <w:tcW w:w="4615" w:type="dxa"/>
            <w:tcBorders>
              <w:top w:val="single" w:color="auto" w:sz="4" w:space="0"/>
              <w:left w:val="single" w:color="auto" w:sz="4" w:space="0"/>
            </w:tcBorders>
            <w:vAlign w:val="center"/>
          </w:tcPr>
          <w:p w14:paraId="6FB95964">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1B95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39995C2">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1C24C33B">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2630D7CB">
            <w:pPr>
              <w:snapToGrid w:val="0"/>
              <w:spacing w:line="400" w:lineRule="exact"/>
              <w:jc w:val="left"/>
              <w:rPr>
                <w:rFonts w:ascii="宋体" w:hAnsi="宋体" w:cs="宋体"/>
                <w:color w:val="auto"/>
                <w:kern w:val="0"/>
              </w:rPr>
            </w:pPr>
            <w:r>
              <w:rPr>
                <w:rFonts w:hint="eastAsia" w:ascii="宋体" w:hAnsi="宋体" w:cs="宋体"/>
                <w:color w:val="auto"/>
                <w:kern w:val="0"/>
              </w:rPr>
              <w:t>营业执照</w:t>
            </w:r>
          </w:p>
        </w:tc>
        <w:tc>
          <w:tcPr>
            <w:tcW w:w="4615" w:type="dxa"/>
            <w:tcBorders>
              <w:top w:val="single" w:color="auto" w:sz="4" w:space="0"/>
              <w:left w:val="single" w:color="auto" w:sz="4" w:space="0"/>
            </w:tcBorders>
            <w:vAlign w:val="center"/>
          </w:tcPr>
          <w:p w14:paraId="5D930E57">
            <w:pPr>
              <w:snapToGrid w:val="0"/>
              <w:spacing w:afterLines="25"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768C5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22B1984">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4383D4C">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2A85E455">
            <w:pPr>
              <w:snapToGrid w:val="0"/>
              <w:spacing w:line="400" w:lineRule="exact"/>
              <w:jc w:val="left"/>
              <w:rPr>
                <w:rFonts w:ascii="宋体" w:hAnsi="宋体" w:cs="宋体"/>
                <w:color w:val="auto"/>
                <w:kern w:val="0"/>
              </w:rPr>
            </w:pPr>
            <w:r>
              <w:rPr>
                <w:rFonts w:hint="eastAsia" w:ascii="宋体" w:hAnsi="宋体" w:cs="宋体"/>
                <w:color w:val="auto"/>
                <w:kern w:val="0"/>
              </w:rPr>
              <w:t>安全生产条件</w:t>
            </w:r>
          </w:p>
        </w:tc>
        <w:tc>
          <w:tcPr>
            <w:tcW w:w="4615" w:type="dxa"/>
            <w:tcBorders>
              <w:top w:val="single" w:color="auto" w:sz="4" w:space="0"/>
              <w:left w:val="single" w:color="auto" w:sz="4" w:space="0"/>
            </w:tcBorders>
            <w:vAlign w:val="center"/>
          </w:tcPr>
          <w:p w14:paraId="3A9BCE5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0216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A73594D">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8CCC43C">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792ED781">
            <w:pPr>
              <w:snapToGrid w:val="0"/>
              <w:spacing w:line="400" w:lineRule="exact"/>
              <w:jc w:val="left"/>
              <w:rPr>
                <w:rFonts w:ascii="宋体" w:hAnsi="宋体" w:cs="宋体"/>
                <w:color w:val="auto"/>
                <w:kern w:val="0"/>
              </w:rPr>
            </w:pPr>
            <w:r>
              <w:rPr>
                <w:rFonts w:hint="eastAsia" w:ascii="宋体" w:hAnsi="宋体" w:cs="宋体"/>
                <w:color w:val="auto"/>
                <w:kern w:val="0"/>
              </w:rPr>
              <w:t>□财务要求</w:t>
            </w:r>
          </w:p>
        </w:tc>
        <w:tc>
          <w:tcPr>
            <w:tcW w:w="4615" w:type="dxa"/>
            <w:tcBorders>
              <w:top w:val="single" w:color="auto" w:sz="4" w:space="0"/>
              <w:left w:val="single" w:color="auto" w:sz="4" w:space="0"/>
            </w:tcBorders>
            <w:vAlign w:val="center"/>
          </w:tcPr>
          <w:p w14:paraId="38D7D5CD">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412F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B48C690">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591761A2">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49CB65F6">
            <w:pPr>
              <w:snapToGrid w:val="0"/>
              <w:spacing w:afterLines="25" w:line="400" w:lineRule="exact"/>
              <w:jc w:val="left"/>
              <w:rPr>
                <w:rFonts w:ascii="宋体" w:hAnsi="宋体" w:cs="宋体"/>
                <w:color w:val="auto"/>
                <w:kern w:val="0"/>
              </w:rPr>
            </w:pPr>
            <w:r>
              <w:rPr>
                <w:rFonts w:hint="eastAsia" w:ascii="宋体" w:hAnsi="宋体" w:cs="宋体"/>
                <w:color w:val="auto"/>
                <w:kern w:val="0"/>
              </w:rPr>
              <w:t>□业绩要求</w:t>
            </w:r>
          </w:p>
        </w:tc>
        <w:tc>
          <w:tcPr>
            <w:tcW w:w="4615" w:type="dxa"/>
            <w:tcBorders>
              <w:top w:val="single" w:color="auto" w:sz="4" w:space="0"/>
              <w:left w:val="single" w:color="auto" w:sz="4" w:space="0"/>
            </w:tcBorders>
            <w:vAlign w:val="center"/>
          </w:tcPr>
          <w:p w14:paraId="268E4EB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1CF59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094061A">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E146565">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74B3E886">
            <w:pPr>
              <w:snapToGrid w:val="0"/>
              <w:spacing w:afterLines="25" w:line="400" w:lineRule="exact"/>
              <w:jc w:val="left"/>
              <w:rPr>
                <w:rFonts w:ascii="宋体" w:hAnsi="宋体" w:cs="宋体"/>
                <w:color w:val="auto"/>
                <w:kern w:val="0"/>
              </w:rPr>
            </w:pPr>
            <w:r>
              <w:rPr>
                <w:rFonts w:hint="eastAsia" w:ascii="宋体" w:hAnsi="宋体" w:cs="宋体"/>
                <w:color w:val="auto"/>
                <w:szCs w:val="21"/>
              </w:rPr>
              <w:t>投标截止日投标资格情况</w:t>
            </w:r>
          </w:p>
        </w:tc>
        <w:tc>
          <w:tcPr>
            <w:tcW w:w="4615" w:type="dxa"/>
            <w:tcBorders>
              <w:top w:val="single" w:color="auto" w:sz="4" w:space="0"/>
              <w:left w:val="single" w:color="auto" w:sz="4" w:space="0"/>
            </w:tcBorders>
            <w:vAlign w:val="center"/>
          </w:tcPr>
          <w:p w14:paraId="0F7DF01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4A41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A47E9A9">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E84DB4C">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A53541D">
            <w:pPr>
              <w:snapToGrid w:val="0"/>
              <w:spacing w:line="400" w:lineRule="exact"/>
              <w:jc w:val="left"/>
              <w:rPr>
                <w:rFonts w:ascii="宋体" w:hAnsi="宋体" w:cs="宋体"/>
                <w:color w:val="auto"/>
                <w:kern w:val="0"/>
              </w:rPr>
            </w:pPr>
            <w:r>
              <w:rPr>
                <w:rFonts w:hint="eastAsia" w:ascii="宋体" w:hAnsi="宋体" w:cs="宋体"/>
                <w:color w:val="auto"/>
                <w:kern w:val="0"/>
              </w:rPr>
              <w:t>项目经理资格要求</w:t>
            </w:r>
          </w:p>
        </w:tc>
        <w:tc>
          <w:tcPr>
            <w:tcW w:w="4615" w:type="dxa"/>
            <w:tcBorders>
              <w:top w:val="single" w:color="auto" w:sz="4" w:space="0"/>
              <w:left w:val="single" w:color="auto" w:sz="4" w:space="0"/>
            </w:tcBorders>
            <w:vAlign w:val="center"/>
          </w:tcPr>
          <w:p w14:paraId="222E1303">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6C0BB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AFF89C5">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7CF50CA">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6B94F5F4">
            <w:pPr>
              <w:snapToGrid w:val="0"/>
              <w:spacing w:line="400" w:lineRule="exact"/>
              <w:jc w:val="left"/>
              <w:rPr>
                <w:rFonts w:ascii="宋体" w:hAnsi="宋体" w:cs="宋体"/>
                <w:color w:val="auto"/>
                <w:kern w:val="0"/>
              </w:rPr>
            </w:pPr>
            <w:r>
              <w:rPr>
                <w:rFonts w:hint="eastAsia" w:ascii="宋体" w:hAnsi="宋体" w:cs="宋体"/>
                <w:color w:val="auto"/>
                <w:kern w:val="0"/>
              </w:rPr>
              <w:t>其他要求</w:t>
            </w:r>
          </w:p>
        </w:tc>
        <w:tc>
          <w:tcPr>
            <w:tcW w:w="4615" w:type="dxa"/>
            <w:tcBorders>
              <w:top w:val="single" w:color="auto" w:sz="4" w:space="0"/>
              <w:left w:val="single" w:color="auto" w:sz="4" w:space="0"/>
            </w:tcBorders>
            <w:vAlign w:val="center"/>
          </w:tcPr>
          <w:p w14:paraId="5E63F08B">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14:paraId="7DA79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8F3F3D8">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FB85B29">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72C1EF98">
            <w:pPr>
              <w:snapToGrid w:val="0"/>
              <w:spacing w:line="400" w:lineRule="exact"/>
              <w:jc w:val="left"/>
              <w:rPr>
                <w:rFonts w:ascii="宋体" w:hAnsi="宋体" w:cs="宋体"/>
                <w:color w:val="auto"/>
                <w:kern w:val="0"/>
              </w:rPr>
            </w:pPr>
            <w:r>
              <w:rPr>
                <w:rFonts w:hint="eastAsia" w:ascii="宋体" w:hAnsi="宋体" w:cs="宋体"/>
                <w:color w:val="auto"/>
                <w:kern w:val="0"/>
              </w:rPr>
              <w:t>□联合体投标人</w:t>
            </w:r>
          </w:p>
        </w:tc>
        <w:tc>
          <w:tcPr>
            <w:tcW w:w="4615" w:type="dxa"/>
            <w:tcBorders>
              <w:top w:val="single" w:color="auto" w:sz="4" w:space="0"/>
              <w:left w:val="single" w:color="auto" w:sz="4" w:space="0"/>
            </w:tcBorders>
            <w:vAlign w:val="center"/>
          </w:tcPr>
          <w:p w14:paraId="6A84CF2F">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符合第二章“投标人须知”第1.4.2项规定</w:t>
            </w:r>
          </w:p>
        </w:tc>
      </w:tr>
      <w:tr w14:paraId="5D283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28431760">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.2</w:t>
            </w:r>
          </w:p>
        </w:tc>
        <w:tc>
          <w:tcPr>
            <w:tcW w:w="1560" w:type="dxa"/>
            <w:vMerge w:val="restart"/>
            <w:tcBorders>
              <w:left w:val="single" w:color="auto" w:sz="4" w:space="0"/>
            </w:tcBorders>
            <w:vAlign w:val="center"/>
          </w:tcPr>
          <w:p w14:paraId="40C6F756">
            <w:pPr>
              <w:spacing w:line="400" w:lineRule="exact"/>
              <w:jc w:val="center"/>
              <w:rPr>
                <w:rFonts w:ascii="宋体" w:hAnsi="宋体"/>
                <w:color w:val="auto"/>
                <w:kern w:val="0"/>
              </w:rPr>
            </w:pPr>
            <w:r>
              <w:rPr>
                <w:rFonts w:hint="eastAsia" w:ascii="宋体" w:hAnsi="宋体"/>
                <w:color w:val="auto"/>
                <w:kern w:val="0"/>
              </w:rPr>
              <w:t>形式评审标准</w:t>
            </w:r>
          </w:p>
        </w:tc>
        <w:tc>
          <w:tcPr>
            <w:tcW w:w="2267" w:type="dxa"/>
            <w:tcBorders>
              <w:right w:val="single" w:color="auto" w:sz="4" w:space="0"/>
            </w:tcBorders>
            <w:vAlign w:val="center"/>
          </w:tcPr>
          <w:p w14:paraId="0D98BF1D">
            <w:pPr>
              <w:spacing w:line="400" w:lineRule="exact"/>
              <w:jc w:val="left"/>
              <w:rPr>
                <w:rFonts w:ascii="宋体" w:hAnsi="宋体" w:cs="宋体"/>
                <w:color w:val="auto"/>
                <w:kern w:val="0"/>
              </w:rPr>
            </w:pPr>
            <w:r>
              <w:rPr>
                <w:rFonts w:hint="eastAsia" w:ascii="宋体" w:hAnsi="宋体" w:cs="宋体"/>
                <w:color w:val="auto"/>
                <w:kern w:val="0"/>
              </w:rPr>
              <w:t>投标人名称</w:t>
            </w:r>
          </w:p>
        </w:tc>
        <w:tc>
          <w:tcPr>
            <w:tcW w:w="4615" w:type="dxa"/>
            <w:tcBorders>
              <w:left w:val="single" w:color="auto" w:sz="4" w:space="0"/>
            </w:tcBorders>
            <w:vAlign w:val="center"/>
          </w:tcPr>
          <w:p w14:paraId="1AC74FF1">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1BF32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F0B013">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7D8FDAC7">
            <w:pPr>
              <w:spacing w:line="400" w:lineRule="exact"/>
              <w:jc w:val="center"/>
              <w:rPr>
                <w:rFonts w:ascii="宋体" w:hAnsi="宋体"/>
                <w:b/>
                <w:color w:val="auto"/>
                <w:kern w:val="0"/>
              </w:rPr>
            </w:pPr>
          </w:p>
        </w:tc>
        <w:tc>
          <w:tcPr>
            <w:tcW w:w="2267" w:type="dxa"/>
            <w:tcBorders>
              <w:right w:val="single" w:color="auto" w:sz="4" w:space="0"/>
            </w:tcBorders>
            <w:vAlign w:val="center"/>
          </w:tcPr>
          <w:p w14:paraId="756A71BB">
            <w:pPr>
              <w:spacing w:line="400" w:lineRule="exact"/>
              <w:jc w:val="left"/>
              <w:rPr>
                <w:rFonts w:ascii="宋体" w:hAnsi="宋体" w:cs="宋体"/>
                <w:color w:val="auto"/>
                <w:kern w:val="0"/>
              </w:rPr>
            </w:pPr>
            <w:r>
              <w:rPr>
                <w:rFonts w:hint="eastAsia" w:ascii="宋体" w:hAnsi="宋体" w:cs="宋体"/>
                <w:color w:val="auto"/>
                <w:kern w:val="0"/>
              </w:rPr>
              <w:t>投标文件格式</w:t>
            </w:r>
          </w:p>
        </w:tc>
        <w:tc>
          <w:tcPr>
            <w:tcW w:w="4615" w:type="dxa"/>
            <w:tcBorders>
              <w:left w:val="single" w:color="auto" w:sz="4" w:space="0"/>
            </w:tcBorders>
            <w:vAlign w:val="center"/>
          </w:tcPr>
          <w:p w14:paraId="2A4A6E89">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符合第二章“投标人须知”第3.7款的要求（不含投标函部分）。</w:t>
            </w:r>
          </w:p>
        </w:tc>
      </w:tr>
      <w:tr w14:paraId="758B7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14:paraId="243D7EBF">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3703E5A2">
            <w:pPr>
              <w:spacing w:line="400" w:lineRule="exact"/>
              <w:jc w:val="center"/>
              <w:rPr>
                <w:rFonts w:ascii="宋体" w:hAnsi="宋体"/>
                <w:b/>
                <w:color w:val="auto"/>
                <w:kern w:val="0"/>
              </w:rPr>
            </w:pPr>
          </w:p>
        </w:tc>
        <w:tc>
          <w:tcPr>
            <w:tcW w:w="2267" w:type="dxa"/>
            <w:tcBorders>
              <w:right w:val="single" w:color="auto" w:sz="4" w:space="0"/>
            </w:tcBorders>
            <w:vAlign w:val="center"/>
          </w:tcPr>
          <w:p w14:paraId="464AB424">
            <w:pPr>
              <w:spacing w:line="400" w:lineRule="exact"/>
              <w:jc w:val="left"/>
              <w:rPr>
                <w:rFonts w:ascii="宋体" w:hAnsi="宋体" w:cs="宋体"/>
                <w:color w:val="auto"/>
                <w:kern w:val="0"/>
              </w:rPr>
            </w:pPr>
            <w:r>
              <w:rPr>
                <w:rFonts w:hint="eastAsia" w:ascii="宋体" w:hAnsi="宋体" w:cs="宋体"/>
                <w:color w:val="auto"/>
                <w:kern w:val="0"/>
              </w:rPr>
              <w:t>投标文件的签署</w:t>
            </w:r>
          </w:p>
        </w:tc>
        <w:tc>
          <w:tcPr>
            <w:tcW w:w="4615" w:type="dxa"/>
            <w:tcBorders>
              <w:left w:val="single" w:color="auto" w:sz="4" w:space="0"/>
            </w:tcBorders>
            <w:vAlign w:val="center"/>
          </w:tcPr>
          <w:p w14:paraId="705FD9E4">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投标文件格式（不含投标函部分）要求法定代表人或其委托代理人签字（或盖章）的须齐全。</w:t>
            </w:r>
          </w:p>
        </w:tc>
      </w:tr>
      <w:tr w14:paraId="3E8D8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B7B99D2">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68B751BB">
            <w:pPr>
              <w:spacing w:line="400" w:lineRule="exact"/>
              <w:jc w:val="center"/>
              <w:rPr>
                <w:rFonts w:ascii="宋体" w:hAnsi="宋体"/>
                <w:b/>
                <w:color w:val="auto"/>
                <w:kern w:val="0"/>
              </w:rPr>
            </w:pPr>
          </w:p>
        </w:tc>
        <w:tc>
          <w:tcPr>
            <w:tcW w:w="2267" w:type="dxa"/>
            <w:tcBorders>
              <w:right w:val="single" w:color="auto" w:sz="4" w:space="0"/>
            </w:tcBorders>
            <w:vAlign w:val="center"/>
          </w:tcPr>
          <w:p w14:paraId="00445A03">
            <w:pPr>
              <w:spacing w:line="400" w:lineRule="exact"/>
              <w:jc w:val="left"/>
              <w:rPr>
                <w:rFonts w:ascii="宋体" w:hAnsi="宋体" w:cs="宋体"/>
                <w:color w:val="auto"/>
                <w:kern w:val="0"/>
              </w:rPr>
            </w:pPr>
            <w:r>
              <w:rPr>
                <w:rFonts w:hint="eastAsia" w:ascii="宋体" w:hAnsi="宋体" w:cs="宋体"/>
                <w:color w:val="auto"/>
                <w:kern w:val="0"/>
              </w:rPr>
              <w:t>委托代理人</w:t>
            </w:r>
          </w:p>
        </w:tc>
        <w:tc>
          <w:tcPr>
            <w:tcW w:w="4615" w:type="dxa"/>
            <w:tcBorders>
              <w:left w:val="single" w:color="auto" w:sz="4" w:space="0"/>
            </w:tcBorders>
            <w:vAlign w:val="center"/>
          </w:tcPr>
          <w:p w14:paraId="23666296">
            <w:pPr>
              <w:snapToGrid w:val="0"/>
              <w:spacing w:afterLines="25"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4E02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4EE73739">
            <w:pPr>
              <w:spacing w:line="400" w:lineRule="exact"/>
              <w:jc w:val="center"/>
              <w:rPr>
                <w:rFonts w:ascii="宋体" w:hAnsi="宋体"/>
                <w:color w:val="auto"/>
                <w:kern w:val="0"/>
              </w:rPr>
            </w:pPr>
            <w:r>
              <w:rPr>
                <w:rFonts w:hint="eastAsia" w:ascii="宋体" w:hAnsi="宋体"/>
                <w:color w:val="auto"/>
                <w:kern w:val="0"/>
              </w:rPr>
              <w:t>2.2.4</w:t>
            </w:r>
          </w:p>
        </w:tc>
        <w:tc>
          <w:tcPr>
            <w:tcW w:w="1560" w:type="dxa"/>
            <w:vMerge w:val="restart"/>
            <w:tcBorders>
              <w:top w:val="single" w:color="auto" w:sz="4" w:space="0"/>
              <w:left w:val="single" w:color="auto" w:sz="4" w:space="0"/>
            </w:tcBorders>
            <w:vAlign w:val="center"/>
          </w:tcPr>
          <w:p w14:paraId="700B375D">
            <w:pPr>
              <w:spacing w:line="400" w:lineRule="exact"/>
              <w:jc w:val="center"/>
              <w:rPr>
                <w:rFonts w:ascii="宋体" w:hAnsi="宋体"/>
                <w:color w:val="auto"/>
                <w:kern w:val="0"/>
              </w:rPr>
            </w:pPr>
            <w:r>
              <w:rPr>
                <w:rFonts w:ascii="宋体" w:hAnsi="宋体"/>
                <w:color w:val="auto"/>
                <w:kern w:val="0"/>
              </w:rPr>
              <w:t>响应性评审标准</w:t>
            </w:r>
          </w:p>
        </w:tc>
        <w:tc>
          <w:tcPr>
            <w:tcW w:w="2267" w:type="dxa"/>
            <w:tcBorders>
              <w:right w:val="single" w:color="auto" w:sz="4" w:space="0"/>
            </w:tcBorders>
            <w:vAlign w:val="center"/>
          </w:tcPr>
          <w:p w14:paraId="4274941D">
            <w:pPr>
              <w:snapToGrid w:val="0"/>
              <w:spacing w:line="400" w:lineRule="exact"/>
              <w:jc w:val="left"/>
              <w:rPr>
                <w:rFonts w:ascii="宋体" w:hAnsi="宋体" w:cs="宋体"/>
                <w:color w:val="auto"/>
                <w:kern w:val="0"/>
              </w:rPr>
            </w:pPr>
            <w:r>
              <w:rPr>
                <w:rFonts w:hint="eastAsia" w:ascii="宋体" w:hAnsi="宋体" w:cs="宋体"/>
                <w:color w:val="auto"/>
                <w:kern w:val="0"/>
              </w:rPr>
              <w:t>投标内容</w:t>
            </w:r>
          </w:p>
        </w:tc>
        <w:tc>
          <w:tcPr>
            <w:tcW w:w="4615" w:type="dxa"/>
            <w:tcBorders>
              <w:left w:val="single" w:color="auto" w:sz="4" w:space="0"/>
            </w:tcBorders>
            <w:vAlign w:val="center"/>
          </w:tcPr>
          <w:p w14:paraId="72A6FE0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2FFE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553390D">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0C6987F">
            <w:pPr>
              <w:spacing w:line="400" w:lineRule="exact"/>
              <w:jc w:val="center"/>
              <w:rPr>
                <w:rFonts w:ascii="宋体" w:hAnsi="宋体"/>
                <w:color w:val="auto"/>
                <w:kern w:val="0"/>
              </w:rPr>
            </w:pPr>
          </w:p>
        </w:tc>
        <w:tc>
          <w:tcPr>
            <w:tcW w:w="2267" w:type="dxa"/>
            <w:tcBorders>
              <w:right w:val="single" w:color="auto" w:sz="4" w:space="0"/>
            </w:tcBorders>
            <w:vAlign w:val="center"/>
          </w:tcPr>
          <w:p w14:paraId="5251CB59">
            <w:pPr>
              <w:spacing w:line="400" w:lineRule="exact"/>
              <w:jc w:val="left"/>
              <w:rPr>
                <w:rFonts w:ascii="宋体" w:hAnsi="宋体" w:cs="宋体"/>
                <w:color w:val="auto"/>
                <w:kern w:val="0"/>
              </w:rPr>
            </w:pPr>
            <w:r>
              <w:rPr>
                <w:rFonts w:hint="eastAsia" w:ascii="宋体" w:hAnsi="宋体" w:cs="宋体"/>
                <w:color w:val="auto"/>
                <w:kern w:val="0"/>
              </w:rPr>
              <w:t>投标保证金</w:t>
            </w:r>
          </w:p>
        </w:tc>
        <w:tc>
          <w:tcPr>
            <w:tcW w:w="4615" w:type="dxa"/>
            <w:tcBorders>
              <w:left w:val="single" w:color="auto" w:sz="4" w:space="0"/>
            </w:tcBorders>
            <w:vAlign w:val="center"/>
          </w:tcPr>
          <w:p w14:paraId="1A9F9037">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符合第二章“投标人须知前附表”第3.4款规定。</w:t>
            </w:r>
          </w:p>
        </w:tc>
      </w:tr>
      <w:tr w14:paraId="65A99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748D40">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8DCCF36">
            <w:pPr>
              <w:spacing w:line="400" w:lineRule="exact"/>
              <w:jc w:val="center"/>
              <w:rPr>
                <w:rFonts w:ascii="宋体" w:hAnsi="宋体"/>
                <w:color w:val="auto"/>
                <w:kern w:val="0"/>
              </w:rPr>
            </w:pPr>
          </w:p>
        </w:tc>
        <w:tc>
          <w:tcPr>
            <w:tcW w:w="2267" w:type="dxa"/>
            <w:tcBorders>
              <w:right w:val="single" w:color="auto" w:sz="4" w:space="0"/>
            </w:tcBorders>
            <w:vAlign w:val="center"/>
          </w:tcPr>
          <w:p w14:paraId="38106917">
            <w:pPr>
              <w:snapToGrid w:val="0"/>
              <w:spacing w:line="400" w:lineRule="exact"/>
              <w:jc w:val="left"/>
              <w:rPr>
                <w:rFonts w:ascii="宋体" w:hAnsi="宋体" w:cs="宋体"/>
                <w:color w:val="auto"/>
                <w:kern w:val="0"/>
              </w:rPr>
            </w:pPr>
            <w:r>
              <w:rPr>
                <w:rFonts w:hint="eastAsia" w:ascii="宋体" w:hAnsi="宋体" w:cs="宋体"/>
                <w:color w:val="auto"/>
                <w:kern w:val="0"/>
              </w:rPr>
              <w:t>权利义务</w:t>
            </w:r>
          </w:p>
        </w:tc>
        <w:tc>
          <w:tcPr>
            <w:tcW w:w="4615" w:type="dxa"/>
            <w:tcBorders>
              <w:left w:val="single" w:color="auto" w:sz="4" w:space="0"/>
            </w:tcBorders>
            <w:vAlign w:val="center"/>
          </w:tcPr>
          <w:p w14:paraId="303F89DE">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符合第四章“合同条款及格式”规定，投标文件不应附有采购人不能接受的条件。</w:t>
            </w:r>
          </w:p>
        </w:tc>
      </w:tr>
      <w:tr w14:paraId="1E8EC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F656320">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7029E550">
            <w:pPr>
              <w:spacing w:line="400" w:lineRule="exact"/>
              <w:jc w:val="center"/>
              <w:rPr>
                <w:rFonts w:ascii="宋体" w:hAnsi="宋体"/>
                <w:color w:val="auto"/>
                <w:kern w:val="0"/>
              </w:rPr>
            </w:pPr>
          </w:p>
        </w:tc>
        <w:tc>
          <w:tcPr>
            <w:tcW w:w="2267" w:type="dxa"/>
            <w:tcBorders>
              <w:right w:val="single" w:color="auto" w:sz="4" w:space="0"/>
            </w:tcBorders>
            <w:vAlign w:val="center"/>
          </w:tcPr>
          <w:p w14:paraId="6CC52B4B">
            <w:pPr>
              <w:snapToGrid w:val="0"/>
              <w:spacing w:line="400" w:lineRule="exact"/>
              <w:jc w:val="left"/>
              <w:rPr>
                <w:rFonts w:ascii="宋体" w:hAnsi="宋体" w:cs="宋体"/>
                <w:color w:val="auto"/>
                <w:kern w:val="0"/>
              </w:rPr>
            </w:pPr>
            <w:r>
              <w:rPr>
                <w:rFonts w:hint="eastAsia" w:ascii="宋体" w:hAnsi="宋体" w:cs="宋体"/>
                <w:color w:val="auto"/>
                <w:kern w:val="0"/>
              </w:rPr>
              <w:t>技术标准和要求</w:t>
            </w:r>
          </w:p>
        </w:tc>
        <w:tc>
          <w:tcPr>
            <w:tcW w:w="4615" w:type="dxa"/>
            <w:tcBorders>
              <w:left w:val="single" w:color="auto" w:sz="4" w:space="0"/>
            </w:tcBorders>
            <w:vAlign w:val="center"/>
          </w:tcPr>
          <w:p w14:paraId="15FB5107">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6F110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4B3C189E">
            <w:pPr>
              <w:spacing w:line="400" w:lineRule="exact"/>
              <w:jc w:val="center"/>
              <w:rPr>
                <w:rFonts w:ascii="宋体" w:hAnsi="宋体"/>
                <w:color w:val="auto"/>
                <w:kern w:val="0"/>
              </w:rPr>
            </w:pPr>
          </w:p>
        </w:tc>
        <w:tc>
          <w:tcPr>
            <w:tcW w:w="1560" w:type="dxa"/>
            <w:vMerge w:val="continue"/>
            <w:tcBorders>
              <w:left w:val="single" w:color="auto" w:sz="4" w:space="0"/>
              <w:bottom w:val="single" w:color="auto" w:sz="4" w:space="0"/>
            </w:tcBorders>
            <w:vAlign w:val="center"/>
          </w:tcPr>
          <w:p w14:paraId="62B1FDFB">
            <w:pPr>
              <w:spacing w:line="400" w:lineRule="exact"/>
              <w:jc w:val="center"/>
              <w:rPr>
                <w:rFonts w:ascii="宋体" w:hAnsi="宋体"/>
                <w:color w:val="auto"/>
                <w:kern w:val="0"/>
              </w:rPr>
            </w:pPr>
          </w:p>
        </w:tc>
        <w:tc>
          <w:tcPr>
            <w:tcW w:w="2267" w:type="dxa"/>
            <w:tcBorders>
              <w:right w:val="single" w:color="auto" w:sz="4" w:space="0"/>
            </w:tcBorders>
            <w:vAlign w:val="center"/>
          </w:tcPr>
          <w:p w14:paraId="2EFA26D6">
            <w:pPr>
              <w:snapToGrid w:val="0"/>
              <w:spacing w:line="400" w:lineRule="exact"/>
              <w:jc w:val="left"/>
              <w:rPr>
                <w:rFonts w:ascii="宋体" w:hAnsi="宋体" w:cs="宋体"/>
                <w:color w:val="auto"/>
                <w:kern w:val="0"/>
              </w:rPr>
            </w:pPr>
            <w:r>
              <w:rPr>
                <w:rFonts w:hint="eastAsia" w:ascii="宋体" w:hAnsi="宋体" w:cs="宋体"/>
                <w:color w:val="auto"/>
                <w:kern w:val="0"/>
              </w:rPr>
              <w:t>实质性要求</w:t>
            </w:r>
          </w:p>
        </w:tc>
        <w:tc>
          <w:tcPr>
            <w:tcW w:w="4615" w:type="dxa"/>
            <w:tcBorders>
              <w:left w:val="single" w:color="auto" w:sz="4" w:space="0"/>
            </w:tcBorders>
            <w:vAlign w:val="center"/>
          </w:tcPr>
          <w:p w14:paraId="15E20D9C">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4C8F7032">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7527F8FC">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50E4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1014383E">
            <w:pPr>
              <w:spacing w:line="400" w:lineRule="exact"/>
              <w:jc w:val="center"/>
              <w:rPr>
                <w:rFonts w:ascii="宋体" w:hAnsi="宋体"/>
                <w:color w:val="auto"/>
                <w:kern w:val="0"/>
              </w:rPr>
            </w:pPr>
            <w:r>
              <w:rPr>
                <w:rFonts w:hint="eastAsia" w:ascii="宋体" w:hAnsi="宋体"/>
                <w:color w:val="auto"/>
                <w:kern w:val="0"/>
              </w:rPr>
              <w:t>2.2.5</w:t>
            </w:r>
          </w:p>
        </w:tc>
        <w:tc>
          <w:tcPr>
            <w:tcW w:w="1560" w:type="dxa"/>
            <w:vMerge w:val="restart"/>
            <w:tcBorders>
              <w:top w:val="single" w:color="auto" w:sz="4" w:space="0"/>
              <w:left w:val="single" w:color="auto" w:sz="4" w:space="0"/>
            </w:tcBorders>
            <w:vAlign w:val="center"/>
          </w:tcPr>
          <w:p w14:paraId="55354197">
            <w:pPr>
              <w:spacing w:line="400" w:lineRule="exact"/>
              <w:jc w:val="center"/>
              <w:rPr>
                <w:rFonts w:ascii="宋体" w:hAnsi="宋体"/>
                <w:color w:val="auto"/>
                <w:kern w:val="0"/>
              </w:rPr>
            </w:pPr>
            <w:r>
              <w:rPr>
                <w:rFonts w:hint="eastAsia" w:ascii="宋体" w:hAnsi="宋体"/>
                <w:color w:val="auto"/>
                <w:kern w:val="0"/>
              </w:rPr>
              <w:t>投标函部分及经济部分评审标准</w:t>
            </w:r>
          </w:p>
        </w:tc>
        <w:tc>
          <w:tcPr>
            <w:tcW w:w="2267" w:type="dxa"/>
            <w:tcBorders>
              <w:right w:val="single" w:color="auto" w:sz="4" w:space="0"/>
            </w:tcBorders>
            <w:vAlign w:val="center"/>
          </w:tcPr>
          <w:p w14:paraId="52994137">
            <w:pPr>
              <w:snapToGrid w:val="0"/>
              <w:spacing w:line="400" w:lineRule="exact"/>
              <w:jc w:val="left"/>
              <w:rPr>
                <w:rFonts w:ascii="宋体" w:hAnsi="宋体" w:cs="宋体"/>
                <w:color w:val="auto"/>
                <w:kern w:val="0"/>
              </w:rPr>
            </w:pPr>
            <w:r>
              <w:rPr>
                <w:rFonts w:hint="eastAsia" w:ascii="宋体" w:hAnsi="宋体" w:cs="宋体"/>
                <w:color w:val="auto"/>
                <w:kern w:val="0"/>
              </w:rPr>
              <w:t>投标函部分的格式</w:t>
            </w:r>
          </w:p>
        </w:tc>
        <w:tc>
          <w:tcPr>
            <w:tcW w:w="4615" w:type="dxa"/>
            <w:tcBorders>
              <w:left w:val="single" w:color="auto" w:sz="4" w:space="0"/>
            </w:tcBorders>
            <w:vAlign w:val="center"/>
          </w:tcPr>
          <w:p w14:paraId="56CECC71">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符合第二章“投标人须知”第3.7款的要求。</w:t>
            </w:r>
          </w:p>
        </w:tc>
      </w:tr>
      <w:tr w14:paraId="1C9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FF02CD0">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A968BD0">
            <w:pPr>
              <w:spacing w:line="400" w:lineRule="exact"/>
              <w:jc w:val="center"/>
              <w:rPr>
                <w:rFonts w:ascii="宋体" w:hAnsi="宋体"/>
                <w:color w:val="auto"/>
                <w:kern w:val="0"/>
              </w:rPr>
            </w:pPr>
          </w:p>
        </w:tc>
        <w:tc>
          <w:tcPr>
            <w:tcW w:w="2267" w:type="dxa"/>
            <w:tcBorders>
              <w:right w:val="single" w:color="auto" w:sz="4" w:space="0"/>
            </w:tcBorders>
            <w:vAlign w:val="center"/>
          </w:tcPr>
          <w:p w14:paraId="4E3AF900">
            <w:pPr>
              <w:snapToGrid w:val="0"/>
              <w:spacing w:line="400" w:lineRule="exact"/>
              <w:jc w:val="left"/>
              <w:rPr>
                <w:rFonts w:ascii="宋体" w:hAnsi="宋体" w:cs="宋体"/>
                <w:color w:val="auto"/>
                <w:kern w:val="0"/>
              </w:rPr>
            </w:pPr>
            <w:r>
              <w:rPr>
                <w:rFonts w:hint="eastAsia" w:ascii="宋体" w:hAnsi="宋体" w:cs="宋体"/>
                <w:color w:val="auto"/>
                <w:kern w:val="0"/>
              </w:rPr>
              <w:t>投标函部分的签字盖章</w:t>
            </w:r>
          </w:p>
        </w:tc>
        <w:tc>
          <w:tcPr>
            <w:tcW w:w="4615" w:type="dxa"/>
            <w:tcBorders>
              <w:left w:val="single" w:color="auto" w:sz="4" w:space="0"/>
            </w:tcBorders>
            <w:vAlign w:val="center"/>
          </w:tcPr>
          <w:p w14:paraId="3AEFE47E">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投标函部分的格式要求法定代表人或其委托代理人签字（或盖章）的须齐全。</w:t>
            </w:r>
          </w:p>
        </w:tc>
      </w:tr>
      <w:tr w14:paraId="398B3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1590669">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A2BAB1E">
            <w:pPr>
              <w:spacing w:line="400" w:lineRule="exact"/>
              <w:jc w:val="center"/>
              <w:rPr>
                <w:rFonts w:ascii="宋体" w:hAnsi="宋体"/>
                <w:color w:val="auto"/>
                <w:kern w:val="0"/>
              </w:rPr>
            </w:pPr>
          </w:p>
        </w:tc>
        <w:tc>
          <w:tcPr>
            <w:tcW w:w="2267" w:type="dxa"/>
            <w:tcBorders>
              <w:right w:val="single" w:color="auto" w:sz="4" w:space="0"/>
            </w:tcBorders>
            <w:vAlign w:val="center"/>
          </w:tcPr>
          <w:p w14:paraId="7054CF2F">
            <w:pPr>
              <w:snapToGrid w:val="0"/>
              <w:spacing w:line="400" w:lineRule="exact"/>
              <w:jc w:val="left"/>
              <w:rPr>
                <w:rFonts w:ascii="宋体" w:hAnsi="宋体" w:cs="宋体"/>
                <w:color w:val="auto"/>
                <w:kern w:val="0"/>
              </w:rPr>
            </w:pPr>
            <w:r>
              <w:rPr>
                <w:rFonts w:hint="eastAsia" w:ascii="宋体" w:hAnsi="宋体" w:cs="宋体"/>
                <w:color w:val="auto"/>
                <w:kern w:val="0"/>
              </w:rPr>
              <w:t>工期</w:t>
            </w:r>
          </w:p>
        </w:tc>
        <w:tc>
          <w:tcPr>
            <w:tcW w:w="4615" w:type="dxa"/>
            <w:tcBorders>
              <w:left w:val="single" w:color="auto" w:sz="4" w:space="0"/>
            </w:tcBorders>
            <w:vAlign w:val="center"/>
          </w:tcPr>
          <w:p w14:paraId="5B711E67">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符合第二章“投标人须知”第1.3.2项规定</w:t>
            </w:r>
          </w:p>
        </w:tc>
      </w:tr>
      <w:tr w14:paraId="5852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755B18D">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DD2F82C">
            <w:pPr>
              <w:spacing w:line="400" w:lineRule="exact"/>
              <w:jc w:val="center"/>
              <w:rPr>
                <w:rFonts w:ascii="宋体" w:hAnsi="宋体"/>
                <w:color w:val="auto"/>
                <w:kern w:val="0"/>
              </w:rPr>
            </w:pPr>
          </w:p>
        </w:tc>
        <w:tc>
          <w:tcPr>
            <w:tcW w:w="2267" w:type="dxa"/>
            <w:tcBorders>
              <w:right w:val="single" w:color="auto" w:sz="4" w:space="0"/>
            </w:tcBorders>
            <w:vAlign w:val="center"/>
          </w:tcPr>
          <w:p w14:paraId="7D2F0E6E">
            <w:pPr>
              <w:snapToGrid w:val="0"/>
              <w:spacing w:line="400" w:lineRule="exact"/>
              <w:jc w:val="left"/>
              <w:rPr>
                <w:rFonts w:ascii="宋体" w:hAnsi="宋体" w:cs="宋体"/>
                <w:color w:val="auto"/>
                <w:kern w:val="0"/>
              </w:rPr>
            </w:pPr>
            <w:r>
              <w:rPr>
                <w:rFonts w:hint="eastAsia" w:ascii="宋体" w:hAnsi="宋体" w:cs="宋体"/>
                <w:color w:val="auto"/>
                <w:kern w:val="0"/>
              </w:rPr>
              <w:t>工程质量</w:t>
            </w:r>
          </w:p>
        </w:tc>
        <w:tc>
          <w:tcPr>
            <w:tcW w:w="4615" w:type="dxa"/>
            <w:tcBorders>
              <w:left w:val="single" w:color="auto" w:sz="4" w:space="0"/>
            </w:tcBorders>
            <w:vAlign w:val="center"/>
          </w:tcPr>
          <w:p w14:paraId="5B254508">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符合第二章“投标人须知”第1.3.3项规定</w:t>
            </w:r>
          </w:p>
        </w:tc>
      </w:tr>
      <w:tr w14:paraId="7E7C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233CFBB">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7B303D21">
            <w:pPr>
              <w:spacing w:line="400" w:lineRule="exact"/>
              <w:jc w:val="center"/>
              <w:rPr>
                <w:rFonts w:ascii="宋体" w:hAnsi="宋体"/>
                <w:color w:val="auto"/>
                <w:kern w:val="0"/>
              </w:rPr>
            </w:pPr>
          </w:p>
        </w:tc>
        <w:tc>
          <w:tcPr>
            <w:tcW w:w="2267" w:type="dxa"/>
            <w:tcBorders>
              <w:right w:val="single" w:color="auto" w:sz="4" w:space="0"/>
            </w:tcBorders>
            <w:vAlign w:val="center"/>
          </w:tcPr>
          <w:p w14:paraId="66525AD3">
            <w:pPr>
              <w:snapToGrid w:val="0"/>
              <w:spacing w:line="400" w:lineRule="exact"/>
              <w:jc w:val="left"/>
              <w:rPr>
                <w:rFonts w:ascii="宋体" w:hAnsi="宋体" w:cs="宋体"/>
                <w:color w:val="auto"/>
                <w:kern w:val="0"/>
              </w:rPr>
            </w:pPr>
            <w:r>
              <w:rPr>
                <w:rFonts w:hint="eastAsia" w:ascii="宋体" w:hAnsi="宋体" w:cs="宋体"/>
                <w:color w:val="auto"/>
                <w:kern w:val="0"/>
              </w:rPr>
              <w:t>投标有效期</w:t>
            </w:r>
          </w:p>
        </w:tc>
        <w:tc>
          <w:tcPr>
            <w:tcW w:w="4615" w:type="dxa"/>
            <w:tcBorders>
              <w:left w:val="single" w:color="auto" w:sz="4" w:space="0"/>
            </w:tcBorders>
            <w:vAlign w:val="center"/>
          </w:tcPr>
          <w:p w14:paraId="61A62339">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符合第二章“投标人须知”第3.3.1项规定</w:t>
            </w:r>
          </w:p>
        </w:tc>
      </w:tr>
      <w:tr w14:paraId="37E1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F56FFB2">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2B0CF06">
            <w:pPr>
              <w:spacing w:line="400" w:lineRule="exact"/>
              <w:jc w:val="center"/>
              <w:rPr>
                <w:rFonts w:ascii="宋体" w:hAnsi="宋体"/>
                <w:color w:val="auto"/>
                <w:kern w:val="0"/>
              </w:rPr>
            </w:pPr>
          </w:p>
        </w:tc>
        <w:tc>
          <w:tcPr>
            <w:tcW w:w="2267" w:type="dxa"/>
            <w:tcBorders>
              <w:right w:val="single" w:color="auto" w:sz="4" w:space="0"/>
            </w:tcBorders>
            <w:vAlign w:val="center"/>
          </w:tcPr>
          <w:p w14:paraId="1A07E0BA">
            <w:pPr>
              <w:snapToGrid w:val="0"/>
              <w:spacing w:line="400" w:lineRule="exact"/>
              <w:jc w:val="left"/>
              <w:rPr>
                <w:rFonts w:ascii="宋体" w:hAnsi="宋体" w:cs="宋体"/>
                <w:color w:val="auto"/>
                <w:kern w:val="0"/>
              </w:rPr>
            </w:pPr>
            <w:r>
              <w:rPr>
                <w:rFonts w:hint="eastAsia" w:ascii="宋体" w:hAnsi="宋体" w:cs="宋体"/>
                <w:color w:val="auto"/>
                <w:kern w:val="0"/>
              </w:rPr>
              <w:t>投标总报价</w:t>
            </w:r>
          </w:p>
        </w:tc>
        <w:tc>
          <w:tcPr>
            <w:tcW w:w="4615" w:type="dxa"/>
            <w:tcBorders>
              <w:left w:val="single" w:color="auto" w:sz="4" w:space="0"/>
            </w:tcBorders>
            <w:vAlign w:val="center"/>
          </w:tcPr>
          <w:p w14:paraId="29EFD7D0">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1.投标总报价必须与已标价工程量清单总报价一致,且工程量清单总报价与依据单价、工程数量、分部分项工程合价计算出的结果应一致。</w:t>
            </w:r>
          </w:p>
          <w:p w14:paraId="57440B98">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2.投标总报价不得高于采购人公布的投标总报价最高限价。</w:t>
            </w:r>
          </w:p>
          <w:p w14:paraId="4FA96A43">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3.投标总报价低于最高限价85%的，投标人应在编制投标文件时，在投标函部分中递交低价风险担保缴纳承诺书。承诺书格式详见第八章投标文件格式。</w:t>
            </w:r>
          </w:p>
        </w:tc>
      </w:tr>
      <w:tr w14:paraId="52273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754C0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4CF9BBC">
            <w:pPr>
              <w:spacing w:line="400" w:lineRule="exact"/>
              <w:jc w:val="center"/>
              <w:rPr>
                <w:rFonts w:ascii="宋体" w:hAnsi="宋体"/>
                <w:color w:val="auto"/>
                <w:kern w:val="0"/>
              </w:rPr>
            </w:pPr>
          </w:p>
        </w:tc>
        <w:tc>
          <w:tcPr>
            <w:tcW w:w="2267" w:type="dxa"/>
            <w:tcBorders>
              <w:right w:val="single" w:color="auto" w:sz="4" w:space="0"/>
            </w:tcBorders>
            <w:vAlign w:val="center"/>
          </w:tcPr>
          <w:p w14:paraId="6413951D">
            <w:pPr>
              <w:snapToGrid w:val="0"/>
              <w:spacing w:line="400" w:lineRule="exact"/>
              <w:jc w:val="left"/>
              <w:rPr>
                <w:rFonts w:ascii="宋体" w:hAnsi="宋体" w:cs="宋体"/>
                <w:color w:val="auto"/>
                <w:kern w:val="0"/>
              </w:rPr>
            </w:pPr>
            <w:r>
              <w:rPr>
                <w:rFonts w:hint="eastAsia" w:ascii="宋体" w:hAnsi="宋体" w:cs="宋体"/>
                <w:color w:val="auto"/>
                <w:kern w:val="0"/>
              </w:rPr>
              <w:t>暂定金额</w:t>
            </w:r>
          </w:p>
        </w:tc>
        <w:tc>
          <w:tcPr>
            <w:tcW w:w="4615" w:type="dxa"/>
            <w:tcBorders>
              <w:left w:val="single" w:color="auto" w:sz="4" w:space="0"/>
            </w:tcBorders>
            <w:vAlign w:val="center"/>
          </w:tcPr>
          <w:p w14:paraId="08004522">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暂列金额、暂估价、安全文明施工费等暂定金额必须按照采购文件给定的金额填报。</w:t>
            </w:r>
          </w:p>
        </w:tc>
      </w:tr>
      <w:tr w14:paraId="3244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66621F">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D831DBC">
            <w:pPr>
              <w:spacing w:line="400" w:lineRule="exact"/>
              <w:jc w:val="center"/>
              <w:rPr>
                <w:rFonts w:ascii="宋体" w:hAnsi="宋体"/>
                <w:color w:val="auto"/>
                <w:kern w:val="0"/>
              </w:rPr>
            </w:pPr>
          </w:p>
        </w:tc>
        <w:tc>
          <w:tcPr>
            <w:tcW w:w="2267" w:type="dxa"/>
            <w:tcBorders>
              <w:right w:val="single" w:color="auto" w:sz="4" w:space="0"/>
            </w:tcBorders>
            <w:vAlign w:val="center"/>
          </w:tcPr>
          <w:p w14:paraId="3B976A78">
            <w:pPr>
              <w:snapToGrid w:val="0"/>
              <w:spacing w:line="400" w:lineRule="exact"/>
              <w:jc w:val="left"/>
              <w:rPr>
                <w:rFonts w:ascii="宋体" w:hAnsi="宋体" w:cs="宋体"/>
                <w:color w:val="auto"/>
                <w:kern w:val="0"/>
              </w:rPr>
            </w:pPr>
            <w:r>
              <w:rPr>
                <w:rFonts w:hint="eastAsia" w:ascii="宋体" w:hAnsi="宋体" w:cs="宋体"/>
                <w:color w:val="auto"/>
                <w:kern w:val="0"/>
              </w:rPr>
              <w:t>报价唯一</w:t>
            </w:r>
          </w:p>
        </w:tc>
        <w:tc>
          <w:tcPr>
            <w:tcW w:w="4615" w:type="dxa"/>
            <w:tcBorders>
              <w:left w:val="single" w:color="auto" w:sz="4" w:space="0"/>
            </w:tcBorders>
            <w:vAlign w:val="center"/>
          </w:tcPr>
          <w:p w14:paraId="47461124">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只能有一个有效报价。在采购文件没有规定的情况下，不得提交选择性报价。</w:t>
            </w:r>
          </w:p>
        </w:tc>
      </w:tr>
      <w:tr w14:paraId="537EB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5393B5D">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BD4E24C">
            <w:pPr>
              <w:spacing w:line="400" w:lineRule="exact"/>
              <w:jc w:val="center"/>
              <w:rPr>
                <w:rFonts w:ascii="宋体" w:hAnsi="宋体"/>
                <w:color w:val="auto"/>
                <w:kern w:val="0"/>
              </w:rPr>
            </w:pPr>
          </w:p>
        </w:tc>
        <w:tc>
          <w:tcPr>
            <w:tcW w:w="2267" w:type="dxa"/>
            <w:tcBorders>
              <w:right w:val="single" w:color="auto" w:sz="4" w:space="0"/>
            </w:tcBorders>
            <w:vAlign w:val="center"/>
          </w:tcPr>
          <w:p w14:paraId="0F2F842B">
            <w:pPr>
              <w:snapToGrid w:val="0"/>
              <w:spacing w:line="400" w:lineRule="exact"/>
              <w:jc w:val="left"/>
              <w:rPr>
                <w:rFonts w:ascii="宋体" w:hAnsi="宋体" w:cs="宋体"/>
                <w:color w:val="auto"/>
                <w:kern w:val="0"/>
              </w:rPr>
            </w:pPr>
            <w:r>
              <w:rPr>
                <w:rFonts w:hint="eastAsia" w:ascii="宋体" w:hAnsi="宋体" w:cs="宋体"/>
                <w:color w:val="auto"/>
                <w:kern w:val="0"/>
              </w:rPr>
              <w:t>已标价工程量清单</w:t>
            </w:r>
          </w:p>
        </w:tc>
        <w:tc>
          <w:tcPr>
            <w:tcW w:w="4615" w:type="dxa"/>
            <w:tcBorders>
              <w:left w:val="single" w:color="auto" w:sz="4" w:space="0"/>
            </w:tcBorders>
            <w:vAlign w:val="center"/>
          </w:tcPr>
          <w:p w14:paraId="58F7D20E">
            <w:pPr>
              <w:spacing w:afterLines="20"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14:paraId="24C6239E">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2.采购文件中规定工程量清单不允许修改的内容不得修改。</w:t>
            </w:r>
          </w:p>
          <w:p w14:paraId="16036483">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3.每项清单综合单价报价不得高于每项清单综合单价最高限价。</w:t>
            </w:r>
          </w:p>
        </w:tc>
      </w:tr>
      <w:tr w14:paraId="6DB14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AE30B5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D8CEE86">
            <w:pPr>
              <w:spacing w:line="400" w:lineRule="exact"/>
              <w:jc w:val="center"/>
              <w:rPr>
                <w:rFonts w:ascii="宋体" w:hAnsi="宋体"/>
                <w:color w:val="auto"/>
                <w:kern w:val="0"/>
              </w:rPr>
            </w:pPr>
          </w:p>
        </w:tc>
        <w:tc>
          <w:tcPr>
            <w:tcW w:w="2267" w:type="dxa"/>
            <w:tcBorders>
              <w:right w:val="single" w:color="auto" w:sz="4" w:space="0"/>
            </w:tcBorders>
            <w:vAlign w:val="center"/>
          </w:tcPr>
          <w:p w14:paraId="3E1DCDBA">
            <w:pPr>
              <w:snapToGrid w:val="0"/>
              <w:spacing w:line="400" w:lineRule="exact"/>
              <w:jc w:val="left"/>
              <w:rPr>
                <w:rFonts w:ascii="宋体" w:hAnsi="宋体" w:cs="宋体"/>
                <w:color w:val="auto"/>
                <w:kern w:val="0"/>
              </w:rPr>
            </w:pPr>
            <w:r>
              <w:rPr>
                <w:rFonts w:hint="eastAsia" w:ascii="宋体" w:hAnsi="宋体" w:cs="宋体"/>
                <w:color w:val="auto"/>
                <w:kern w:val="0"/>
              </w:rPr>
              <w:t>投标报价算术错误修正</w:t>
            </w:r>
          </w:p>
        </w:tc>
        <w:tc>
          <w:tcPr>
            <w:tcW w:w="4615" w:type="dxa"/>
            <w:tcBorders>
              <w:left w:val="single" w:color="auto" w:sz="4" w:space="0"/>
            </w:tcBorders>
            <w:vAlign w:val="center"/>
          </w:tcPr>
          <w:p w14:paraId="4B39D929">
            <w:pPr>
              <w:snapToGrid w:val="0"/>
              <w:spacing w:afterLines="10" w:line="400" w:lineRule="exact"/>
              <w:ind w:firstLine="420" w:firstLineChars="200"/>
              <w:rPr>
                <w:rFonts w:ascii="宋体" w:hAnsi="宋体" w:cs="宋体"/>
                <w:color w:val="auto"/>
                <w:kern w:val="0"/>
              </w:rPr>
            </w:pPr>
            <w:r>
              <w:rPr>
                <w:rFonts w:hint="eastAsia" w:ascii="宋体" w:hAnsi="宋体" w:cs="宋体"/>
                <w:color w:val="auto"/>
                <w:kern w:val="0"/>
              </w:rPr>
              <w:t>符合第三章“评标办法”第3.2.3项规定。</w:t>
            </w:r>
          </w:p>
        </w:tc>
      </w:tr>
      <w:tr w14:paraId="2C24F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25A70B55">
            <w:pPr>
              <w:spacing w:line="400" w:lineRule="exact"/>
              <w:jc w:val="center"/>
              <w:rPr>
                <w:rFonts w:ascii="宋体" w:hAnsi="宋体"/>
                <w:color w:val="auto"/>
              </w:rPr>
            </w:pPr>
            <w:r>
              <w:rPr>
                <w:rFonts w:ascii="宋体" w:hAnsi="宋体"/>
                <w:color w:val="auto"/>
              </w:rPr>
              <w:t>3</w:t>
            </w:r>
          </w:p>
        </w:tc>
        <w:tc>
          <w:tcPr>
            <w:tcW w:w="1560" w:type="dxa"/>
            <w:tcBorders>
              <w:left w:val="single" w:color="auto" w:sz="4" w:space="0"/>
              <w:right w:val="single" w:color="auto" w:sz="4" w:space="0"/>
            </w:tcBorders>
            <w:vAlign w:val="center"/>
          </w:tcPr>
          <w:p w14:paraId="05B40C32">
            <w:pPr>
              <w:spacing w:line="400" w:lineRule="exact"/>
              <w:jc w:val="center"/>
              <w:rPr>
                <w:rFonts w:ascii="宋体" w:hAnsi="宋体"/>
                <w:color w:val="auto"/>
              </w:rPr>
            </w:pPr>
            <w:r>
              <w:rPr>
                <w:rFonts w:hint="eastAsia" w:ascii="宋体" w:hAnsi="宋体"/>
                <w:color w:val="auto"/>
              </w:rPr>
              <w:t>评标程序</w:t>
            </w:r>
          </w:p>
        </w:tc>
        <w:tc>
          <w:tcPr>
            <w:tcW w:w="6882" w:type="dxa"/>
            <w:gridSpan w:val="2"/>
            <w:tcBorders>
              <w:left w:val="single" w:color="auto" w:sz="4" w:space="0"/>
            </w:tcBorders>
            <w:vAlign w:val="center"/>
          </w:tcPr>
          <w:p w14:paraId="60D6E696">
            <w:pPr>
              <w:spacing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1.对报价不高于最高限价的所有投标人的投标文件，按照报价由低到高的顺序排序。需技术方案评审的，由评审小组对技术方案进行自动随机编号。</w:t>
            </w:r>
          </w:p>
          <w:p w14:paraId="288FCE20">
            <w:pPr>
              <w:spacing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14:paraId="548F9037">
            <w:pPr>
              <w:spacing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24113305">
            <w:pPr>
              <w:spacing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14:paraId="5247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3EA2CD98">
            <w:pPr>
              <w:spacing w:line="400" w:lineRule="exact"/>
              <w:jc w:val="center"/>
              <w:rPr>
                <w:rFonts w:ascii="宋体" w:hAnsi="宋体"/>
                <w:color w:val="auto"/>
              </w:rPr>
            </w:pPr>
            <w:r>
              <w:rPr>
                <w:rFonts w:hint="eastAsia" w:ascii="宋体" w:hAnsi="宋体"/>
                <w:color w:val="auto"/>
              </w:rPr>
              <w:t>3.4</w:t>
            </w:r>
          </w:p>
        </w:tc>
        <w:tc>
          <w:tcPr>
            <w:tcW w:w="1560" w:type="dxa"/>
            <w:tcBorders>
              <w:left w:val="single" w:color="auto" w:sz="4" w:space="0"/>
              <w:right w:val="single" w:color="auto" w:sz="4" w:space="0"/>
            </w:tcBorders>
            <w:vAlign w:val="center"/>
          </w:tcPr>
          <w:p w14:paraId="73644AE8">
            <w:pPr>
              <w:spacing w:line="400" w:lineRule="exact"/>
              <w:jc w:val="center"/>
              <w:rPr>
                <w:rFonts w:ascii="宋体" w:hAnsi="宋体"/>
                <w:color w:val="auto"/>
              </w:rPr>
            </w:pPr>
            <w:r>
              <w:rPr>
                <w:rFonts w:ascii="宋体" w:hAnsi="宋体"/>
                <w:color w:val="auto"/>
              </w:rPr>
              <w:t>评标结果</w:t>
            </w:r>
          </w:p>
        </w:tc>
        <w:tc>
          <w:tcPr>
            <w:tcW w:w="6882" w:type="dxa"/>
            <w:gridSpan w:val="2"/>
            <w:tcBorders>
              <w:left w:val="single" w:color="auto" w:sz="4" w:space="0"/>
            </w:tcBorders>
            <w:vAlign w:val="center"/>
          </w:tcPr>
          <w:p w14:paraId="5AFF01CD">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tc>
      </w:tr>
    </w:tbl>
    <w:p w14:paraId="05EFD45C">
      <w:pPr>
        <w:pStyle w:val="4"/>
        <w:spacing w:before="0" w:after="0" w:line="360" w:lineRule="auto"/>
        <w:rPr>
          <w:rFonts w:ascii="宋体" w:hAnsi="宋体"/>
          <w:bCs w:val="0"/>
          <w:snapToGrid w:val="0"/>
          <w:color w:val="auto"/>
        </w:rPr>
      </w:pPr>
      <w:r>
        <w:rPr>
          <w:rFonts w:ascii="宋体" w:hAnsi="宋体"/>
          <w:bCs w:val="0"/>
          <w:snapToGrid w:val="0"/>
          <w:color w:val="auto"/>
        </w:rPr>
        <w:br w:type="page"/>
      </w:r>
      <w:bookmarkStart w:id="396" w:name="_Toc25122"/>
      <w:r>
        <w:rPr>
          <w:rFonts w:ascii="宋体" w:hAnsi="宋体"/>
          <w:b w:val="0"/>
          <w:snapToGrid w:val="0"/>
          <w:color w:val="auto"/>
        </w:rPr>
        <w:t>1.  评标方法</w:t>
      </w:r>
      <w:bookmarkEnd w:id="396"/>
    </w:p>
    <w:p w14:paraId="5C53B607">
      <w:pPr>
        <w:spacing w:line="360" w:lineRule="auto"/>
        <w:ind w:firstLine="420" w:firstLineChars="200"/>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14:paraId="00BA22EC">
      <w:pPr>
        <w:pStyle w:val="4"/>
        <w:spacing w:before="0" w:after="0" w:line="360" w:lineRule="auto"/>
        <w:rPr>
          <w:rFonts w:ascii="宋体" w:hAnsi="宋体"/>
          <w:b w:val="0"/>
          <w:snapToGrid w:val="0"/>
          <w:color w:val="auto"/>
        </w:rPr>
      </w:pPr>
      <w:bookmarkStart w:id="397" w:name="_Toc13149"/>
      <w:r>
        <w:rPr>
          <w:rFonts w:ascii="宋体" w:hAnsi="宋体"/>
          <w:b w:val="0"/>
          <w:snapToGrid w:val="0"/>
          <w:color w:val="auto"/>
        </w:rPr>
        <w:t>2.  评审标准</w:t>
      </w:r>
      <w:bookmarkEnd w:id="397"/>
    </w:p>
    <w:p w14:paraId="0E71A56D">
      <w:pPr>
        <w:pStyle w:val="5"/>
        <w:spacing w:before="0" w:after="0" w:line="360" w:lineRule="auto"/>
        <w:rPr>
          <w:rFonts w:ascii="宋体" w:hAnsi="宋体" w:cs="宋体"/>
          <w:color w:val="auto"/>
          <w:sz w:val="21"/>
          <w:szCs w:val="21"/>
        </w:rPr>
      </w:pPr>
      <w:bookmarkStart w:id="398" w:name="_Toc21239"/>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r>
        <w:rPr>
          <w:rFonts w:hint="eastAsia" w:ascii="宋体" w:hAnsi="宋体" w:cs="宋体"/>
          <w:color w:val="auto"/>
          <w:sz w:val="21"/>
          <w:szCs w:val="21"/>
        </w:rPr>
        <w:t>标准</w:t>
      </w:r>
      <w:bookmarkEnd w:id="398"/>
    </w:p>
    <w:p w14:paraId="58BA7BFD">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1A16E0F1">
      <w:pPr>
        <w:pStyle w:val="5"/>
        <w:spacing w:before="0" w:after="0" w:line="360" w:lineRule="auto"/>
        <w:rPr>
          <w:rFonts w:ascii="宋体" w:hAnsi="宋体" w:cs="宋体"/>
          <w:color w:val="auto"/>
          <w:sz w:val="21"/>
          <w:szCs w:val="21"/>
        </w:rPr>
      </w:pPr>
      <w:bookmarkStart w:id="399" w:name="_Toc30522"/>
      <w:r>
        <w:rPr>
          <w:rFonts w:ascii="宋体" w:hAnsi="宋体" w:cs="宋体"/>
          <w:color w:val="auto"/>
          <w:sz w:val="21"/>
          <w:szCs w:val="21"/>
        </w:rPr>
        <w:t>2.</w:t>
      </w:r>
      <w:r>
        <w:rPr>
          <w:rFonts w:hint="eastAsia" w:ascii="宋体" w:hAnsi="宋体" w:cs="宋体"/>
          <w:color w:val="auto"/>
          <w:sz w:val="21"/>
          <w:szCs w:val="21"/>
        </w:rPr>
        <w:t>2符合性审查标准</w:t>
      </w:r>
      <w:bookmarkEnd w:id="399"/>
    </w:p>
    <w:p w14:paraId="3127735F">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。符合性审查内容：技术方案评审（如有）、资格评审、形式评审、响应性、投标函部分及经济部分评审</w:t>
      </w:r>
      <w:r>
        <w:rPr>
          <w:rFonts w:hint="eastAsia" w:ascii="宋体" w:hAnsi="宋体" w:cs="宋体"/>
          <w:color w:val="auto"/>
          <w:szCs w:val="21"/>
        </w:rPr>
        <w:t>。</w:t>
      </w:r>
    </w:p>
    <w:p w14:paraId="6B7A54E4">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14:paraId="567075A2">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  资格评审标准：见评标办法前附表（适用于未进行资格预审的）。</w:t>
      </w:r>
    </w:p>
    <w:p w14:paraId="6E3EE171">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63648320">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05A1F4AA">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2.2.5  投标函部分及经济部分评审标准：见评标办法前附表。</w:t>
      </w:r>
    </w:p>
    <w:p w14:paraId="4261C5FE">
      <w:pPr>
        <w:pStyle w:val="4"/>
        <w:spacing w:before="0" w:after="0" w:line="360" w:lineRule="auto"/>
        <w:rPr>
          <w:rFonts w:ascii="宋体" w:hAnsi="宋体"/>
          <w:b w:val="0"/>
          <w:snapToGrid w:val="0"/>
          <w:color w:val="auto"/>
        </w:rPr>
      </w:pPr>
      <w:bookmarkStart w:id="400" w:name="_Toc2669"/>
      <w:r>
        <w:rPr>
          <w:rFonts w:ascii="宋体" w:hAnsi="宋体"/>
          <w:b w:val="0"/>
          <w:snapToGrid w:val="0"/>
          <w:color w:val="auto"/>
        </w:rPr>
        <w:t>3.  评标程序</w:t>
      </w:r>
      <w:bookmarkEnd w:id="400"/>
    </w:p>
    <w:p w14:paraId="452267D5">
      <w:pPr>
        <w:pStyle w:val="5"/>
        <w:spacing w:before="0" w:after="0" w:line="360" w:lineRule="auto"/>
        <w:rPr>
          <w:rFonts w:ascii="宋体" w:hAnsi="宋体" w:cs="宋体"/>
          <w:color w:val="auto"/>
          <w:sz w:val="21"/>
          <w:szCs w:val="21"/>
        </w:rPr>
      </w:pPr>
      <w:bookmarkStart w:id="401" w:name="_Toc30026"/>
      <w:r>
        <w:rPr>
          <w:rFonts w:ascii="宋体" w:hAnsi="宋体" w:cs="宋体"/>
          <w:color w:val="auto"/>
          <w:sz w:val="21"/>
          <w:szCs w:val="21"/>
        </w:rPr>
        <w:t>3.1</w:t>
      </w:r>
      <w:r>
        <w:rPr>
          <w:rFonts w:hint="eastAsia" w:ascii="宋体" w:hAnsi="宋体" w:cs="宋体"/>
          <w:color w:val="auto"/>
          <w:sz w:val="21"/>
          <w:szCs w:val="21"/>
        </w:rPr>
        <w:t>报价排序</w:t>
      </w:r>
      <w:bookmarkEnd w:id="401"/>
    </w:p>
    <w:p w14:paraId="32EBFDAE">
      <w:pPr>
        <w:spacing w:line="360" w:lineRule="auto"/>
        <w:ind w:firstLine="413" w:firstLineChars="197"/>
        <w:rPr>
          <w:rFonts w:ascii="宋体" w:hAnsi="宋体" w:cs="宋体"/>
          <w:color w:val="auto"/>
          <w:szCs w:val="21"/>
        </w:rPr>
      </w:pPr>
      <w:r>
        <w:rPr>
          <w:rFonts w:hint="eastAsia" w:ascii="宋体" w:hAnsi="宋体" w:cs="宋体"/>
          <w:color w:val="auto"/>
          <w:szCs w:val="21"/>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14:paraId="21DF2998">
      <w:pPr>
        <w:pStyle w:val="5"/>
        <w:spacing w:before="0" w:after="0" w:line="360" w:lineRule="auto"/>
        <w:rPr>
          <w:rFonts w:ascii="宋体" w:hAnsi="宋体" w:cs="宋体"/>
          <w:color w:val="auto"/>
          <w:sz w:val="21"/>
          <w:szCs w:val="21"/>
        </w:rPr>
      </w:pPr>
      <w:bookmarkStart w:id="402" w:name="_Toc6662"/>
      <w:r>
        <w:rPr>
          <w:rFonts w:ascii="宋体" w:hAnsi="宋体" w:cs="宋体"/>
          <w:color w:val="auto"/>
          <w:sz w:val="21"/>
          <w:szCs w:val="21"/>
        </w:rPr>
        <w:t>3.</w:t>
      </w:r>
      <w:r>
        <w:rPr>
          <w:rFonts w:hint="eastAsia" w:ascii="宋体" w:hAnsi="宋体" w:cs="宋体"/>
          <w:color w:val="auto"/>
          <w:sz w:val="21"/>
          <w:szCs w:val="21"/>
        </w:rPr>
        <w:t>2符合性审查</w:t>
      </w:r>
      <w:bookmarkEnd w:id="402"/>
    </w:p>
    <w:p w14:paraId="70353784">
      <w:pPr>
        <w:spacing w:line="360" w:lineRule="auto"/>
        <w:ind w:firstLine="413" w:firstLineChars="197"/>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款规定的标准对投标文件进行符合性审查。符合性审查顺序：资格评审、形式评审、响应性、投标函部分及经济部分评审。</w:t>
      </w:r>
    </w:p>
    <w:p w14:paraId="031D7E8B">
      <w:pPr>
        <w:spacing w:line="360" w:lineRule="auto"/>
        <w:ind w:firstLine="413" w:firstLineChars="197"/>
        <w:rPr>
          <w:rFonts w:ascii="宋体" w:hAnsi="宋体" w:cs="宋体"/>
          <w:color w:val="auto"/>
          <w:szCs w:val="21"/>
        </w:rPr>
      </w:pPr>
      <w:r>
        <w:rPr>
          <w:rFonts w:hint="eastAsia" w:ascii="宋体" w:hAnsi="宋体" w:cs="宋体"/>
          <w:color w:val="auto"/>
          <w:szCs w:val="21"/>
        </w:rPr>
        <w:t>勾选技术方案评审的，按照资格、形式、响应性、投标函部分及经济部分的顺序进行评审。有一项不符合评审标准的，作否决投标处理。</w:t>
      </w:r>
    </w:p>
    <w:p w14:paraId="2003FE61">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4F198A35">
      <w:pPr>
        <w:spacing w:line="360" w:lineRule="auto"/>
        <w:ind w:firstLine="405" w:firstLineChars="193"/>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600F26D1">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1997D421">
      <w:pPr>
        <w:spacing w:line="360" w:lineRule="auto"/>
        <w:ind w:firstLine="420" w:firstLineChars="200"/>
        <w:rPr>
          <w:rFonts w:ascii="宋体" w:hAnsi="宋体" w:cs="宋体"/>
          <w:color w:val="auto"/>
          <w:szCs w:val="21"/>
        </w:rPr>
      </w:pPr>
      <w:r>
        <w:rPr>
          <w:rFonts w:hint="eastAsia" w:ascii="宋体" w:hAnsi="宋体" w:cs="宋体"/>
          <w:color w:val="auto"/>
          <w:szCs w:val="21"/>
        </w:rPr>
        <w:t>（3）拒绝按评标委员会要求澄清、说明或补正的。</w:t>
      </w:r>
    </w:p>
    <w:p w14:paraId="64A7DD5B">
      <w:pPr>
        <w:spacing w:line="360" w:lineRule="auto"/>
        <w:ind w:firstLine="420" w:firstLineChars="200"/>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6FF92E2B">
      <w:pPr>
        <w:spacing w:line="360" w:lineRule="auto"/>
        <w:ind w:firstLine="420" w:firstLineChars="200"/>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2711FF78">
      <w:pPr>
        <w:spacing w:line="360" w:lineRule="auto"/>
        <w:ind w:firstLine="420" w:firstLineChars="200"/>
        <w:rPr>
          <w:rFonts w:ascii="宋体" w:hAnsi="宋体" w:cs="宋体"/>
          <w:color w:val="auto"/>
          <w:szCs w:val="21"/>
        </w:rPr>
      </w:pPr>
      <w:r>
        <w:rPr>
          <w:rFonts w:hint="eastAsia" w:ascii="宋体" w:hAnsi="宋体" w:cs="宋体"/>
          <w:color w:val="auto"/>
          <w:szCs w:val="21"/>
        </w:rPr>
        <w:t>（2）投标函中的总报价与已标价工程量清单总报价不一致，且工程量清单总报价与依据单价、工程数量、分部分项工程合价计算出的结果不一致的，由评标委员会作否决投标处理。</w:t>
      </w:r>
    </w:p>
    <w:p w14:paraId="0AC0AC3E">
      <w:pPr>
        <w:pStyle w:val="5"/>
        <w:spacing w:before="0" w:after="0" w:line="360" w:lineRule="auto"/>
        <w:rPr>
          <w:rFonts w:ascii="宋体" w:hAnsi="宋体" w:cs="宋体"/>
          <w:color w:val="auto"/>
          <w:sz w:val="21"/>
          <w:szCs w:val="21"/>
        </w:rPr>
      </w:pPr>
      <w:bookmarkStart w:id="403" w:name="_Toc484465184"/>
      <w:bookmarkStart w:id="404" w:name="_Toc26291"/>
      <w:bookmarkStart w:id="405" w:name="_Toc479262406"/>
      <w:r>
        <w:rPr>
          <w:rFonts w:ascii="宋体" w:hAnsi="宋体" w:cs="宋体"/>
          <w:color w:val="auto"/>
          <w:sz w:val="21"/>
          <w:szCs w:val="21"/>
        </w:rPr>
        <w:t xml:space="preserve">3.2 </w:t>
      </w:r>
      <w:r>
        <w:rPr>
          <w:rFonts w:hint="eastAsia" w:ascii="宋体" w:hAnsi="宋体" w:cs="宋体"/>
          <w:color w:val="auto"/>
          <w:sz w:val="21"/>
          <w:szCs w:val="21"/>
        </w:rPr>
        <w:t>评标结果</w:t>
      </w:r>
      <w:bookmarkEnd w:id="403"/>
      <w:bookmarkEnd w:id="404"/>
      <w:bookmarkEnd w:id="405"/>
    </w:p>
    <w:p w14:paraId="18511AF8">
      <w:pPr>
        <w:autoSpaceDE w:val="0"/>
        <w:autoSpaceDN w:val="0"/>
        <w:adjustRightInd w:val="0"/>
        <w:spacing w:line="360" w:lineRule="auto"/>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 xml:space="preserve"> 除第二章“投标人须知”前附表授权直接确定中标人外，评标委员会按经评审的最低投标价法推荐中标候选人。</w:t>
      </w:r>
    </w:p>
    <w:p w14:paraId="088CC583">
      <w:pPr>
        <w:pStyle w:val="33"/>
        <w:spacing w:line="360" w:lineRule="auto"/>
        <w:rPr>
          <w:rFonts w:ascii="宋体" w:hAnsi="宋体"/>
          <w:b/>
          <w:color w:val="auto"/>
          <w:sz w:val="28"/>
          <w:szCs w:val="28"/>
          <w:u w:val="none"/>
          <w:lang w:eastAsia="zh-CN"/>
        </w:rPr>
      </w:pPr>
      <w:r>
        <w:rPr>
          <w:rFonts w:ascii="宋体" w:hAnsi="宋体" w:cs="宋体"/>
          <w:color w:val="auto"/>
          <w:szCs w:val="21"/>
          <w:lang w:eastAsia="zh-CN"/>
        </w:rPr>
        <w:br w:type="page"/>
      </w:r>
      <w:r>
        <w:rPr>
          <w:rFonts w:ascii="宋体" w:hAnsi="宋体"/>
          <w:b/>
          <w:color w:val="auto"/>
          <w:sz w:val="28"/>
          <w:szCs w:val="28"/>
          <w:u w:val="none"/>
          <w:lang w:eastAsia="zh-CN"/>
        </w:rPr>
        <w:t>附件A：</w:t>
      </w:r>
      <w:r>
        <w:rPr>
          <w:rFonts w:hint="eastAsia" w:ascii="宋体" w:hAnsi="宋体"/>
          <w:b/>
          <w:color w:val="auto"/>
          <w:sz w:val="28"/>
          <w:szCs w:val="28"/>
          <w:u w:val="none"/>
          <w:lang w:eastAsia="zh-CN"/>
        </w:rPr>
        <w:t>经评审的最低投标价法</w:t>
      </w:r>
      <w:r>
        <w:rPr>
          <w:rFonts w:ascii="宋体" w:hAnsi="宋体"/>
          <w:b/>
          <w:color w:val="auto"/>
          <w:sz w:val="28"/>
          <w:szCs w:val="28"/>
          <w:u w:val="none"/>
          <w:lang w:eastAsia="zh-CN"/>
        </w:rPr>
        <w:t>否决投标情况一览表</w:t>
      </w:r>
    </w:p>
    <w:p w14:paraId="2ECD67CF">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045D81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56BA60D8">
            <w:pPr>
              <w:spacing w:line="400" w:lineRule="exact"/>
              <w:jc w:val="center"/>
              <w:rPr>
                <w:rFonts w:ascii="宋体" w:hAnsi="宋体"/>
                <w:b/>
                <w:color w:val="auto"/>
                <w:szCs w:val="21"/>
              </w:rPr>
            </w:pPr>
            <w:r>
              <w:rPr>
                <w:rFonts w:ascii="宋体" w:hAnsi="宋体"/>
                <w:b/>
                <w:color w:val="auto"/>
                <w:szCs w:val="21"/>
              </w:rPr>
              <w:t>章节号</w:t>
            </w:r>
          </w:p>
        </w:tc>
        <w:tc>
          <w:tcPr>
            <w:tcW w:w="1515" w:type="dxa"/>
            <w:vAlign w:val="center"/>
          </w:tcPr>
          <w:p w14:paraId="0479E754">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0D36523C">
            <w:pPr>
              <w:spacing w:line="400" w:lineRule="exact"/>
              <w:jc w:val="center"/>
              <w:rPr>
                <w:rFonts w:ascii="宋体" w:hAnsi="宋体"/>
                <w:b/>
                <w:color w:val="auto"/>
                <w:szCs w:val="21"/>
              </w:rPr>
            </w:pPr>
            <w:r>
              <w:rPr>
                <w:rFonts w:ascii="宋体" w:hAnsi="宋体"/>
                <w:b/>
                <w:color w:val="auto"/>
                <w:szCs w:val="21"/>
              </w:rPr>
              <w:t>否决投标条件</w:t>
            </w:r>
          </w:p>
        </w:tc>
      </w:tr>
      <w:tr w14:paraId="237EDD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14:paraId="5CF9B71A">
            <w:pPr>
              <w:spacing w:line="400" w:lineRule="exact"/>
              <w:jc w:val="center"/>
              <w:rPr>
                <w:rFonts w:ascii="宋体" w:hAnsi="宋体"/>
                <w:color w:val="auto"/>
                <w:szCs w:val="21"/>
              </w:rPr>
            </w:pPr>
            <w:r>
              <w:rPr>
                <w:rFonts w:hint="eastAsia" w:ascii="宋体" w:hAnsi="宋体"/>
                <w:color w:val="auto"/>
                <w:szCs w:val="21"/>
              </w:rPr>
              <w:t>第三章</w:t>
            </w:r>
          </w:p>
        </w:tc>
        <w:tc>
          <w:tcPr>
            <w:tcW w:w="1515" w:type="dxa"/>
            <w:tcBorders>
              <w:bottom w:val="single" w:color="auto" w:sz="4" w:space="0"/>
            </w:tcBorders>
            <w:vAlign w:val="center"/>
          </w:tcPr>
          <w:p w14:paraId="18DE9B98">
            <w:pPr>
              <w:spacing w:line="400" w:lineRule="exact"/>
              <w:jc w:val="center"/>
              <w:rPr>
                <w:rFonts w:ascii="宋体" w:hAnsi="宋体"/>
                <w:color w:val="auto"/>
                <w:szCs w:val="21"/>
              </w:rPr>
            </w:pPr>
            <w:r>
              <w:rPr>
                <w:rFonts w:hint="eastAsia" w:ascii="宋体" w:hAnsi="宋体"/>
                <w:color w:val="auto"/>
                <w:szCs w:val="21"/>
              </w:rPr>
              <w:t>技术方案评审</w:t>
            </w:r>
          </w:p>
          <w:p w14:paraId="120FCE38">
            <w:pPr>
              <w:spacing w:line="400" w:lineRule="exact"/>
              <w:jc w:val="center"/>
              <w:rPr>
                <w:rFonts w:ascii="宋体" w:hAnsi="宋体"/>
                <w:color w:val="auto"/>
                <w:szCs w:val="21"/>
              </w:rPr>
            </w:pPr>
            <w:r>
              <w:rPr>
                <w:rFonts w:hint="eastAsia" w:ascii="宋体" w:hAnsi="宋体"/>
                <w:color w:val="auto"/>
                <w:szCs w:val="21"/>
              </w:rPr>
              <w:t>（如有）</w:t>
            </w:r>
          </w:p>
        </w:tc>
        <w:tc>
          <w:tcPr>
            <w:tcW w:w="6333" w:type="dxa"/>
            <w:vAlign w:val="center"/>
          </w:tcPr>
          <w:p w14:paraId="59120C75">
            <w:pPr>
              <w:spacing w:line="400" w:lineRule="exact"/>
              <w:ind w:firstLine="420" w:firstLineChars="200"/>
              <w:rPr>
                <w:rFonts w:ascii="宋体" w:hAnsi="宋体"/>
                <w:color w:val="auto"/>
                <w:szCs w:val="21"/>
              </w:rPr>
            </w:pPr>
            <w:r>
              <w:rPr>
                <w:rFonts w:hint="eastAsia" w:ascii="宋体" w:hAnsi="宋体"/>
                <w:color w:val="auto"/>
                <w:szCs w:val="21"/>
              </w:rPr>
              <w:t>A-1投标人的技术方案</w:t>
            </w:r>
            <w:r>
              <w:rPr>
                <w:rFonts w:ascii="宋体" w:hAnsi="宋体"/>
                <w:color w:val="auto"/>
                <w:szCs w:val="21"/>
              </w:rPr>
              <w:t>有任何一项不满足评标办法前附表第2.2.1项评审标准要求的，技术方案</w:t>
            </w:r>
            <w:r>
              <w:rPr>
                <w:rFonts w:hint="eastAsia" w:ascii="宋体" w:hAnsi="宋体"/>
                <w:color w:val="auto"/>
                <w:szCs w:val="21"/>
              </w:rPr>
              <w:t>评审不合格，由评标委员会作否决投标处理。</w:t>
            </w:r>
          </w:p>
        </w:tc>
      </w:tr>
      <w:tr w14:paraId="71A611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58CE582D">
            <w:pPr>
              <w:spacing w:line="400" w:lineRule="exact"/>
              <w:jc w:val="center"/>
              <w:rPr>
                <w:rFonts w:ascii="宋体" w:hAnsi="宋体"/>
                <w:color w:val="auto"/>
                <w:szCs w:val="21"/>
              </w:rPr>
            </w:pPr>
          </w:p>
        </w:tc>
        <w:tc>
          <w:tcPr>
            <w:tcW w:w="1515" w:type="dxa"/>
            <w:vMerge w:val="restart"/>
            <w:tcBorders>
              <w:top w:val="single" w:color="auto" w:sz="4" w:space="0"/>
            </w:tcBorders>
            <w:vAlign w:val="center"/>
          </w:tcPr>
          <w:p w14:paraId="4D97D270">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2B644152">
            <w:pPr>
              <w:spacing w:line="400" w:lineRule="exact"/>
              <w:ind w:firstLine="420" w:firstLineChars="200"/>
              <w:rPr>
                <w:rFonts w:ascii="宋体" w:hAnsi="宋体"/>
                <w:color w:val="auto"/>
                <w:szCs w:val="21"/>
              </w:rPr>
            </w:pPr>
            <w:r>
              <w:rPr>
                <w:rFonts w:hint="eastAsia" w:ascii="宋体" w:hAnsi="宋体"/>
                <w:color w:val="auto"/>
                <w:szCs w:val="21"/>
              </w:rPr>
              <w:t>A-2投标人的资质条件、营业执照及安全生产条件须满足投标人须知前附表第1.4.1项第1条的要求，否则由评标委员会作否决投标处理。</w:t>
            </w:r>
          </w:p>
        </w:tc>
      </w:tr>
      <w:tr w14:paraId="319C23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5A12FF79">
            <w:pPr>
              <w:spacing w:line="400" w:lineRule="exact"/>
              <w:jc w:val="center"/>
              <w:rPr>
                <w:rFonts w:ascii="宋体" w:hAnsi="宋体"/>
                <w:color w:val="auto"/>
                <w:szCs w:val="21"/>
              </w:rPr>
            </w:pPr>
          </w:p>
        </w:tc>
        <w:tc>
          <w:tcPr>
            <w:tcW w:w="1515" w:type="dxa"/>
            <w:vMerge w:val="continue"/>
            <w:vAlign w:val="center"/>
          </w:tcPr>
          <w:p w14:paraId="76D9D31A">
            <w:pPr>
              <w:spacing w:line="400" w:lineRule="exact"/>
              <w:jc w:val="center"/>
              <w:rPr>
                <w:rFonts w:ascii="宋体" w:hAnsi="宋体"/>
                <w:color w:val="auto"/>
                <w:szCs w:val="21"/>
              </w:rPr>
            </w:pPr>
          </w:p>
        </w:tc>
        <w:tc>
          <w:tcPr>
            <w:tcW w:w="6333" w:type="dxa"/>
            <w:vAlign w:val="center"/>
          </w:tcPr>
          <w:p w14:paraId="7E8C0DB9">
            <w:pPr>
              <w:spacing w:line="400" w:lineRule="exact"/>
              <w:ind w:firstLine="420" w:firstLineChars="200"/>
              <w:rPr>
                <w:rFonts w:ascii="宋体" w:hAnsi="宋体"/>
                <w:color w:val="auto"/>
                <w:szCs w:val="21"/>
              </w:rPr>
            </w:pPr>
            <w:r>
              <w:rPr>
                <w:rFonts w:hint="eastAsia" w:ascii="宋体" w:hAnsi="宋体"/>
                <w:color w:val="auto"/>
                <w:szCs w:val="21"/>
              </w:rPr>
              <w:t>A-3投标人的财务须满足投标人须知前附表第1.4.1项第2条的要求，否则由评标委员会作否决投标处理（如有）。</w:t>
            </w:r>
          </w:p>
        </w:tc>
      </w:tr>
      <w:tr w14:paraId="6A1D6D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0C0372F9">
            <w:pPr>
              <w:spacing w:line="400" w:lineRule="exact"/>
              <w:jc w:val="center"/>
              <w:rPr>
                <w:rFonts w:ascii="宋体" w:hAnsi="宋体"/>
                <w:color w:val="auto"/>
                <w:szCs w:val="21"/>
              </w:rPr>
            </w:pPr>
          </w:p>
        </w:tc>
        <w:tc>
          <w:tcPr>
            <w:tcW w:w="1515" w:type="dxa"/>
            <w:vMerge w:val="continue"/>
            <w:vAlign w:val="center"/>
          </w:tcPr>
          <w:p w14:paraId="256A12F6">
            <w:pPr>
              <w:spacing w:line="400" w:lineRule="exact"/>
              <w:jc w:val="center"/>
              <w:rPr>
                <w:rFonts w:ascii="宋体" w:hAnsi="宋体"/>
                <w:color w:val="auto"/>
                <w:szCs w:val="21"/>
              </w:rPr>
            </w:pPr>
          </w:p>
        </w:tc>
        <w:tc>
          <w:tcPr>
            <w:tcW w:w="6333" w:type="dxa"/>
            <w:vAlign w:val="center"/>
          </w:tcPr>
          <w:p w14:paraId="4CEA1F77">
            <w:pPr>
              <w:spacing w:line="400" w:lineRule="exact"/>
              <w:ind w:firstLine="420" w:firstLineChars="200"/>
              <w:rPr>
                <w:rFonts w:ascii="宋体" w:hAnsi="宋体"/>
                <w:color w:val="auto"/>
                <w:szCs w:val="21"/>
              </w:rPr>
            </w:pPr>
            <w:r>
              <w:rPr>
                <w:rFonts w:hint="eastAsia" w:ascii="宋体" w:hAnsi="宋体"/>
                <w:color w:val="auto"/>
                <w:szCs w:val="21"/>
              </w:rPr>
              <w:t>A-4投标人的业绩须满足投标人须知前附表第1.4.1项第3条的要求，否则由评标委员会作否决投标处理（如有）。</w:t>
            </w:r>
          </w:p>
        </w:tc>
      </w:tr>
      <w:tr w14:paraId="55CD2F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2696D2D4">
            <w:pPr>
              <w:spacing w:line="400" w:lineRule="exact"/>
              <w:jc w:val="center"/>
              <w:rPr>
                <w:rFonts w:ascii="宋体" w:hAnsi="宋体"/>
                <w:color w:val="auto"/>
                <w:szCs w:val="21"/>
              </w:rPr>
            </w:pPr>
          </w:p>
        </w:tc>
        <w:tc>
          <w:tcPr>
            <w:tcW w:w="1515" w:type="dxa"/>
            <w:vMerge w:val="continue"/>
            <w:vAlign w:val="center"/>
          </w:tcPr>
          <w:p w14:paraId="47934EB2">
            <w:pPr>
              <w:spacing w:line="400" w:lineRule="exact"/>
              <w:jc w:val="center"/>
              <w:rPr>
                <w:rFonts w:ascii="宋体" w:hAnsi="宋体"/>
                <w:color w:val="auto"/>
                <w:szCs w:val="21"/>
              </w:rPr>
            </w:pPr>
          </w:p>
        </w:tc>
        <w:tc>
          <w:tcPr>
            <w:tcW w:w="6333" w:type="dxa"/>
            <w:vAlign w:val="center"/>
          </w:tcPr>
          <w:p w14:paraId="5E4933EE">
            <w:pPr>
              <w:spacing w:line="400" w:lineRule="exact"/>
              <w:ind w:firstLine="420" w:firstLineChars="200"/>
              <w:rPr>
                <w:rFonts w:ascii="宋体" w:hAnsi="宋体"/>
                <w:color w:val="auto"/>
                <w:szCs w:val="21"/>
              </w:rPr>
            </w:pPr>
            <w:r>
              <w:rPr>
                <w:rFonts w:hint="eastAsia" w:ascii="宋体" w:hAnsi="宋体"/>
                <w:color w:val="auto"/>
                <w:szCs w:val="21"/>
              </w:rPr>
              <w:t>A-5投标人的投标截止日投标资格情况须满足投标人须知前附表第1.4.1项第4条的要求，否则由评标委员会作否决投标处理。</w:t>
            </w:r>
          </w:p>
        </w:tc>
      </w:tr>
      <w:tr w14:paraId="0A8121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65FA750">
            <w:pPr>
              <w:spacing w:line="400" w:lineRule="exact"/>
              <w:jc w:val="center"/>
              <w:rPr>
                <w:rFonts w:ascii="宋体" w:hAnsi="宋体"/>
                <w:color w:val="auto"/>
                <w:szCs w:val="21"/>
              </w:rPr>
            </w:pPr>
          </w:p>
        </w:tc>
        <w:tc>
          <w:tcPr>
            <w:tcW w:w="1515" w:type="dxa"/>
            <w:vMerge w:val="continue"/>
            <w:vAlign w:val="center"/>
          </w:tcPr>
          <w:p w14:paraId="0DF0E5E8">
            <w:pPr>
              <w:spacing w:line="400" w:lineRule="exact"/>
              <w:jc w:val="center"/>
              <w:rPr>
                <w:rFonts w:ascii="宋体" w:hAnsi="宋体"/>
                <w:color w:val="auto"/>
                <w:szCs w:val="21"/>
              </w:rPr>
            </w:pPr>
          </w:p>
        </w:tc>
        <w:tc>
          <w:tcPr>
            <w:tcW w:w="6333" w:type="dxa"/>
            <w:vAlign w:val="center"/>
          </w:tcPr>
          <w:p w14:paraId="20CCBC24">
            <w:pPr>
              <w:spacing w:line="400" w:lineRule="exact"/>
              <w:ind w:firstLine="420" w:firstLineChars="200"/>
              <w:rPr>
                <w:rFonts w:ascii="宋体" w:hAnsi="宋体"/>
                <w:color w:val="auto"/>
                <w:szCs w:val="21"/>
              </w:rPr>
            </w:pPr>
            <w:r>
              <w:rPr>
                <w:rFonts w:hint="eastAsia" w:ascii="宋体" w:hAnsi="宋体"/>
                <w:color w:val="auto"/>
                <w:szCs w:val="21"/>
              </w:rPr>
              <w:t>A-6投标人的项目经理资格须满足投标人须知前附表第1.4.1项第5条的要求，否则由评标委员会作否决投标处理。</w:t>
            </w:r>
          </w:p>
        </w:tc>
      </w:tr>
      <w:tr w14:paraId="02E15D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CC4801F">
            <w:pPr>
              <w:spacing w:line="400" w:lineRule="exact"/>
              <w:jc w:val="center"/>
              <w:rPr>
                <w:rFonts w:ascii="宋体" w:hAnsi="宋体"/>
                <w:color w:val="auto"/>
                <w:szCs w:val="21"/>
              </w:rPr>
            </w:pPr>
          </w:p>
        </w:tc>
        <w:tc>
          <w:tcPr>
            <w:tcW w:w="1515" w:type="dxa"/>
            <w:vMerge w:val="continue"/>
            <w:vAlign w:val="center"/>
          </w:tcPr>
          <w:p w14:paraId="766608E8">
            <w:pPr>
              <w:spacing w:line="400" w:lineRule="exact"/>
              <w:jc w:val="center"/>
              <w:rPr>
                <w:rFonts w:ascii="宋体" w:hAnsi="宋体"/>
                <w:color w:val="auto"/>
                <w:szCs w:val="21"/>
              </w:rPr>
            </w:pPr>
          </w:p>
        </w:tc>
        <w:tc>
          <w:tcPr>
            <w:tcW w:w="6333" w:type="dxa"/>
            <w:vAlign w:val="center"/>
          </w:tcPr>
          <w:p w14:paraId="36F8F25D">
            <w:pPr>
              <w:spacing w:line="400" w:lineRule="exact"/>
              <w:ind w:firstLine="420" w:firstLineChars="200"/>
              <w:rPr>
                <w:rFonts w:ascii="宋体" w:hAnsi="宋体"/>
                <w:color w:val="auto"/>
                <w:szCs w:val="21"/>
              </w:rPr>
            </w:pPr>
            <w:r>
              <w:rPr>
                <w:rFonts w:hint="eastAsia" w:ascii="宋体" w:hAnsi="宋体"/>
                <w:color w:val="auto"/>
                <w:szCs w:val="21"/>
              </w:rPr>
              <w:t>A-7投标人的其他要求须满足投标人须知前附表第1.4.1项第6条的要求，否则由评标委员会作否决投标处理。</w:t>
            </w:r>
          </w:p>
        </w:tc>
      </w:tr>
      <w:tr w14:paraId="14F234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F06C225">
            <w:pPr>
              <w:spacing w:line="400" w:lineRule="exact"/>
              <w:jc w:val="center"/>
              <w:rPr>
                <w:rFonts w:ascii="宋体" w:hAnsi="宋体"/>
                <w:color w:val="auto"/>
                <w:szCs w:val="21"/>
              </w:rPr>
            </w:pPr>
          </w:p>
        </w:tc>
        <w:tc>
          <w:tcPr>
            <w:tcW w:w="1515" w:type="dxa"/>
            <w:vMerge w:val="continue"/>
            <w:vAlign w:val="center"/>
          </w:tcPr>
          <w:p w14:paraId="0DF6C561">
            <w:pPr>
              <w:spacing w:line="400" w:lineRule="exact"/>
              <w:jc w:val="center"/>
              <w:rPr>
                <w:rFonts w:ascii="宋体" w:hAnsi="宋体"/>
                <w:color w:val="auto"/>
                <w:szCs w:val="21"/>
              </w:rPr>
            </w:pPr>
          </w:p>
        </w:tc>
        <w:tc>
          <w:tcPr>
            <w:tcW w:w="6333" w:type="dxa"/>
            <w:vAlign w:val="center"/>
          </w:tcPr>
          <w:p w14:paraId="0026D412">
            <w:pPr>
              <w:spacing w:line="400" w:lineRule="exact"/>
              <w:ind w:firstLine="420" w:firstLineChars="200"/>
              <w:rPr>
                <w:rFonts w:ascii="宋体" w:hAnsi="宋体"/>
                <w:color w:val="auto"/>
                <w:szCs w:val="21"/>
              </w:rPr>
            </w:pPr>
            <w:r>
              <w:rPr>
                <w:rFonts w:hint="eastAsia" w:ascii="宋体" w:hAnsi="宋体"/>
                <w:color w:val="auto"/>
                <w:szCs w:val="21"/>
              </w:rPr>
              <w:t>A-8若有联合体投标人，则：</w:t>
            </w:r>
          </w:p>
          <w:p w14:paraId="1D520E7E">
            <w:pPr>
              <w:spacing w:line="400" w:lineRule="exact"/>
              <w:ind w:firstLine="420" w:firstLineChars="200"/>
              <w:rPr>
                <w:rFonts w:ascii="宋体" w:hAnsi="宋体"/>
                <w:color w:val="auto"/>
                <w:szCs w:val="21"/>
              </w:rPr>
            </w:pPr>
            <w:r>
              <w:rPr>
                <w:rFonts w:hint="eastAsia" w:ascii="宋体" w:hAnsi="宋体"/>
                <w:color w:val="auto"/>
                <w:szCs w:val="21"/>
              </w:rPr>
              <w:t>（1）联合体各方应按照采购文件提供的格式签订联合体协议书，明确联合体牵头人和各方权利义务；</w:t>
            </w:r>
          </w:p>
          <w:p w14:paraId="215F0A90">
            <w:pPr>
              <w:spacing w:line="400" w:lineRule="exact"/>
              <w:ind w:firstLine="420" w:firstLineChars="200"/>
              <w:rPr>
                <w:rFonts w:ascii="宋体" w:hAnsi="宋体"/>
                <w:color w:val="auto"/>
                <w:szCs w:val="21"/>
              </w:rPr>
            </w:pPr>
            <w:r>
              <w:rPr>
                <w:rFonts w:hint="eastAsia" w:ascii="宋体" w:hAnsi="宋体"/>
                <w:color w:val="auto"/>
                <w:szCs w:val="21"/>
              </w:rPr>
              <w:t>（2）联合体各方均应当具备承担采购项目的相应能力，联合体协议约定同一专业分工由两个及以上单位共同承担的，按照资质等级较低的单位确定资质等级；</w:t>
            </w:r>
          </w:p>
          <w:p w14:paraId="6B3988BD">
            <w:pPr>
              <w:spacing w:line="400" w:lineRule="exact"/>
              <w:ind w:firstLine="420" w:firstLineChars="200"/>
              <w:rPr>
                <w:rFonts w:ascii="宋体" w:hAnsi="宋体"/>
                <w:color w:val="auto"/>
                <w:szCs w:val="21"/>
              </w:rPr>
            </w:pPr>
            <w:r>
              <w:rPr>
                <w:rFonts w:hint="eastAsia" w:ascii="宋体" w:hAnsi="宋体"/>
                <w:color w:val="auto"/>
                <w:szCs w:val="21"/>
              </w:rPr>
              <w:t>（3）联合体各方不得再以自己名义单独或参加其他联合体在同一标段中投标。</w:t>
            </w:r>
          </w:p>
          <w:p w14:paraId="6C52E69C">
            <w:pPr>
              <w:spacing w:line="400" w:lineRule="exact"/>
              <w:ind w:firstLine="420" w:firstLineChars="200"/>
              <w:rPr>
                <w:rFonts w:ascii="宋体" w:hAnsi="宋体"/>
                <w:color w:val="auto"/>
                <w:szCs w:val="21"/>
              </w:rPr>
            </w:pPr>
            <w:r>
              <w:rPr>
                <w:rFonts w:hint="eastAsia" w:ascii="宋体" w:hAnsi="宋体"/>
                <w:color w:val="auto"/>
                <w:szCs w:val="21"/>
              </w:rPr>
              <w:t>否则由评标委员会作否决投标处理。</w:t>
            </w:r>
          </w:p>
        </w:tc>
      </w:tr>
      <w:tr w14:paraId="47FBA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ECF5DD5">
            <w:pPr>
              <w:spacing w:line="400" w:lineRule="exact"/>
              <w:jc w:val="center"/>
              <w:rPr>
                <w:rFonts w:ascii="宋体" w:hAnsi="宋体"/>
                <w:color w:val="auto"/>
                <w:szCs w:val="21"/>
              </w:rPr>
            </w:pPr>
          </w:p>
        </w:tc>
        <w:tc>
          <w:tcPr>
            <w:tcW w:w="1515" w:type="dxa"/>
            <w:vMerge w:val="restart"/>
            <w:vAlign w:val="center"/>
          </w:tcPr>
          <w:p w14:paraId="464E86EC">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61F275A2">
            <w:pPr>
              <w:spacing w:line="400" w:lineRule="exact"/>
              <w:ind w:firstLine="420" w:firstLineChars="200"/>
              <w:rPr>
                <w:rFonts w:ascii="宋体" w:hAnsi="宋体"/>
                <w:color w:val="auto"/>
                <w:szCs w:val="21"/>
              </w:rPr>
            </w:pPr>
            <w:r>
              <w:rPr>
                <w:rFonts w:hint="eastAsia" w:ascii="宋体" w:hAnsi="宋体"/>
                <w:color w:val="auto"/>
                <w:szCs w:val="21"/>
              </w:rPr>
              <w:t>A-9投标人名称必须与营业执照、资质证书、安全生产许可证一致，依法变更名称的应提交相应证明材料，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248023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B7CA303">
            <w:pPr>
              <w:spacing w:line="400" w:lineRule="exact"/>
              <w:jc w:val="center"/>
              <w:rPr>
                <w:rFonts w:ascii="宋体" w:hAnsi="宋体"/>
                <w:color w:val="auto"/>
                <w:szCs w:val="21"/>
              </w:rPr>
            </w:pPr>
          </w:p>
        </w:tc>
        <w:tc>
          <w:tcPr>
            <w:tcW w:w="1515" w:type="dxa"/>
            <w:vMerge w:val="continue"/>
            <w:vAlign w:val="center"/>
          </w:tcPr>
          <w:p w14:paraId="7BFB5395">
            <w:pPr>
              <w:spacing w:line="400" w:lineRule="exact"/>
              <w:jc w:val="center"/>
              <w:rPr>
                <w:rFonts w:ascii="宋体" w:hAnsi="宋体"/>
                <w:color w:val="auto"/>
                <w:szCs w:val="21"/>
              </w:rPr>
            </w:pPr>
          </w:p>
        </w:tc>
        <w:tc>
          <w:tcPr>
            <w:tcW w:w="6333" w:type="dxa"/>
          </w:tcPr>
          <w:p w14:paraId="7E8D4764">
            <w:pPr>
              <w:spacing w:line="400" w:lineRule="exact"/>
              <w:ind w:firstLine="420" w:firstLineChars="200"/>
              <w:rPr>
                <w:rFonts w:ascii="宋体" w:hAnsi="宋体"/>
                <w:color w:val="auto"/>
                <w:szCs w:val="21"/>
              </w:rPr>
            </w:pPr>
            <w:r>
              <w:rPr>
                <w:rFonts w:hint="eastAsia" w:ascii="宋体" w:hAnsi="宋体"/>
                <w:color w:val="auto"/>
                <w:szCs w:val="21"/>
              </w:rPr>
              <w:t>A-10投标文件格式（不含投标函部分）符合第二章“投标人须知”第3.7款的要求，否则由评标委员会作否决投标处理。</w:t>
            </w:r>
          </w:p>
          <w:p w14:paraId="4814FD1D">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编制投标文件时不得对第八章“投标文件格式”的相应要素作实质性修改，否则</w:t>
            </w:r>
            <w:r>
              <w:rPr>
                <w:rFonts w:hint="eastAsia" w:ascii="宋体" w:hAnsi="宋体"/>
                <w:color w:val="auto"/>
                <w:szCs w:val="21"/>
              </w:rPr>
              <w:t>视为重大偏差，</w:t>
            </w:r>
            <w:r>
              <w:rPr>
                <w:rFonts w:hint="eastAsia" w:ascii="宋体" w:hAnsi="宋体"/>
                <w:color w:val="auto"/>
                <w:kern w:val="0"/>
                <w:szCs w:val="21"/>
              </w:rPr>
              <w:t>由评标委员会作否决投标处理。</w:t>
            </w:r>
          </w:p>
        </w:tc>
      </w:tr>
      <w:tr w14:paraId="69B240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192987B">
            <w:pPr>
              <w:spacing w:line="400" w:lineRule="exact"/>
              <w:jc w:val="center"/>
              <w:rPr>
                <w:rFonts w:ascii="宋体" w:hAnsi="宋体"/>
                <w:color w:val="auto"/>
                <w:szCs w:val="21"/>
              </w:rPr>
            </w:pPr>
          </w:p>
        </w:tc>
        <w:tc>
          <w:tcPr>
            <w:tcW w:w="1515" w:type="dxa"/>
            <w:vMerge w:val="continue"/>
            <w:vAlign w:val="center"/>
          </w:tcPr>
          <w:p w14:paraId="706F302C">
            <w:pPr>
              <w:spacing w:line="400" w:lineRule="exact"/>
              <w:jc w:val="center"/>
              <w:rPr>
                <w:rFonts w:ascii="宋体" w:hAnsi="宋体"/>
                <w:color w:val="auto"/>
                <w:szCs w:val="21"/>
              </w:rPr>
            </w:pPr>
          </w:p>
        </w:tc>
        <w:tc>
          <w:tcPr>
            <w:tcW w:w="6333" w:type="dxa"/>
          </w:tcPr>
          <w:p w14:paraId="276CC3D6">
            <w:pPr>
              <w:spacing w:line="400" w:lineRule="exact"/>
              <w:ind w:firstLine="420" w:firstLineChars="200"/>
              <w:rPr>
                <w:rFonts w:ascii="宋体" w:hAnsi="宋体"/>
                <w:color w:val="auto"/>
                <w:szCs w:val="21"/>
              </w:rPr>
            </w:pPr>
            <w:r>
              <w:rPr>
                <w:rFonts w:hint="eastAsia" w:ascii="宋体" w:hAnsi="宋体"/>
                <w:color w:val="auto"/>
                <w:szCs w:val="21"/>
              </w:rPr>
              <w:t>A-11联合体参与投标的应提交联合体协议书，并明确联合体牵头人。在联合体协议中须明确由联合体牵头人委派委托代理人，否则由评标委员会作否决投标处理。</w:t>
            </w:r>
          </w:p>
        </w:tc>
      </w:tr>
      <w:tr w14:paraId="4AC3C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97B9FFA">
            <w:pPr>
              <w:spacing w:line="400" w:lineRule="exact"/>
              <w:jc w:val="center"/>
              <w:rPr>
                <w:rFonts w:ascii="宋体" w:hAnsi="宋体"/>
                <w:color w:val="auto"/>
                <w:szCs w:val="21"/>
              </w:rPr>
            </w:pPr>
          </w:p>
        </w:tc>
        <w:tc>
          <w:tcPr>
            <w:tcW w:w="1515" w:type="dxa"/>
            <w:vMerge w:val="continue"/>
            <w:vAlign w:val="center"/>
          </w:tcPr>
          <w:p w14:paraId="241534F9">
            <w:pPr>
              <w:spacing w:line="400" w:lineRule="exact"/>
              <w:jc w:val="center"/>
              <w:rPr>
                <w:rFonts w:ascii="宋体" w:hAnsi="宋体"/>
                <w:color w:val="auto"/>
                <w:szCs w:val="21"/>
              </w:rPr>
            </w:pPr>
          </w:p>
        </w:tc>
        <w:tc>
          <w:tcPr>
            <w:tcW w:w="6333" w:type="dxa"/>
          </w:tcPr>
          <w:p w14:paraId="4A619CFA">
            <w:pPr>
              <w:spacing w:line="400" w:lineRule="exact"/>
              <w:ind w:firstLine="420" w:firstLineChars="200"/>
              <w:rPr>
                <w:rFonts w:ascii="宋体" w:hAnsi="宋体"/>
                <w:color w:val="auto"/>
                <w:szCs w:val="21"/>
              </w:rPr>
            </w:pPr>
            <w:r>
              <w:rPr>
                <w:rFonts w:hint="eastAsia" w:ascii="宋体" w:hAnsi="宋体"/>
                <w:color w:val="auto"/>
                <w:szCs w:val="21"/>
              </w:rPr>
              <w:t>A-12第八章 投标文件格式（不含投标函部分）要求法定代表人或其委托代理人签字（或盖章）的须齐全，否则由评标委员会作否决投标处理。</w:t>
            </w:r>
          </w:p>
          <w:p w14:paraId="7E95B384">
            <w:pPr>
              <w:spacing w:line="400" w:lineRule="exact"/>
              <w:ind w:firstLine="420" w:firstLineChars="200"/>
              <w:rPr>
                <w:rFonts w:ascii="宋体" w:hAnsi="宋体"/>
                <w:color w:val="auto"/>
                <w:szCs w:val="21"/>
              </w:rPr>
            </w:pPr>
            <w:r>
              <w:rPr>
                <w:rFonts w:hint="eastAsia" w:ascii="宋体" w:hAnsi="宋体"/>
                <w:color w:val="auto"/>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14:paraId="23476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BC4073D">
            <w:pPr>
              <w:spacing w:line="400" w:lineRule="exact"/>
              <w:jc w:val="center"/>
              <w:rPr>
                <w:rFonts w:ascii="宋体" w:hAnsi="宋体"/>
                <w:color w:val="auto"/>
                <w:szCs w:val="21"/>
              </w:rPr>
            </w:pPr>
          </w:p>
        </w:tc>
        <w:tc>
          <w:tcPr>
            <w:tcW w:w="1515" w:type="dxa"/>
            <w:vMerge w:val="continue"/>
            <w:vAlign w:val="center"/>
          </w:tcPr>
          <w:p w14:paraId="3994D868">
            <w:pPr>
              <w:spacing w:line="400" w:lineRule="exact"/>
              <w:jc w:val="center"/>
              <w:rPr>
                <w:rFonts w:ascii="宋体" w:hAnsi="宋体"/>
                <w:color w:val="auto"/>
                <w:szCs w:val="21"/>
              </w:rPr>
            </w:pPr>
          </w:p>
        </w:tc>
        <w:tc>
          <w:tcPr>
            <w:tcW w:w="6333" w:type="dxa"/>
          </w:tcPr>
          <w:p w14:paraId="3073B70F">
            <w:pPr>
              <w:spacing w:line="400" w:lineRule="exact"/>
              <w:ind w:firstLine="420" w:firstLineChars="200"/>
              <w:rPr>
                <w:rFonts w:ascii="宋体" w:hAnsi="宋体"/>
                <w:color w:val="auto"/>
                <w:szCs w:val="21"/>
              </w:rPr>
            </w:pPr>
            <w:r>
              <w:rPr>
                <w:rFonts w:hint="eastAsia" w:ascii="宋体" w:hAnsi="宋体"/>
                <w:color w:val="auto"/>
                <w:szCs w:val="21"/>
              </w:rPr>
              <w:t>A-13投标人法定代表人的委托代理人有法定代表人签署的授权委托书和投标人为其缴纳的养老保险证明材料。否则由评标委员会作否决投标处理。</w:t>
            </w:r>
          </w:p>
        </w:tc>
      </w:tr>
      <w:tr w14:paraId="6F56DB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4485C8C">
            <w:pPr>
              <w:spacing w:line="400" w:lineRule="exact"/>
              <w:jc w:val="center"/>
              <w:rPr>
                <w:rFonts w:ascii="宋体" w:hAnsi="宋体"/>
                <w:color w:val="auto"/>
                <w:szCs w:val="21"/>
              </w:rPr>
            </w:pPr>
          </w:p>
        </w:tc>
        <w:tc>
          <w:tcPr>
            <w:tcW w:w="1515" w:type="dxa"/>
            <w:vMerge w:val="restart"/>
            <w:vAlign w:val="center"/>
          </w:tcPr>
          <w:p w14:paraId="30D816CD">
            <w:pPr>
              <w:spacing w:line="400" w:lineRule="exact"/>
              <w:jc w:val="center"/>
              <w:rPr>
                <w:rFonts w:ascii="宋体" w:hAnsi="宋体"/>
                <w:color w:val="auto"/>
                <w:szCs w:val="21"/>
              </w:rPr>
            </w:pPr>
            <w:r>
              <w:rPr>
                <w:rFonts w:hint="eastAsia" w:ascii="宋体" w:hAnsi="宋体"/>
                <w:color w:val="auto"/>
                <w:szCs w:val="21"/>
              </w:rPr>
              <w:t>响应性评审</w:t>
            </w:r>
          </w:p>
        </w:tc>
        <w:tc>
          <w:tcPr>
            <w:tcW w:w="6333" w:type="dxa"/>
            <w:vAlign w:val="center"/>
          </w:tcPr>
          <w:p w14:paraId="6ADA90DD">
            <w:pPr>
              <w:spacing w:line="400" w:lineRule="exact"/>
              <w:ind w:firstLine="420" w:firstLineChars="200"/>
              <w:rPr>
                <w:rFonts w:ascii="宋体" w:hAnsi="宋体"/>
                <w:color w:val="auto"/>
                <w:szCs w:val="21"/>
              </w:rPr>
            </w:pPr>
            <w:r>
              <w:rPr>
                <w:rFonts w:hint="eastAsia" w:ascii="宋体" w:hAnsi="宋体"/>
                <w:color w:val="auto"/>
                <w:szCs w:val="21"/>
              </w:rPr>
              <w:t>A-14投标内容符合第二章“投标人须知”第1.3.1项规定，否则由评标委员会作否决投标处理。</w:t>
            </w:r>
          </w:p>
        </w:tc>
      </w:tr>
      <w:tr w14:paraId="6A38A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14:paraId="440436F9">
            <w:pPr>
              <w:spacing w:line="400" w:lineRule="exact"/>
              <w:jc w:val="center"/>
              <w:rPr>
                <w:rFonts w:ascii="宋体" w:hAnsi="宋体"/>
                <w:color w:val="auto"/>
                <w:szCs w:val="21"/>
              </w:rPr>
            </w:pPr>
          </w:p>
        </w:tc>
        <w:tc>
          <w:tcPr>
            <w:tcW w:w="1515" w:type="dxa"/>
            <w:vMerge w:val="continue"/>
            <w:vAlign w:val="center"/>
          </w:tcPr>
          <w:p w14:paraId="30D93C97">
            <w:pPr>
              <w:spacing w:line="400" w:lineRule="exact"/>
              <w:jc w:val="center"/>
              <w:rPr>
                <w:rFonts w:ascii="宋体" w:hAnsi="宋体"/>
                <w:color w:val="auto"/>
                <w:szCs w:val="21"/>
              </w:rPr>
            </w:pPr>
          </w:p>
        </w:tc>
        <w:tc>
          <w:tcPr>
            <w:tcW w:w="6333" w:type="dxa"/>
            <w:vAlign w:val="center"/>
          </w:tcPr>
          <w:p w14:paraId="6A5EF700">
            <w:pPr>
              <w:spacing w:line="400" w:lineRule="exact"/>
              <w:ind w:firstLine="420" w:firstLineChars="200"/>
              <w:rPr>
                <w:rFonts w:ascii="宋体" w:hAnsi="宋体"/>
                <w:color w:val="auto"/>
                <w:szCs w:val="21"/>
              </w:rPr>
            </w:pPr>
            <w:r>
              <w:rPr>
                <w:rFonts w:hint="eastAsia" w:ascii="宋体" w:hAnsi="宋体"/>
                <w:color w:val="auto"/>
                <w:szCs w:val="21"/>
              </w:rPr>
              <w:t>A-1</w:t>
            </w:r>
            <w:r>
              <w:rPr>
                <w:rFonts w:ascii="宋体" w:hAnsi="宋体"/>
                <w:color w:val="auto"/>
                <w:szCs w:val="21"/>
              </w:rPr>
              <w:t>5</w:t>
            </w:r>
            <w:r>
              <w:rPr>
                <w:rFonts w:hint="eastAsia" w:ascii="宋体" w:hAnsi="宋体"/>
                <w:color w:val="auto"/>
                <w:szCs w:val="21"/>
              </w:rPr>
              <w:t>符合第四章“合同条款及格式”规定，投标文件不应附有采购人不能接受的条件。否则由评标委员会作否决投标处理。（由投标人承诺，承诺书格式详见第八章投标文件格式。）</w:t>
            </w:r>
          </w:p>
        </w:tc>
      </w:tr>
      <w:tr w14:paraId="09AE8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ACAFEE2">
            <w:pPr>
              <w:spacing w:line="400" w:lineRule="exact"/>
              <w:jc w:val="center"/>
              <w:rPr>
                <w:rFonts w:ascii="宋体" w:hAnsi="宋体"/>
                <w:color w:val="auto"/>
                <w:szCs w:val="21"/>
              </w:rPr>
            </w:pPr>
          </w:p>
        </w:tc>
        <w:tc>
          <w:tcPr>
            <w:tcW w:w="1515" w:type="dxa"/>
            <w:vMerge w:val="continue"/>
            <w:vAlign w:val="center"/>
          </w:tcPr>
          <w:p w14:paraId="6A942E9A">
            <w:pPr>
              <w:spacing w:line="400" w:lineRule="exact"/>
              <w:jc w:val="center"/>
              <w:rPr>
                <w:rFonts w:ascii="宋体" w:hAnsi="宋体"/>
                <w:color w:val="auto"/>
                <w:szCs w:val="21"/>
              </w:rPr>
            </w:pPr>
          </w:p>
        </w:tc>
        <w:tc>
          <w:tcPr>
            <w:tcW w:w="6333" w:type="dxa"/>
            <w:vAlign w:val="center"/>
          </w:tcPr>
          <w:p w14:paraId="3A5034DA">
            <w:pPr>
              <w:spacing w:line="400" w:lineRule="exact"/>
              <w:ind w:firstLine="420" w:firstLineChars="200"/>
              <w:rPr>
                <w:rFonts w:ascii="宋体" w:hAnsi="宋体"/>
                <w:color w:val="auto"/>
                <w:szCs w:val="21"/>
              </w:rPr>
            </w:pPr>
            <w:r>
              <w:rPr>
                <w:rFonts w:hint="eastAsia" w:ascii="宋体" w:hAnsi="宋体"/>
                <w:color w:val="auto"/>
                <w:szCs w:val="21"/>
              </w:rPr>
              <w:t>A-1</w:t>
            </w:r>
            <w:r>
              <w:rPr>
                <w:rFonts w:ascii="宋体" w:hAnsi="宋体"/>
                <w:color w:val="auto"/>
                <w:szCs w:val="21"/>
              </w:rPr>
              <w:t>6</w:t>
            </w:r>
            <w:r>
              <w:rPr>
                <w:rFonts w:hint="eastAsia" w:ascii="宋体" w:hAnsi="宋体"/>
                <w:color w:val="auto"/>
                <w:szCs w:val="21"/>
              </w:rPr>
              <w:t>符合第七章“技术标准和要求”规定。否则由评标委员会作否决投标处理（如有）。（由投标人承诺，承诺书格式详见第八章投标文件格式。）</w:t>
            </w:r>
          </w:p>
        </w:tc>
      </w:tr>
      <w:tr w14:paraId="215885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6415A94">
            <w:pPr>
              <w:spacing w:line="400" w:lineRule="exact"/>
              <w:jc w:val="center"/>
              <w:rPr>
                <w:rFonts w:ascii="宋体" w:hAnsi="宋体"/>
                <w:color w:val="auto"/>
                <w:szCs w:val="21"/>
              </w:rPr>
            </w:pPr>
          </w:p>
        </w:tc>
        <w:tc>
          <w:tcPr>
            <w:tcW w:w="1515" w:type="dxa"/>
            <w:vMerge w:val="continue"/>
            <w:vAlign w:val="center"/>
          </w:tcPr>
          <w:p w14:paraId="6DD43774">
            <w:pPr>
              <w:spacing w:line="400" w:lineRule="exact"/>
              <w:jc w:val="center"/>
              <w:rPr>
                <w:rFonts w:ascii="宋体" w:hAnsi="宋体"/>
                <w:color w:val="auto"/>
                <w:szCs w:val="21"/>
              </w:rPr>
            </w:pPr>
          </w:p>
        </w:tc>
        <w:tc>
          <w:tcPr>
            <w:tcW w:w="6333" w:type="dxa"/>
            <w:vAlign w:val="center"/>
          </w:tcPr>
          <w:p w14:paraId="4BAF841F">
            <w:pPr>
              <w:spacing w:line="400" w:lineRule="exact"/>
              <w:ind w:firstLine="420" w:firstLineChars="200"/>
              <w:rPr>
                <w:rFonts w:ascii="宋体" w:hAnsi="宋体"/>
                <w:color w:val="auto"/>
                <w:szCs w:val="21"/>
              </w:rPr>
            </w:pPr>
            <w:r>
              <w:rPr>
                <w:rFonts w:hint="eastAsia" w:ascii="宋体" w:hAnsi="宋体"/>
                <w:color w:val="auto"/>
                <w:szCs w:val="21"/>
              </w:rPr>
              <w:t>A-1</w:t>
            </w:r>
            <w:r>
              <w:rPr>
                <w:rFonts w:ascii="宋体" w:hAnsi="宋体"/>
                <w:color w:val="auto"/>
                <w:szCs w:val="21"/>
              </w:rPr>
              <w:t>7</w:t>
            </w:r>
            <w:r>
              <w:rPr>
                <w:rFonts w:hint="eastAsia" w:ascii="宋体" w:hAnsi="宋体"/>
                <w:color w:val="auto"/>
                <w:szCs w:val="21"/>
              </w:rPr>
              <w:t>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0FB7A4CB">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75548095">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1EABDF9D">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14:paraId="48130C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4A5A38A">
            <w:pPr>
              <w:spacing w:line="400" w:lineRule="exact"/>
              <w:jc w:val="center"/>
              <w:rPr>
                <w:rFonts w:ascii="宋体" w:hAnsi="宋体"/>
                <w:color w:val="auto"/>
                <w:szCs w:val="21"/>
              </w:rPr>
            </w:pPr>
          </w:p>
        </w:tc>
        <w:tc>
          <w:tcPr>
            <w:tcW w:w="1515" w:type="dxa"/>
            <w:vMerge w:val="restart"/>
            <w:vAlign w:val="center"/>
          </w:tcPr>
          <w:p w14:paraId="1585C85A">
            <w:pPr>
              <w:spacing w:line="400" w:lineRule="exact"/>
              <w:jc w:val="center"/>
              <w:rPr>
                <w:rFonts w:ascii="宋体" w:hAnsi="宋体"/>
                <w:color w:val="auto"/>
                <w:szCs w:val="21"/>
              </w:rPr>
            </w:pPr>
            <w:r>
              <w:rPr>
                <w:rFonts w:ascii="宋体" w:hAnsi="宋体"/>
                <w:color w:val="auto"/>
                <w:szCs w:val="21"/>
              </w:rPr>
              <w:t>投标函部分及经济部分评审</w:t>
            </w:r>
          </w:p>
        </w:tc>
        <w:tc>
          <w:tcPr>
            <w:tcW w:w="6333" w:type="dxa"/>
            <w:vAlign w:val="center"/>
          </w:tcPr>
          <w:p w14:paraId="131FA205">
            <w:pPr>
              <w:spacing w:line="400" w:lineRule="exact"/>
              <w:ind w:firstLine="420" w:firstLineChars="200"/>
              <w:rPr>
                <w:rFonts w:ascii="宋体" w:hAnsi="宋体"/>
                <w:color w:val="auto"/>
                <w:szCs w:val="21"/>
              </w:rPr>
            </w:pPr>
            <w:r>
              <w:rPr>
                <w:rFonts w:hint="eastAsia" w:ascii="宋体" w:hAnsi="宋体"/>
                <w:color w:val="auto"/>
                <w:szCs w:val="21"/>
              </w:rPr>
              <w:t>A-1</w:t>
            </w:r>
            <w:r>
              <w:rPr>
                <w:rFonts w:ascii="宋体" w:hAnsi="宋体"/>
                <w:color w:val="auto"/>
                <w:szCs w:val="21"/>
              </w:rPr>
              <w:t>8</w:t>
            </w:r>
            <w:r>
              <w:rPr>
                <w:rFonts w:hint="eastAsia" w:ascii="宋体" w:hAnsi="宋体"/>
                <w:color w:val="auto"/>
                <w:szCs w:val="21"/>
              </w:rPr>
              <w:t>投标函部分的格式符合第二章“投标人须知”第3.7款的要求，否则由评标委员会作否决投标处理。</w:t>
            </w:r>
          </w:p>
        </w:tc>
      </w:tr>
      <w:tr w14:paraId="002E10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99856BD">
            <w:pPr>
              <w:spacing w:line="400" w:lineRule="exact"/>
              <w:jc w:val="center"/>
              <w:rPr>
                <w:rFonts w:ascii="宋体" w:hAnsi="宋体"/>
                <w:color w:val="auto"/>
                <w:szCs w:val="21"/>
              </w:rPr>
            </w:pPr>
          </w:p>
        </w:tc>
        <w:tc>
          <w:tcPr>
            <w:tcW w:w="1515" w:type="dxa"/>
            <w:vMerge w:val="continue"/>
            <w:vAlign w:val="center"/>
          </w:tcPr>
          <w:p w14:paraId="15AE0DCD">
            <w:pPr>
              <w:spacing w:line="400" w:lineRule="exact"/>
              <w:jc w:val="center"/>
              <w:rPr>
                <w:rFonts w:ascii="宋体" w:hAnsi="宋体"/>
                <w:color w:val="auto"/>
                <w:szCs w:val="21"/>
              </w:rPr>
            </w:pPr>
          </w:p>
        </w:tc>
        <w:tc>
          <w:tcPr>
            <w:tcW w:w="6333" w:type="dxa"/>
            <w:vAlign w:val="center"/>
          </w:tcPr>
          <w:p w14:paraId="0410871A">
            <w:pPr>
              <w:spacing w:line="400" w:lineRule="exact"/>
              <w:ind w:firstLine="420" w:firstLineChars="200"/>
              <w:rPr>
                <w:rFonts w:ascii="宋体" w:hAnsi="宋体"/>
                <w:color w:val="auto"/>
                <w:szCs w:val="21"/>
              </w:rPr>
            </w:pPr>
            <w:r>
              <w:rPr>
                <w:rFonts w:hint="eastAsia" w:ascii="宋体" w:hAnsi="宋体"/>
                <w:color w:val="auto"/>
                <w:szCs w:val="21"/>
              </w:rPr>
              <w:t>A-19工期符合第二章“投标人须知”第1.3.2项规定，否则由评标委员会作否决投标处理。</w:t>
            </w:r>
          </w:p>
        </w:tc>
      </w:tr>
      <w:tr w14:paraId="7221AE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D5FF96A">
            <w:pPr>
              <w:spacing w:line="400" w:lineRule="exact"/>
              <w:jc w:val="center"/>
              <w:rPr>
                <w:rFonts w:ascii="宋体" w:hAnsi="宋体"/>
                <w:color w:val="auto"/>
                <w:szCs w:val="21"/>
              </w:rPr>
            </w:pPr>
          </w:p>
        </w:tc>
        <w:tc>
          <w:tcPr>
            <w:tcW w:w="1515" w:type="dxa"/>
            <w:vMerge w:val="continue"/>
            <w:vAlign w:val="center"/>
          </w:tcPr>
          <w:p w14:paraId="64F12F2A">
            <w:pPr>
              <w:spacing w:line="400" w:lineRule="exact"/>
              <w:jc w:val="center"/>
              <w:rPr>
                <w:rFonts w:ascii="宋体" w:hAnsi="宋体"/>
                <w:color w:val="auto"/>
                <w:szCs w:val="21"/>
              </w:rPr>
            </w:pPr>
          </w:p>
        </w:tc>
        <w:tc>
          <w:tcPr>
            <w:tcW w:w="6333" w:type="dxa"/>
            <w:vAlign w:val="center"/>
          </w:tcPr>
          <w:p w14:paraId="3F67571E">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20</w:t>
            </w:r>
            <w:r>
              <w:rPr>
                <w:rFonts w:hint="eastAsia" w:ascii="宋体" w:hAnsi="宋体"/>
                <w:color w:val="auto"/>
                <w:szCs w:val="21"/>
              </w:rPr>
              <w:t>工程质量符合第二章“投标人须知”第1.3.3项规定，否则由评标委员会作否决投标处理。</w:t>
            </w:r>
          </w:p>
        </w:tc>
      </w:tr>
      <w:tr w14:paraId="544AE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3E987FB">
            <w:pPr>
              <w:spacing w:line="400" w:lineRule="exact"/>
              <w:jc w:val="center"/>
              <w:rPr>
                <w:rFonts w:ascii="宋体" w:hAnsi="宋体"/>
                <w:color w:val="auto"/>
                <w:szCs w:val="21"/>
              </w:rPr>
            </w:pPr>
          </w:p>
        </w:tc>
        <w:tc>
          <w:tcPr>
            <w:tcW w:w="1515" w:type="dxa"/>
            <w:vMerge w:val="continue"/>
            <w:vAlign w:val="center"/>
          </w:tcPr>
          <w:p w14:paraId="79F1821E">
            <w:pPr>
              <w:spacing w:line="400" w:lineRule="exact"/>
              <w:jc w:val="center"/>
              <w:rPr>
                <w:rFonts w:ascii="宋体" w:hAnsi="宋体"/>
                <w:color w:val="auto"/>
                <w:szCs w:val="21"/>
              </w:rPr>
            </w:pPr>
          </w:p>
        </w:tc>
        <w:tc>
          <w:tcPr>
            <w:tcW w:w="6333" w:type="dxa"/>
            <w:vAlign w:val="center"/>
          </w:tcPr>
          <w:p w14:paraId="0D6EC31A">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21</w:t>
            </w:r>
            <w:r>
              <w:rPr>
                <w:rFonts w:hint="eastAsia" w:ascii="宋体" w:hAnsi="宋体"/>
                <w:color w:val="auto"/>
                <w:szCs w:val="21"/>
              </w:rPr>
              <w:t>投标有效期符合第二章“投标人须知”第3.3.1项规定，否则由评标委员会作否决投标处理。</w:t>
            </w:r>
          </w:p>
        </w:tc>
      </w:tr>
      <w:tr w14:paraId="725878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A308FBE">
            <w:pPr>
              <w:spacing w:line="400" w:lineRule="exact"/>
              <w:jc w:val="center"/>
              <w:rPr>
                <w:rFonts w:ascii="宋体" w:hAnsi="宋体"/>
                <w:color w:val="auto"/>
                <w:szCs w:val="21"/>
              </w:rPr>
            </w:pPr>
          </w:p>
        </w:tc>
        <w:tc>
          <w:tcPr>
            <w:tcW w:w="1515" w:type="dxa"/>
            <w:vMerge w:val="continue"/>
            <w:vAlign w:val="center"/>
          </w:tcPr>
          <w:p w14:paraId="308F34CC">
            <w:pPr>
              <w:spacing w:line="400" w:lineRule="exact"/>
              <w:jc w:val="center"/>
              <w:rPr>
                <w:rFonts w:ascii="宋体" w:hAnsi="宋体"/>
                <w:color w:val="auto"/>
                <w:szCs w:val="21"/>
              </w:rPr>
            </w:pPr>
          </w:p>
        </w:tc>
        <w:tc>
          <w:tcPr>
            <w:tcW w:w="6333" w:type="dxa"/>
            <w:vAlign w:val="center"/>
          </w:tcPr>
          <w:p w14:paraId="78536C43">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22</w:t>
            </w:r>
            <w:r>
              <w:rPr>
                <w:rFonts w:hint="eastAsia" w:ascii="宋体" w:hAnsi="宋体"/>
                <w:color w:val="auto"/>
                <w:szCs w:val="21"/>
              </w:rPr>
              <w:t>投标函中的总报价必须与已标价工程量清单总报价一致,且工程量清单总报价与依据单价、工程数量、分部分项工程合价计算出的结果应一致，否则由评标委员会作否决投标处理。</w:t>
            </w:r>
          </w:p>
        </w:tc>
      </w:tr>
      <w:tr w14:paraId="4BFA23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DDD12D1">
            <w:pPr>
              <w:spacing w:line="400" w:lineRule="exact"/>
              <w:jc w:val="center"/>
              <w:rPr>
                <w:rFonts w:ascii="宋体" w:hAnsi="宋体"/>
                <w:color w:val="auto"/>
                <w:szCs w:val="21"/>
              </w:rPr>
            </w:pPr>
          </w:p>
        </w:tc>
        <w:tc>
          <w:tcPr>
            <w:tcW w:w="1515" w:type="dxa"/>
            <w:vMerge w:val="continue"/>
            <w:vAlign w:val="center"/>
          </w:tcPr>
          <w:p w14:paraId="44F88859">
            <w:pPr>
              <w:spacing w:line="400" w:lineRule="exact"/>
              <w:jc w:val="center"/>
              <w:rPr>
                <w:rFonts w:ascii="宋体" w:hAnsi="宋体"/>
                <w:color w:val="auto"/>
                <w:szCs w:val="21"/>
              </w:rPr>
            </w:pPr>
          </w:p>
        </w:tc>
        <w:tc>
          <w:tcPr>
            <w:tcW w:w="6333" w:type="dxa"/>
            <w:vAlign w:val="center"/>
          </w:tcPr>
          <w:p w14:paraId="36662017">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23</w:t>
            </w:r>
            <w:r>
              <w:rPr>
                <w:rFonts w:hint="eastAsia" w:ascii="宋体" w:hAnsi="宋体"/>
                <w:color w:val="auto"/>
                <w:szCs w:val="21"/>
              </w:rPr>
              <w:t xml:space="preserve"> 投标函中的总报价不得高于采购人公布的投标总报价最高限价，否则由评标委员会作否决投标处理。</w:t>
            </w:r>
          </w:p>
        </w:tc>
      </w:tr>
      <w:tr w14:paraId="5D3594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B560B5C">
            <w:pPr>
              <w:spacing w:line="400" w:lineRule="exact"/>
              <w:jc w:val="center"/>
              <w:rPr>
                <w:rFonts w:ascii="宋体" w:hAnsi="宋体"/>
                <w:color w:val="auto"/>
                <w:szCs w:val="21"/>
              </w:rPr>
            </w:pPr>
          </w:p>
        </w:tc>
        <w:tc>
          <w:tcPr>
            <w:tcW w:w="1515" w:type="dxa"/>
            <w:vMerge w:val="continue"/>
            <w:vAlign w:val="center"/>
          </w:tcPr>
          <w:p w14:paraId="73E675A3">
            <w:pPr>
              <w:spacing w:line="400" w:lineRule="exact"/>
              <w:jc w:val="center"/>
              <w:rPr>
                <w:rFonts w:ascii="宋体" w:hAnsi="宋体"/>
                <w:color w:val="auto"/>
                <w:szCs w:val="21"/>
              </w:rPr>
            </w:pPr>
          </w:p>
        </w:tc>
        <w:tc>
          <w:tcPr>
            <w:tcW w:w="6333" w:type="dxa"/>
            <w:vAlign w:val="center"/>
          </w:tcPr>
          <w:p w14:paraId="203120D9">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24</w:t>
            </w:r>
            <w:r>
              <w:rPr>
                <w:rFonts w:hint="eastAsia" w:ascii="宋体" w:hAnsi="宋体"/>
                <w:color w:val="auto"/>
                <w:szCs w:val="21"/>
              </w:rPr>
              <w:t>投标总报价低于最高限价85%的，投标人应在编制投标文件时，在投标函部分中递交低价风险担保缴纳承诺书。承诺书格式详见第八章投标文件格式,否则由评标委员会作否决投标处理。</w:t>
            </w:r>
          </w:p>
        </w:tc>
      </w:tr>
      <w:tr w14:paraId="477299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780BC2F">
            <w:pPr>
              <w:spacing w:line="400" w:lineRule="exact"/>
              <w:jc w:val="center"/>
              <w:rPr>
                <w:rFonts w:ascii="宋体" w:hAnsi="宋体"/>
                <w:color w:val="auto"/>
                <w:szCs w:val="21"/>
              </w:rPr>
            </w:pPr>
          </w:p>
        </w:tc>
        <w:tc>
          <w:tcPr>
            <w:tcW w:w="1515" w:type="dxa"/>
            <w:vMerge w:val="continue"/>
            <w:vAlign w:val="center"/>
          </w:tcPr>
          <w:p w14:paraId="6A5F1165">
            <w:pPr>
              <w:spacing w:line="400" w:lineRule="exact"/>
              <w:jc w:val="center"/>
              <w:rPr>
                <w:rFonts w:ascii="宋体" w:hAnsi="宋体"/>
                <w:color w:val="auto"/>
                <w:szCs w:val="21"/>
              </w:rPr>
            </w:pPr>
          </w:p>
        </w:tc>
        <w:tc>
          <w:tcPr>
            <w:tcW w:w="6333" w:type="dxa"/>
            <w:vAlign w:val="center"/>
          </w:tcPr>
          <w:p w14:paraId="2428A1FF">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25</w:t>
            </w:r>
            <w:r>
              <w:rPr>
                <w:rFonts w:hint="eastAsia" w:ascii="宋体" w:hAnsi="宋体"/>
                <w:color w:val="auto"/>
                <w:szCs w:val="21"/>
              </w:rPr>
              <w:t>投标函中的安全文明施工费必须按照采购人给出的暂定金额填报，否则视为对采购文件不作实质性响应，其投标文件由评标委员会作否决投标处理。</w:t>
            </w:r>
          </w:p>
        </w:tc>
      </w:tr>
      <w:tr w14:paraId="63477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282296F">
            <w:pPr>
              <w:spacing w:line="400" w:lineRule="exact"/>
              <w:jc w:val="center"/>
              <w:rPr>
                <w:rFonts w:ascii="宋体" w:hAnsi="宋体"/>
                <w:color w:val="auto"/>
                <w:szCs w:val="21"/>
              </w:rPr>
            </w:pPr>
          </w:p>
        </w:tc>
        <w:tc>
          <w:tcPr>
            <w:tcW w:w="1515" w:type="dxa"/>
            <w:vMerge w:val="continue"/>
            <w:vAlign w:val="center"/>
          </w:tcPr>
          <w:p w14:paraId="6CF54B99">
            <w:pPr>
              <w:spacing w:line="400" w:lineRule="exact"/>
              <w:jc w:val="center"/>
              <w:rPr>
                <w:rFonts w:ascii="宋体" w:hAnsi="宋体"/>
                <w:color w:val="auto"/>
                <w:szCs w:val="21"/>
              </w:rPr>
            </w:pPr>
          </w:p>
        </w:tc>
        <w:tc>
          <w:tcPr>
            <w:tcW w:w="6333" w:type="dxa"/>
            <w:vAlign w:val="center"/>
          </w:tcPr>
          <w:p w14:paraId="52184771">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26</w:t>
            </w:r>
            <w:r>
              <w:rPr>
                <w:rFonts w:hint="eastAsia" w:ascii="宋体" w:hAnsi="宋体"/>
                <w:color w:val="auto"/>
                <w:szCs w:val="21"/>
              </w:rPr>
              <w:t>只能有一个有效报价。在采购文件没有规定的情况下，不得提交选择性报价，否则由评标委员会作否决投标处理。</w:t>
            </w:r>
          </w:p>
        </w:tc>
      </w:tr>
      <w:tr w14:paraId="75F1C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60D43BE">
            <w:pPr>
              <w:spacing w:line="400" w:lineRule="exact"/>
              <w:jc w:val="center"/>
              <w:rPr>
                <w:rFonts w:ascii="宋体" w:hAnsi="宋体"/>
                <w:color w:val="auto"/>
                <w:szCs w:val="21"/>
              </w:rPr>
            </w:pPr>
          </w:p>
        </w:tc>
        <w:tc>
          <w:tcPr>
            <w:tcW w:w="1515" w:type="dxa"/>
            <w:vMerge w:val="continue"/>
            <w:vAlign w:val="center"/>
          </w:tcPr>
          <w:p w14:paraId="06DFC287">
            <w:pPr>
              <w:spacing w:line="400" w:lineRule="exact"/>
              <w:jc w:val="center"/>
              <w:rPr>
                <w:rFonts w:ascii="宋体" w:hAnsi="宋体"/>
                <w:color w:val="auto"/>
                <w:szCs w:val="21"/>
              </w:rPr>
            </w:pPr>
          </w:p>
        </w:tc>
        <w:tc>
          <w:tcPr>
            <w:tcW w:w="6333" w:type="dxa"/>
            <w:vAlign w:val="center"/>
          </w:tcPr>
          <w:p w14:paraId="638347B6">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27</w:t>
            </w:r>
            <w:r>
              <w:rPr>
                <w:rFonts w:hint="eastAsia" w:ascii="宋体" w:hAnsi="宋体"/>
                <w:color w:val="auto"/>
                <w:szCs w:val="21"/>
              </w:rPr>
              <w:t>投标人必须按采购工程量清单填报价格。项目编码、项目名称、项目特征、计量单位、工程量必须与采购工程量清单一致。否则交由评标委员会作否决投标处理。</w:t>
            </w:r>
          </w:p>
        </w:tc>
      </w:tr>
      <w:tr w14:paraId="61F5F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9ADA5BB">
            <w:pPr>
              <w:spacing w:line="400" w:lineRule="exact"/>
              <w:jc w:val="center"/>
              <w:rPr>
                <w:rFonts w:ascii="宋体" w:hAnsi="宋体"/>
                <w:color w:val="auto"/>
                <w:szCs w:val="21"/>
              </w:rPr>
            </w:pPr>
          </w:p>
        </w:tc>
        <w:tc>
          <w:tcPr>
            <w:tcW w:w="1515" w:type="dxa"/>
            <w:vMerge w:val="continue"/>
            <w:vAlign w:val="center"/>
          </w:tcPr>
          <w:p w14:paraId="651ADE6D">
            <w:pPr>
              <w:spacing w:line="400" w:lineRule="exact"/>
              <w:jc w:val="center"/>
              <w:rPr>
                <w:rFonts w:ascii="宋体" w:hAnsi="宋体"/>
                <w:color w:val="auto"/>
                <w:szCs w:val="21"/>
              </w:rPr>
            </w:pPr>
          </w:p>
        </w:tc>
        <w:tc>
          <w:tcPr>
            <w:tcW w:w="6333" w:type="dxa"/>
            <w:vAlign w:val="center"/>
          </w:tcPr>
          <w:p w14:paraId="3CD198D3">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28</w:t>
            </w:r>
            <w:r>
              <w:rPr>
                <w:rFonts w:hint="eastAsia" w:ascii="宋体" w:hAnsi="宋体"/>
                <w:color w:val="auto"/>
                <w:szCs w:val="21"/>
              </w:rPr>
              <w:t>采购人在工程量清单中所列出的价格（包括暂列金额、暂估价等），投标人不得修改，否则由评标委员会作否决投标处理。</w:t>
            </w:r>
          </w:p>
        </w:tc>
      </w:tr>
      <w:tr w14:paraId="242B99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F0916F9">
            <w:pPr>
              <w:spacing w:line="400" w:lineRule="exact"/>
              <w:jc w:val="center"/>
              <w:rPr>
                <w:rFonts w:ascii="宋体" w:hAnsi="宋体"/>
                <w:color w:val="auto"/>
                <w:szCs w:val="21"/>
              </w:rPr>
            </w:pPr>
          </w:p>
        </w:tc>
        <w:tc>
          <w:tcPr>
            <w:tcW w:w="1515" w:type="dxa"/>
            <w:vMerge w:val="continue"/>
            <w:vAlign w:val="center"/>
          </w:tcPr>
          <w:p w14:paraId="29921362">
            <w:pPr>
              <w:spacing w:line="400" w:lineRule="exact"/>
              <w:jc w:val="center"/>
              <w:rPr>
                <w:rFonts w:ascii="宋体" w:hAnsi="宋体"/>
                <w:color w:val="auto"/>
                <w:szCs w:val="21"/>
              </w:rPr>
            </w:pPr>
          </w:p>
        </w:tc>
        <w:tc>
          <w:tcPr>
            <w:tcW w:w="6333" w:type="dxa"/>
            <w:vAlign w:val="center"/>
          </w:tcPr>
          <w:p w14:paraId="63F59C35">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29</w:t>
            </w:r>
            <w:r>
              <w:rPr>
                <w:rFonts w:hint="eastAsia" w:ascii="宋体" w:hAnsi="宋体"/>
                <w:color w:val="auto"/>
                <w:szCs w:val="21"/>
              </w:rPr>
              <w:t>投标人的每项清单综合单价报价不得超过每项清单综合单价最高限价，否则由评标委员会作否决投标处理。</w:t>
            </w:r>
          </w:p>
        </w:tc>
      </w:tr>
      <w:tr w14:paraId="15BB3C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536A3C4">
            <w:pPr>
              <w:spacing w:line="400" w:lineRule="exact"/>
              <w:jc w:val="center"/>
              <w:rPr>
                <w:rFonts w:ascii="宋体" w:hAnsi="宋体"/>
                <w:color w:val="auto"/>
                <w:szCs w:val="21"/>
              </w:rPr>
            </w:pPr>
          </w:p>
        </w:tc>
        <w:tc>
          <w:tcPr>
            <w:tcW w:w="1515" w:type="dxa"/>
            <w:vMerge w:val="continue"/>
            <w:vAlign w:val="center"/>
          </w:tcPr>
          <w:p w14:paraId="277024A1">
            <w:pPr>
              <w:spacing w:line="400" w:lineRule="exact"/>
              <w:jc w:val="center"/>
              <w:rPr>
                <w:rFonts w:ascii="宋体" w:hAnsi="宋体"/>
                <w:color w:val="auto"/>
                <w:szCs w:val="21"/>
              </w:rPr>
            </w:pPr>
          </w:p>
        </w:tc>
        <w:tc>
          <w:tcPr>
            <w:tcW w:w="6333" w:type="dxa"/>
            <w:vAlign w:val="center"/>
          </w:tcPr>
          <w:p w14:paraId="0D5A1928">
            <w:pPr>
              <w:spacing w:line="400" w:lineRule="exact"/>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30</w:t>
            </w:r>
            <w:r>
              <w:rPr>
                <w:rFonts w:hint="eastAsia" w:ascii="宋体" w:hAnsi="宋体"/>
                <w:color w:val="auto"/>
                <w:szCs w:val="21"/>
              </w:rPr>
              <w:t>投标报价有算术错误的，按照第三章“评标办法”第3.2.3项规定执行，否则由评标委员会作否决投标处理。</w:t>
            </w:r>
          </w:p>
        </w:tc>
      </w:tr>
      <w:tr w14:paraId="629934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2A970664">
            <w:pPr>
              <w:spacing w:line="400" w:lineRule="exact"/>
              <w:jc w:val="center"/>
              <w:rPr>
                <w:rFonts w:ascii="宋体" w:hAnsi="宋体"/>
                <w:color w:val="auto"/>
                <w:szCs w:val="21"/>
              </w:rPr>
            </w:pPr>
          </w:p>
        </w:tc>
        <w:tc>
          <w:tcPr>
            <w:tcW w:w="1515" w:type="dxa"/>
            <w:vAlign w:val="center"/>
          </w:tcPr>
          <w:p w14:paraId="01967796">
            <w:pPr>
              <w:spacing w:line="400" w:lineRule="exact"/>
              <w:jc w:val="center"/>
              <w:rPr>
                <w:rFonts w:ascii="宋体" w:hAnsi="宋体"/>
                <w:color w:val="auto"/>
                <w:szCs w:val="21"/>
              </w:rPr>
            </w:pPr>
            <w:r>
              <w:rPr>
                <w:rFonts w:hint="eastAsia" w:ascii="宋体" w:hAnsi="宋体"/>
                <w:color w:val="auto"/>
                <w:szCs w:val="21"/>
              </w:rPr>
              <w:t>其他</w:t>
            </w:r>
          </w:p>
        </w:tc>
        <w:tc>
          <w:tcPr>
            <w:tcW w:w="6333" w:type="dxa"/>
            <w:vAlign w:val="center"/>
          </w:tcPr>
          <w:p w14:paraId="4AD2DD74">
            <w:pPr>
              <w:spacing w:line="400" w:lineRule="exact"/>
              <w:ind w:firstLine="420" w:firstLineChars="200"/>
              <w:rPr>
                <w:rFonts w:ascii="宋体" w:hAnsi="宋体"/>
                <w:color w:val="auto"/>
                <w:szCs w:val="21"/>
              </w:rPr>
            </w:pPr>
            <w:r>
              <w:rPr>
                <w:rFonts w:hint="eastAsia" w:ascii="宋体" w:hAnsi="宋体"/>
                <w:color w:val="auto"/>
                <w:szCs w:val="21"/>
              </w:rPr>
              <w:t>A-31</w:t>
            </w:r>
            <w:r>
              <w:rPr>
                <w:rFonts w:hint="eastAsia" w:ascii="宋体" w:hAnsi="宋体"/>
                <w:b/>
                <w:bCs/>
                <w:color w:val="auto"/>
                <w:kern w:val="0"/>
                <w:szCs w:val="21"/>
              </w:rPr>
              <w:t>渣场处置费必须按照工程量清单综合单价价格45元/㎡填报，否则由评标委员会作否决投标处理。</w:t>
            </w:r>
          </w:p>
        </w:tc>
      </w:tr>
    </w:tbl>
    <w:p w14:paraId="57CD63E3">
      <w:pPr>
        <w:pStyle w:val="33"/>
        <w:spacing w:line="360" w:lineRule="auto"/>
        <w:jc w:val="both"/>
        <w:rPr>
          <w:rFonts w:ascii="宋体" w:hAnsi="宋体"/>
          <w:color w:val="auto"/>
          <w:sz w:val="21"/>
          <w:szCs w:val="21"/>
          <w:u w:val="none"/>
          <w:lang w:eastAsia="zh-CN"/>
        </w:rPr>
      </w:pPr>
    </w:p>
    <w:p w14:paraId="4946D1FF">
      <w:pPr>
        <w:spacing w:line="200" w:lineRule="exact"/>
        <w:rPr>
          <w:rFonts w:ascii="宋体" w:hAnsi="宋体"/>
          <w:color w:val="auto"/>
          <w:kern w:val="0"/>
        </w:rPr>
      </w:pPr>
      <w:r>
        <w:rPr>
          <w:rFonts w:ascii="宋体" w:hAnsi="宋体"/>
          <w:snapToGrid w:val="0"/>
          <w:color w:val="auto"/>
          <w:kern w:val="0"/>
        </w:rPr>
        <w:br w:type="page"/>
      </w:r>
      <w:bookmarkStart w:id="406" w:name="招标文件03章02评标办法综合评估法"/>
      <w:bookmarkEnd w:id="406"/>
      <w:bookmarkStart w:id="407" w:name="招标文件03章02评标办法综合评估法00"/>
      <w:bookmarkEnd w:id="407"/>
      <w:bookmarkStart w:id="408" w:name="_Toc430530500"/>
      <w:bookmarkStart w:id="409" w:name="_Toc287607812"/>
      <w:bookmarkStart w:id="410" w:name="_Toc287620751"/>
      <w:bookmarkStart w:id="411" w:name="_Toc224103384"/>
      <w:bookmarkStart w:id="412" w:name="_Toc200513198"/>
      <w:bookmarkStart w:id="413" w:name="_Toc277082618"/>
    </w:p>
    <w:bookmarkEnd w:id="408"/>
    <w:bookmarkEnd w:id="409"/>
    <w:bookmarkEnd w:id="410"/>
    <w:bookmarkEnd w:id="411"/>
    <w:bookmarkEnd w:id="412"/>
    <w:bookmarkEnd w:id="413"/>
    <w:p w14:paraId="2A647F54">
      <w:pPr>
        <w:pStyle w:val="3"/>
        <w:spacing w:line="360" w:lineRule="auto"/>
        <w:jc w:val="center"/>
        <w:rPr>
          <w:rFonts w:ascii="宋体" w:hAnsi="宋体"/>
          <w:color w:val="auto"/>
          <w:kern w:val="0"/>
        </w:rPr>
      </w:pPr>
      <w:bookmarkStart w:id="414" w:name="_Toc22492"/>
      <w:bookmarkStart w:id="415" w:name="_Toc509218785"/>
      <w:bookmarkStart w:id="416" w:name="_Toc430530509"/>
      <w:r>
        <w:rPr>
          <w:rFonts w:hint="eastAsia" w:ascii="宋体" w:hAnsi="宋体"/>
          <w:color w:val="auto"/>
          <w:kern w:val="0"/>
        </w:rPr>
        <w:t>第四章  合同条款及格式</w:t>
      </w:r>
      <w:bookmarkEnd w:id="414"/>
      <w:bookmarkEnd w:id="415"/>
      <w:bookmarkEnd w:id="416"/>
    </w:p>
    <w:p w14:paraId="50D336A1">
      <w:pPr>
        <w:rPr>
          <w:rFonts w:ascii="宋体" w:hAnsi="宋体"/>
          <w:color w:val="auto"/>
          <w:sz w:val="44"/>
          <w:szCs w:val="44"/>
        </w:rPr>
      </w:pPr>
      <w:r>
        <w:rPr>
          <w:rFonts w:ascii="宋体" w:hAnsi="宋体"/>
          <w:color w:val="auto"/>
        </w:rPr>
        <w:br w:type="page"/>
      </w:r>
      <w:bookmarkStart w:id="417" w:name="_Toc296890982"/>
      <w:bookmarkStart w:id="418" w:name="_Toc351203480"/>
      <w:bookmarkStart w:id="419" w:name="_Toc296503025"/>
      <w:r>
        <w:rPr>
          <w:color w:val="auto"/>
        </w:rPr>
        <w:pict>
          <v:rect id="矩形 130" o:spid="_x0000_s1026" o:spt="1" style="position:absolute;left:0pt;margin-left:211.9pt;margin-top:686.4pt;height:54.6pt;width:63.6pt;z-index:251659264;mso-width-relative:page;mso-height-relative:page;"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PXnd9kAAAANAQAADwAAAAAAAAABACAAAAAiAAAAZHJzL2Rvd25y&#10;ZXYueG1sUEsBAhQAFAAAAAgAh07iQMfWtKnEAQAAhwMAAA4AAAAAAAAAAQAgAAAAKAEAAGRycy9l&#10;Mm9Eb2MueG1sUEsFBgAAAAAGAAYAWQEAAF4FAAAAAA==&#10;">
            <v:path/>
            <v:fill focussize="0,0"/>
            <v:stroke on="f"/>
            <v:imagedata o:title=""/>
            <o:lock v:ext="edit"/>
            <v:textbox>
              <w:txbxContent>
                <w:p w14:paraId="5771B28B"/>
              </w:txbxContent>
            </v:textbox>
          </v:rect>
        </w:pict>
      </w:r>
    </w:p>
    <w:p w14:paraId="72A020A9">
      <w:pPr>
        <w:pStyle w:val="5"/>
        <w:jc w:val="center"/>
        <w:rPr>
          <w:rFonts w:ascii="宋体" w:hAnsi="宋体"/>
          <w:b w:val="0"/>
          <w:color w:val="auto"/>
          <w:sz w:val="44"/>
          <w:szCs w:val="44"/>
        </w:rPr>
      </w:pPr>
      <w:bookmarkStart w:id="420" w:name="_Toc30225"/>
      <w:bookmarkStart w:id="421" w:name="_Toc534185765"/>
      <w:bookmarkStart w:id="422" w:name="_Toc509218786"/>
      <w:bookmarkStart w:id="423" w:name="_Toc351203494"/>
      <w:r>
        <w:rPr>
          <w:rFonts w:ascii="宋体" w:hAnsi="宋体"/>
          <w:color w:val="auto"/>
          <w:sz w:val="44"/>
          <w:szCs w:val="44"/>
        </w:rPr>
        <w:t>第一部分 合同协议书</w:t>
      </w:r>
      <w:bookmarkEnd w:id="420"/>
      <w:bookmarkEnd w:id="421"/>
      <w:bookmarkEnd w:id="422"/>
    </w:p>
    <w:bookmarkEnd w:id="423"/>
    <w:p w14:paraId="0D890811">
      <w:pPr>
        <w:snapToGrid w:val="0"/>
        <w:spacing w:line="600" w:lineRule="exact"/>
        <w:ind w:firstLine="480" w:firstLineChars="200"/>
        <w:rPr>
          <w:rFonts w:ascii="宋体" w:hAnsi="宋体"/>
          <w:color w:val="auto"/>
          <w:sz w:val="24"/>
        </w:rPr>
      </w:pPr>
      <w:bookmarkStart w:id="424" w:name="_Toc351203632"/>
    </w:p>
    <w:p w14:paraId="7017C649">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CEA8D62">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021C95CB">
      <w:pPr>
        <w:spacing w:line="360" w:lineRule="auto"/>
        <w:ind w:firstLine="420" w:firstLineChars="200"/>
        <w:rPr>
          <w:rFonts w:ascii="宋体" w:hAnsi="宋体"/>
          <w:b/>
          <w:color w:val="auto"/>
          <w:szCs w:val="21"/>
          <w:u w:val="single"/>
        </w:rPr>
      </w:pPr>
      <w:r>
        <w:rPr>
          <w:rFonts w:hint="eastAsia" w:ascii="宋体" w:hAnsi="宋体"/>
          <w:color w:val="auto"/>
          <w:szCs w:val="21"/>
        </w:rPr>
        <w:t>根据《中华人民共和国民法典》、《中华人民共和国建筑法》及有关法律、法规规定，遵循平等、自愿、公平和诚实信用的原则，双方就</w:t>
      </w:r>
      <w:r>
        <w:rPr>
          <w:rFonts w:hint="eastAsia" w:ascii="宋体" w:hAnsi="宋体"/>
          <w:color w:val="auto"/>
          <w:szCs w:val="21"/>
          <w:u w:val="single"/>
        </w:rPr>
        <w:t xml:space="preserve">                           </w:t>
      </w:r>
      <w:r>
        <w:rPr>
          <w:rFonts w:hint="eastAsia" w:ascii="宋体" w:hAnsi="宋体"/>
          <w:color w:val="auto"/>
          <w:szCs w:val="21"/>
        </w:rPr>
        <w:t>工程施工及有关事项协商一致，共同达成如下协议：</w:t>
      </w:r>
    </w:p>
    <w:p w14:paraId="3BC1F65A">
      <w:pPr>
        <w:pStyle w:val="6"/>
        <w:keepNext/>
        <w:keepLines/>
        <w:spacing w:before="120" w:after="120" w:line="360" w:lineRule="auto"/>
        <w:ind w:firstLine="422" w:firstLineChars="200"/>
        <w:jc w:val="both"/>
        <w:rPr>
          <w:color w:val="auto"/>
          <w:kern w:val="2"/>
          <w:sz w:val="21"/>
          <w:szCs w:val="21"/>
        </w:rPr>
      </w:pPr>
      <w:bookmarkStart w:id="425" w:name="_Toc532377166"/>
      <w:bookmarkStart w:id="426" w:name="_Toc532375573"/>
      <w:bookmarkStart w:id="427" w:name="_Toc351203481"/>
      <w:r>
        <w:rPr>
          <w:rFonts w:hint="eastAsia"/>
          <w:color w:val="auto"/>
          <w:kern w:val="2"/>
          <w:sz w:val="21"/>
          <w:szCs w:val="21"/>
        </w:rPr>
        <w:t>一、工程概况</w:t>
      </w:r>
      <w:bookmarkEnd w:id="425"/>
      <w:bookmarkEnd w:id="426"/>
      <w:bookmarkEnd w:id="427"/>
    </w:p>
    <w:p w14:paraId="02B3E1BE">
      <w:pPr>
        <w:snapToGrid w:val="0"/>
        <w:spacing w:line="360" w:lineRule="auto"/>
        <w:ind w:firstLine="420" w:firstLineChars="200"/>
        <w:rPr>
          <w:rFonts w:ascii="宋体" w:hAnsi="宋体"/>
          <w:color w:val="auto"/>
          <w:szCs w:val="21"/>
          <w:u w:val="single"/>
        </w:rPr>
      </w:pPr>
      <w:r>
        <w:rPr>
          <w:rFonts w:hint="eastAsia" w:ascii="宋体" w:hAnsi="宋体"/>
          <w:bCs/>
          <w:color w:val="auto"/>
          <w:szCs w:val="21"/>
        </w:rPr>
        <w:t>1.工程名称</w:t>
      </w:r>
      <w:r>
        <w:rPr>
          <w:rFonts w:hint="eastAsia" w:ascii="宋体" w:hAnsi="宋体"/>
          <w:color w:val="auto"/>
          <w:szCs w:val="21"/>
        </w:rPr>
        <w:t>：</w:t>
      </w:r>
      <w:r>
        <w:rPr>
          <w:rFonts w:hint="eastAsia" w:ascii="宋体" w:hAnsi="宋体"/>
          <w:color w:val="auto"/>
          <w:szCs w:val="21"/>
          <w:u w:val="single"/>
        </w:rPr>
        <w:t xml:space="preserve">                                 </w:t>
      </w:r>
      <w:r>
        <w:rPr>
          <w:rFonts w:hint="eastAsia" w:ascii="宋体" w:hAnsi="宋体"/>
          <w:color w:val="auto"/>
          <w:szCs w:val="21"/>
        </w:rPr>
        <w:t>。</w:t>
      </w:r>
    </w:p>
    <w:p w14:paraId="126B3B85">
      <w:pPr>
        <w:snapToGrid w:val="0"/>
        <w:spacing w:line="360" w:lineRule="auto"/>
        <w:ind w:firstLine="420" w:firstLineChars="200"/>
        <w:rPr>
          <w:rFonts w:ascii="宋体" w:hAnsi="宋体"/>
          <w:bCs/>
          <w:color w:val="auto"/>
          <w:szCs w:val="21"/>
        </w:rPr>
      </w:pPr>
      <w:r>
        <w:rPr>
          <w:rFonts w:hint="eastAsia" w:ascii="宋体" w:hAnsi="宋体"/>
          <w:bCs/>
          <w:color w:val="auto"/>
          <w:szCs w:val="21"/>
        </w:rPr>
        <w:t>2.工程地点：</w:t>
      </w:r>
      <w:r>
        <w:rPr>
          <w:rFonts w:hint="eastAsia" w:ascii="宋体" w:hAnsi="宋体"/>
          <w:color w:val="auto"/>
          <w:szCs w:val="21"/>
          <w:u w:val="single"/>
        </w:rPr>
        <w:t xml:space="preserve">                                 </w:t>
      </w:r>
      <w:r>
        <w:rPr>
          <w:rFonts w:hint="eastAsia" w:ascii="宋体" w:hAnsi="宋体"/>
          <w:color w:val="auto"/>
          <w:szCs w:val="21"/>
        </w:rPr>
        <w:t>。</w:t>
      </w:r>
    </w:p>
    <w:p w14:paraId="714FF7D5">
      <w:pPr>
        <w:snapToGrid w:val="0"/>
        <w:spacing w:line="360" w:lineRule="auto"/>
        <w:ind w:firstLine="420" w:firstLineChars="200"/>
        <w:rPr>
          <w:rFonts w:ascii="宋体" w:hAnsi="宋体"/>
          <w:bCs/>
          <w:color w:val="auto"/>
          <w:szCs w:val="21"/>
        </w:rPr>
      </w:pPr>
      <w:r>
        <w:rPr>
          <w:rFonts w:hint="eastAsia" w:ascii="宋体" w:hAnsi="宋体"/>
          <w:bCs/>
          <w:color w:val="auto"/>
          <w:szCs w:val="21"/>
        </w:rPr>
        <w:t>3.工程立项批准文号：</w:t>
      </w:r>
      <w:r>
        <w:rPr>
          <w:rFonts w:hint="eastAsia" w:ascii="宋体" w:hAnsi="宋体"/>
          <w:color w:val="auto"/>
          <w:szCs w:val="21"/>
          <w:u w:val="single"/>
        </w:rPr>
        <w:t xml:space="preserve">                        </w:t>
      </w:r>
      <w:r>
        <w:rPr>
          <w:rFonts w:hint="eastAsia" w:ascii="宋体" w:hAnsi="宋体"/>
          <w:bCs/>
          <w:color w:val="auto"/>
          <w:szCs w:val="21"/>
        </w:rPr>
        <w:t>。</w:t>
      </w:r>
    </w:p>
    <w:p w14:paraId="3E97BA85">
      <w:pPr>
        <w:snapToGrid w:val="0"/>
        <w:spacing w:line="360" w:lineRule="auto"/>
        <w:ind w:firstLine="420" w:firstLineChars="200"/>
        <w:rPr>
          <w:rFonts w:ascii="宋体" w:hAnsi="宋体"/>
          <w:bCs/>
          <w:color w:val="auto"/>
          <w:szCs w:val="21"/>
        </w:rPr>
      </w:pPr>
      <w:r>
        <w:rPr>
          <w:rFonts w:hint="eastAsia" w:ascii="宋体" w:hAnsi="宋体"/>
          <w:bCs/>
          <w:color w:val="auto"/>
          <w:szCs w:val="21"/>
        </w:rPr>
        <w:t>4.资金来源：</w:t>
      </w:r>
      <w:r>
        <w:rPr>
          <w:rFonts w:hint="eastAsia" w:ascii="宋体" w:hAnsi="宋体"/>
          <w:color w:val="auto"/>
          <w:szCs w:val="21"/>
          <w:u w:val="single"/>
        </w:rPr>
        <w:t xml:space="preserve">                                 </w:t>
      </w:r>
      <w:r>
        <w:rPr>
          <w:rFonts w:hint="eastAsia" w:ascii="宋体" w:hAnsi="宋体"/>
          <w:color w:val="auto"/>
          <w:szCs w:val="21"/>
        </w:rPr>
        <w:t>。</w:t>
      </w:r>
    </w:p>
    <w:p w14:paraId="2BBB1C4F">
      <w:pPr>
        <w:snapToGrid w:val="0"/>
        <w:spacing w:line="360" w:lineRule="auto"/>
        <w:ind w:firstLine="420" w:firstLineChars="200"/>
        <w:rPr>
          <w:rFonts w:ascii="宋体" w:hAnsi="宋体"/>
          <w:bCs/>
          <w:color w:val="auto"/>
          <w:szCs w:val="21"/>
        </w:rPr>
      </w:pPr>
      <w:r>
        <w:rPr>
          <w:rFonts w:hint="eastAsia" w:ascii="宋体" w:hAnsi="宋体"/>
          <w:bCs/>
          <w:color w:val="auto"/>
          <w:szCs w:val="21"/>
        </w:rPr>
        <w:t>5.工程内容：</w:t>
      </w:r>
      <w:r>
        <w:rPr>
          <w:rFonts w:hint="eastAsia" w:ascii="宋体" w:hAnsi="宋体"/>
          <w:color w:val="auto"/>
          <w:szCs w:val="21"/>
          <w:u w:val="single"/>
        </w:rPr>
        <w:t xml:space="preserve">                                 </w:t>
      </w:r>
      <w:r>
        <w:rPr>
          <w:rFonts w:hint="eastAsia" w:ascii="宋体" w:hAnsi="宋体"/>
          <w:color w:val="auto"/>
          <w:szCs w:val="21"/>
        </w:rPr>
        <w:t>。</w:t>
      </w:r>
    </w:p>
    <w:p w14:paraId="116BB695">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6.工程承包范围：</w:t>
      </w:r>
      <w:r>
        <w:rPr>
          <w:rFonts w:hint="eastAsia" w:ascii="宋体" w:hAnsi="宋体"/>
          <w:color w:val="auto"/>
          <w:szCs w:val="21"/>
          <w:u w:val="single"/>
        </w:rPr>
        <w:t xml:space="preserve">                     </w:t>
      </w:r>
      <w:r>
        <w:rPr>
          <w:rFonts w:hint="eastAsia" w:ascii="宋体" w:hAnsi="宋体"/>
          <w:color w:val="auto"/>
          <w:szCs w:val="21"/>
        </w:rPr>
        <w:t>。</w:t>
      </w:r>
    </w:p>
    <w:p w14:paraId="07E7AC23">
      <w:pPr>
        <w:pStyle w:val="6"/>
        <w:keepNext/>
        <w:keepLines/>
        <w:spacing w:before="120" w:after="120" w:line="360" w:lineRule="auto"/>
        <w:ind w:firstLine="422" w:firstLineChars="200"/>
        <w:jc w:val="both"/>
        <w:rPr>
          <w:color w:val="auto"/>
          <w:kern w:val="2"/>
          <w:sz w:val="21"/>
          <w:szCs w:val="21"/>
        </w:rPr>
      </w:pPr>
      <w:bookmarkStart w:id="428" w:name="_Toc532375574"/>
      <w:bookmarkStart w:id="429" w:name="_Toc351203482"/>
      <w:bookmarkStart w:id="430" w:name="_Toc532377167"/>
      <w:r>
        <w:rPr>
          <w:rFonts w:hint="eastAsia"/>
          <w:color w:val="auto"/>
          <w:kern w:val="2"/>
          <w:sz w:val="21"/>
          <w:szCs w:val="21"/>
        </w:rPr>
        <w:t>二、合同工期</w:t>
      </w:r>
      <w:bookmarkEnd w:id="428"/>
      <w:bookmarkEnd w:id="429"/>
      <w:bookmarkEnd w:id="430"/>
    </w:p>
    <w:p w14:paraId="6C60095C">
      <w:pPr>
        <w:spacing w:line="360" w:lineRule="auto"/>
        <w:ind w:firstLine="420" w:firstLineChars="200"/>
        <w:rPr>
          <w:rFonts w:ascii="宋体" w:hAnsi="宋体"/>
          <w:bCs/>
          <w:color w:val="auto"/>
          <w:szCs w:val="21"/>
        </w:rPr>
      </w:pPr>
      <w:r>
        <w:rPr>
          <w:rFonts w:hint="eastAsia" w:ascii="宋体" w:hAnsi="宋体"/>
          <w:bCs/>
          <w:color w:val="auto"/>
          <w:szCs w:val="21"/>
        </w:rPr>
        <w:t>承包人投标函中承诺的工期：</w:t>
      </w:r>
      <w:r>
        <w:rPr>
          <w:rFonts w:hint="eastAsia" w:ascii="宋体" w:hAnsi="宋体"/>
          <w:bCs/>
          <w:color w:val="auto"/>
          <w:szCs w:val="21"/>
          <w:u w:val="single"/>
        </w:rPr>
        <w:t>日历天</w:t>
      </w:r>
      <w:r>
        <w:rPr>
          <w:rFonts w:hint="eastAsia" w:ascii="宋体" w:hAnsi="宋体"/>
          <w:bCs/>
          <w:color w:val="auto"/>
          <w:szCs w:val="21"/>
        </w:rPr>
        <w:t>。</w:t>
      </w:r>
    </w:p>
    <w:p w14:paraId="503738B5">
      <w:pPr>
        <w:spacing w:line="360" w:lineRule="auto"/>
        <w:ind w:firstLine="420" w:firstLineChars="200"/>
        <w:rPr>
          <w:rFonts w:ascii="宋体" w:hAnsi="宋体"/>
          <w:bCs/>
          <w:color w:val="auto"/>
          <w:szCs w:val="21"/>
        </w:rPr>
      </w:pPr>
      <w:r>
        <w:rPr>
          <w:rFonts w:hint="eastAsia" w:ascii="宋体" w:hAnsi="宋体"/>
          <w:bCs/>
          <w:color w:val="auto"/>
          <w:szCs w:val="21"/>
        </w:rPr>
        <w:t>计划开工日期：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日，实际开工日期以监理工程师签发的工程开工通知明确的开工日期为准。</w:t>
      </w:r>
    </w:p>
    <w:p w14:paraId="30DCEA85">
      <w:pPr>
        <w:spacing w:line="360" w:lineRule="auto"/>
        <w:ind w:firstLine="420" w:firstLineChars="200"/>
        <w:rPr>
          <w:rFonts w:ascii="宋体" w:hAnsi="宋体"/>
          <w:bCs/>
          <w:color w:val="auto"/>
          <w:szCs w:val="21"/>
        </w:rPr>
      </w:pPr>
      <w:r>
        <w:rPr>
          <w:rFonts w:hint="eastAsia" w:ascii="宋体" w:hAnsi="宋体"/>
          <w:bCs/>
          <w:color w:val="auto"/>
          <w:szCs w:val="21"/>
        </w:rPr>
        <w:t>计划竣工日期：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日，实际竣工日期以工程竣工验收合格之日为准。</w:t>
      </w:r>
    </w:p>
    <w:p w14:paraId="5A5EF2E9">
      <w:pPr>
        <w:spacing w:line="360" w:lineRule="auto"/>
        <w:ind w:firstLine="420" w:firstLineChars="200"/>
        <w:rPr>
          <w:rFonts w:ascii="宋体" w:hAnsi="宋体"/>
          <w:color w:val="auto"/>
          <w:szCs w:val="21"/>
        </w:rPr>
      </w:pPr>
      <w:r>
        <w:rPr>
          <w:rFonts w:hint="eastAsia" w:ascii="宋体" w:hAnsi="宋体"/>
          <w:bCs/>
          <w:color w:val="auto"/>
          <w:szCs w:val="21"/>
        </w:rPr>
        <w:t>工期总日历天数</w:t>
      </w:r>
      <w:r>
        <w:rPr>
          <w:rFonts w:hint="eastAsia" w:ascii="宋体" w:hAnsi="宋体"/>
          <w:bCs/>
          <w:color w:val="auto"/>
          <w:szCs w:val="21"/>
          <w:u w:val="single"/>
        </w:rPr>
        <w:t></w:t>
      </w:r>
      <w:r>
        <w:rPr>
          <w:rFonts w:hint="eastAsia" w:ascii="宋体" w:hAnsi="宋体"/>
          <w:bCs/>
          <w:color w:val="auto"/>
          <w:szCs w:val="21"/>
        </w:rPr>
        <w:t>天。工期总日历天数与根据前述计划开竣工日期计算的工期天数不一</w:t>
      </w:r>
      <w:r>
        <w:rPr>
          <w:rFonts w:hint="eastAsia" w:ascii="宋体" w:hAnsi="宋体"/>
          <w:color w:val="auto"/>
          <w:szCs w:val="21"/>
        </w:rPr>
        <w:t>致的，以工期总日历天数为准。</w:t>
      </w:r>
    </w:p>
    <w:p w14:paraId="35A2E1D5">
      <w:pPr>
        <w:pStyle w:val="6"/>
        <w:keepNext/>
        <w:keepLines/>
        <w:spacing w:before="120" w:after="120" w:line="360" w:lineRule="auto"/>
        <w:ind w:firstLine="422" w:firstLineChars="200"/>
        <w:jc w:val="both"/>
        <w:rPr>
          <w:color w:val="auto"/>
          <w:kern w:val="2"/>
          <w:sz w:val="21"/>
          <w:szCs w:val="21"/>
        </w:rPr>
      </w:pPr>
      <w:bookmarkStart w:id="431" w:name="_Toc532375575"/>
      <w:bookmarkStart w:id="432" w:name="_Toc351203483"/>
      <w:bookmarkStart w:id="433" w:name="_Toc532377168"/>
      <w:r>
        <w:rPr>
          <w:rFonts w:hint="eastAsia"/>
          <w:color w:val="auto"/>
          <w:kern w:val="2"/>
          <w:sz w:val="21"/>
          <w:szCs w:val="21"/>
        </w:rPr>
        <w:t>三、质量标准</w:t>
      </w:r>
      <w:bookmarkEnd w:id="431"/>
      <w:bookmarkEnd w:id="432"/>
      <w:bookmarkEnd w:id="433"/>
    </w:p>
    <w:p w14:paraId="2D7E4F9C">
      <w:pPr>
        <w:snapToGrid w:val="0"/>
        <w:spacing w:line="360" w:lineRule="auto"/>
        <w:ind w:firstLine="420" w:firstLineChars="200"/>
        <w:rPr>
          <w:rFonts w:ascii="宋体" w:hAnsi="宋体"/>
          <w:color w:val="auto"/>
          <w:szCs w:val="21"/>
        </w:rPr>
      </w:pPr>
      <w:r>
        <w:rPr>
          <w:rFonts w:hint="eastAsia" w:ascii="宋体" w:hAnsi="宋体"/>
          <w:color w:val="auto"/>
          <w:szCs w:val="21"/>
        </w:rPr>
        <w:t>工程质量符合强制性质量标准，</w:t>
      </w:r>
      <w:r>
        <w:rPr>
          <w:rFonts w:hint="eastAsia" w:ascii="宋体" w:hAnsi="宋体"/>
          <w:color w:val="auto"/>
          <w:szCs w:val="21"/>
          <w:u w:val="single"/>
        </w:rPr>
        <w:t>符合国家</w:t>
      </w:r>
      <w:r>
        <w:rPr>
          <w:rFonts w:ascii="宋体" w:hAnsi="宋体"/>
          <w:color w:val="auto"/>
          <w:szCs w:val="21"/>
          <w:u w:val="single"/>
        </w:rPr>
        <w:t>和重庆市现行</w:t>
      </w:r>
      <w:r>
        <w:rPr>
          <w:rFonts w:hint="eastAsia" w:ascii="宋体" w:hAnsi="宋体"/>
          <w:color w:val="auto"/>
          <w:szCs w:val="21"/>
          <w:u w:val="single"/>
        </w:rPr>
        <w:t>有关施工质量验收规范要求，并达到合格</w:t>
      </w:r>
      <w:r>
        <w:rPr>
          <w:rFonts w:hint="eastAsia" w:ascii="宋体" w:hAnsi="宋体"/>
          <w:color w:val="auto"/>
          <w:szCs w:val="21"/>
        </w:rPr>
        <w:t>标准。</w:t>
      </w:r>
    </w:p>
    <w:p w14:paraId="0491513B">
      <w:pPr>
        <w:pStyle w:val="6"/>
        <w:keepNext/>
        <w:keepLines/>
        <w:spacing w:before="120" w:after="120" w:line="360" w:lineRule="auto"/>
        <w:ind w:firstLine="422" w:firstLineChars="200"/>
        <w:jc w:val="both"/>
        <w:rPr>
          <w:color w:val="auto"/>
          <w:kern w:val="2"/>
          <w:sz w:val="21"/>
          <w:szCs w:val="21"/>
        </w:rPr>
      </w:pPr>
      <w:bookmarkStart w:id="434" w:name="_Toc351203484"/>
      <w:bookmarkStart w:id="435" w:name="_Toc532377169"/>
      <w:bookmarkStart w:id="436" w:name="_Toc532375576"/>
      <w:r>
        <w:rPr>
          <w:rFonts w:hint="eastAsia"/>
          <w:color w:val="auto"/>
          <w:kern w:val="2"/>
          <w:sz w:val="21"/>
          <w:szCs w:val="21"/>
        </w:rPr>
        <w:t>四、签约合同价与合同价格形式</w:t>
      </w:r>
      <w:bookmarkEnd w:id="434"/>
      <w:bookmarkEnd w:id="435"/>
      <w:bookmarkEnd w:id="436"/>
      <w:r>
        <w:rPr>
          <w:rFonts w:hint="eastAsia"/>
          <w:color w:val="auto"/>
          <w:kern w:val="2"/>
          <w:sz w:val="21"/>
          <w:szCs w:val="21"/>
        </w:rPr>
        <w:tab/>
      </w:r>
    </w:p>
    <w:p w14:paraId="260EA3A8">
      <w:pPr>
        <w:spacing w:line="360" w:lineRule="auto"/>
        <w:ind w:firstLine="420" w:firstLineChars="200"/>
        <w:rPr>
          <w:rFonts w:ascii="宋体" w:hAnsi="宋体"/>
          <w:color w:val="auto"/>
          <w:szCs w:val="21"/>
        </w:rPr>
      </w:pPr>
      <w:r>
        <w:rPr>
          <w:rFonts w:hint="eastAsia" w:ascii="宋体" w:hAnsi="宋体"/>
          <w:color w:val="auto"/>
          <w:szCs w:val="21"/>
        </w:rPr>
        <w:t>1.承包人投标函中承诺的中标价为：</w:t>
      </w:r>
    </w:p>
    <w:p w14:paraId="00B3116C">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w:t>
      </w:r>
    </w:p>
    <w:p w14:paraId="6C653265">
      <w:pPr>
        <w:spacing w:line="360" w:lineRule="auto"/>
        <w:ind w:firstLine="420" w:firstLineChars="200"/>
        <w:rPr>
          <w:rFonts w:ascii="宋体" w:hAnsi="宋体"/>
          <w:color w:val="auto"/>
          <w:szCs w:val="21"/>
        </w:rPr>
      </w:pPr>
      <w:r>
        <w:rPr>
          <w:rFonts w:hint="eastAsia" w:ascii="宋体" w:hAnsi="宋体"/>
          <w:color w:val="auto"/>
          <w:szCs w:val="21"/>
        </w:rPr>
        <w:t>2.签约合同价为：</w:t>
      </w:r>
    </w:p>
    <w:p w14:paraId="1A684AE7">
      <w:pPr>
        <w:snapToGrid w:val="0"/>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0B4031E9">
      <w:pPr>
        <w:snapToGrid w:val="0"/>
        <w:spacing w:line="360" w:lineRule="auto"/>
        <w:ind w:firstLine="420" w:firstLineChars="200"/>
        <w:rPr>
          <w:rFonts w:ascii="宋体" w:hAnsi="宋体"/>
          <w:color w:val="auto"/>
          <w:szCs w:val="21"/>
        </w:rPr>
      </w:pPr>
      <w:r>
        <w:rPr>
          <w:rFonts w:hint="eastAsia" w:ascii="宋体" w:hAnsi="宋体"/>
          <w:color w:val="auto"/>
          <w:szCs w:val="21"/>
        </w:rPr>
        <w:t>其中：</w:t>
      </w:r>
    </w:p>
    <w:p w14:paraId="6BD84810">
      <w:pPr>
        <w:spacing w:line="360" w:lineRule="auto"/>
        <w:ind w:firstLine="420" w:firstLineChars="200"/>
        <w:rPr>
          <w:rFonts w:ascii="宋体" w:hAnsi="宋体"/>
          <w:color w:val="auto"/>
          <w:szCs w:val="21"/>
        </w:rPr>
      </w:pPr>
      <w:r>
        <w:rPr>
          <w:rFonts w:hint="eastAsia" w:ascii="宋体" w:hAnsi="宋体"/>
          <w:color w:val="auto"/>
          <w:szCs w:val="21"/>
        </w:rPr>
        <w:t>（1）安全文明施工费：</w:t>
      </w:r>
    </w:p>
    <w:p w14:paraId="1A405A0F">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01D5673E">
      <w:pPr>
        <w:spacing w:line="360" w:lineRule="auto"/>
        <w:ind w:firstLine="420" w:firstLineChars="200"/>
        <w:rPr>
          <w:rFonts w:ascii="宋体" w:hAnsi="宋体"/>
          <w:color w:val="auto"/>
          <w:szCs w:val="21"/>
        </w:rPr>
      </w:pPr>
      <w:r>
        <w:rPr>
          <w:rFonts w:hint="eastAsia" w:ascii="宋体" w:hAnsi="宋体"/>
          <w:color w:val="auto"/>
          <w:szCs w:val="21"/>
        </w:rPr>
        <w:t>（2）材料和工程设备暂估价金额：</w:t>
      </w:r>
    </w:p>
    <w:p w14:paraId="5C269DEF">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7BCD3CF0">
      <w:pPr>
        <w:spacing w:line="360" w:lineRule="auto"/>
        <w:ind w:firstLine="420" w:firstLineChars="200"/>
        <w:rPr>
          <w:rFonts w:ascii="宋体" w:hAnsi="宋体"/>
          <w:color w:val="auto"/>
          <w:szCs w:val="21"/>
        </w:rPr>
      </w:pPr>
      <w:r>
        <w:rPr>
          <w:rFonts w:hint="eastAsia" w:ascii="宋体" w:hAnsi="宋体"/>
          <w:color w:val="auto"/>
          <w:szCs w:val="21"/>
        </w:rPr>
        <w:t>（3）专业工程暂估价金额：</w:t>
      </w:r>
    </w:p>
    <w:p w14:paraId="2FEB8F0A">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2E7AB1D9">
      <w:pPr>
        <w:spacing w:line="360" w:lineRule="auto"/>
        <w:ind w:firstLine="420" w:firstLineChars="200"/>
        <w:rPr>
          <w:rFonts w:ascii="宋体" w:hAnsi="宋体"/>
          <w:color w:val="auto"/>
          <w:szCs w:val="21"/>
        </w:rPr>
      </w:pPr>
      <w:r>
        <w:rPr>
          <w:rFonts w:hint="eastAsia" w:ascii="宋体" w:hAnsi="宋体"/>
          <w:color w:val="auto"/>
          <w:szCs w:val="21"/>
        </w:rPr>
        <w:t>（4）暂列金额：</w:t>
      </w:r>
    </w:p>
    <w:p w14:paraId="69001526">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4FFBB82F">
      <w:pPr>
        <w:spacing w:line="360" w:lineRule="auto"/>
        <w:ind w:firstLine="420" w:firstLineChars="200"/>
        <w:rPr>
          <w:rFonts w:ascii="宋体" w:hAnsi="宋体"/>
          <w:color w:val="auto"/>
          <w:szCs w:val="21"/>
        </w:rPr>
      </w:pPr>
      <w:r>
        <w:rPr>
          <w:rFonts w:hint="eastAsia" w:ascii="宋体" w:hAnsi="宋体"/>
          <w:color w:val="auto"/>
          <w:szCs w:val="21"/>
        </w:rPr>
        <w:t>（5）人工费（工资款）</w:t>
      </w:r>
    </w:p>
    <w:p w14:paraId="42BDD586">
      <w:pPr>
        <w:spacing w:line="360" w:lineRule="auto"/>
        <w:ind w:firstLine="420" w:firstLineChars="200"/>
        <w:rPr>
          <w:rFonts w:ascii="宋体" w:hAnsi="宋体"/>
          <w:color w:val="auto"/>
          <w:szCs w:val="21"/>
        </w:rPr>
      </w:pPr>
      <w:r>
        <w:rPr>
          <w:rFonts w:hint="eastAsia" w:ascii="宋体" w:hAnsi="宋体"/>
          <w:color w:val="auto"/>
          <w:szCs w:val="21"/>
        </w:rPr>
        <w:t>该项目实行人工费（工资款）与其他工程款分账管理，发包人将应付工程款中的人工费（工资款），以不低于已完成合同价款的</w:t>
      </w:r>
      <w:r>
        <w:rPr>
          <w:rFonts w:hint="eastAsia" w:ascii="宋体" w:hAnsi="宋体"/>
          <w:color w:val="auto"/>
          <w:szCs w:val="21"/>
          <w:u w:val="single"/>
        </w:rPr>
        <w:t xml:space="preserve">    </w:t>
      </w:r>
      <w:r>
        <w:rPr>
          <w:rFonts w:hint="eastAsia" w:ascii="宋体" w:hAnsi="宋体"/>
          <w:color w:val="auto"/>
          <w:szCs w:val="21"/>
        </w:rPr>
        <w:t>（不低于25%，以设备采购为主的工程项目不受此限制），农民工工资单独支付至承包人设立的农民工工资专用账户。</w:t>
      </w:r>
    </w:p>
    <w:p w14:paraId="50223C02">
      <w:pPr>
        <w:spacing w:line="360" w:lineRule="auto"/>
        <w:ind w:firstLine="420" w:firstLineChars="200"/>
        <w:rPr>
          <w:rFonts w:ascii="宋体" w:hAnsi="宋体"/>
          <w:color w:val="auto"/>
          <w:szCs w:val="21"/>
        </w:rPr>
      </w:pPr>
      <w:r>
        <w:rPr>
          <w:rFonts w:hint="eastAsia" w:ascii="宋体" w:hAnsi="宋体"/>
          <w:color w:val="auto"/>
          <w:szCs w:val="21"/>
        </w:rPr>
        <w:t>3.合同价格形式：</w:t>
      </w:r>
      <w:r>
        <w:rPr>
          <w:rFonts w:ascii="宋体" w:hAnsi="宋体"/>
          <w:color w:val="auto"/>
          <w:szCs w:val="21"/>
          <w:u w:val="single"/>
        </w:rPr>
        <w:t xml:space="preserve">              </w:t>
      </w:r>
      <w:r>
        <w:rPr>
          <w:rFonts w:hint="eastAsia" w:ascii="宋体" w:hAnsi="宋体"/>
          <w:color w:val="auto"/>
          <w:szCs w:val="21"/>
        </w:rPr>
        <w:t>。</w:t>
      </w:r>
    </w:p>
    <w:p w14:paraId="5CA6AEDB">
      <w:pPr>
        <w:pStyle w:val="6"/>
        <w:keepNext/>
        <w:keepLines/>
        <w:spacing w:before="120" w:after="120" w:line="360" w:lineRule="auto"/>
        <w:ind w:firstLine="422" w:firstLineChars="200"/>
        <w:jc w:val="both"/>
        <w:rPr>
          <w:color w:val="auto"/>
          <w:kern w:val="2"/>
          <w:sz w:val="21"/>
          <w:szCs w:val="21"/>
        </w:rPr>
      </w:pPr>
      <w:bookmarkStart w:id="437" w:name="_Toc351203485"/>
      <w:bookmarkStart w:id="438" w:name="_Toc532377170"/>
      <w:bookmarkStart w:id="439" w:name="_Toc532375577"/>
      <w:r>
        <w:rPr>
          <w:rFonts w:hint="eastAsia"/>
          <w:color w:val="auto"/>
          <w:kern w:val="2"/>
          <w:sz w:val="21"/>
          <w:szCs w:val="21"/>
        </w:rPr>
        <w:t>五、</w:t>
      </w:r>
      <w:bookmarkEnd w:id="437"/>
      <w:r>
        <w:rPr>
          <w:rFonts w:hint="eastAsia"/>
          <w:color w:val="auto"/>
          <w:kern w:val="2"/>
          <w:sz w:val="21"/>
          <w:szCs w:val="21"/>
        </w:rPr>
        <w:t>项目经理及技术负责人</w:t>
      </w:r>
      <w:bookmarkEnd w:id="438"/>
      <w:bookmarkEnd w:id="439"/>
    </w:p>
    <w:p w14:paraId="20C9536B">
      <w:pPr>
        <w:spacing w:line="360" w:lineRule="auto"/>
        <w:ind w:firstLine="420" w:firstLineChars="200"/>
        <w:rPr>
          <w:rFonts w:ascii="宋体" w:hAnsi="宋体"/>
          <w:color w:val="auto"/>
          <w:szCs w:val="21"/>
        </w:rPr>
      </w:pPr>
      <w:r>
        <w:rPr>
          <w:rFonts w:hint="eastAsia" w:ascii="宋体" w:hAnsi="宋体"/>
          <w:color w:val="auto"/>
          <w:szCs w:val="21"/>
        </w:rPr>
        <w:t>承包人投标文件中承诺的项目经理：</w:t>
      </w:r>
    </w:p>
    <w:p w14:paraId="51E494E5">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450A61FE">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27A7D640">
      <w:pPr>
        <w:spacing w:line="360" w:lineRule="auto"/>
        <w:ind w:firstLine="420" w:firstLineChars="200"/>
        <w:rPr>
          <w:rFonts w:ascii="宋体" w:hAnsi="宋体"/>
          <w:color w:val="auto"/>
          <w:szCs w:val="21"/>
        </w:rPr>
      </w:pPr>
      <w:r>
        <w:rPr>
          <w:rFonts w:hint="eastAsia" w:ascii="宋体" w:hAnsi="宋体"/>
          <w:color w:val="auto"/>
          <w:szCs w:val="21"/>
        </w:rPr>
        <w:t>建造师</w:t>
      </w:r>
      <w:r>
        <w:rPr>
          <w:rFonts w:ascii="宋体" w:hAnsi="宋体"/>
          <w:color w:val="auto"/>
          <w:szCs w:val="21"/>
        </w:rPr>
        <w:t>注册证书号</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523D8945">
      <w:pPr>
        <w:spacing w:line="360" w:lineRule="auto"/>
        <w:ind w:firstLine="420" w:firstLineChars="200"/>
        <w:rPr>
          <w:rFonts w:ascii="宋体" w:hAnsi="宋体"/>
          <w:color w:val="auto"/>
          <w:szCs w:val="21"/>
        </w:rPr>
      </w:pPr>
      <w:r>
        <w:rPr>
          <w:rFonts w:hint="eastAsia" w:ascii="宋体" w:hAnsi="宋体"/>
          <w:color w:val="auto"/>
          <w:szCs w:val="21"/>
        </w:rPr>
        <w:t>承包人投标文件中承诺的技术负责人：</w:t>
      </w:r>
    </w:p>
    <w:p w14:paraId="6EBC7351">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049A0369">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0CAC319D">
      <w:pPr>
        <w:pStyle w:val="2"/>
        <w:spacing w:line="360" w:lineRule="auto"/>
        <w:rPr>
          <w:rFonts w:ascii="宋体" w:hAnsi="宋体"/>
          <w:color w:val="auto"/>
          <w:szCs w:val="21"/>
        </w:rPr>
      </w:pPr>
      <w:r>
        <w:rPr>
          <w:rFonts w:hint="eastAsia" w:ascii="宋体" w:hAnsi="宋体"/>
          <w:color w:val="auto"/>
          <w:szCs w:val="21"/>
        </w:rPr>
        <w:t xml:space="preserve">    证书名称</w:t>
      </w:r>
      <w:r>
        <w:rPr>
          <w:rFonts w:ascii="宋体" w:hAnsi="宋体"/>
          <w:color w:val="auto"/>
          <w:szCs w:val="21"/>
        </w:rPr>
        <w:t>及号码：</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5AE00931">
      <w:pPr>
        <w:pStyle w:val="6"/>
        <w:keepNext/>
        <w:keepLines/>
        <w:spacing w:before="120" w:after="120" w:line="360" w:lineRule="auto"/>
        <w:ind w:firstLine="422" w:firstLineChars="200"/>
        <w:jc w:val="both"/>
        <w:rPr>
          <w:color w:val="auto"/>
          <w:kern w:val="2"/>
          <w:sz w:val="21"/>
          <w:szCs w:val="21"/>
        </w:rPr>
      </w:pPr>
      <w:bookmarkStart w:id="440" w:name="_Toc532375578"/>
      <w:bookmarkStart w:id="441" w:name="_Toc532377171"/>
      <w:bookmarkStart w:id="442" w:name="_Toc351203486"/>
      <w:r>
        <w:rPr>
          <w:rFonts w:hint="eastAsia"/>
          <w:color w:val="auto"/>
          <w:kern w:val="2"/>
          <w:sz w:val="21"/>
          <w:szCs w:val="21"/>
        </w:rPr>
        <w:t>六、合同文件构成</w:t>
      </w:r>
      <w:bookmarkEnd w:id="440"/>
      <w:bookmarkEnd w:id="441"/>
      <w:bookmarkEnd w:id="442"/>
    </w:p>
    <w:p w14:paraId="37C2B819">
      <w:pPr>
        <w:spacing w:line="360" w:lineRule="auto"/>
        <w:ind w:firstLine="420" w:firstLineChars="200"/>
        <w:rPr>
          <w:rFonts w:ascii="宋体" w:hAnsi="宋体"/>
          <w:bCs/>
          <w:color w:val="auto"/>
          <w:szCs w:val="21"/>
        </w:rPr>
      </w:pPr>
      <w:r>
        <w:rPr>
          <w:rFonts w:hint="eastAsia" w:ascii="宋体" w:hAnsi="宋体"/>
          <w:bCs/>
          <w:color w:val="auto"/>
          <w:szCs w:val="21"/>
        </w:rPr>
        <w:t>合同由以下文件构成：</w:t>
      </w:r>
    </w:p>
    <w:p w14:paraId="3703E5ED">
      <w:pPr>
        <w:spacing w:line="360" w:lineRule="auto"/>
        <w:ind w:firstLine="420" w:firstLineChars="200"/>
        <w:rPr>
          <w:rFonts w:ascii="宋体" w:hAnsi="宋体"/>
          <w:color w:val="auto"/>
          <w:szCs w:val="21"/>
        </w:rPr>
      </w:pPr>
      <w:r>
        <w:rPr>
          <w:rFonts w:hint="eastAsia" w:ascii="宋体" w:hAnsi="宋体"/>
          <w:color w:val="auto"/>
          <w:szCs w:val="21"/>
        </w:rPr>
        <w:t>（1）合同协议书；</w:t>
      </w:r>
    </w:p>
    <w:p w14:paraId="11549E80">
      <w:pPr>
        <w:spacing w:line="360" w:lineRule="auto"/>
        <w:ind w:firstLine="420" w:firstLineChars="200"/>
        <w:rPr>
          <w:rFonts w:ascii="宋体" w:hAnsi="宋体"/>
          <w:color w:val="auto"/>
          <w:szCs w:val="21"/>
        </w:rPr>
      </w:pPr>
      <w:r>
        <w:rPr>
          <w:rFonts w:hint="eastAsia" w:ascii="宋体" w:hAnsi="宋体"/>
          <w:color w:val="auto"/>
          <w:szCs w:val="21"/>
        </w:rPr>
        <w:t>（2）中标通知书；</w:t>
      </w:r>
    </w:p>
    <w:p w14:paraId="22D9C04F">
      <w:pPr>
        <w:spacing w:line="360" w:lineRule="auto"/>
        <w:ind w:firstLine="420" w:firstLineChars="200"/>
        <w:rPr>
          <w:rFonts w:ascii="宋体" w:hAnsi="宋体"/>
          <w:color w:val="auto"/>
          <w:szCs w:val="21"/>
        </w:rPr>
      </w:pPr>
      <w:r>
        <w:rPr>
          <w:rFonts w:hint="eastAsia" w:ascii="宋体" w:hAnsi="宋体"/>
          <w:color w:val="auto"/>
          <w:szCs w:val="21"/>
        </w:rPr>
        <w:t>（3）投标函及投标函附录；</w:t>
      </w:r>
    </w:p>
    <w:p w14:paraId="1549E9AA">
      <w:pPr>
        <w:spacing w:line="360" w:lineRule="auto"/>
        <w:ind w:firstLine="420" w:firstLineChars="200"/>
        <w:rPr>
          <w:rFonts w:ascii="宋体" w:hAnsi="宋体"/>
          <w:color w:val="auto"/>
          <w:szCs w:val="21"/>
        </w:rPr>
      </w:pPr>
      <w:r>
        <w:rPr>
          <w:rFonts w:hint="eastAsia" w:ascii="宋体" w:hAnsi="宋体"/>
          <w:color w:val="auto"/>
          <w:szCs w:val="21"/>
        </w:rPr>
        <w:t>（4）专用合同条款及其附件；</w:t>
      </w:r>
    </w:p>
    <w:p w14:paraId="70A1F8CD">
      <w:pPr>
        <w:spacing w:line="360" w:lineRule="auto"/>
        <w:ind w:firstLine="420" w:firstLineChars="200"/>
        <w:rPr>
          <w:rFonts w:ascii="宋体" w:hAnsi="宋体"/>
          <w:color w:val="auto"/>
          <w:szCs w:val="21"/>
        </w:rPr>
      </w:pPr>
      <w:r>
        <w:rPr>
          <w:rFonts w:hint="eastAsia" w:ascii="宋体" w:hAnsi="宋体"/>
          <w:color w:val="auto"/>
          <w:szCs w:val="21"/>
        </w:rPr>
        <w:t>（5）通用合同条款；</w:t>
      </w:r>
    </w:p>
    <w:p w14:paraId="44CC32E8">
      <w:pPr>
        <w:spacing w:line="360" w:lineRule="auto"/>
        <w:ind w:firstLine="420" w:firstLineChars="200"/>
        <w:rPr>
          <w:rFonts w:ascii="宋体" w:hAnsi="宋体"/>
          <w:color w:val="auto"/>
          <w:szCs w:val="21"/>
        </w:rPr>
      </w:pPr>
      <w:r>
        <w:rPr>
          <w:rFonts w:hint="eastAsia" w:ascii="宋体" w:hAnsi="宋体"/>
          <w:color w:val="auto"/>
          <w:szCs w:val="21"/>
        </w:rPr>
        <w:t>（6）投标文件（投标函及投标函附录除外）；</w:t>
      </w:r>
    </w:p>
    <w:p w14:paraId="72F7053B">
      <w:pPr>
        <w:spacing w:line="360" w:lineRule="auto"/>
        <w:ind w:firstLine="420" w:firstLineChars="200"/>
        <w:rPr>
          <w:rFonts w:ascii="宋体" w:hAnsi="宋体"/>
          <w:color w:val="auto"/>
          <w:szCs w:val="21"/>
        </w:rPr>
      </w:pPr>
      <w:r>
        <w:rPr>
          <w:rFonts w:hint="eastAsia" w:ascii="宋体" w:hAnsi="宋体"/>
          <w:color w:val="auto"/>
          <w:szCs w:val="21"/>
        </w:rPr>
        <w:t>（7）采购文件及修改文件；</w:t>
      </w:r>
    </w:p>
    <w:p w14:paraId="3B8E9853">
      <w:pPr>
        <w:spacing w:line="360" w:lineRule="auto"/>
        <w:ind w:firstLine="420" w:firstLineChars="200"/>
        <w:rPr>
          <w:rFonts w:ascii="宋体" w:hAnsi="宋体"/>
          <w:color w:val="auto"/>
          <w:szCs w:val="21"/>
        </w:rPr>
      </w:pPr>
      <w:r>
        <w:rPr>
          <w:rFonts w:hint="eastAsia" w:ascii="宋体" w:hAnsi="宋体"/>
          <w:color w:val="auto"/>
          <w:szCs w:val="21"/>
        </w:rPr>
        <w:t>（8）技术标准和要求；</w:t>
      </w:r>
    </w:p>
    <w:p w14:paraId="5F5EC4BB">
      <w:pPr>
        <w:spacing w:line="360" w:lineRule="auto"/>
        <w:ind w:firstLine="420" w:firstLineChars="200"/>
        <w:rPr>
          <w:rFonts w:ascii="宋体" w:hAnsi="宋体"/>
          <w:color w:val="auto"/>
          <w:szCs w:val="21"/>
        </w:rPr>
      </w:pPr>
      <w:r>
        <w:rPr>
          <w:rFonts w:hint="eastAsia" w:ascii="宋体" w:hAnsi="宋体"/>
          <w:color w:val="auto"/>
          <w:szCs w:val="21"/>
        </w:rPr>
        <w:t>（9）图纸；</w:t>
      </w:r>
    </w:p>
    <w:p w14:paraId="452247BE">
      <w:pPr>
        <w:spacing w:line="360" w:lineRule="auto"/>
        <w:ind w:firstLine="420" w:firstLineChars="200"/>
        <w:rPr>
          <w:rFonts w:ascii="宋体" w:hAnsi="宋体"/>
          <w:color w:val="auto"/>
          <w:szCs w:val="21"/>
        </w:rPr>
      </w:pPr>
      <w:r>
        <w:rPr>
          <w:rFonts w:hint="eastAsia" w:ascii="宋体" w:hAnsi="宋体"/>
          <w:color w:val="auto"/>
          <w:szCs w:val="21"/>
        </w:rPr>
        <w:t>（10）其他合同文件。</w:t>
      </w:r>
    </w:p>
    <w:p w14:paraId="3F4DA5D7">
      <w:pPr>
        <w:spacing w:line="360" w:lineRule="auto"/>
        <w:ind w:firstLine="420" w:firstLineChars="200"/>
        <w:rPr>
          <w:rFonts w:ascii="宋体" w:hAnsi="宋体"/>
          <w:color w:val="auto"/>
          <w:szCs w:val="21"/>
        </w:rPr>
      </w:pPr>
      <w:r>
        <w:rPr>
          <w:rFonts w:hint="eastAsia" w:ascii="宋体" w:hAnsi="宋体"/>
          <w:color w:val="auto"/>
          <w:szCs w:val="21"/>
        </w:rPr>
        <w:t>在合同订立、履行过程中形成的与合同有关的书面形式的文件均构成合同文件组成部分。</w:t>
      </w:r>
    </w:p>
    <w:p w14:paraId="3874C7DB">
      <w:pPr>
        <w:spacing w:line="360" w:lineRule="auto"/>
        <w:ind w:firstLine="420" w:firstLineChars="200"/>
        <w:rPr>
          <w:rFonts w:ascii="宋体" w:hAnsi="宋体"/>
          <w:color w:val="auto"/>
          <w:szCs w:val="21"/>
        </w:rPr>
      </w:pPr>
      <w:r>
        <w:rPr>
          <w:rFonts w:hint="eastAsia"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2BA156DC">
      <w:pPr>
        <w:pStyle w:val="6"/>
        <w:keepNext/>
        <w:keepLines/>
        <w:spacing w:before="120" w:after="120" w:line="360" w:lineRule="auto"/>
        <w:ind w:firstLine="422" w:firstLineChars="200"/>
        <w:jc w:val="both"/>
        <w:rPr>
          <w:color w:val="auto"/>
          <w:kern w:val="2"/>
          <w:sz w:val="21"/>
          <w:szCs w:val="21"/>
        </w:rPr>
      </w:pPr>
      <w:bookmarkStart w:id="443" w:name="_Toc532375579"/>
      <w:bookmarkStart w:id="444" w:name="_Toc351203487"/>
      <w:bookmarkStart w:id="445" w:name="_Toc532377172"/>
      <w:r>
        <w:rPr>
          <w:rFonts w:hint="eastAsia"/>
          <w:color w:val="auto"/>
          <w:kern w:val="2"/>
          <w:sz w:val="21"/>
          <w:szCs w:val="21"/>
        </w:rPr>
        <w:t>七、承诺</w:t>
      </w:r>
      <w:bookmarkEnd w:id="443"/>
      <w:bookmarkEnd w:id="444"/>
      <w:bookmarkEnd w:id="445"/>
    </w:p>
    <w:p w14:paraId="688E0CD1">
      <w:pPr>
        <w:spacing w:line="360" w:lineRule="auto"/>
        <w:ind w:firstLine="420" w:firstLineChars="200"/>
        <w:rPr>
          <w:rFonts w:ascii="宋体" w:hAnsi="宋体"/>
          <w:bCs/>
          <w:color w:val="auto"/>
          <w:szCs w:val="21"/>
        </w:rPr>
      </w:pPr>
      <w:r>
        <w:rPr>
          <w:rFonts w:hint="eastAsia" w:ascii="宋体" w:hAnsi="宋体"/>
          <w:bCs/>
          <w:color w:val="auto"/>
          <w:szCs w:val="21"/>
        </w:rPr>
        <w:t>1.发包人承诺按照法律规定履行项目审批手续、筹集工程建设资金并按照合同约定的期限和方式支付合同价款。</w:t>
      </w:r>
    </w:p>
    <w:p w14:paraId="7875EED3">
      <w:pPr>
        <w:spacing w:line="360" w:lineRule="auto"/>
        <w:ind w:firstLine="420" w:firstLineChars="200"/>
        <w:rPr>
          <w:rFonts w:ascii="宋体" w:hAnsi="宋体"/>
          <w:bCs/>
          <w:color w:val="auto"/>
          <w:szCs w:val="21"/>
        </w:rPr>
      </w:pPr>
      <w:r>
        <w:rPr>
          <w:rFonts w:hint="eastAsia" w:ascii="宋体" w:hAnsi="宋体"/>
          <w:bCs/>
          <w:color w:val="auto"/>
          <w:szCs w:val="21"/>
        </w:rPr>
        <w:t>2.</w:t>
      </w:r>
      <w:r>
        <w:rPr>
          <w:rFonts w:hint="eastAsia" w:ascii="宋体" w:hAnsi="宋体"/>
          <w:color w:val="auto"/>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rPr>
        <w:t>。</w:t>
      </w:r>
    </w:p>
    <w:p w14:paraId="70677D3C">
      <w:pPr>
        <w:spacing w:line="360" w:lineRule="auto"/>
        <w:ind w:firstLine="420" w:firstLineChars="200"/>
        <w:rPr>
          <w:rFonts w:ascii="宋体" w:hAnsi="宋体"/>
          <w:bCs/>
          <w:color w:val="auto"/>
          <w:szCs w:val="21"/>
        </w:rPr>
      </w:pPr>
      <w:r>
        <w:rPr>
          <w:rFonts w:hint="eastAsia" w:ascii="宋体" w:hAnsi="宋体"/>
          <w:bCs/>
          <w:color w:val="auto"/>
          <w:szCs w:val="21"/>
        </w:rPr>
        <w:t>3.发包人和承包人通过招投标形式签订合同的，双方理解并承诺不再就同一工程另行签订与合同实质性内容相背离的协议。</w:t>
      </w:r>
    </w:p>
    <w:p w14:paraId="4A22B486">
      <w:pPr>
        <w:pStyle w:val="6"/>
        <w:keepNext/>
        <w:keepLines/>
        <w:spacing w:before="120" w:after="120" w:line="360" w:lineRule="auto"/>
        <w:ind w:firstLine="422" w:firstLineChars="200"/>
        <w:jc w:val="both"/>
        <w:rPr>
          <w:color w:val="auto"/>
          <w:kern w:val="2"/>
          <w:sz w:val="21"/>
          <w:szCs w:val="21"/>
        </w:rPr>
      </w:pPr>
      <w:bookmarkStart w:id="446" w:name="_Toc351203488"/>
      <w:bookmarkStart w:id="447" w:name="_Toc532375580"/>
      <w:bookmarkStart w:id="448" w:name="_Toc532377173"/>
      <w:r>
        <w:rPr>
          <w:rFonts w:hint="eastAsia"/>
          <w:color w:val="auto"/>
          <w:kern w:val="2"/>
          <w:sz w:val="21"/>
          <w:szCs w:val="21"/>
        </w:rPr>
        <w:t>八、词语含义</w:t>
      </w:r>
      <w:bookmarkEnd w:id="446"/>
      <w:bookmarkEnd w:id="447"/>
      <w:bookmarkEnd w:id="448"/>
    </w:p>
    <w:p w14:paraId="57A62393">
      <w:pPr>
        <w:spacing w:line="360" w:lineRule="auto"/>
        <w:ind w:firstLine="420" w:firstLineChars="200"/>
        <w:rPr>
          <w:rFonts w:ascii="宋体" w:hAnsi="宋体"/>
          <w:bCs/>
          <w:color w:val="auto"/>
          <w:szCs w:val="21"/>
        </w:rPr>
      </w:pPr>
      <w:r>
        <w:rPr>
          <w:rFonts w:hint="eastAsia" w:ascii="宋体" w:hAnsi="宋体"/>
          <w:bCs/>
          <w:color w:val="auto"/>
          <w:szCs w:val="21"/>
        </w:rPr>
        <w:t>本协议书中词语含义与专用合同条款及通用合同条款中赋予的含义相同。</w:t>
      </w:r>
    </w:p>
    <w:p w14:paraId="14F5CBBA">
      <w:pPr>
        <w:pStyle w:val="6"/>
        <w:keepNext/>
        <w:keepLines/>
        <w:spacing w:before="120" w:after="120" w:line="360" w:lineRule="auto"/>
        <w:ind w:firstLine="422" w:firstLineChars="200"/>
        <w:jc w:val="both"/>
        <w:rPr>
          <w:color w:val="auto"/>
          <w:kern w:val="2"/>
          <w:sz w:val="21"/>
          <w:szCs w:val="21"/>
        </w:rPr>
      </w:pPr>
      <w:bookmarkStart w:id="449" w:name="_Toc532377174"/>
      <w:bookmarkStart w:id="450" w:name="_Toc532375581"/>
      <w:r>
        <w:rPr>
          <w:rFonts w:hint="eastAsia"/>
          <w:color w:val="auto"/>
          <w:kern w:val="2"/>
          <w:sz w:val="21"/>
          <w:szCs w:val="21"/>
        </w:rPr>
        <w:t>九、签订时间</w:t>
      </w:r>
      <w:bookmarkEnd w:id="449"/>
      <w:bookmarkEnd w:id="450"/>
    </w:p>
    <w:p w14:paraId="0C86DB6F">
      <w:pPr>
        <w:spacing w:line="360" w:lineRule="auto"/>
        <w:ind w:firstLine="420" w:firstLineChars="200"/>
        <w:rPr>
          <w:rFonts w:ascii="宋体" w:hAnsi="宋体"/>
          <w:color w:val="auto"/>
          <w:szCs w:val="21"/>
        </w:rPr>
      </w:pPr>
      <w:r>
        <w:rPr>
          <w:rFonts w:hint="eastAsia" w:ascii="宋体" w:hAnsi="宋体"/>
          <w:bCs/>
          <w:color w:val="auto"/>
          <w:szCs w:val="21"/>
        </w:rPr>
        <w:t>合同于</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日签订</w:t>
      </w:r>
    </w:p>
    <w:p w14:paraId="5AF333FD">
      <w:pPr>
        <w:pStyle w:val="6"/>
        <w:keepNext/>
        <w:keepLines/>
        <w:spacing w:before="120" w:after="120" w:line="360" w:lineRule="auto"/>
        <w:ind w:firstLine="422" w:firstLineChars="200"/>
        <w:jc w:val="both"/>
        <w:rPr>
          <w:color w:val="auto"/>
          <w:kern w:val="2"/>
          <w:sz w:val="21"/>
          <w:szCs w:val="21"/>
        </w:rPr>
      </w:pPr>
      <w:bookmarkStart w:id="451" w:name="_Toc351203489"/>
      <w:bookmarkStart w:id="452" w:name="_Toc532375582"/>
      <w:bookmarkStart w:id="453" w:name="_Toc532377175"/>
      <w:r>
        <w:rPr>
          <w:rFonts w:hint="eastAsia"/>
          <w:color w:val="auto"/>
          <w:kern w:val="2"/>
          <w:sz w:val="21"/>
          <w:szCs w:val="21"/>
        </w:rPr>
        <w:t>十、</w:t>
      </w:r>
      <w:bookmarkEnd w:id="451"/>
      <w:bookmarkStart w:id="454" w:name="_Toc351203490"/>
      <w:r>
        <w:rPr>
          <w:rFonts w:hint="eastAsia"/>
          <w:color w:val="auto"/>
          <w:kern w:val="2"/>
          <w:sz w:val="21"/>
          <w:szCs w:val="21"/>
        </w:rPr>
        <w:t>签订地点</w:t>
      </w:r>
      <w:bookmarkEnd w:id="452"/>
      <w:bookmarkEnd w:id="453"/>
      <w:bookmarkEnd w:id="454"/>
    </w:p>
    <w:p w14:paraId="23B828A7">
      <w:pPr>
        <w:spacing w:line="360" w:lineRule="auto"/>
        <w:ind w:firstLine="420" w:firstLineChars="200"/>
        <w:rPr>
          <w:rFonts w:ascii="宋体" w:hAnsi="宋体"/>
          <w:bCs/>
          <w:color w:val="auto"/>
          <w:szCs w:val="21"/>
        </w:rPr>
      </w:pPr>
      <w:r>
        <w:rPr>
          <w:rFonts w:hint="eastAsia" w:ascii="宋体" w:hAnsi="宋体"/>
          <w:bCs/>
          <w:color w:val="auto"/>
          <w:szCs w:val="21"/>
        </w:rPr>
        <w:t>合同在</w:t>
      </w:r>
      <w:r>
        <w:rPr>
          <w:rFonts w:hint="eastAsia" w:ascii="宋体" w:hAnsi="宋体"/>
          <w:bCs/>
          <w:color w:val="auto"/>
          <w:szCs w:val="21"/>
          <w:u w:val="single"/>
        </w:rPr>
        <w:t xml:space="preserve">            </w:t>
      </w:r>
      <w:r>
        <w:rPr>
          <w:rFonts w:hint="eastAsia" w:ascii="宋体" w:hAnsi="宋体"/>
          <w:bCs/>
          <w:color w:val="auto"/>
          <w:szCs w:val="21"/>
        </w:rPr>
        <w:t>签订。</w:t>
      </w:r>
    </w:p>
    <w:p w14:paraId="7CD93825">
      <w:pPr>
        <w:pStyle w:val="6"/>
        <w:keepNext/>
        <w:keepLines/>
        <w:spacing w:before="120" w:after="120" w:line="360" w:lineRule="auto"/>
        <w:ind w:firstLine="422" w:firstLineChars="200"/>
        <w:jc w:val="both"/>
        <w:rPr>
          <w:color w:val="auto"/>
          <w:kern w:val="2"/>
          <w:sz w:val="21"/>
          <w:szCs w:val="21"/>
        </w:rPr>
      </w:pPr>
      <w:bookmarkStart w:id="455" w:name="_Toc351203491"/>
      <w:bookmarkStart w:id="456" w:name="_Toc532375583"/>
      <w:bookmarkStart w:id="457" w:name="_Toc532377176"/>
      <w:r>
        <w:rPr>
          <w:rFonts w:hint="eastAsia"/>
          <w:color w:val="auto"/>
          <w:kern w:val="2"/>
          <w:sz w:val="21"/>
          <w:szCs w:val="21"/>
        </w:rPr>
        <w:t>十一、补充协议</w:t>
      </w:r>
      <w:bookmarkEnd w:id="455"/>
      <w:bookmarkEnd w:id="456"/>
      <w:bookmarkEnd w:id="457"/>
    </w:p>
    <w:p w14:paraId="128CA7C1">
      <w:pPr>
        <w:spacing w:line="360" w:lineRule="auto"/>
        <w:ind w:firstLine="420" w:firstLineChars="200"/>
        <w:rPr>
          <w:rFonts w:ascii="宋体" w:hAnsi="宋体"/>
          <w:b/>
          <w:bCs/>
          <w:color w:val="auto"/>
          <w:szCs w:val="21"/>
        </w:rPr>
      </w:pPr>
      <w:r>
        <w:rPr>
          <w:rFonts w:hint="eastAsia" w:ascii="宋体" w:hAnsi="宋体"/>
          <w:bCs/>
          <w:color w:val="auto"/>
          <w:szCs w:val="21"/>
        </w:rPr>
        <w:t>合同未尽事宜，合同当事人另行签订补充协议，补充协议是合同的组成部分。</w:t>
      </w:r>
    </w:p>
    <w:p w14:paraId="5D7774B6">
      <w:pPr>
        <w:pStyle w:val="6"/>
        <w:keepNext/>
        <w:keepLines/>
        <w:spacing w:before="120" w:after="120" w:line="360" w:lineRule="auto"/>
        <w:ind w:firstLine="422" w:firstLineChars="200"/>
        <w:jc w:val="both"/>
        <w:rPr>
          <w:color w:val="auto"/>
          <w:kern w:val="2"/>
          <w:sz w:val="21"/>
          <w:szCs w:val="21"/>
        </w:rPr>
      </w:pPr>
      <w:bookmarkStart w:id="458" w:name="_Toc532375584"/>
      <w:bookmarkStart w:id="459" w:name="_Toc532377177"/>
      <w:bookmarkStart w:id="460" w:name="_Toc351203492"/>
      <w:r>
        <w:rPr>
          <w:rFonts w:hint="eastAsia"/>
          <w:color w:val="auto"/>
          <w:kern w:val="2"/>
          <w:sz w:val="21"/>
          <w:szCs w:val="21"/>
        </w:rPr>
        <w:t>十二、合同生效</w:t>
      </w:r>
      <w:bookmarkEnd w:id="458"/>
      <w:bookmarkEnd w:id="459"/>
      <w:bookmarkEnd w:id="460"/>
    </w:p>
    <w:p w14:paraId="1120DC20">
      <w:pPr>
        <w:spacing w:line="360" w:lineRule="auto"/>
        <w:ind w:firstLine="420" w:firstLineChars="200"/>
        <w:rPr>
          <w:rFonts w:ascii="宋体" w:hAnsi="宋体"/>
          <w:bCs/>
          <w:color w:val="auto"/>
          <w:szCs w:val="21"/>
        </w:rPr>
      </w:pPr>
      <w:r>
        <w:rPr>
          <w:rFonts w:hint="eastAsia" w:ascii="宋体" w:hAnsi="宋体"/>
          <w:bCs/>
          <w:color w:val="auto"/>
          <w:szCs w:val="21"/>
        </w:rPr>
        <w:t>合同在以下条件全部满足之后生效：</w:t>
      </w:r>
    </w:p>
    <w:p w14:paraId="6966FEEA">
      <w:pPr>
        <w:spacing w:line="360" w:lineRule="auto"/>
        <w:ind w:firstLine="420" w:firstLineChars="200"/>
        <w:rPr>
          <w:rFonts w:ascii="宋体" w:hAnsi="宋体"/>
          <w:color w:val="auto"/>
          <w:szCs w:val="21"/>
        </w:rPr>
      </w:pPr>
      <w:r>
        <w:rPr>
          <w:rFonts w:hint="eastAsia" w:ascii="宋体" w:hAnsi="宋体"/>
          <w:bCs/>
          <w:color w:val="auto"/>
          <w:szCs w:val="21"/>
        </w:rPr>
        <w:t>1.合同</w:t>
      </w:r>
      <w:r>
        <w:rPr>
          <w:rFonts w:hint="eastAsia" w:ascii="宋体" w:hAnsi="宋体"/>
          <w:color w:val="auto"/>
          <w:szCs w:val="21"/>
        </w:rPr>
        <w:t>经双方法定代表人或其委托代理人签字并加盖</w:t>
      </w:r>
      <w:r>
        <w:rPr>
          <w:rFonts w:hint="eastAsia" w:ascii="宋体" w:hAnsi="宋体"/>
          <w:snapToGrid w:val="0"/>
          <w:color w:val="auto"/>
          <w:kern w:val="0"/>
          <w:szCs w:val="21"/>
        </w:rPr>
        <w:t>公章或合同专用章</w:t>
      </w:r>
      <w:r>
        <w:rPr>
          <w:rFonts w:hint="eastAsia" w:ascii="宋体" w:hAnsi="宋体"/>
          <w:color w:val="auto"/>
          <w:szCs w:val="21"/>
        </w:rPr>
        <w:t>；</w:t>
      </w:r>
    </w:p>
    <w:p w14:paraId="6E182BBA">
      <w:pPr>
        <w:spacing w:line="360" w:lineRule="auto"/>
        <w:ind w:firstLine="420" w:firstLineChars="200"/>
        <w:rPr>
          <w:rFonts w:ascii="宋体" w:hAnsi="宋体"/>
          <w:color w:val="auto"/>
          <w:szCs w:val="21"/>
        </w:rPr>
      </w:pPr>
      <w:r>
        <w:rPr>
          <w:rFonts w:hint="eastAsia" w:ascii="宋体" w:hAnsi="宋体"/>
          <w:color w:val="auto"/>
          <w:szCs w:val="21"/>
        </w:rPr>
        <w:t>2.采用保函形式递交履约担保的，承包人按合同约定向发包人提交履约担保后；</w:t>
      </w:r>
    </w:p>
    <w:p w14:paraId="0751D273">
      <w:pPr>
        <w:spacing w:line="360" w:lineRule="auto"/>
        <w:ind w:firstLine="420" w:firstLineChars="200"/>
        <w:rPr>
          <w:rFonts w:ascii="宋体" w:hAnsi="宋体"/>
          <w:bCs/>
          <w:color w:val="auto"/>
          <w:szCs w:val="21"/>
        </w:rPr>
      </w:pPr>
      <w:r>
        <w:rPr>
          <w:rFonts w:hint="eastAsia" w:ascii="宋体" w:hAnsi="宋体"/>
          <w:bCs/>
          <w:color w:val="auto"/>
          <w:szCs w:val="21"/>
        </w:rPr>
        <w:t>3.</w:t>
      </w:r>
      <w:r>
        <w:rPr>
          <w:rFonts w:hint="eastAsia" w:ascii="宋体" w:hAnsi="宋体"/>
          <w:color w:val="auto"/>
          <w:szCs w:val="21"/>
          <w:u w:val="single"/>
        </w:rPr>
        <w:t xml:space="preserve">        </w:t>
      </w:r>
      <w:r>
        <w:rPr>
          <w:rFonts w:hint="eastAsia" w:ascii="宋体" w:hAnsi="宋体"/>
          <w:color w:val="auto"/>
          <w:szCs w:val="21"/>
        </w:rPr>
        <w:t>。</w:t>
      </w:r>
    </w:p>
    <w:p w14:paraId="30DB4D1D">
      <w:pPr>
        <w:pStyle w:val="6"/>
        <w:keepNext/>
        <w:keepLines/>
        <w:spacing w:before="120" w:after="120" w:line="360" w:lineRule="auto"/>
        <w:ind w:firstLine="422" w:firstLineChars="200"/>
        <w:jc w:val="both"/>
        <w:rPr>
          <w:color w:val="auto"/>
          <w:kern w:val="2"/>
          <w:sz w:val="21"/>
          <w:szCs w:val="21"/>
        </w:rPr>
      </w:pPr>
      <w:bookmarkStart w:id="461" w:name="_Toc351203493"/>
      <w:bookmarkStart w:id="462" w:name="_Toc532377178"/>
      <w:bookmarkStart w:id="463" w:name="_Toc532375585"/>
      <w:r>
        <w:rPr>
          <w:rFonts w:hint="eastAsia"/>
          <w:color w:val="auto"/>
          <w:kern w:val="2"/>
          <w:sz w:val="21"/>
          <w:szCs w:val="21"/>
        </w:rPr>
        <w:t>十三、合同份数</w:t>
      </w:r>
      <w:bookmarkEnd w:id="461"/>
      <w:bookmarkEnd w:id="462"/>
      <w:bookmarkEnd w:id="463"/>
    </w:p>
    <w:p w14:paraId="7756117F">
      <w:pPr>
        <w:spacing w:line="360" w:lineRule="auto"/>
        <w:ind w:firstLine="420" w:firstLineChars="200"/>
        <w:rPr>
          <w:rFonts w:ascii="宋体" w:hAnsi="宋体"/>
          <w:bCs/>
          <w:color w:val="auto"/>
          <w:szCs w:val="21"/>
        </w:rPr>
      </w:pPr>
      <w:r>
        <w:rPr>
          <w:rFonts w:hint="eastAsia" w:ascii="宋体" w:hAnsi="宋体" w:cs="Microsoft Sans Serif"/>
          <w:bCs/>
          <w:color w:val="auto"/>
          <w:szCs w:val="21"/>
        </w:rPr>
        <w:t>合同一式</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份，其中正本</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份，双方各持</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份，副本</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份，双方各执</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份。副本与正本不一致时，以正本为准</w:t>
      </w:r>
      <w:r>
        <w:rPr>
          <w:rFonts w:hint="eastAsia" w:ascii="宋体" w:hAnsi="宋体"/>
          <w:bCs/>
          <w:color w:val="auto"/>
          <w:szCs w:val="21"/>
        </w:rPr>
        <w:t>。</w:t>
      </w:r>
    </w:p>
    <w:p w14:paraId="2D91C0B5">
      <w:pPr>
        <w:spacing w:line="360" w:lineRule="auto"/>
        <w:ind w:firstLine="420" w:firstLineChars="200"/>
        <w:rPr>
          <w:rFonts w:ascii="宋体" w:hAnsi="宋体"/>
          <w:bCs/>
          <w:color w:val="auto"/>
          <w:szCs w:val="21"/>
        </w:rPr>
      </w:pPr>
    </w:p>
    <w:p w14:paraId="415BE8AF">
      <w:pPr>
        <w:spacing w:line="360" w:lineRule="auto"/>
        <w:ind w:firstLine="420" w:firstLineChars="200"/>
        <w:rPr>
          <w:rFonts w:ascii="宋体" w:hAnsi="宋体"/>
          <w:bCs/>
          <w:color w:val="auto"/>
          <w:szCs w:val="21"/>
        </w:rPr>
      </w:pPr>
      <w:r>
        <w:rPr>
          <w:rFonts w:hint="eastAsia" w:ascii="宋体" w:hAnsi="宋体"/>
          <w:bCs/>
          <w:color w:val="auto"/>
          <w:szCs w:val="21"/>
        </w:rPr>
        <w:t>（以下为签字盖章页）。</w:t>
      </w:r>
    </w:p>
    <w:p w14:paraId="6B6F7CFB">
      <w:pPr>
        <w:pStyle w:val="2"/>
        <w:spacing w:line="360" w:lineRule="auto"/>
        <w:ind w:firstLine="420" w:firstLineChars="200"/>
        <w:rPr>
          <w:rFonts w:ascii="宋体" w:hAnsi="宋体"/>
          <w:color w:val="auto"/>
          <w:szCs w:val="21"/>
        </w:rPr>
      </w:pPr>
    </w:p>
    <w:p w14:paraId="37519221">
      <w:pPr>
        <w:pStyle w:val="2"/>
        <w:spacing w:line="360" w:lineRule="auto"/>
        <w:ind w:firstLine="420" w:firstLineChars="200"/>
        <w:rPr>
          <w:rFonts w:ascii="宋体" w:hAnsi="宋体"/>
          <w:color w:val="auto"/>
          <w:szCs w:val="21"/>
        </w:rPr>
      </w:pPr>
    </w:p>
    <w:p w14:paraId="2BA57641">
      <w:pPr>
        <w:adjustRightInd w:val="0"/>
        <w:spacing w:line="360" w:lineRule="auto"/>
        <w:ind w:firstLine="420" w:firstLineChars="200"/>
        <w:rPr>
          <w:rFonts w:ascii="宋体" w:hAnsi="宋体"/>
          <w:snapToGrid w:val="0"/>
          <w:color w:val="auto"/>
          <w:kern w:val="0"/>
          <w:szCs w:val="21"/>
        </w:rPr>
      </w:pPr>
      <w:bookmarkStart w:id="464" w:name="_Toc467689623"/>
      <w:r>
        <w:rPr>
          <w:rFonts w:ascii="宋体" w:hAnsi="宋体"/>
          <w:snapToGrid w:val="0"/>
          <w:color w:val="auto"/>
          <w:kern w:val="0"/>
          <w:szCs w:val="21"/>
        </w:rPr>
        <w:t>发包人：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6214A9B3">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签字</w:t>
      </w:r>
      <w:r>
        <w:rPr>
          <w:rFonts w:ascii="宋体" w:hAnsi="宋体"/>
          <w:snapToGrid w:val="0"/>
          <w:color w:val="auto"/>
          <w:kern w:val="0"/>
          <w:szCs w:val="21"/>
        </w:rPr>
        <w:t>）</w:t>
      </w:r>
    </w:p>
    <w:p w14:paraId="6C1602E0">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4881AEBF">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C18E917">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49F7FA60">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755D071">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0621B08">
      <w:pPr>
        <w:spacing w:line="360" w:lineRule="auto"/>
        <w:ind w:firstLine="420" w:firstLineChars="200"/>
        <w:rPr>
          <w:rFonts w:ascii="宋体" w:hAnsi="宋体"/>
          <w:color w:val="auto"/>
          <w:szCs w:val="21"/>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AFE2EB7">
      <w:pPr>
        <w:spacing w:line="360" w:lineRule="auto"/>
        <w:rPr>
          <w:rFonts w:ascii="宋体" w:hAnsi="宋体"/>
          <w:snapToGrid w:val="0"/>
          <w:color w:val="auto"/>
          <w:kern w:val="0"/>
          <w:szCs w:val="21"/>
        </w:rPr>
      </w:pPr>
    </w:p>
    <w:p w14:paraId="66E11CA5">
      <w:pPr>
        <w:spacing w:line="360" w:lineRule="auto"/>
        <w:ind w:firstLine="420" w:firstLineChars="200"/>
        <w:rPr>
          <w:rFonts w:ascii="宋体" w:hAnsi="宋体"/>
          <w:color w:val="auto"/>
          <w:szCs w:val="21"/>
        </w:rPr>
      </w:pPr>
      <w:r>
        <w:rPr>
          <w:rFonts w:ascii="宋体" w:hAnsi="宋体"/>
          <w:snapToGrid w:val="0"/>
          <w:color w:val="auto"/>
          <w:kern w:val="0"/>
          <w:szCs w:val="21"/>
        </w:rPr>
        <w:t>承包人：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3E010245">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签字</w:t>
      </w:r>
      <w:r>
        <w:rPr>
          <w:rFonts w:ascii="宋体" w:hAnsi="宋体"/>
          <w:snapToGrid w:val="0"/>
          <w:color w:val="auto"/>
          <w:kern w:val="0"/>
          <w:szCs w:val="21"/>
        </w:rPr>
        <w:t>）</w:t>
      </w:r>
    </w:p>
    <w:p w14:paraId="0B47A1C6">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65A1BA03">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BD0032B">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1C223484">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5836E152">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45D5D30D">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69C7439F">
      <w:pPr>
        <w:pStyle w:val="2"/>
        <w:spacing w:line="360" w:lineRule="auto"/>
        <w:rPr>
          <w:rFonts w:ascii="宋体" w:hAnsi="宋体"/>
          <w:color w:val="auto"/>
          <w:szCs w:val="21"/>
        </w:rPr>
      </w:pPr>
    </w:p>
    <w:p w14:paraId="213EE5FD">
      <w:pPr>
        <w:spacing w:line="360" w:lineRule="auto"/>
        <w:jc w:val="right"/>
        <w:rPr>
          <w:rFonts w:ascii="宋体" w:hAnsi="宋体"/>
          <w:snapToGrid w:val="0"/>
          <w:color w:val="auto"/>
          <w:kern w:val="0"/>
          <w:szCs w:val="21"/>
        </w:rPr>
      </w:pPr>
    </w:p>
    <w:p w14:paraId="5E7BCC84">
      <w:pPr>
        <w:spacing w:line="360" w:lineRule="auto"/>
        <w:jc w:val="right"/>
        <w:rPr>
          <w:rFonts w:ascii="宋体" w:hAnsi="宋体"/>
          <w:snapToGrid w:val="0"/>
          <w:color w:val="auto"/>
          <w:kern w:val="0"/>
          <w:szCs w:val="21"/>
        </w:rPr>
      </w:pPr>
    </w:p>
    <w:p w14:paraId="205B2A9F">
      <w:pPr>
        <w:spacing w:line="360" w:lineRule="auto"/>
        <w:jc w:val="right"/>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bookmarkEnd w:id="464"/>
    </w:p>
    <w:p w14:paraId="2F783390">
      <w:pPr>
        <w:pStyle w:val="5"/>
        <w:jc w:val="center"/>
        <w:rPr>
          <w:rFonts w:ascii="宋体" w:hAnsi="宋体"/>
          <w:bCs w:val="0"/>
          <w:color w:val="auto"/>
          <w:sz w:val="21"/>
          <w:szCs w:val="21"/>
        </w:rPr>
      </w:pPr>
      <w:r>
        <w:rPr>
          <w:rFonts w:hint="eastAsia" w:ascii="宋体" w:hAnsi="宋体"/>
          <w:b w:val="0"/>
          <w:snapToGrid w:val="0"/>
          <w:color w:val="auto"/>
          <w:sz w:val="21"/>
          <w:szCs w:val="21"/>
          <w:lang w:val="zh-CN"/>
        </w:rPr>
        <w:br w:type="page"/>
      </w:r>
      <w:bookmarkStart w:id="465" w:name="_Toc529388289"/>
      <w:bookmarkStart w:id="466" w:name="_Toc532377179"/>
      <w:bookmarkStart w:id="467" w:name="_Toc14710"/>
      <w:bookmarkStart w:id="468" w:name="_Toc532375586"/>
      <w:r>
        <w:rPr>
          <w:rFonts w:hint="eastAsia" w:ascii="宋体" w:hAnsi="宋体"/>
          <w:color w:val="auto"/>
          <w:sz w:val="44"/>
          <w:szCs w:val="44"/>
        </w:rPr>
        <w:t>第二部分 通用合同条款</w:t>
      </w:r>
      <w:bookmarkEnd w:id="465"/>
      <w:bookmarkEnd w:id="466"/>
      <w:bookmarkEnd w:id="467"/>
      <w:bookmarkEnd w:id="468"/>
    </w:p>
    <w:p w14:paraId="3BA3AA4E">
      <w:pPr>
        <w:pStyle w:val="6"/>
        <w:keepNext/>
        <w:keepLines/>
        <w:spacing w:beforeLines="50" w:beforeAutospacing="0" w:afterLines="50" w:afterAutospacing="0" w:line="360" w:lineRule="auto"/>
        <w:jc w:val="both"/>
        <w:rPr>
          <w:color w:val="auto"/>
          <w:kern w:val="2"/>
          <w:sz w:val="21"/>
          <w:szCs w:val="21"/>
        </w:rPr>
      </w:pPr>
      <w:bookmarkStart w:id="469" w:name="_Toc532375587"/>
      <w:bookmarkStart w:id="470" w:name="_Toc532377180"/>
      <w:bookmarkStart w:id="471" w:name="_Toc351203495"/>
      <w:r>
        <w:rPr>
          <w:rFonts w:hint="eastAsia"/>
          <w:color w:val="auto"/>
          <w:kern w:val="2"/>
          <w:sz w:val="21"/>
          <w:szCs w:val="21"/>
        </w:rPr>
        <w:t>1.</w:t>
      </w:r>
      <w:bookmarkStart w:id="472" w:name="_Toc303538973"/>
      <w:bookmarkEnd w:id="472"/>
      <w:bookmarkStart w:id="473" w:name="_Toc303538976"/>
      <w:bookmarkEnd w:id="473"/>
      <w:bookmarkStart w:id="474" w:name="_Toc303538975"/>
      <w:bookmarkEnd w:id="474"/>
      <w:bookmarkStart w:id="475" w:name="_Toc303538974"/>
      <w:bookmarkEnd w:id="475"/>
      <w:bookmarkStart w:id="476" w:name="_Toc303538972"/>
      <w:bookmarkEnd w:id="476"/>
      <w:bookmarkStart w:id="477" w:name="_Toc296346528"/>
      <w:bookmarkStart w:id="478" w:name="_Toc296503027"/>
      <w:r>
        <w:rPr>
          <w:rFonts w:hint="eastAsia"/>
          <w:color w:val="auto"/>
          <w:kern w:val="2"/>
          <w:sz w:val="21"/>
          <w:szCs w:val="21"/>
        </w:rPr>
        <w:t>一般约定</w:t>
      </w:r>
      <w:bookmarkEnd w:id="469"/>
      <w:bookmarkEnd w:id="470"/>
      <w:bookmarkEnd w:id="471"/>
      <w:bookmarkEnd w:id="477"/>
      <w:bookmarkEnd w:id="478"/>
    </w:p>
    <w:p w14:paraId="62B9A8A6">
      <w:pPr>
        <w:pStyle w:val="7"/>
        <w:spacing w:before="0" w:beforeAutospacing="0" w:after="0" w:afterAutospacing="0" w:line="360" w:lineRule="auto"/>
        <w:ind w:firstLine="422" w:firstLineChars="200"/>
        <w:rPr>
          <w:color w:val="auto"/>
          <w:sz w:val="21"/>
          <w:szCs w:val="21"/>
        </w:rPr>
      </w:pPr>
      <w:bookmarkStart w:id="479" w:name="_Toc296503028"/>
      <w:bookmarkStart w:id="480" w:name="_Toc337558728"/>
      <w:bookmarkStart w:id="481" w:name="_Toc296346529"/>
      <w:bookmarkStart w:id="482" w:name="_Toc532377181"/>
      <w:bookmarkStart w:id="483" w:name="_Toc351203496"/>
      <w:r>
        <w:rPr>
          <w:rFonts w:hint="eastAsia"/>
          <w:color w:val="auto"/>
          <w:sz w:val="21"/>
          <w:szCs w:val="21"/>
        </w:rPr>
        <w:t>1.1词语定义</w:t>
      </w:r>
      <w:bookmarkEnd w:id="479"/>
      <w:bookmarkEnd w:id="480"/>
      <w:bookmarkEnd w:id="481"/>
      <w:r>
        <w:rPr>
          <w:rFonts w:hint="eastAsia"/>
          <w:color w:val="auto"/>
          <w:sz w:val="21"/>
          <w:szCs w:val="21"/>
        </w:rPr>
        <w:t>与解释</w:t>
      </w:r>
      <w:bookmarkEnd w:id="482"/>
      <w:bookmarkEnd w:id="483"/>
    </w:p>
    <w:p w14:paraId="61A2F8C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合同协议书、通用合同条款、专用合同条款中的下列词语具有本款所赋予的含义：</w:t>
      </w:r>
    </w:p>
    <w:p w14:paraId="53ADAB01">
      <w:pPr>
        <w:pStyle w:val="7"/>
        <w:spacing w:before="0" w:beforeAutospacing="0" w:after="0" w:afterAutospacing="0" w:line="360" w:lineRule="auto"/>
        <w:ind w:firstLine="420" w:firstLineChars="200"/>
        <w:rPr>
          <w:b w:val="0"/>
          <w:bCs w:val="0"/>
          <w:color w:val="auto"/>
          <w:sz w:val="21"/>
          <w:szCs w:val="21"/>
        </w:rPr>
      </w:pPr>
      <w:bookmarkStart w:id="484" w:name="_Toc532377182"/>
      <w:r>
        <w:rPr>
          <w:rFonts w:hint="eastAsia"/>
          <w:b w:val="0"/>
          <w:bCs w:val="0"/>
          <w:color w:val="auto"/>
          <w:sz w:val="21"/>
          <w:szCs w:val="21"/>
        </w:rPr>
        <w:t>1.1.1 合同</w:t>
      </w:r>
      <w:bookmarkEnd w:id="484"/>
    </w:p>
    <w:p w14:paraId="6A857B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rPr>
        <w:t>及其附件</w:t>
      </w:r>
      <w:r>
        <w:rPr>
          <w:rFonts w:hint="eastAsia" w:ascii="宋体" w:hAnsi="宋体"/>
          <w:color w:val="auto"/>
          <w:kern w:val="0"/>
          <w:szCs w:val="21"/>
        </w:rPr>
        <w:t>、通用合同条款、技术标准和要求、图纸、已标价工程量清单或预算书以及其他合同文件。</w:t>
      </w:r>
    </w:p>
    <w:p w14:paraId="6A7A4DD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合同协议书：是指构成合同的由发包人和承包人共同签署的称为“合同协议书”的书面文件。</w:t>
      </w:r>
    </w:p>
    <w:p w14:paraId="40BA92B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中标通知书：是指构成合同的由发包人通知承包人中标的书面文件。</w:t>
      </w:r>
    </w:p>
    <w:p w14:paraId="64F19AF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投标函：是指构成合同的由承包人填写并签署的用于投标的称为“投标函”的文件。</w:t>
      </w:r>
    </w:p>
    <w:p w14:paraId="232B05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1.1.1.5 投标函附录：是指构成合同的附在投标函后的称为“投标函附录”的文件。</w:t>
      </w:r>
    </w:p>
    <w:p w14:paraId="55B0BDE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 技术标准和要求：是指构成合同的施工应当遵守的或指导施工的国家、行业或地方的技术标准和要求，以及合同约定的技术标准和要求。</w:t>
      </w:r>
    </w:p>
    <w:p w14:paraId="46EA2F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09B84E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已标价工程量清单：是指构成合同的由承包人按照规定的格式和要求填写并标明价格的工程量清单，包括说明和表格。</w:t>
      </w:r>
    </w:p>
    <w:p w14:paraId="5953633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1.1.1.9 预算书：是指构成合同的由承包人按照发包人规定的格式和要求编制的工程预算文件。</w:t>
      </w:r>
    </w:p>
    <w:p w14:paraId="4FB3DE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1.1.1.10 其他合同文件：是指经合同当事人约定的与工程施工有关的具有合同约束力的文件或书面协议。合同当事人可以在专用合同条款中进行约定。</w:t>
      </w:r>
    </w:p>
    <w:p w14:paraId="7CC86B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 合同当事人及其他相关方</w:t>
      </w:r>
    </w:p>
    <w:p w14:paraId="0AB070E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1.1.2.1 合同当事人：是指发包人和（或）承包人。</w:t>
      </w:r>
    </w:p>
    <w:p w14:paraId="6C076C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1.1.2.2 发包人：是指与承包人签订合同协议书的当事人及取得该当事人资格的合法继承人。</w:t>
      </w:r>
    </w:p>
    <w:p w14:paraId="2C6525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1.1.2.3 承包人：是指与发包人签订合同协议书的，具有相应工程施工承包资质的当事人及取得该当事人资格的合法继承人。</w:t>
      </w:r>
    </w:p>
    <w:p w14:paraId="6EDA86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1.1.2.4 监理人：是指在专用合同条款中指明的，受发包人委托按照法律规定进行工程监督管理的法人或其他组织。</w:t>
      </w:r>
    </w:p>
    <w:p w14:paraId="5CCCDE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1.1.2.5 设计人：是指在专用合同条款中指明的，受发包人委托负责工程设计并具备相应工程设计资质的法人或其他组织。</w:t>
      </w:r>
    </w:p>
    <w:p w14:paraId="079844A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1.1.2.6 分包人：</w:t>
      </w:r>
      <w:bookmarkStart w:id="485" w:name="#go5"/>
      <w:bookmarkEnd w:id="485"/>
      <w:r>
        <w:rPr>
          <w:rFonts w:hint="eastAsia" w:ascii="宋体" w:hAnsi="宋体"/>
          <w:color w:val="auto"/>
          <w:kern w:val="0"/>
          <w:szCs w:val="21"/>
        </w:rPr>
        <w:t>是指按照法律规定和合同约定，分包部分工程或工作，并与承包人签订分包合同的具有相应资质的法人。</w:t>
      </w:r>
    </w:p>
    <w:p w14:paraId="7F5F14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1.1.2.7 发包人代表：是指由发包人任命并派驻施工现场在发包人授权范围内行使发包人权利的人。</w:t>
      </w:r>
    </w:p>
    <w:p w14:paraId="77A2D98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1.1.2.8 项目经理：是指由承包人任命并派驻施工现场，在承包人授权范围内负责合同履行，且按照法律规定具有相应资格的项目负责人。</w:t>
      </w:r>
    </w:p>
    <w:p w14:paraId="3F58ED8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1.1.2.9 总监理工程师：是指由监理人任命并派驻施工现场进行工程监理的总负责人。</w:t>
      </w:r>
    </w:p>
    <w:p w14:paraId="3B85613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 工程和设备</w:t>
      </w:r>
    </w:p>
    <w:p w14:paraId="725C648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 工程：是指与合同协议书中工程承包范围对应的永久工程和（或）临时工程。</w:t>
      </w:r>
    </w:p>
    <w:p w14:paraId="02740A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1.1.3.2 永久工程：是指按合同约定建造并移交给发包人的工程，包括工程设备。</w:t>
      </w:r>
    </w:p>
    <w:p w14:paraId="6B21D4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1.1.3.3 临时工程：是指为完成合同约定的永久工程所修建的各类临时性工程，不包括施工设备。</w:t>
      </w:r>
    </w:p>
    <w:p w14:paraId="45C7CBD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1.1.3.4 单位工程：是指在合同协议书中指明的，具备独立施工条件并能形成独立使用功能的永久工程。</w:t>
      </w:r>
    </w:p>
    <w:p w14:paraId="6E662FF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1.1.3.5 工程设备：是指构成永久工程的机电设备、金属结构设备、仪器及其他类似的设备和装置。</w:t>
      </w:r>
    </w:p>
    <w:p w14:paraId="4AB705B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1.1.3.6 施工设备：是指为完成合同约定的各项工作所需的设备、器具和其他物品，但不包括工程设备、临时工程和材料。</w:t>
      </w:r>
    </w:p>
    <w:p w14:paraId="1A0DFDE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1.1.3.7 施工现场：是指用于工程施工的场所，以及在专用合同条款中指明作为施工场所组成部分的其他场所，包括永久占地和临时占地。</w:t>
      </w:r>
    </w:p>
    <w:p w14:paraId="7A96F3E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1.1.3.8临时设施：是指为完成合同约定的各项工作所服务的临时性生产和生活设施。</w:t>
      </w:r>
    </w:p>
    <w:p w14:paraId="26EC7E6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1.1.3.9 永久占地：是指专用合同条款中指明为实施工程需永久占用的土地。</w:t>
      </w:r>
    </w:p>
    <w:p w14:paraId="65AC14D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1.1.3.10 临时占地：是指专用合同条款中指明为实施工程需要临时占用的土地。</w:t>
      </w:r>
    </w:p>
    <w:p w14:paraId="1F5EC03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 日期和期限</w:t>
      </w:r>
    </w:p>
    <w:p w14:paraId="765C7AA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89AA69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1.1.4.2 竣工日期：包括计划竣工日期和实际竣工日期。计划竣工日期是指合同协议书约定的竣工日期；实际竣工日期按照第13.2.3项〔竣工日期〕的约定确定。 </w:t>
      </w:r>
    </w:p>
    <w:p w14:paraId="41B8259F">
      <w:pPr>
        <w:spacing w:line="360" w:lineRule="auto"/>
        <w:ind w:firstLine="420" w:firstLineChars="200"/>
        <w:jc w:val="left"/>
        <w:rPr>
          <w:rFonts w:ascii="宋体" w:hAnsi="宋体"/>
          <w:color w:val="auto"/>
          <w:szCs w:val="21"/>
        </w:rPr>
      </w:pPr>
      <w:r>
        <w:rPr>
          <w:rFonts w:hint="eastAsia" w:ascii="宋体" w:hAnsi="宋体"/>
          <w:color w:val="auto"/>
          <w:kern w:val="0"/>
          <w:szCs w:val="21"/>
        </w:rPr>
        <w:t>1.1.4.3 工期：是指在合同协议书约定的承包人完成工程所需的期限，包括按照合同约定所作的期限变更。</w:t>
      </w:r>
    </w:p>
    <w:p w14:paraId="02B662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1.1.4.4 缺陷责任期：是指承包人按照合同约定承担缺陷修复义务，且发包人预留质量保证金（已缴纳履约保证金的除外）的期限，自工程实际竣工日期起计算。</w:t>
      </w:r>
    </w:p>
    <w:p w14:paraId="3CAA38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1.1.4.5 保修期：是指承包人按照合同约定对工程承担保修责任的期限，从工程竣工验收合格之日起计算。</w:t>
      </w:r>
    </w:p>
    <w:p w14:paraId="5701070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1.1.4.6 基准日期：采购发包的工程以投标截止日前28天的日期为基准日期，直接发包的工程以合同签订日前28天的日期为基准日期。</w:t>
      </w:r>
    </w:p>
    <w:p w14:paraId="7B4DD5D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1.1.4.7 天：除特别指明外，均指日历天。合同中按天计算时间的，开始当天不计入，从次日开始计算，期限最后一天的截止时间为当天24：00时。</w:t>
      </w:r>
    </w:p>
    <w:p w14:paraId="774EF7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 合同价格和费用</w:t>
      </w:r>
    </w:p>
    <w:p w14:paraId="0020EAD0">
      <w:pPr>
        <w:spacing w:line="360" w:lineRule="auto"/>
        <w:ind w:firstLine="420" w:firstLineChars="200"/>
        <w:jc w:val="left"/>
        <w:rPr>
          <w:rFonts w:ascii="宋体" w:hAnsi="宋体"/>
          <w:color w:val="auto"/>
          <w:szCs w:val="21"/>
        </w:rPr>
      </w:pPr>
      <w:r>
        <w:rPr>
          <w:rFonts w:hint="eastAsia" w:ascii="宋体" w:hAnsi="宋体"/>
          <w:color w:val="auto"/>
          <w:kern w:val="0"/>
          <w:szCs w:val="21"/>
        </w:rPr>
        <w:t>1.1.5.1 签约合同价：是指</w:t>
      </w:r>
      <w:r>
        <w:rPr>
          <w:rFonts w:hint="eastAsia" w:ascii="宋体" w:hAnsi="宋体"/>
          <w:color w:val="auto"/>
          <w:szCs w:val="21"/>
        </w:rPr>
        <w:t>发包人和承包人在合同协议书中确定的总金额，包括安全文明施工费、暂估价及暂列金额等。</w:t>
      </w:r>
    </w:p>
    <w:p w14:paraId="02C071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1.1.5.2 合同价格：是指发包人用于支付承包人按照合同约定完成承包范围内全部工作的金额，包括合同履行过程中按合同约定发生的价格变化。</w:t>
      </w:r>
    </w:p>
    <w:p w14:paraId="17F235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1.1.5.3 费用：是指为履行合同所发生的或将要发生的所有必需的开支，包括管理费和应分摊的其他费用，但不包括利润。</w:t>
      </w:r>
    </w:p>
    <w:p w14:paraId="0ED64E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1.1.5.4 暂估价：是指发包人在工程量清单或预算书中提供的用于支付必然发生但暂时不能确定价格的材料、工程设备的单价、专业工程以及服务工作的金额。</w:t>
      </w:r>
    </w:p>
    <w:p w14:paraId="25AA70A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C27B13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1.1.5.6 计日工：是指合同履行过程中，承包人完成发包人提出的零星工作或需要采用计日工计价的变更工作时，按合同中约定的单价计价的一种方式。</w:t>
      </w:r>
    </w:p>
    <w:p w14:paraId="59E45E40">
      <w:pPr>
        <w:spacing w:line="360" w:lineRule="auto"/>
        <w:ind w:firstLine="420" w:firstLineChars="200"/>
        <w:jc w:val="left"/>
        <w:rPr>
          <w:rFonts w:ascii="宋体" w:hAnsi="宋体"/>
          <w:color w:val="auto"/>
          <w:szCs w:val="21"/>
        </w:rPr>
      </w:pPr>
      <w:r>
        <w:rPr>
          <w:rFonts w:hint="eastAsia" w:ascii="宋体" w:hAnsi="宋体"/>
          <w:color w:val="auto"/>
          <w:kern w:val="0"/>
          <w:szCs w:val="21"/>
        </w:rPr>
        <w:t>1.1.5.7 质量保证金</w:t>
      </w:r>
      <w:bookmarkStart w:id="486" w:name="#go2"/>
      <w:bookmarkEnd w:id="486"/>
      <w:r>
        <w:rPr>
          <w:rFonts w:hint="eastAsia" w:ascii="宋体" w:hAnsi="宋体"/>
          <w:color w:val="auto"/>
          <w:kern w:val="0"/>
          <w:szCs w:val="21"/>
        </w:rPr>
        <w:t>：是指按照第15.3款〔质量保证金〕约定承包人用于保证其在缺陷责任期内履行缺陷修补义务的担保</w:t>
      </w:r>
      <w:r>
        <w:rPr>
          <w:rFonts w:hint="eastAsia" w:ascii="宋体" w:hAnsi="宋体"/>
          <w:color w:val="auto"/>
          <w:szCs w:val="21"/>
        </w:rPr>
        <w:t>。</w:t>
      </w:r>
    </w:p>
    <w:p w14:paraId="12AC6E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1.1.5.8 总价项目：是指在现行国家、行业以及地方的计量规则中无工程量计算规则，在已标价工程量清单或预算书中以总价或以费率形式计算的项目。</w:t>
      </w:r>
    </w:p>
    <w:p w14:paraId="2D2C0FC0">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3C505A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1.1.6.1 书面形式：是指合同文件、信函、电报、传真等可以有形地表现所载内容的形式。</w:t>
      </w:r>
    </w:p>
    <w:p w14:paraId="154A7C5D">
      <w:pPr>
        <w:pStyle w:val="7"/>
        <w:spacing w:before="0" w:beforeAutospacing="0" w:after="0" w:afterAutospacing="0" w:line="360" w:lineRule="auto"/>
        <w:ind w:firstLine="422" w:firstLineChars="200"/>
        <w:rPr>
          <w:color w:val="auto"/>
          <w:sz w:val="21"/>
          <w:szCs w:val="21"/>
        </w:rPr>
      </w:pPr>
      <w:bookmarkStart w:id="487" w:name="_Toc532377183"/>
      <w:r>
        <w:rPr>
          <w:rFonts w:hint="eastAsia"/>
          <w:color w:val="auto"/>
          <w:sz w:val="21"/>
          <w:szCs w:val="21"/>
        </w:rPr>
        <w:t>1.2 语言文字</w:t>
      </w:r>
      <w:bookmarkEnd w:id="487"/>
    </w:p>
    <w:p w14:paraId="2FE5C9B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合同以中国的汉语简体文字编写、解释和说明。合同当事人在专用合同条款中约定使用两种以上语言时，汉语为优先解释和说明合同的语言。</w:t>
      </w:r>
    </w:p>
    <w:p w14:paraId="18B4AD0D">
      <w:pPr>
        <w:pStyle w:val="7"/>
        <w:spacing w:before="0" w:beforeAutospacing="0" w:after="0" w:afterAutospacing="0" w:line="360" w:lineRule="auto"/>
        <w:ind w:firstLine="422" w:firstLineChars="200"/>
        <w:rPr>
          <w:color w:val="auto"/>
          <w:sz w:val="21"/>
          <w:szCs w:val="21"/>
        </w:rPr>
      </w:pPr>
      <w:bookmarkStart w:id="488" w:name="_Toc351203498"/>
      <w:bookmarkStart w:id="489" w:name="_Toc296346531"/>
      <w:bookmarkStart w:id="490" w:name="_Toc296503030"/>
      <w:bookmarkStart w:id="491" w:name="_Toc532377184"/>
      <w:bookmarkStart w:id="492" w:name="_Toc337558730"/>
      <w:r>
        <w:rPr>
          <w:rFonts w:hint="eastAsia"/>
          <w:color w:val="auto"/>
          <w:sz w:val="21"/>
          <w:szCs w:val="21"/>
        </w:rPr>
        <w:t>1.3法律</w:t>
      </w:r>
      <w:bookmarkEnd w:id="488"/>
      <w:bookmarkEnd w:id="489"/>
      <w:bookmarkEnd w:id="490"/>
      <w:bookmarkEnd w:id="491"/>
      <w:bookmarkEnd w:id="492"/>
    </w:p>
    <w:p w14:paraId="027EA0F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合同所称法律是指中华人民共和国法律、行政法规、部门规章，以及工程所在地的地方性法规、自治条例、单行条例和地方政府规章等。</w:t>
      </w:r>
    </w:p>
    <w:p w14:paraId="2980C38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合同当事人可以在专用合同条款中约定合同适用的其他规范性文件。</w:t>
      </w:r>
    </w:p>
    <w:p w14:paraId="56BC1E3C">
      <w:pPr>
        <w:pStyle w:val="7"/>
        <w:spacing w:before="0" w:beforeAutospacing="0" w:after="0" w:afterAutospacing="0" w:line="360" w:lineRule="auto"/>
        <w:ind w:firstLine="422" w:firstLineChars="200"/>
        <w:rPr>
          <w:color w:val="auto"/>
          <w:sz w:val="21"/>
          <w:szCs w:val="21"/>
        </w:rPr>
      </w:pPr>
      <w:bookmarkStart w:id="493" w:name="_Toc532377185"/>
      <w:bookmarkStart w:id="494" w:name="_Toc351203499"/>
      <w:r>
        <w:rPr>
          <w:rFonts w:hint="eastAsia"/>
          <w:color w:val="auto"/>
          <w:sz w:val="21"/>
          <w:szCs w:val="21"/>
        </w:rPr>
        <w:t>1.4 标准和规范</w:t>
      </w:r>
      <w:bookmarkEnd w:id="493"/>
      <w:bookmarkEnd w:id="494"/>
    </w:p>
    <w:p w14:paraId="47ECA4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1.4.1 适用于工程的国家标准、行业标准、工程所在地的地方性标准，以及相应的规范、规程等，合同当事人有特别要求的，应在专用合同条款中约定。</w:t>
      </w:r>
    </w:p>
    <w:p w14:paraId="2CE456A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发包人要求使用国外标准、规范的，发包人负责提供原文版本和中文译本，并在专用合同条款中约定提供标准规范的名称、份数和时间。</w:t>
      </w:r>
    </w:p>
    <w:p w14:paraId="130F41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80CFFA7">
      <w:pPr>
        <w:pStyle w:val="7"/>
        <w:spacing w:before="0" w:beforeAutospacing="0" w:after="0" w:afterAutospacing="0" w:line="360" w:lineRule="auto"/>
        <w:ind w:firstLine="422" w:firstLineChars="200"/>
        <w:rPr>
          <w:color w:val="auto"/>
          <w:sz w:val="21"/>
          <w:szCs w:val="21"/>
        </w:rPr>
      </w:pPr>
      <w:bookmarkStart w:id="495" w:name="_Toc532377186"/>
      <w:bookmarkStart w:id="496" w:name="_Toc351203500"/>
      <w:r>
        <w:rPr>
          <w:rFonts w:hint="eastAsia"/>
          <w:color w:val="auto"/>
          <w:sz w:val="21"/>
          <w:szCs w:val="21"/>
        </w:rPr>
        <w:t>1</w:t>
      </w:r>
      <w:bookmarkStart w:id="497" w:name="_Toc296503031"/>
      <w:bookmarkStart w:id="498" w:name="_Toc296346532"/>
      <w:bookmarkStart w:id="499" w:name="_Toc337558731"/>
      <w:r>
        <w:rPr>
          <w:rFonts w:hint="eastAsia"/>
          <w:color w:val="auto"/>
          <w:sz w:val="21"/>
          <w:szCs w:val="21"/>
        </w:rPr>
        <w:t>.5 合同文件的优先顺序</w:t>
      </w:r>
      <w:bookmarkEnd w:id="495"/>
      <w:bookmarkEnd w:id="496"/>
    </w:p>
    <w:bookmarkEnd w:id="497"/>
    <w:bookmarkEnd w:id="498"/>
    <w:bookmarkEnd w:id="499"/>
    <w:p w14:paraId="0CB776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组成合同的各项文件应互相解释，互为说明。除专用合同条款另有约定外，解释合同文件的优先顺序如下：</w:t>
      </w:r>
    </w:p>
    <w:p w14:paraId="309EE85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（1）合同协议书；</w:t>
      </w:r>
    </w:p>
    <w:p w14:paraId="303C386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（2）中标通知书（如有）；</w:t>
      </w:r>
    </w:p>
    <w:p w14:paraId="4460085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（3）投标函及其附录（如有）；</w:t>
      </w:r>
    </w:p>
    <w:p w14:paraId="0587CB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（4）专用合同条款及其附件；</w:t>
      </w:r>
    </w:p>
    <w:p w14:paraId="359348F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（5）通用合同条款；</w:t>
      </w:r>
    </w:p>
    <w:p w14:paraId="6E87B5F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（6）技术标准和要求；</w:t>
      </w:r>
    </w:p>
    <w:p w14:paraId="73F78D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（7）图纸；</w:t>
      </w:r>
    </w:p>
    <w:p w14:paraId="4370891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（8）已标价工程量清单或预算书；</w:t>
      </w:r>
    </w:p>
    <w:p w14:paraId="45D6FF4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（9）其他合同文件。</w:t>
      </w:r>
    </w:p>
    <w:p w14:paraId="56741D0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上述各项合同文件包括合同当事人就该项合同文件所作出的补充和修改，属于同一类内容的文件，应以最新签署的为准。</w:t>
      </w:r>
    </w:p>
    <w:p w14:paraId="55BB1C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在合同订立及履行过程中形成的与合同有关的文件均构成合同文件组成部分，并根据其性质确定优先解释顺序。</w:t>
      </w:r>
    </w:p>
    <w:p w14:paraId="23FBD835">
      <w:pPr>
        <w:pStyle w:val="7"/>
        <w:spacing w:before="0" w:beforeAutospacing="0" w:after="0" w:afterAutospacing="0" w:line="360" w:lineRule="auto"/>
        <w:ind w:firstLine="422" w:firstLineChars="200"/>
        <w:rPr>
          <w:color w:val="auto"/>
          <w:sz w:val="21"/>
          <w:szCs w:val="21"/>
        </w:rPr>
      </w:pPr>
      <w:bookmarkStart w:id="500" w:name="_Toc351203501"/>
      <w:bookmarkStart w:id="501" w:name="_Toc532377187"/>
      <w:r>
        <w:rPr>
          <w:rFonts w:hint="eastAsia"/>
          <w:color w:val="auto"/>
          <w:sz w:val="21"/>
          <w:szCs w:val="21"/>
        </w:rPr>
        <w:t>1</w:t>
      </w:r>
      <w:bookmarkStart w:id="502" w:name="_Toc296503032"/>
      <w:bookmarkStart w:id="503" w:name="_Toc337558732"/>
      <w:bookmarkStart w:id="504" w:name="_Toc296346533"/>
      <w:r>
        <w:rPr>
          <w:rFonts w:hint="eastAsia"/>
          <w:color w:val="auto"/>
          <w:sz w:val="21"/>
          <w:szCs w:val="21"/>
        </w:rPr>
        <w:t>.6图纸和承包人文件</w:t>
      </w:r>
      <w:bookmarkEnd w:id="500"/>
      <w:bookmarkEnd w:id="501"/>
    </w:p>
    <w:bookmarkEnd w:id="502"/>
    <w:bookmarkEnd w:id="503"/>
    <w:bookmarkEnd w:id="504"/>
    <w:p w14:paraId="45BFCB5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 图纸的提供和交底</w:t>
      </w:r>
    </w:p>
    <w:p w14:paraId="1E1D66A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031BF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因发包人未按合同约定提供图纸导致承包人费用增加和（或）工期延误的，按照第7.5.1项〔因发包人原因导致工期延误〕约定办理。</w:t>
      </w:r>
    </w:p>
    <w:p w14:paraId="5EE0B18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 图纸的错误</w:t>
      </w:r>
    </w:p>
    <w:p w14:paraId="4A4253C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AD58B9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1.6.3 图纸的修改和补充</w:t>
      </w:r>
    </w:p>
    <w:p w14:paraId="0454519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32AFCC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1.6.4 承包人文件</w:t>
      </w:r>
    </w:p>
    <w:p w14:paraId="60F665D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承包人应按照专用合同条款的约定提供应当由其编制的与工程施工有关的文件，并按照专用合同条款约定的期限、数量和形式提交监理人，并由监理人报送发包人。</w:t>
      </w:r>
    </w:p>
    <w:p w14:paraId="6A73497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757857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1.6.5 图纸和承包人文件的保管</w:t>
      </w:r>
    </w:p>
    <w:p w14:paraId="0BFE441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除专用合同条款另有约定外，承包人应在施工现场另外保存一套完整的图纸和承包人文件，供发包人、监理人及有关人员进行工程检查时使用。</w:t>
      </w:r>
    </w:p>
    <w:p w14:paraId="6661EB99">
      <w:pPr>
        <w:pStyle w:val="7"/>
        <w:spacing w:before="0" w:beforeAutospacing="0" w:after="0" w:afterAutospacing="0" w:line="360" w:lineRule="auto"/>
        <w:ind w:firstLine="422" w:firstLineChars="200"/>
        <w:rPr>
          <w:color w:val="auto"/>
          <w:sz w:val="21"/>
          <w:szCs w:val="21"/>
        </w:rPr>
      </w:pPr>
      <w:bookmarkStart w:id="505" w:name="_Toc532377188"/>
      <w:bookmarkStart w:id="506" w:name="_Toc351203502"/>
      <w:r>
        <w:rPr>
          <w:rFonts w:hint="eastAsia"/>
          <w:color w:val="auto"/>
          <w:sz w:val="21"/>
          <w:szCs w:val="21"/>
        </w:rPr>
        <w:t>1</w:t>
      </w:r>
      <w:bookmarkStart w:id="507" w:name="_Toc337558733"/>
      <w:bookmarkStart w:id="508" w:name="_Toc296346534"/>
      <w:bookmarkStart w:id="509" w:name="_Toc296503033"/>
      <w:r>
        <w:rPr>
          <w:rFonts w:hint="eastAsia"/>
          <w:color w:val="auto"/>
          <w:sz w:val="21"/>
          <w:szCs w:val="21"/>
        </w:rPr>
        <w:t>.7联络</w:t>
      </w:r>
      <w:bookmarkEnd w:id="505"/>
      <w:bookmarkEnd w:id="506"/>
    </w:p>
    <w:bookmarkEnd w:id="507"/>
    <w:bookmarkEnd w:id="508"/>
    <w:bookmarkEnd w:id="509"/>
    <w:p w14:paraId="2E48345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与合同有关的通知、批准、证明、证书、指示、指令、要求、请求、同意、意见、确定和决定等，均应采用书面形式，并应在合同约定的期限内送达接收人和送达地点。</w:t>
      </w:r>
    </w:p>
    <w:p w14:paraId="06EEEE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发包人和承包人应在专用合同条款中约定各自的送达接收人和送达地点。任何一方合同当事人指定的接收人或送达地点发生变动的，应提前3天以书面形式通知对方。</w:t>
      </w:r>
    </w:p>
    <w:p w14:paraId="3ECBA07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 发包人和承包人应当及时签收另一方送达至送达地点和指定接收人的来往信函。拒不签收的，由此增加的费用和（或）延误的工期由拒绝接收一方承担。</w:t>
      </w:r>
    </w:p>
    <w:p w14:paraId="24917CDF">
      <w:pPr>
        <w:pStyle w:val="7"/>
        <w:spacing w:before="0" w:beforeAutospacing="0" w:after="0" w:afterAutospacing="0" w:line="360" w:lineRule="auto"/>
        <w:ind w:firstLine="422" w:firstLineChars="200"/>
        <w:rPr>
          <w:color w:val="auto"/>
          <w:sz w:val="21"/>
          <w:szCs w:val="21"/>
        </w:rPr>
      </w:pPr>
      <w:bookmarkStart w:id="510" w:name="_Toc351203503"/>
      <w:bookmarkStart w:id="511" w:name="_Toc532377189"/>
      <w:r>
        <w:rPr>
          <w:rFonts w:hint="eastAsia"/>
          <w:color w:val="auto"/>
          <w:sz w:val="21"/>
          <w:szCs w:val="21"/>
        </w:rPr>
        <w:t>1</w:t>
      </w:r>
      <w:bookmarkStart w:id="512" w:name="_Toc337558734"/>
      <w:bookmarkStart w:id="513" w:name="_Toc296346536"/>
      <w:bookmarkStart w:id="514" w:name="_Toc296503035"/>
      <w:r>
        <w:rPr>
          <w:rFonts w:hint="eastAsia"/>
          <w:color w:val="auto"/>
          <w:sz w:val="21"/>
          <w:szCs w:val="21"/>
        </w:rPr>
        <w:t>.8严禁贿赂</w:t>
      </w:r>
      <w:bookmarkEnd w:id="510"/>
      <w:bookmarkEnd w:id="511"/>
    </w:p>
    <w:bookmarkEnd w:id="512"/>
    <w:bookmarkEnd w:id="513"/>
    <w:bookmarkEnd w:id="514"/>
    <w:p w14:paraId="3786AA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合同当事人不得以贿赂或变相贿赂的方式，谋取非法利益或损害对方权益。因一方合同当事人的贿赂造成对方损失的，应赔偿损失，并承担相应的法律责任。</w:t>
      </w:r>
    </w:p>
    <w:p w14:paraId="05C72E5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4FAC43EC">
      <w:pPr>
        <w:pStyle w:val="7"/>
        <w:spacing w:before="0" w:beforeAutospacing="0" w:after="0" w:afterAutospacing="0" w:line="360" w:lineRule="auto"/>
        <w:ind w:firstLine="422" w:firstLineChars="200"/>
        <w:rPr>
          <w:color w:val="auto"/>
          <w:sz w:val="21"/>
          <w:szCs w:val="21"/>
        </w:rPr>
      </w:pPr>
      <w:bookmarkStart w:id="515" w:name="_Toc351203504"/>
      <w:bookmarkStart w:id="516" w:name="_Toc532377190"/>
      <w:r>
        <w:rPr>
          <w:rFonts w:hint="eastAsia"/>
          <w:color w:val="auto"/>
          <w:sz w:val="21"/>
          <w:szCs w:val="21"/>
        </w:rPr>
        <w:t>1</w:t>
      </w:r>
      <w:bookmarkStart w:id="517" w:name="_Toc296346537"/>
      <w:bookmarkStart w:id="518" w:name="_Toc337558735"/>
      <w:bookmarkStart w:id="519" w:name="_Toc296503036"/>
      <w:r>
        <w:rPr>
          <w:rFonts w:hint="eastAsia"/>
          <w:color w:val="auto"/>
          <w:sz w:val="21"/>
          <w:szCs w:val="21"/>
        </w:rPr>
        <w:t>.9化石、文物</w:t>
      </w:r>
      <w:bookmarkEnd w:id="515"/>
      <w:bookmarkEnd w:id="516"/>
    </w:p>
    <w:bookmarkEnd w:id="517"/>
    <w:bookmarkEnd w:id="518"/>
    <w:bookmarkEnd w:id="519"/>
    <w:p w14:paraId="48EC762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B3DFC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发包人、监理人和承包人应按有关政府行政管理部门要求采取妥善的保护措施，由此增加的费用和（或）延误的工期由发包人承担。</w:t>
      </w:r>
    </w:p>
    <w:p w14:paraId="28D6863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承包人发现文物后不及时报告或隐瞒不报，致使文物丢失或损坏的，应赔偿损失，并承担相应的法律责任。</w:t>
      </w:r>
    </w:p>
    <w:p w14:paraId="5304941E">
      <w:pPr>
        <w:pStyle w:val="7"/>
        <w:spacing w:before="0" w:beforeAutospacing="0" w:after="0" w:afterAutospacing="0" w:line="360" w:lineRule="auto"/>
        <w:ind w:firstLine="422" w:firstLineChars="200"/>
        <w:rPr>
          <w:color w:val="auto"/>
          <w:sz w:val="21"/>
          <w:szCs w:val="21"/>
        </w:rPr>
      </w:pPr>
      <w:bookmarkStart w:id="520" w:name="_Toc532377191"/>
      <w:bookmarkStart w:id="521" w:name="_Toc351203505"/>
      <w:r>
        <w:rPr>
          <w:rFonts w:hint="eastAsia"/>
          <w:color w:val="auto"/>
          <w:sz w:val="21"/>
          <w:szCs w:val="21"/>
        </w:rPr>
        <w:t>1</w:t>
      </w:r>
      <w:bookmarkStart w:id="522" w:name="_Toc337558736"/>
      <w:r>
        <w:rPr>
          <w:rFonts w:hint="eastAsia"/>
          <w:color w:val="auto"/>
          <w:sz w:val="21"/>
          <w:szCs w:val="21"/>
        </w:rPr>
        <w:t>.10交通运输</w:t>
      </w:r>
      <w:bookmarkEnd w:id="520"/>
      <w:bookmarkEnd w:id="521"/>
    </w:p>
    <w:bookmarkEnd w:id="522"/>
    <w:p w14:paraId="08516A4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1.10.1 出入现场的权利</w:t>
      </w:r>
    </w:p>
    <w:p w14:paraId="5F0168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93E6CD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711D4E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1.10.2 场外交通</w:t>
      </w:r>
    </w:p>
    <w:p w14:paraId="6F43CFF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A73D2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1.10.3场内交通</w:t>
      </w:r>
    </w:p>
    <w:p w14:paraId="60610D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99A552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349CEB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场外交通和场内交通的边界由合同当事人在专用合同条款中约定。</w:t>
      </w:r>
    </w:p>
    <w:p w14:paraId="70111FB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1.10.4 超大件和超重件的运输</w:t>
      </w:r>
    </w:p>
    <w:p w14:paraId="642703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7307F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1.10.5 道路和桥梁的损坏责任</w:t>
      </w:r>
    </w:p>
    <w:p w14:paraId="5CBA1A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因承包人运输造成施工场地内外公共道路和桥梁损坏的，由承包人承担修复损坏的全部费用和可能引起的赔偿。</w:t>
      </w:r>
    </w:p>
    <w:p w14:paraId="5239D8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1.10.6 水路和航空运输</w:t>
      </w:r>
    </w:p>
    <w:p w14:paraId="4D4CB40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0683FDBE">
      <w:pPr>
        <w:pStyle w:val="7"/>
        <w:spacing w:before="0" w:beforeAutospacing="0" w:after="0" w:afterAutospacing="0" w:line="360" w:lineRule="auto"/>
        <w:ind w:firstLine="422" w:firstLineChars="200"/>
        <w:rPr>
          <w:color w:val="auto"/>
          <w:sz w:val="21"/>
          <w:szCs w:val="21"/>
        </w:rPr>
      </w:pPr>
      <w:bookmarkStart w:id="523" w:name="_Toc351203506"/>
      <w:bookmarkStart w:id="524" w:name="_Toc532377192"/>
      <w:r>
        <w:rPr>
          <w:rFonts w:hint="eastAsia"/>
          <w:color w:val="auto"/>
          <w:sz w:val="21"/>
          <w:szCs w:val="21"/>
        </w:rPr>
        <w:t>1</w:t>
      </w:r>
      <w:bookmarkStart w:id="525" w:name="_Toc337558737"/>
      <w:bookmarkStart w:id="526" w:name="_Toc296346538"/>
      <w:bookmarkStart w:id="527" w:name="_Toc296503037"/>
      <w:r>
        <w:rPr>
          <w:rFonts w:hint="eastAsia"/>
          <w:color w:val="auto"/>
          <w:sz w:val="21"/>
          <w:szCs w:val="21"/>
        </w:rPr>
        <w:t>.11知识产权</w:t>
      </w:r>
      <w:bookmarkEnd w:id="523"/>
      <w:bookmarkEnd w:id="524"/>
      <w:bookmarkEnd w:id="525"/>
    </w:p>
    <w:bookmarkEnd w:id="526"/>
    <w:bookmarkEnd w:id="527"/>
    <w:p w14:paraId="6C10E74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187F7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BC64A3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DCAFC9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除专用合同条款另有约定外，承包人在合同签订前和签订时已确定采用的专利、专有技术、技术秘密的使用费已包含在签约合同价中。</w:t>
      </w:r>
    </w:p>
    <w:p w14:paraId="439A80D5">
      <w:pPr>
        <w:pStyle w:val="7"/>
        <w:spacing w:before="0" w:beforeAutospacing="0" w:after="0" w:afterAutospacing="0" w:line="360" w:lineRule="auto"/>
        <w:ind w:firstLine="422" w:firstLineChars="200"/>
        <w:rPr>
          <w:color w:val="auto"/>
          <w:sz w:val="21"/>
          <w:szCs w:val="21"/>
        </w:rPr>
      </w:pPr>
      <w:bookmarkStart w:id="528" w:name="_Toc532377193"/>
      <w:bookmarkStart w:id="529" w:name="_Toc351203507"/>
      <w:r>
        <w:rPr>
          <w:rFonts w:hint="eastAsia"/>
          <w:color w:val="auto"/>
          <w:sz w:val="21"/>
          <w:szCs w:val="21"/>
        </w:rPr>
        <w:t>1</w:t>
      </w:r>
      <w:bookmarkStart w:id="530" w:name="_Toc337558738"/>
      <w:r>
        <w:rPr>
          <w:rFonts w:hint="eastAsia"/>
          <w:color w:val="auto"/>
          <w:sz w:val="21"/>
          <w:szCs w:val="21"/>
        </w:rPr>
        <w:t>.12保密</w:t>
      </w:r>
      <w:bookmarkEnd w:id="528"/>
      <w:bookmarkEnd w:id="529"/>
    </w:p>
    <w:bookmarkEnd w:id="530"/>
    <w:p w14:paraId="6A4791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除法律规定或合同另有约定外，未经发包人同意，承包人不得将发包人提供的图纸、文件以及声明需要保密的资料信息等商业秘密泄露给第三方。</w:t>
      </w:r>
    </w:p>
    <w:p w14:paraId="6C35AA2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除法律规定或合同另有约定外，未经承包人同意，发包人不得将承包人提供的技术秘密及声明需要保密的资料信息等商业秘密泄露给第三方。</w:t>
      </w:r>
    </w:p>
    <w:p w14:paraId="3C7326B4">
      <w:pPr>
        <w:pStyle w:val="7"/>
        <w:spacing w:before="0" w:beforeAutospacing="0" w:after="0" w:afterAutospacing="0" w:line="360" w:lineRule="auto"/>
        <w:ind w:firstLine="422" w:firstLineChars="200"/>
        <w:rPr>
          <w:color w:val="auto"/>
          <w:sz w:val="21"/>
          <w:szCs w:val="21"/>
        </w:rPr>
      </w:pPr>
      <w:bookmarkStart w:id="531" w:name="_Toc532377194"/>
      <w:bookmarkStart w:id="532" w:name="_Toc351203508"/>
      <w:r>
        <w:rPr>
          <w:rFonts w:hint="eastAsia"/>
          <w:color w:val="auto"/>
          <w:sz w:val="21"/>
          <w:szCs w:val="21"/>
        </w:rPr>
        <w:t>1.13工程量清单错误的修正</w:t>
      </w:r>
      <w:bookmarkEnd w:id="531"/>
      <w:bookmarkEnd w:id="532"/>
    </w:p>
    <w:p w14:paraId="7B4F78F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除专用合同条款另有约定外，发包人提供的工程量清单，应被认为是准确的和完整的。出现下列情形之一时，发包人应予以修正，并相应调整合同价格：</w:t>
      </w:r>
    </w:p>
    <w:p w14:paraId="434F2D3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（1）工程量清单存在缺项、漏项的；</w:t>
      </w:r>
    </w:p>
    <w:p w14:paraId="293660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（2）工程量清单偏差超出专用合同条款约定的工程量偏差范围的；</w:t>
      </w:r>
    </w:p>
    <w:p w14:paraId="1EEBE6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（3）未按照国家现行计量规范强制性规定计量的。</w:t>
      </w:r>
    </w:p>
    <w:p w14:paraId="09914134">
      <w:pPr>
        <w:pStyle w:val="6"/>
        <w:keepNext/>
        <w:keepLines/>
        <w:spacing w:beforeLines="50" w:beforeAutospacing="0" w:afterLines="50" w:afterAutospacing="0" w:line="360" w:lineRule="auto"/>
        <w:jc w:val="both"/>
        <w:rPr>
          <w:color w:val="auto"/>
          <w:kern w:val="2"/>
          <w:sz w:val="21"/>
          <w:szCs w:val="21"/>
        </w:rPr>
      </w:pPr>
      <w:bookmarkStart w:id="533" w:name="_Toc351203509"/>
      <w:bookmarkStart w:id="534" w:name="_Toc532375588"/>
      <w:bookmarkStart w:id="535" w:name="_Toc532377195"/>
      <w:r>
        <w:rPr>
          <w:rFonts w:hint="eastAsia"/>
          <w:color w:val="auto"/>
          <w:kern w:val="2"/>
          <w:sz w:val="21"/>
          <w:szCs w:val="21"/>
        </w:rPr>
        <w:t>2</w:t>
      </w:r>
      <w:bookmarkStart w:id="536" w:name="_Toc296346539"/>
      <w:bookmarkStart w:id="537" w:name="_Toc296503038"/>
      <w:bookmarkStart w:id="538" w:name="_Toc337558739"/>
      <w:bookmarkStart w:id="539" w:name="OLE_LINK2"/>
      <w:r>
        <w:rPr>
          <w:rFonts w:hint="eastAsia"/>
          <w:color w:val="auto"/>
          <w:kern w:val="2"/>
          <w:sz w:val="21"/>
          <w:szCs w:val="21"/>
        </w:rPr>
        <w:t>. 发包人</w:t>
      </w:r>
      <w:bookmarkEnd w:id="533"/>
      <w:bookmarkEnd w:id="534"/>
      <w:bookmarkEnd w:id="535"/>
    </w:p>
    <w:bookmarkEnd w:id="536"/>
    <w:bookmarkEnd w:id="537"/>
    <w:bookmarkEnd w:id="538"/>
    <w:p w14:paraId="4E633E00">
      <w:pPr>
        <w:pStyle w:val="7"/>
        <w:spacing w:before="0" w:beforeAutospacing="0" w:after="0" w:afterAutospacing="0" w:line="360" w:lineRule="auto"/>
        <w:ind w:firstLine="422" w:firstLineChars="200"/>
        <w:rPr>
          <w:color w:val="auto"/>
          <w:sz w:val="21"/>
          <w:szCs w:val="21"/>
        </w:rPr>
      </w:pPr>
      <w:bookmarkStart w:id="540" w:name="_Toc532377196"/>
      <w:bookmarkStart w:id="541" w:name="_Toc351203510"/>
      <w:r>
        <w:rPr>
          <w:rFonts w:hint="eastAsia"/>
          <w:color w:val="auto"/>
          <w:sz w:val="21"/>
          <w:szCs w:val="21"/>
        </w:rPr>
        <w:t>2</w:t>
      </w:r>
      <w:bookmarkStart w:id="542" w:name="_Toc296503039"/>
      <w:bookmarkStart w:id="543" w:name="_Toc296346540"/>
      <w:bookmarkStart w:id="544" w:name="_Toc337558740"/>
      <w:r>
        <w:rPr>
          <w:rFonts w:hint="eastAsia"/>
          <w:color w:val="auto"/>
          <w:sz w:val="21"/>
          <w:szCs w:val="21"/>
        </w:rPr>
        <w:t>.1 许可或批准</w:t>
      </w:r>
      <w:bookmarkEnd w:id="540"/>
      <w:bookmarkEnd w:id="541"/>
    </w:p>
    <w:p w14:paraId="5D909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发包人应遵守法律，并办理法律规定由其办理的许可、批准或备案。施工所需临时用水、临时用电、中断道路交通、临时占道的许可或批准由承包人负责办理。</w:t>
      </w:r>
    </w:p>
    <w:p w14:paraId="1AFD7A7F">
      <w:pPr>
        <w:pStyle w:val="7"/>
        <w:spacing w:before="0" w:beforeAutospacing="0" w:after="0" w:afterAutospacing="0" w:line="360" w:lineRule="auto"/>
        <w:ind w:firstLine="422" w:firstLineChars="200"/>
        <w:rPr>
          <w:color w:val="auto"/>
          <w:sz w:val="21"/>
          <w:szCs w:val="21"/>
        </w:rPr>
      </w:pPr>
      <w:bookmarkStart w:id="545" w:name="_Toc532377197"/>
      <w:bookmarkStart w:id="546" w:name="_Toc351203511"/>
      <w:r>
        <w:rPr>
          <w:rFonts w:hint="eastAsia"/>
          <w:color w:val="auto"/>
          <w:sz w:val="21"/>
          <w:szCs w:val="21"/>
        </w:rPr>
        <w:t>2.2 发包人代表</w:t>
      </w:r>
      <w:bookmarkEnd w:id="545"/>
      <w:bookmarkEnd w:id="546"/>
    </w:p>
    <w:p w14:paraId="2E2072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8D2BA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发包人代表不能按照合同约定履行其职责及义务，并导致合同无法继续正常履行的，承包人可以要求发包人撤换发包人代表。</w:t>
      </w:r>
    </w:p>
    <w:p w14:paraId="2B8C7DA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不属于法定必须监理的工程，监理人的职权可以由发包人代表或发包人指定的其他人员行使。</w:t>
      </w:r>
    </w:p>
    <w:p w14:paraId="1EF831D4">
      <w:pPr>
        <w:pStyle w:val="7"/>
        <w:spacing w:before="0" w:beforeAutospacing="0" w:after="0" w:afterAutospacing="0" w:line="360" w:lineRule="auto"/>
        <w:ind w:firstLine="422" w:firstLineChars="200"/>
        <w:rPr>
          <w:color w:val="auto"/>
          <w:sz w:val="21"/>
          <w:szCs w:val="21"/>
        </w:rPr>
      </w:pPr>
      <w:bookmarkStart w:id="547" w:name="_Toc351203512"/>
      <w:bookmarkStart w:id="548" w:name="_Toc532377198"/>
      <w:r>
        <w:rPr>
          <w:rFonts w:hint="eastAsia"/>
          <w:color w:val="auto"/>
          <w:sz w:val="21"/>
          <w:szCs w:val="21"/>
        </w:rPr>
        <w:t>2.3 发包人人员</w:t>
      </w:r>
      <w:bookmarkEnd w:id="547"/>
      <w:bookmarkEnd w:id="548"/>
    </w:p>
    <w:p w14:paraId="5076A03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发包人应要求在施工现场的发包人人员遵守法律及有关安全、质量、环境保护、文明施工等规定，并保障承包人免于承受因发包人人员未遵守上述要求给承包人造成的损失和责任。</w:t>
      </w:r>
    </w:p>
    <w:p w14:paraId="6AC699D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发包人人员包括发包人代表及其他由发包人派驻施工现场的人员。</w:t>
      </w:r>
      <w:bookmarkEnd w:id="542"/>
      <w:bookmarkEnd w:id="543"/>
      <w:bookmarkEnd w:id="544"/>
    </w:p>
    <w:p w14:paraId="6937AA76">
      <w:pPr>
        <w:pStyle w:val="7"/>
        <w:spacing w:before="0" w:beforeAutospacing="0" w:after="0" w:afterAutospacing="0" w:line="360" w:lineRule="auto"/>
        <w:ind w:firstLine="422" w:firstLineChars="200"/>
        <w:rPr>
          <w:color w:val="auto"/>
          <w:sz w:val="21"/>
          <w:szCs w:val="21"/>
        </w:rPr>
      </w:pPr>
      <w:bookmarkStart w:id="549" w:name="_Toc532377199"/>
      <w:bookmarkStart w:id="550" w:name="_Toc351203513"/>
      <w:r>
        <w:rPr>
          <w:rFonts w:hint="eastAsia"/>
          <w:color w:val="auto"/>
          <w:sz w:val="21"/>
          <w:szCs w:val="21"/>
        </w:rPr>
        <w:t>2</w:t>
      </w:r>
      <w:bookmarkStart w:id="551" w:name="_Toc337558741"/>
      <w:bookmarkStart w:id="552" w:name="_Toc296346541"/>
      <w:bookmarkStart w:id="553" w:name="_Toc296503040"/>
      <w:r>
        <w:rPr>
          <w:rFonts w:hint="eastAsia"/>
          <w:color w:val="auto"/>
          <w:sz w:val="21"/>
          <w:szCs w:val="21"/>
        </w:rPr>
        <w:t>.4 施工现场、施工条件和基础资料的提供</w:t>
      </w:r>
      <w:bookmarkEnd w:id="549"/>
      <w:bookmarkEnd w:id="550"/>
      <w:bookmarkEnd w:id="551"/>
      <w:bookmarkEnd w:id="552"/>
      <w:bookmarkEnd w:id="553"/>
    </w:p>
    <w:p w14:paraId="613BE0F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2.4.1 提供施工现场</w:t>
      </w:r>
    </w:p>
    <w:p w14:paraId="6A5DDB9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w:t>
      </w:r>
      <w:bookmarkEnd w:id="539"/>
      <w:r>
        <w:rPr>
          <w:rFonts w:hint="eastAsia" w:ascii="宋体" w:hAnsi="宋体"/>
          <w:color w:val="auto"/>
          <w:kern w:val="0"/>
          <w:szCs w:val="21"/>
        </w:rPr>
        <w:t>专用合同条款另有约定外，发包人应最迟于开工日期7天前向承包人移交施工现场。</w:t>
      </w:r>
    </w:p>
    <w:p w14:paraId="244C35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2.4.2 提供施工条件</w:t>
      </w:r>
    </w:p>
    <w:p w14:paraId="3E46A9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除专用合同条款另有约定外，发包人应负责提供施工所需要的条件，包括：</w:t>
      </w:r>
    </w:p>
    <w:p w14:paraId="66ACDC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（1）将施工用水、电力、通讯线路等施工所必需的条件接至施工现场内；</w:t>
      </w:r>
    </w:p>
    <w:p w14:paraId="7989BA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（2）保证向承包人提供正常施工所需要的进入施工现场的交通条件；</w:t>
      </w:r>
    </w:p>
    <w:p w14:paraId="25807E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（3）协调处理施工现场周围地下管线和邻近建筑物、构筑物、古树名木的保护工作，并承担相关费用；</w:t>
      </w:r>
    </w:p>
    <w:p w14:paraId="6C5C091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（4）按照专用合同条款约定应提供的其他设施和条件。</w:t>
      </w:r>
    </w:p>
    <w:p w14:paraId="27229C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2.4.3 提供基础资料</w:t>
      </w:r>
    </w:p>
    <w:p w14:paraId="5DC49A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FDB2E7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按照法律规定确需在开工后方能提供的基础资料，发包人应尽其努力及时地在相应工程施工前的合理期限内提供，合理期限应以不影响承包人的正常施工为限。</w:t>
      </w:r>
    </w:p>
    <w:p w14:paraId="4BB6317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2.4.4 逾期提供的责任</w:t>
      </w:r>
    </w:p>
    <w:p w14:paraId="5780ACB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因发包人原因未能按合同约定及时向承包人提供施工现场、施工条件、基础资料的，由发包人承担由此增加的费用和（或）延误的工期。</w:t>
      </w:r>
    </w:p>
    <w:p w14:paraId="324A95D6">
      <w:pPr>
        <w:pStyle w:val="7"/>
        <w:spacing w:before="0" w:beforeAutospacing="0" w:after="0" w:afterAutospacing="0" w:line="360" w:lineRule="auto"/>
        <w:ind w:firstLine="422" w:firstLineChars="200"/>
        <w:rPr>
          <w:color w:val="auto"/>
          <w:sz w:val="21"/>
          <w:szCs w:val="21"/>
        </w:rPr>
      </w:pPr>
      <w:bookmarkStart w:id="554" w:name="_Toc351203514"/>
      <w:bookmarkStart w:id="555" w:name="_Toc532377200"/>
      <w:r>
        <w:rPr>
          <w:rFonts w:hint="eastAsia"/>
          <w:color w:val="auto"/>
          <w:sz w:val="21"/>
          <w:szCs w:val="21"/>
        </w:rPr>
        <w:t>2</w:t>
      </w:r>
      <w:bookmarkStart w:id="556" w:name="_Toc337558745"/>
      <w:bookmarkStart w:id="557" w:name="_Toc296503042"/>
      <w:bookmarkStart w:id="558" w:name="_Toc296346543"/>
      <w:r>
        <w:rPr>
          <w:rFonts w:hint="eastAsia"/>
          <w:color w:val="auto"/>
          <w:sz w:val="21"/>
          <w:szCs w:val="21"/>
        </w:rPr>
        <w:t>.5 资</w:t>
      </w:r>
      <w:bookmarkEnd w:id="556"/>
      <w:bookmarkEnd w:id="557"/>
      <w:bookmarkEnd w:id="558"/>
      <w:r>
        <w:rPr>
          <w:rFonts w:hint="eastAsia"/>
          <w:color w:val="auto"/>
          <w:sz w:val="21"/>
          <w:szCs w:val="21"/>
        </w:rPr>
        <w:t>金来源证明及支付担保</w:t>
      </w:r>
      <w:bookmarkEnd w:id="554"/>
      <w:bookmarkEnd w:id="555"/>
    </w:p>
    <w:p w14:paraId="23EEF87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除专用合同条款另有约定外，发包人应在收到承包人要求提供资金来源证明的书面通知后28天内，向承包人提供能够按照合同约定支付合同价款的相应资金来源证明。</w:t>
      </w:r>
    </w:p>
    <w:p w14:paraId="6874F8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4B1E96A0">
      <w:pPr>
        <w:pStyle w:val="7"/>
        <w:spacing w:before="0" w:beforeAutospacing="0" w:after="0" w:afterAutospacing="0" w:line="360" w:lineRule="auto"/>
        <w:ind w:firstLine="422" w:firstLineChars="200"/>
        <w:rPr>
          <w:color w:val="auto"/>
          <w:sz w:val="21"/>
          <w:szCs w:val="21"/>
        </w:rPr>
      </w:pPr>
      <w:bookmarkStart w:id="559" w:name="_Toc351203515"/>
      <w:bookmarkStart w:id="560" w:name="_Toc532377201"/>
      <w:r>
        <w:rPr>
          <w:rFonts w:hint="eastAsia"/>
          <w:color w:val="auto"/>
          <w:sz w:val="21"/>
          <w:szCs w:val="21"/>
        </w:rPr>
        <w:t>2.6 支付合同价款</w:t>
      </w:r>
      <w:bookmarkEnd w:id="559"/>
      <w:bookmarkEnd w:id="560"/>
    </w:p>
    <w:p w14:paraId="5BE554F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发包人应按合同约定向承包人及时支付合同价款。</w:t>
      </w:r>
    </w:p>
    <w:p w14:paraId="3C3A4A6B">
      <w:pPr>
        <w:pStyle w:val="7"/>
        <w:spacing w:before="0" w:beforeAutospacing="0" w:after="0" w:afterAutospacing="0" w:line="360" w:lineRule="auto"/>
        <w:ind w:firstLine="422" w:firstLineChars="200"/>
        <w:rPr>
          <w:color w:val="auto"/>
          <w:sz w:val="21"/>
          <w:szCs w:val="21"/>
        </w:rPr>
      </w:pPr>
      <w:bookmarkStart w:id="561" w:name="_Toc532377202"/>
      <w:bookmarkStart w:id="562" w:name="_Toc351203516"/>
      <w:r>
        <w:rPr>
          <w:rFonts w:hint="eastAsia"/>
          <w:color w:val="auto"/>
          <w:sz w:val="21"/>
          <w:szCs w:val="21"/>
        </w:rPr>
        <w:t>2.7 组织竣工验收</w:t>
      </w:r>
      <w:bookmarkEnd w:id="561"/>
      <w:bookmarkEnd w:id="562"/>
    </w:p>
    <w:p w14:paraId="06507F8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发包人应按合同约定及时组织竣工验收。</w:t>
      </w:r>
    </w:p>
    <w:p w14:paraId="5B6312DD">
      <w:pPr>
        <w:pStyle w:val="7"/>
        <w:spacing w:before="0" w:beforeAutospacing="0" w:after="0" w:afterAutospacing="0" w:line="360" w:lineRule="auto"/>
        <w:ind w:firstLine="422" w:firstLineChars="200"/>
        <w:rPr>
          <w:color w:val="auto"/>
          <w:sz w:val="21"/>
          <w:szCs w:val="21"/>
        </w:rPr>
      </w:pPr>
      <w:bookmarkStart w:id="563" w:name="_Toc532377203"/>
      <w:bookmarkStart w:id="564" w:name="_Toc351203517"/>
      <w:r>
        <w:rPr>
          <w:rFonts w:hint="eastAsia"/>
          <w:color w:val="auto"/>
          <w:sz w:val="21"/>
          <w:szCs w:val="21"/>
        </w:rPr>
        <w:t>2.8 现场统一管理协议</w:t>
      </w:r>
      <w:bookmarkEnd w:id="563"/>
      <w:bookmarkEnd w:id="564"/>
    </w:p>
    <w:p w14:paraId="6442F8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发包人应与承包人、由发包人直接发包的专业工程的承包人签订施工现场统一管理协议，明确各方的权利义务。施工现场统一管理协议作为专用合同条款的附件。</w:t>
      </w:r>
    </w:p>
    <w:p w14:paraId="0A58301C">
      <w:pPr>
        <w:pStyle w:val="6"/>
        <w:keepNext/>
        <w:keepLines/>
        <w:spacing w:beforeLines="50" w:beforeAutospacing="0" w:afterLines="50" w:afterAutospacing="0" w:line="360" w:lineRule="auto"/>
        <w:jc w:val="both"/>
        <w:rPr>
          <w:bCs w:val="0"/>
          <w:color w:val="auto"/>
          <w:kern w:val="2"/>
          <w:sz w:val="21"/>
          <w:szCs w:val="21"/>
        </w:rPr>
      </w:pPr>
      <w:bookmarkStart w:id="565" w:name="_Toc532377204"/>
      <w:bookmarkStart w:id="566" w:name="_Toc532375589"/>
      <w:bookmarkStart w:id="567" w:name="_Toc351203518"/>
      <w:r>
        <w:rPr>
          <w:rFonts w:hint="eastAsia"/>
          <w:color w:val="auto"/>
          <w:kern w:val="2"/>
          <w:sz w:val="21"/>
          <w:szCs w:val="21"/>
        </w:rPr>
        <w:t>3</w:t>
      </w:r>
      <w:bookmarkStart w:id="568" w:name="_Toc296503045"/>
      <w:bookmarkStart w:id="569" w:name="_Toc296346546"/>
      <w:bookmarkStart w:id="570" w:name="_Toc337558746"/>
      <w:r>
        <w:rPr>
          <w:rFonts w:hint="eastAsia"/>
          <w:color w:val="auto"/>
          <w:kern w:val="2"/>
          <w:sz w:val="21"/>
          <w:szCs w:val="21"/>
        </w:rPr>
        <w:t>. 承包人</w:t>
      </w:r>
      <w:bookmarkEnd w:id="565"/>
      <w:bookmarkEnd w:id="566"/>
      <w:bookmarkEnd w:id="567"/>
    </w:p>
    <w:bookmarkEnd w:id="568"/>
    <w:bookmarkEnd w:id="569"/>
    <w:bookmarkEnd w:id="570"/>
    <w:p w14:paraId="36C9C589">
      <w:pPr>
        <w:pStyle w:val="7"/>
        <w:spacing w:before="0" w:beforeAutospacing="0" w:after="0" w:afterAutospacing="0" w:line="360" w:lineRule="auto"/>
        <w:ind w:firstLine="422" w:firstLineChars="200"/>
        <w:rPr>
          <w:color w:val="auto"/>
          <w:sz w:val="21"/>
          <w:szCs w:val="21"/>
        </w:rPr>
      </w:pPr>
      <w:bookmarkStart w:id="571" w:name="_Toc351203519"/>
      <w:bookmarkStart w:id="572" w:name="_Toc532377205"/>
      <w:r>
        <w:rPr>
          <w:rFonts w:hint="eastAsia"/>
          <w:color w:val="auto"/>
          <w:sz w:val="21"/>
          <w:szCs w:val="21"/>
        </w:rPr>
        <w:t>3</w:t>
      </w:r>
      <w:bookmarkStart w:id="573" w:name="_Toc296503046"/>
      <w:bookmarkStart w:id="574" w:name="_Toc296346547"/>
      <w:bookmarkStart w:id="575" w:name="_Toc337558747"/>
      <w:r>
        <w:rPr>
          <w:rFonts w:hint="eastAsia"/>
          <w:color w:val="auto"/>
          <w:sz w:val="21"/>
          <w:szCs w:val="21"/>
        </w:rPr>
        <w:t>.1 承包人的一般义务</w:t>
      </w:r>
      <w:bookmarkEnd w:id="571"/>
      <w:bookmarkEnd w:id="572"/>
    </w:p>
    <w:bookmarkEnd w:id="573"/>
    <w:bookmarkEnd w:id="574"/>
    <w:bookmarkEnd w:id="575"/>
    <w:p w14:paraId="00B6C0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承包人在履行合同过程中应遵守法律和工程建设标准规范，并履行以下义务：</w:t>
      </w:r>
    </w:p>
    <w:p w14:paraId="51EE86F7">
      <w:pPr>
        <w:numPr>
          <w:ilvl w:val="0"/>
          <w:numId w:val="2"/>
        </w:num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办理法律规定应由承包人办理的许可和批准，并将办理结果书面报送发包人留存；</w:t>
      </w:r>
    </w:p>
    <w:p w14:paraId="74E8B3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（2）按法律规定和合同约定完成工程，并在保修期内承担保修义务；</w:t>
      </w:r>
    </w:p>
    <w:p w14:paraId="4903E41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（3）按法律规定和合同约定采取施工安全和环境保护措施，办理工伤保险，确保工程及人员、材料、设备和设施的安全；</w:t>
      </w:r>
    </w:p>
    <w:p w14:paraId="275B12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（4）按合同约定的工作内容和施工进度要求，编制施工组织设计和施工措施计划，并对所有施工作业和施工方法的完备性和安全可靠性负责；</w:t>
      </w:r>
    </w:p>
    <w:p w14:paraId="0DB556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17A797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（6）按照第6.3款〔环境保护〕约定负责施工场地及其周边环境与生态的保护工作；</w:t>
      </w:r>
    </w:p>
    <w:p w14:paraId="08DC69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（7）按第6.1款〔安全文明施工〕约定采取施工安全措施，确保工程及其人员、材料、设备和设施的安全，防止因工程施工造成的人身伤害和财产损失；</w:t>
      </w:r>
    </w:p>
    <w:p w14:paraId="4DB5197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（8）将发包人按合同约定支付的各项价款专用于合同工程，且应及时支付其雇用人员工资，并及时向分包人支付合同价款；</w:t>
      </w:r>
    </w:p>
    <w:p w14:paraId="6237866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（9）按照法律规定和合同约定编制竣工资料，完成竣工资料立卷及归档，并按专用合同条款约定的竣工资料的套数、内容、时间等要求移交发包人；</w:t>
      </w:r>
    </w:p>
    <w:p w14:paraId="4EF832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（10）应履行的其他义务。</w:t>
      </w:r>
    </w:p>
    <w:p w14:paraId="491FE170">
      <w:pPr>
        <w:pStyle w:val="7"/>
        <w:spacing w:before="0" w:beforeAutospacing="0" w:after="0" w:afterAutospacing="0" w:line="360" w:lineRule="auto"/>
        <w:ind w:firstLine="422" w:firstLineChars="200"/>
        <w:rPr>
          <w:color w:val="auto"/>
          <w:sz w:val="21"/>
          <w:szCs w:val="21"/>
        </w:rPr>
      </w:pPr>
      <w:bookmarkStart w:id="576" w:name="_Toc351203520"/>
      <w:bookmarkStart w:id="577" w:name="_Toc532377206"/>
      <w:r>
        <w:rPr>
          <w:rFonts w:hint="eastAsia"/>
          <w:color w:val="auto"/>
          <w:sz w:val="21"/>
          <w:szCs w:val="21"/>
        </w:rPr>
        <w:t>3</w:t>
      </w:r>
      <w:bookmarkStart w:id="578" w:name="_Toc337558748"/>
      <w:bookmarkStart w:id="579" w:name="_Toc296346548"/>
      <w:bookmarkStart w:id="580" w:name="_Toc296503047"/>
      <w:r>
        <w:rPr>
          <w:rFonts w:hint="eastAsia"/>
          <w:color w:val="auto"/>
          <w:sz w:val="21"/>
          <w:szCs w:val="21"/>
        </w:rPr>
        <w:t xml:space="preserve">.2 </w:t>
      </w:r>
      <w:bookmarkEnd w:id="576"/>
      <w:r>
        <w:rPr>
          <w:rFonts w:hint="eastAsia"/>
          <w:color w:val="auto"/>
          <w:sz w:val="21"/>
          <w:szCs w:val="21"/>
        </w:rPr>
        <w:t>项目经理</w:t>
      </w:r>
      <w:bookmarkEnd w:id="577"/>
    </w:p>
    <w:bookmarkEnd w:id="578"/>
    <w:bookmarkEnd w:id="579"/>
    <w:bookmarkEnd w:id="580"/>
    <w:p w14:paraId="2D80132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56F99C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75CD35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承包人违反上述约定的，应按照专用合同条款的约定，承担违约责任。</w:t>
      </w:r>
    </w:p>
    <w:p w14:paraId="3B5920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DFED7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98B24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3166B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4A88D4C9">
      <w:pPr>
        <w:pStyle w:val="7"/>
        <w:spacing w:before="0" w:beforeAutospacing="0" w:after="0" w:afterAutospacing="0" w:line="360" w:lineRule="auto"/>
        <w:ind w:firstLine="422" w:firstLineChars="200"/>
        <w:rPr>
          <w:color w:val="auto"/>
          <w:sz w:val="21"/>
          <w:szCs w:val="21"/>
        </w:rPr>
      </w:pPr>
      <w:bookmarkStart w:id="581" w:name="_Toc532377207"/>
      <w:bookmarkStart w:id="582" w:name="_Toc351203521"/>
      <w:r>
        <w:rPr>
          <w:rFonts w:hint="eastAsia"/>
          <w:color w:val="auto"/>
          <w:sz w:val="21"/>
          <w:szCs w:val="21"/>
        </w:rPr>
        <w:t>3</w:t>
      </w:r>
      <w:bookmarkStart w:id="583" w:name="_Toc296503048"/>
      <w:bookmarkStart w:id="584" w:name="_Toc296346549"/>
      <w:bookmarkStart w:id="585" w:name="_Toc337558749"/>
      <w:r>
        <w:rPr>
          <w:rFonts w:hint="eastAsia"/>
          <w:color w:val="auto"/>
          <w:sz w:val="21"/>
          <w:szCs w:val="21"/>
        </w:rPr>
        <w:t xml:space="preserve">.3 </w:t>
      </w:r>
      <w:bookmarkEnd w:id="583"/>
      <w:bookmarkEnd w:id="584"/>
      <w:r>
        <w:rPr>
          <w:rFonts w:hint="eastAsia"/>
          <w:color w:val="auto"/>
          <w:sz w:val="21"/>
          <w:szCs w:val="21"/>
        </w:rPr>
        <w:t>承包人人员</w:t>
      </w:r>
      <w:bookmarkEnd w:id="581"/>
      <w:bookmarkEnd w:id="582"/>
    </w:p>
    <w:bookmarkEnd w:id="585"/>
    <w:p w14:paraId="4878C6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2685B2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8B8398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特殊工种作业人员均应持有相应的资格证明，监理人可以随时检查。</w:t>
      </w:r>
    </w:p>
    <w:p w14:paraId="622FE4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475EA1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786575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3.3.5 承包人擅自更换主要施工管理人员，或前述人员未经监理人或发包人同意擅自离开施工现场的，应按照专用合同条款约定承担违约责任。</w:t>
      </w:r>
    </w:p>
    <w:p w14:paraId="50543BD2">
      <w:pPr>
        <w:pStyle w:val="7"/>
        <w:spacing w:before="0" w:beforeAutospacing="0" w:after="0" w:afterAutospacing="0" w:line="360" w:lineRule="auto"/>
        <w:ind w:firstLine="422" w:firstLineChars="200"/>
        <w:rPr>
          <w:color w:val="auto"/>
          <w:sz w:val="21"/>
          <w:szCs w:val="21"/>
        </w:rPr>
      </w:pPr>
      <w:bookmarkStart w:id="586" w:name="_Toc351203522"/>
      <w:bookmarkStart w:id="587" w:name="_Toc532377208"/>
      <w:r>
        <w:rPr>
          <w:rFonts w:hint="eastAsia"/>
          <w:color w:val="auto"/>
          <w:sz w:val="21"/>
          <w:szCs w:val="21"/>
        </w:rPr>
        <w:t>3</w:t>
      </w:r>
      <w:bookmarkStart w:id="588" w:name="_Toc296346551"/>
      <w:bookmarkStart w:id="589" w:name="_Toc337558750"/>
      <w:bookmarkStart w:id="590" w:name="_Toc296503050"/>
      <w:r>
        <w:rPr>
          <w:rFonts w:hint="eastAsia"/>
          <w:color w:val="auto"/>
          <w:sz w:val="21"/>
          <w:szCs w:val="21"/>
        </w:rPr>
        <w:t>.4 承包人现场查勘</w:t>
      </w:r>
      <w:bookmarkEnd w:id="586"/>
      <w:bookmarkEnd w:id="587"/>
    </w:p>
    <w:bookmarkEnd w:id="588"/>
    <w:bookmarkEnd w:id="589"/>
    <w:bookmarkEnd w:id="590"/>
    <w:p w14:paraId="06F472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承包人应对基于发包人按照第2.4.3项〔提供基础资料〕提交的基础资料所做出的解释和推断负责，但因基础资料存在错误、遗漏导致承包人解释或推断失实的，由发包人承担责任。</w:t>
      </w:r>
    </w:p>
    <w:p w14:paraId="6BC4AC5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935F866">
      <w:pPr>
        <w:pStyle w:val="7"/>
        <w:spacing w:before="0" w:beforeAutospacing="0" w:after="0" w:afterAutospacing="0" w:line="360" w:lineRule="auto"/>
        <w:ind w:firstLine="422" w:firstLineChars="200"/>
        <w:rPr>
          <w:color w:val="auto"/>
          <w:sz w:val="21"/>
          <w:szCs w:val="21"/>
        </w:rPr>
      </w:pPr>
      <w:bookmarkStart w:id="591" w:name="_Toc532377209"/>
      <w:bookmarkStart w:id="592" w:name="_Toc351203523"/>
      <w:r>
        <w:rPr>
          <w:rFonts w:hint="eastAsia"/>
          <w:color w:val="auto"/>
          <w:sz w:val="21"/>
          <w:szCs w:val="21"/>
        </w:rPr>
        <w:t>3</w:t>
      </w:r>
      <w:bookmarkStart w:id="593" w:name="_Toc296503051"/>
      <w:bookmarkStart w:id="594" w:name="_Toc296346552"/>
      <w:bookmarkStart w:id="595" w:name="_Toc337558751"/>
      <w:r>
        <w:rPr>
          <w:rFonts w:hint="eastAsia"/>
          <w:color w:val="auto"/>
          <w:sz w:val="21"/>
          <w:szCs w:val="21"/>
        </w:rPr>
        <w:t>.5 分包</w:t>
      </w:r>
      <w:bookmarkEnd w:id="591"/>
      <w:bookmarkEnd w:id="592"/>
    </w:p>
    <w:bookmarkEnd w:id="593"/>
    <w:bookmarkEnd w:id="594"/>
    <w:bookmarkEnd w:id="595"/>
    <w:p w14:paraId="6AB1B77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3.5.1 分包的一般约定</w:t>
      </w:r>
    </w:p>
    <w:p w14:paraId="49BDF79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399CE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承包人不得以劳务分包的名义转包或违法分包工程。</w:t>
      </w:r>
    </w:p>
    <w:p w14:paraId="1699F70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3.5.2 分包的确定</w:t>
      </w:r>
    </w:p>
    <w:p w14:paraId="633BE10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C9159D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3.5.3 分包管理</w:t>
      </w:r>
    </w:p>
    <w:p w14:paraId="16602D8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承包人应向监理人提交分包人的主要施工管理人员表，并对分包人的施工人员进行实名制管理，包括但不限于进出场管理、登记造册以及各种证照的办理。</w:t>
      </w:r>
    </w:p>
    <w:p w14:paraId="5492353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3.5.4 分包合同价款</w:t>
      </w:r>
    </w:p>
    <w:p w14:paraId="23C754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（1）除本项第（2）目约定的情况或专用合同条款另有约定外，分包合同价款由承包人与分包人结算，未经承包人同意，发包人不得向分包人支付分包工程价款；</w:t>
      </w:r>
    </w:p>
    <w:p w14:paraId="6DED6C9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（2）生效法律文书要求发包人向分包人支付分包合同价款的，发包人有权从应付承包人工程款中扣除该部分款项。</w:t>
      </w:r>
    </w:p>
    <w:p w14:paraId="6AA548C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3.5.5 分包合同权益的转让</w:t>
      </w:r>
    </w:p>
    <w:p w14:paraId="4CA405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96" w:name="_Toc351203524"/>
    </w:p>
    <w:p w14:paraId="03BAD5A1">
      <w:pPr>
        <w:pStyle w:val="7"/>
        <w:spacing w:before="0" w:beforeAutospacing="0" w:after="0" w:afterAutospacing="0" w:line="360" w:lineRule="auto"/>
        <w:ind w:firstLine="422" w:firstLineChars="200"/>
        <w:rPr>
          <w:color w:val="auto"/>
          <w:sz w:val="21"/>
          <w:szCs w:val="21"/>
        </w:rPr>
      </w:pPr>
      <w:bookmarkStart w:id="597" w:name="_Toc532377210"/>
      <w:r>
        <w:rPr>
          <w:rFonts w:hint="eastAsia"/>
          <w:color w:val="auto"/>
          <w:sz w:val="21"/>
          <w:szCs w:val="21"/>
        </w:rPr>
        <w:t>3.6 工程照管与成品、半成品保护</w:t>
      </w:r>
      <w:bookmarkEnd w:id="596"/>
      <w:bookmarkEnd w:id="597"/>
    </w:p>
    <w:p w14:paraId="556A49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（1）除专用合同条款另有约定外，自发包人向承包人移交施工现场之日起，承包人应负责照管工程及工程相关的材料、工程设备，直到颁发工程接收证书之日止。</w:t>
      </w:r>
    </w:p>
    <w:p w14:paraId="772CDF6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（2）在承包人负责照管期间，因承包人原因造成工程、材料、工程设备损坏的，由承包人负责修复或更换，并承担由此增加的费用和（或）延误的工期。</w:t>
      </w:r>
    </w:p>
    <w:p w14:paraId="7B41E96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BAFD0ED">
      <w:pPr>
        <w:pStyle w:val="7"/>
        <w:spacing w:before="0" w:beforeAutospacing="0" w:after="0" w:afterAutospacing="0" w:line="360" w:lineRule="auto"/>
        <w:ind w:firstLine="422" w:firstLineChars="200"/>
        <w:rPr>
          <w:color w:val="auto"/>
          <w:sz w:val="21"/>
          <w:szCs w:val="21"/>
        </w:rPr>
      </w:pPr>
      <w:bookmarkStart w:id="598" w:name="_Toc532377211"/>
      <w:bookmarkStart w:id="599" w:name="_Toc351203525"/>
      <w:r>
        <w:rPr>
          <w:rFonts w:hint="eastAsia"/>
          <w:color w:val="auto"/>
          <w:sz w:val="21"/>
          <w:szCs w:val="21"/>
        </w:rPr>
        <w:t>3</w:t>
      </w:r>
      <w:bookmarkStart w:id="600" w:name="_Toc296346553"/>
      <w:bookmarkStart w:id="601" w:name="_Toc296503052"/>
      <w:bookmarkStart w:id="602" w:name="_Toc337558752"/>
      <w:r>
        <w:rPr>
          <w:rFonts w:hint="eastAsia"/>
          <w:color w:val="auto"/>
          <w:sz w:val="21"/>
          <w:szCs w:val="21"/>
        </w:rPr>
        <w:t>.7 履约担保</w:t>
      </w:r>
      <w:bookmarkEnd w:id="598"/>
      <w:bookmarkEnd w:id="599"/>
    </w:p>
    <w:bookmarkEnd w:id="600"/>
    <w:bookmarkEnd w:id="601"/>
    <w:bookmarkEnd w:id="602"/>
    <w:p w14:paraId="5FEA83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1FDD9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因承包人原因导致工期延长的，继续提供履约担保所增加的费用由承包人承担；非因承包人原因导致工期延长的，继续提供履约担保所增加的费用由发包人承担。</w:t>
      </w:r>
    </w:p>
    <w:p w14:paraId="645B7068">
      <w:pPr>
        <w:pStyle w:val="7"/>
        <w:spacing w:before="0" w:beforeAutospacing="0" w:after="0" w:afterAutospacing="0" w:line="360" w:lineRule="auto"/>
        <w:ind w:firstLine="422" w:firstLineChars="200"/>
        <w:rPr>
          <w:color w:val="auto"/>
          <w:sz w:val="21"/>
          <w:szCs w:val="21"/>
        </w:rPr>
      </w:pPr>
      <w:bookmarkStart w:id="603" w:name="_Toc351203526"/>
      <w:bookmarkStart w:id="604" w:name="_Toc532377212"/>
      <w:r>
        <w:rPr>
          <w:rFonts w:hint="eastAsia"/>
          <w:color w:val="auto"/>
          <w:sz w:val="21"/>
          <w:szCs w:val="21"/>
        </w:rPr>
        <w:t>3.8 联合体</w:t>
      </w:r>
      <w:bookmarkEnd w:id="603"/>
      <w:bookmarkEnd w:id="604"/>
    </w:p>
    <w:p w14:paraId="14BE80A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3.8.1 联合体各方应共同与发包人签订合同协议书。联合体各方应为履行合同向发包人承担连带责任。</w:t>
      </w:r>
    </w:p>
    <w:p w14:paraId="5EBA54A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3.8.2 联合体协议经发包人确认后作为合同附件。在履行合同过程中，未经发包人同意，不得修改联合体协议。</w:t>
      </w:r>
    </w:p>
    <w:p w14:paraId="11E9909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3.8.3 联合体牵头人负责与发包人和监理人联系，并接受指示，负责组织联合体各成员全面履行合同。</w:t>
      </w:r>
    </w:p>
    <w:p w14:paraId="06A3EB4E">
      <w:pPr>
        <w:pStyle w:val="6"/>
        <w:keepNext/>
        <w:keepLines/>
        <w:spacing w:beforeLines="50" w:beforeAutospacing="0" w:afterLines="50" w:afterAutospacing="0" w:line="360" w:lineRule="auto"/>
        <w:jc w:val="both"/>
        <w:rPr>
          <w:bCs w:val="0"/>
          <w:color w:val="auto"/>
          <w:kern w:val="2"/>
          <w:sz w:val="21"/>
          <w:szCs w:val="21"/>
        </w:rPr>
      </w:pPr>
      <w:bookmarkStart w:id="605" w:name="_Toc532377213"/>
      <w:bookmarkStart w:id="606" w:name="_Toc351203527"/>
      <w:bookmarkStart w:id="607" w:name="_Toc532375590"/>
      <w:r>
        <w:rPr>
          <w:rFonts w:hint="eastAsia"/>
          <w:color w:val="auto"/>
          <w:kern w:val="2"/>
          <w:sz w:val="21"/>
          <w:szCs w:val="21"/>
        </w:rPr>
        <w:t>4</w:t>
      </w:r>
      <w:bookmarkStart w:id="608" w:name="_Toc296346554"/>
      <w:bookmarkStart w:id="609" w:name="_Toc296503053"/>
      <w:bookmarkStart w:id="610" w:name="_Toc337558753"/>
      <w:r>
        <w:rPr>
          <w:rFonts w:hint="eastAsia"/>
          <w:color w:val="auto"/>
          <w:kern w:val="2"/>
          <w:sz w:val="21"/>
          <w:szCs w:val="21"/>
        </w:rPr>
        <w:t>. 监</w:t>
      </w:r>
      <w:bookmarkEnd w:id="608"/>
      <w:bookmarkEnd w:id="609"/>
      <w:r>
        <w:rPr>
          <w:rFonts w:hint="eastAsia"/>
          <w:color w:val="auto"/>
          <w:kern w:val="2"/>
          <w:sz w:val="21"/>
          <w:szCs w:val="21"/>
        </w:rPr>
        <w:t>理人</w:t>
      </w:r>
      <w:bookmarkEnd w:id="605"/>
      <w:bookmarkEnd w:id="606"/>
      <w:bookmarkEnd w:id="607"/>
    </w:p>
    <w:bookmarkEnd w:id="610"/>
    <w:p w14:paraId="5EC6EEFA">
      <w:pPr>
        <w:pStyle w:val="7"/>
        <w:spacing w:before="0" w:beforeAutospacing="0" w:after="0" w:afterAutospacing="0" w:line="360" w:lineRule="auto"/>
        <w:ind w:firstLine="422" w:firstLineChars="200"/>
        <w:rPr>
          <w:color w:val="auto"/>
          <w:sz w:val="21"/>
          <w:szCs w:val="21"/>
        </w:rPr>
      </w:pPr>
      <w:bookmarkStart w:id="611" w:name="_Toc351203528"/>
      <w:bookmarkStart w:id="612" w:name="_Toc532377214"/>
      <w:r>
        <w:rPr>
          <w:rFonts w:hint="eastAsia"/>
          <w:color w:val="auto"/>
          <w:sz w:val="21"/>
          <w:szCs w:val="21"/>
        </w:rPr>
        <w:t>4</w:t>
      </w:r>
      <w:bookmarkStart w:id="613" w:name="_Toc296503054"/>
      <w:bookmarkStart w:id="614" w:name="_Toc337558754"/>
      <w:bookmarkStart w:id="615" w:name="_Toc296346555"/>
      <w:r>
        <w:rPr>
          <w:rFonts w:hint="eastAsia"/>
          <w:color w:val="auto"/>
          <w:sz w:val="21"/>
          <w:szCs w:val="21"/>
        </w:rPr>
        <w:t>.1监理人的一般规定</w:t>
      </w:r>
      <w:bookmarkEnd w:id="611"/>
      <w:bookmarkEnd w:id="612"/>
    </w:p>
    <w:bookmarkEnd w:id="613"/>
    <w:bookmarkEnd w:id="614"/>
    <w:bookmarkEnd w:id="615"/>
    <w:p w14:paraId="7909F8B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DC7EB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除专用合同条款另有约定外，监理人在施工现场的办公场所、生活场所由承包人提供，所发生的费用由发包人承担。</w:t>
      </w:r>
    </w:p>
    <w:p w14:paraId="41D39E47">
      <w:pPr>
        <w:pStyle w:val="7"/>
        <w:spacing w:before="0" w:beforeAutospacing="0" w:after="0" w:afterAutospacing="0" w:line="360" w:lineRule="auto"/>
        <w:ind w:firstLine="422" w:firstLineChars="200"/>
        <w:rPr>
          <w:color w:val="auto"/>
          <w:sz w:val="21"/>
          <w:szCs w:val="21"/>
        </w:rPr>
      </w:pPr>
      <w:bookmarkStart w:id="616" w:name="_Toc532377215"/>
      <w:bookmarkStart w:id="617" w:name="_Toc351203529"/>
      <w:r>
        <w:rPr>
          <w:rFonts w:hint="eastAsia"/>
          <w:color w:val="auto"/>
          <w:sz w:val="21"/>
          <w:szCs w:val="21"/>
        </w:rPr>
        <w:t>4</w:t>
      </w:r>
      <w:bookmarkStart w:id="618" w:name="_Toc337558755"/>
      <w:r>
        <w:rPr>
          <w:rFonts w:hint="eastAsia"/>
          <w:color w:val="auto"/>
          <w:sz w:val="21"/>
          <w:szCs w:val="21"/>
        </w:rPr>
        <w:t>.2监理人员</w:t>
      </w:r>
      <w:bookmarkEnd w:id="616"/>
      <w:bookmarkEnd w:id="617"/>
    </w:p>
    <w:bookmarkEnd w:id="618"/>
    <w:p w14:paraId="5D31FB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569108C">
      <w:pPr>
        <w:pStyle w:val="7"/>
        <w:spacing w:before="0" w:beforeAutospacing="0" w:after="0" w:afterAutospacing="0" w:line="360" w:lineRule="auto"/>
        <w:ind w:firstLine="422" w:firstLineChars="200"/>
        <w:rPr>
          <w:color w:val="auto"/>
          <w:sz w:val="21"/>
          <w:szCs w:val="21"/>
        </w:rPr>
      </w:pPr>
      <w:bookmarkStart w:id="619" w:name="_Toc351203530"/>
      <w:bookmarkStart w:id="620" w:name="_Toc532377216"/>
      <w:r>
        <w:rPr>
          <w:rFonts w:hint="eastAsia"/>
          <w:color w:val="auto"/>
          <w:sz w:val="21"/>
          <w:szCs w:val="21"/>
        </w:rPr>
        <w:t>4</w:t>
      </w:r>
      <w:bookmarkStart w:id="621" w:name="_Toc296346556"/>
      <w:bookmarkStart w:id="622" w:name="_Toc296503055"/>
      <w:bookmarkStart w:id="623" w:name="_Toc337558756"/>
      <w:r>
        <w:rPr>
          <w:rFonts w:hint="eastAsia"/>
          <w:color w:val="auto"/>
          <w:sz w:val="21"/>
          <w:szCs w:val="21"/>
        </w:rPr>
        <w:t>.3</w:t>
      </w:r>
      <w:bookmarkEnd w:id="621"/>
      <w:bookmarkEnd w:id="622"/>
      <w:r>
        <w:rPr>
          <w:rFonts w:hint="eastAsia"/>
          <w:color w:val="auto"/>
          <w:sz w:val="21"/>
          <w:szCs w:val="21"/>
        </w:rPr>
        <w:t>监理人的指</w:t>
      </w:r>
      <w:bookmarkEnd w:id="623"/>
      <w:r>
        <w:rPr>
          <w:rFonts w:hint="eastAsia"/>
          <w:color w:val="auto"/>
          <w:sz w:val="21"/>
          <w:szCs w:val="21"/>
        </w:rPr>
        <w:t>示</w:t>
      </w:r>
      <w:bookmarkEnd w:id="619"/>
      <w:bookmarkEnd w:id="620"/>
    </w:p>
    <w:p w14:paraId="59FFA8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C3D005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453B06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承包人对监理人发出的指示有疑问的，应向监理人提出书面异议，监理人应在48小时内对该指示予以确认、更改或撤销，监理人逾期未回复的，承包人有权拒绝执行上述指示。</w:t>
      </w:r>
    </w:p>
    <w:p w14:paraId="6CE3059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4A198675">
      <w:pPr>
        <w:pStyle w:val="7"/>
        <w:spacing w:before="0" w:beforeAutospacing="0" w:after="0" w:afterAutospacing="0" w:line="360" w:lineRule="auto"/>
        <w:ind w:firstLine="422" w:firstLineChars="200"/>
        <w:rPr>
          <w:color w:val="auto"/>
          <w:sz w:val="21"/>
          <w:szCs w:val="21"/>
        </w:rPr>
      </w:pPr>
      <w:bookmarkStart w:id="624" w:name="_Toc351203531"/>
      <w:bookmarkStart w:id="625" w:name="_Toc532377217"/>
      <w:r>
        <w:rPr>
          <w:rFonts w:hint="eastAsia"/>
          <w:color w:val="auto"/>
          <w:sz w:val="21"/>
          <w:szCs w:val="21"/>
        </w:rPr>
        <w:t>4</w:t>
      </w:r>
      <w:bookmarkStart w:id="626" w:name="_Toc296503057"/>
      <w:bookmarkStart w:id="627" w:name="_Toc337558757"/>
      <w:bookmarkStart w:id="628" w:name="_Toc296346558"/>
      <w:r>
        <w:rPr>
          <w:rFonts w:hint="eastAsia"/>
          <w:color w:val="auto"/>
          <w:sz w:val="21"/>
          <w:szCs w:val="21"/>
        </w:rPr>
        <w:t>.4 商定或确定</w:t>
      </w:r>
      <w:bookmarkEnd w:id="624"/>
      <w:bookmarkEnd w:id="625"/>
    </w:p>
    <w:bookmarkEnd w:id="626"/>
    <w:bookmarkEnd w:id="627"/>
    <w:bookmarkEnd w:id="628"/>
    <w:p w14:paraId="70258D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合同当事人进行商定或确定时，总监理工程师应当会同合同当事人尽量通过协商达成一致，不能达成一致的，由总监理工程师按照合同约定审慎做出公正的确定。</w:t>
      </w:r>
    </w:p>
    <w:p w14:paraId="6F128C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DEAA459">
      <w:pPr>
        <w:pStyle w:val="6"/>
        <w:keepNext/>
        <w:keepLines/>
        <w:spacing w:beforeLines="50" w:beforeAutospacing="0" w:afterLines="50" w:afterAutospacing="0" w:line="360" w:lineRule="auto"/>
        <w:jc w:val="both"/>
        <w:rPr>
          <w:bCs w:val="0"/>
          <w:color w:val="auto"/>
          <w:kern w:val="2"/>
          <w:sz w:val="21"/>
          <w:szCs w:val="21"/>
        </w:rPr>
      </w:pPr>
      <w:bookmarkStart w:id="629" w:name="_Toc351203532"/>
      <w:bookmarkStart w:id="630" w:name="_Toc532375591"/>
      <w:bookmarkStart w:id="631" w:name="_Toc532377218"/>
      <w:r>
        <w:rPr>
          <w:rFonts w:hint="eastAsia"/>
          <w:color w:val="auto"/>
          <w:kern w:val="2"/>
          <w:sz w:val="21"/>
          <w:szCs w:val="21"/>
        </w:rPr>
        <w:t>5</w:t>
      </w:r>
      <w:bookmarkStart w:id="632" w:name="_Toc337558758"/>
      <w:r>
        <w:rPr>
          <w:rFonts w:hint="eastAsia"/>
          <w:color w:val="auto"/>
          <w:kern w:val="2"/>
          <w:sz w:val="21"/>
          <w:szCs w:val="21"/>
        </w:rPr>
        <w:t>. 工程质量</w:t>
      </w:r>
      <w:bookmarkEnd w:id="629"/>
      <w:bookmarkEnd w:id="630"/>
      <w:bookmarkEnd w:id="631"/>
    </w:p>
    <w:bookmarkEnd w:id="632"/>
    <w:p w14:paraId="64069BFF">
      <w:pPr>
        <w:pStyle w:val="7"/>
        <w:spacing w:before="0" w:beforeAutospacing="0" w:after="0" w:afterAutospacing="0" w:line="360" w:lineRule="auto"/>
        <w:ind w:firstLine="422" w:firstLineChars="200"/>
        <w:rPr>
          <w:color w:val="auto"/>
          <w:sz w:val="21"/>
          <w:szCs w:val="21"/>
        </w:rPr>
      </w:pPr>
      <w:bookmarkStart w:id="633" w:name="_Toc351203533"/>
      <w:bookmarkStart w:id="634" w:name="_Toc532377219"/>
      <w:r>
        <w:rPr>
          <w:rFonts w:hint="eastAsia"/>
          <w:color w:val="auto"/>
          <w:sz w:val="21"/>
          <w:szCs w:val="21"/>
        </w:rPr>
        <w:t>5</w:t>
      </w:r>
      <w:bookmarkStart w:id="635" w:name="_Toc337558759"/>
      <w:r>
        <w:rPr>
          <w:rFonts w:hint="eastAsia"/>
          <w:color w:val="auto"/>
          <w:sz w:val="21"/>
          <w:szCs w:val="21"/>
        </w:rPr>
        <w:t>.1质量要求</w:t>
      </w:r>
      <w:bookmarkEnd w:id="633"/>
      <w:bookmarkEnd w:id="634"/>
    </w:p>
    <w:bookmarkEnd w:id="635"/>
    <w:p w14:paraId="5B1102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5.1.1 工程质量标准必须符合现行国家有关工程施工质量验收规范和标准的要求。有关工程质量的特殊标准或要求由合同当事人在专用合同条款中约定。</w:t>
      </w:r>
    </w:p>
    <w:p w14:paraId="1ACCD0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5.1.2 因发包人原因造成工程质量未达到合同约定标准的，由发包人承担由此增加的费用和（或）延误的工期，并支付承包人合理的利润。</w:t>
      </w:r>
    </w:p>
    <w:p w14:paraId="32CF7E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5.1.3 因承包人原因造成工程质量未达到合同约定标准的，发包人有权要求承包人返工直至工程质量达到合同约定的标准为止，并由承包人承担由此增加的费用和（或）延误的工期。</w:t>
      </w:r>
    </w:p>
    <w:p w14:paraId="594B8E79">
      <w:pPr>
        <w:pStyle w:val="7"/>
        <w:spacing w:before="0" w:beforeAutospacing="0" w:after="0" w:afterAutospacing="0" w:line="360" w:lineRule="auto"/>
        <w:ind w:firstLine="422" w:firstLineChars="200"/>
        <w:rPr>
          <w:color w:val="auto"/>
          <w:sz w:val="21"/>
          <w:szCs w:val="21"/>
        </w:rPr>
      </w:pPr>
      <w:bookmarkStart w:id="636" w:name="_Toc532377220"/>
      <w:bookmarkStart w:id="637" w:name="_Toc351203534"/>
      <w:r>
        <w:rPr>
          <w:rFonts w:hint="eastAsia"/>
          <w:color w:val="auto"/>
          <w:sz w:val="21"/>
          <w:szCs w:val="21"/>
        </w:rPr>
        <w:t>5</w:t>
      </w:r>
      <w:bookmarkStart w:id="638" w:name="_Toc337558760"/>
      <w:r>
        <w:rPr>
          <w:rFonts w:hint="eastAsia"/>
          <w:color w:val="auto"/>
          <w:sz w:val="21"/>
          <w:szCs w:val="21"/>
        </w:rPr>
        <w:t>.2质量保证措施</w:t>
      </w:r>
      <w:bookmarkEnd w:id="636"/>
      <w:bookmarkEnd w:id="637"/>
    </w:p>
    <w:bookmarkEnd w:id="638"/>
    <w:p w14:paraId="73D14B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5.2.1 发包人的质量管理</w:t>
      </w:r>
    </w:p>
    <w:p w14:paraId="04C2718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发包人应按照法律规定及合同约定完成与工程质量有关的各项工作。</w:t>
      </w:r>
    </w:p>
    <w:p w14:paraId="450BB3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5.2.2 承包人的质量管理</w:t>
      </w:r>
    </w:p>
    <w:p w14:paraId="30B9D2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CB5B2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承包人应对施工人员进行质量教育和技术培训，定期考核施工人员的劳动技能，严格执行施工规范和操作规程。</w:t>
      </w:r>
    </w:p>
    <w:p w14:paraId="6E2102D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286BC1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5.2.3 监理人的质量检查和检验</w:t>
      </w:r>
    </w:p>
    <w:p w14:paraId="27B93C9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26B1FB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D1F2F5A">
      <w:pPr>
        <w:pStyle w:val="7"/>
        <w:spacing w:before="0" w:beforeAutospacing="0" w:after="0" w:afterAutospacing="0" w:line="360" w:lineRule="auto"/>
        <w:ind w:firstLine="422" w:firstLineChars="200"/>
        <w:rPr>
          <w:color w:val="auto"/>
          <w:sz w:val="21"/>
          <w:szCs w:val="21"/>
        </w:rPr>
      </w:pPr>
      <w:bookmarkStart w:id="639" w:name="_Toc532377221"/>
      <w:bookmarkStart w:id="640" w:name="_Toc351203535"/>
      <w:r>
        <w:rPr>
          <w:rFonts w:hint="eastAsia"/>
          <w:color w:val="auto"/>
          <w:sz w:val="21"/>
          <w:szCs w:val="21"/>
        </w:rPr>
        <w:t>5</w:t>
      </w:r>
      <w:bookmarkStart w:id="641" w:name="_Toc337558761"/>
      <w:r>
        <w:rPr>
          <w:rFonts w:hint="eastAsia"/>
          <w:color w:val="auto"/>
          <w:sz w:val="21"/>
          <w:szCs w:val="21"/>
        </w:rPr>
        <w:t>.3 隐蔽工程检查</w:t>
      </w:r>
      <w:bookmarkEnd w:id="639"/>
      <w:bookmarkEnd w:id="640"/>
    </w:p>
    <w:bookmarkEnd w:id="641"/>
    <w:p w14:paraId="65EB4E3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5.3.1承包人自检</w:t>
      </w:r>
    </w:p>
    <w:p w14:paraId="040F53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承包人应当对工程隐蔽部位进行自检，并经自检确认是否具备覆盖条件。</w:t>
      </w:r>
    </w:p>
    <w:p w14:paraId="50457C4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5.3.2检查程序</w:t>
      </w:r>
    </w:p>
    <w:p w14:paraId="6C1669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E04133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5A88A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6BFF5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5.3.3 重新检查</w:t>
      </w:r>
    </w:p>
    <w:p w14:paraId="7F41940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7F1C34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5.3.4 承包人私自覆盖</w:t>
      </w:r>
    </w:p>
    <w:p w14:paraId="07C83DC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208CF03">
      <w:pPr>
        <w:pStyle w:val="7"/>
        <w:spacing w:before="0" w:beforeAutospacing="0" w:after="0" w:afterAutospacing="0" w:line="360" w:lineRule="auto"/>
        <w:ind w:firstLine="422" w:firstLineChars="200"/>
        <w:rPr>
          <w:color w:val="auto"/>
          <w:sz w:val="21"/>
          <w:szCs w:val="21"/>
        </w:rPr>
      </w:pPr>
      <w:bookmarkStart w:id="642" w:name="_Toc532377222"/>
      <w:r>
        <w:rPr>
          <w:rFonts w:hint="eastAsia"/>
          <w:color w:val="auto"/>
          <w:sz w:val="21"/>
          <w:szCs w:val="21"/>
        </w:rPr>
        <w:t>5.4不合格工程的处理</w:t>
      </w:r>
      <w:bookmarkEnd w:id="642"/>
    </w:p>
    <w:p w14:paraId="4EC92DB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7586A9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5.4.2 因发包人原因造成工程不合格的，由此增加的费用和（或）延误的工期由发包人承担，并支付承包人合理的利润。</w:t>
      </w:r>
    </w:p>
    <w:p w14:paraId="111B1EF7">
      <w:pPr>
        <w:pStyle w:val="7"/>
        <w:spacing w:before="0" w:beforeAutospacing="0" w:after="0" w:afterAutospacing="0" w:line="360" w:lineRule="auto"/>
        <w:ind w:firstLine="422" w:firstLineChars="200"/>
        <w:rPr>
          <w:color w:val="auto"/>
          <w:sz w:val="21"/>
          <w:szCs w:val="21"/>
        </w:rPr>
      </w:pPr>
      <w:bookmarkStart w:id="643" w:name="_Toc532377223"/>
      <w:bookmarkStart w:id="644" w:name="_Toc351203537"/>
      <w:r>
        <w:rPr>
          <w:rFonts w:hint="eastAsia"/>
          <w:color w:val="auto"/>
          <w:sz w:val="21"/>
          <w:szCs w:val="21"/>
        </w:rPr>
        <w:t>5.5 质量争议检测</w:t>
      </w:r>
      <w:bookmarkEnd w:id="643"/>
      <w:bookmarkEnd w:id="644"/>
    </w:p>
    <w:p w14:paraId="6AC83EC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合同当事人对工程质量有争议的，由双方协商确定的工程质量检测机构鉴定，由此产生的费用及因此造成的损失，由责任方承担。</w:t>
      </w:r>
    </w:p>
    <w:p w14:paraId="05E697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合同当事人均有责任的，由双方根据其责任分别承担。合同当事人无法达成一致的，按照第4.4款〔商定或确定〕执行。</w:t>
      </w:r>
    </w:p>
    <w:p w14:paraId="6E3827DC">
      <w:pPr>
        <w:pStyle w:val="6"/>
        <w:keepNext/>
        <w:keepLines/>
        <w:spacing w:beforeLines="50" w:beforeAutospacing="0" w:afterLines="50" w:afterAutospacing="0" w:line="360" w:lineRule="auto"/>
        <w:jc w:val="both"/>
        <w:rPr>
          <w:bCs w:val="0"/>
          <w:color w:val="auto"/>
          <w:kern w:val="2"/>
          <w:sz w:val="21"/>
          <w:szCs w:val="21"/>
        </w:rPr>
      </w:pPr>
      <w:bookmarkStart w:id="645" w:name="_Toc532375592"/>
      <w:bookmarkStart w:id="646" w:name="_Toc351203538"/>
      <w:bookmarkStart w:id="647" w:name="_Toc532377224"/>
      <w:r>
        <w:rPr>
          <w:rFonts w:hint="eastAsia"/>
          <w:color w:val="auto"/>
          <w:kern w:val="2"/>
          <w:sz w:val="21"/>
          <w:szCs w:val="21"/>
        </w:rPr>
        <w:t>6</w:t>
      </w:r>
      <w:bookmarkStart w:id="648" w:name="_Toc337558763"/>
      <w:r>
        <w:rPr>
          <w:rFonts w:hint="eastAsia"/>
          <w:color w:val="auto"/>
          <w:kern w:val="2"/>
          <w:sz w:val="21"/>
          <w:szCs w:val="21"/>
        </w:rPr>
        <w:t>. 安全文明施工与环境保护</w:t>
      </w:r>
      <w:bookmarkEnd w:id="645"/>
      <w:bookmarkEnd w:id="646"/>
      <w:bookmarkEnd w:id="647"/>
    </w:p>
    <w:bookmarkEnd w:id="648"/>
    <w:p w14:paraId="0DB50078">
      <w:pPr>
        <w:pStyle w:val="7"/>
        <w:spacing w:before="0" w:beforeAutospacing="0" w:after="0" w:afterAutospacing="0" w:line="360" w:lineRule="auto"/>
        <w:ind w:firstLine="422" w:firstLineChars="200"/>
        <w:rPr>
          <w:color w:val="auto"/>
          <w:sz w:val="21"/>
          <w:szCs w:val="21"/>
        </w:rPr>
      </w:pPr>
      <w:bookmarkStart w:id="649" w:name="_Toc532377225"/>
      <w:bookmarkStart w:id="650" w:name="_Toc351203539"/>
      <w:r>
        <w:rPr>
          <w:rFonts w:hint="eastAsia"/>
          <w:color w:val="auto"/>
          <w:sz w:val="21"/>
          <w:szCs w:val="21"/>
        </w:rPr>
        <w:t>6</w:t>
      </w:r>
      <w:bookmarkStart w:id="651" w:name="_Toc337558764"/>
      <w:r>
        <w:rPr>
          <w:rFonts w:hint="eastAsia"/>
          <w:color w:val="auto"/>
          <w:sz w:val="21"/>
          <w:szCs w:val="21"/>
        </w:rPr>
        <w:t>.1安全文明施工</w:t>
      </w:r>
      <w:bookmarkEnd w:id="649"/>
      <w:bookmarkEnd w:id="650"/>
    </w:p>
    <w:bookmarkEnd w:id="651"/>
    <w:p w14:paraId="38FB279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6.1.1安全生产要求</w:t>
      </w:r>
    </w:p>
    <w:p w14:paraId="600A3B1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8B98B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7C91E62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因安全生产需要暂停施工的，按照第7.8款〔暂停施工〕的约定执行。</w:t>
      </w:r>
    </w:p>
    <w:p w14:paraId="38ED7F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6.1.2 安全生产保证措施</w:t>
      </w:r>
    </w:p>
    <w:p w14:paraId="10AFF5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B9A8BE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6.1.3特别安全生产事项</w:t>
      </w:r>
    </w:p>
    <w:p w14:paraId="34268B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5E05D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05B588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7D78924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需单独编制危险性较大分部分项专项工程施工方案的，及要求进行专家论证的超过一定规模的危险性较大的分部分项工程，承包人应及时编制和组织论证。</w:t>
      </w:r>
    </w:p>
    <w:p w14:paraId="75D2480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6.1.4 治安保卫</w:t>
      </w:r>
    </w:p>
    <w:p w14:paraId="5C039E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除专用合同条款另有约定外，发包人应与当地公安部门协商，在现场建立治安管理机构或联防组织，统一管理施工场地的治安保卫事项，履行合同工程的治安保卫职责。</w:t>
      </w:r>
    </w:p>
    <w:p w14:paraId="5A23983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发包人和承包人除应协助现场治安管理机构或联防组织维护施工场地的社会治安外，还应做好包括生活区在内的各自管辖区的治安保卫工作。</w:t>
      </w:r>
    </w:p>
    <w:p w14:paraId="3D7A09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1D3F5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6.1.5 文明施工</w:t>
      </w:r>
    </w:p>
    <w:p w14:paraId="3B1D9CB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BCD426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228AF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6.1.6 安全文明施工费</w:t>
      </w:r>
    </w:p>
    <w:p w14:paraId="268102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安全文明施工费由发包人承担，发包人不得以任何形式扣减该部分费用。因基准日期后合同所适用的法律或政府有关规定发生变化，增加的安全文明施工费由发包人承担。</w:t>
      </w:r>
    </w:p>
    <w:p w14:paraId="4C1589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0199C3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DF879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C98578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6.1.7 紧急情况处理</w:t>
      </w:r>
    </w:p>
    <w:p w14:paraId="63382D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4DEDEC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6.1.8 事故处理</w:t>
      </w:r>
    </w:p>
    <w:p w14:paraId="708628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01DC7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 安全生产责任</w:t>
      </w:r>
    </w:p>
    <w:p w14:paraId="31D9BC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6.1.9.1 发包人的安全责任</w:t>
      </w:r>
    </w:p>
    <w:p w14:paraId="19608CC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发包人应负责赔偿以下各种情况造成的损失：</w:t>
      </w:r>
    </w:p>
    <w:p w14:paraId="193795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（1）工程或工程的任何部分对土地的占用所造成的第三者财产损失；</w:t>
      </w:r>
    </w:p>
    <w:p w14:paraId="66F5C1C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（2）由于发包人原因在施工场地及其毗邻地带造成的第三者人身伤亡和财产损失；</w:t>
      </w:r>
    </w:p>
    <w:p w14:paraId="7F6E2D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（3）由于发包人原因对承包人、监理人造成的人员人身伤亡和财产损失；</w:t>
      </w:r>
    </w:p>
    <w:p w14:paraId="69D909D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（4）由于发包人原因造成的发包人自身人员的人身伤害以及财产损失。</w:t>
      </w:r>
    </w:p>
    <w:p w14:paraId="160FD3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6.1.9.2 承包人的安全责任</w:t>
      </w:r>
    </w:p>
    <w:p w14:paraId="2CE5D27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由于承包人原因在施工场地内及其毗邻地带造成的发包人、监理人以及第三者人员伤亡和财产损失，由承包人负责赔偿。</w:t>
      </w:r>
    </w:p>
    <w:p w14:paraId="5C9C5DB6">
      <w:pPr>
        <w:pStyle w:val="7"/>
        <w:spacing w:before="0" w:beforeAutospacing="0" w:after="0" w:afterAutospacing="0" w:line="360" w:lineRule="auto"/>
        <w:ind w:firstLine="422" w:firstLineChars="200"/>
        <w:rPr>
          <w:color w:val="auto"/>
          <w:sz w:val="21"/>
          <w:szCs w:val="21"/>
        </w:rPr>
      </w:pPr>
      <w:bookmarkStart w:id="652" w:name="_Toc351203540"/>
      <w:bookmarkStart w:id="653" w:name="_Toc532377226"/>
      <w:r>
        <w:rPr>
          <w:rFonts w:hint="eastAsia"/>
          <w:color w:val="auto"/>
          <w:sz w:val="21"/>
          <w:szCs w:val="21"/>
        </w:rPr>
        <w:t>6</w:t>
      </w:r>
      <w:bookmarkStart w:id="654" w:name="_Toc337558765"/>
      <w:r>
        <w:rPr>
          <w:rFonts w:hint="eastAsia"/>
          <w:color w:val="auto"/>
          <w:sz w:val="21"/>
          <w:szCs w:val="21"/>
        </w:rPr>
        <w:t>.2 职业健康</w:t>
      </w:r>
      <w:bookmarkEnd w:id="652"/>
      <w:bookmarkEnd w:id="653"/>
    </w:p>
    <w:bookmarkEnd w:id="654"/>
    <w:p w14:paraId="1FEB07D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6.2.1 劳动保护</w:t>
      </w:r>
    </w:p>
    <w:p w14:paraId="0101E0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C9532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96056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1126B0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6.2.2 生活条件</w:t>
      </w:r>
    </w:p>
    <w:p w14:paraId="1E2EDAA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945A1FB">
      <w:pPr>
        <w:pStyle w:val="7"/>
        <w:spacing w:before="0" w:beforeAutospacing="0" w:after="0" w:afterAutospacing="0" w:line="360" w:lineRule="auto"/>
        <w:ind w:firstLine="422" w:firstLineChars="200"/>
        <w:rPr>
          <w:color w:val="auto"/>
          <w:sz w:val="21"/>
          <w:szCs w:val="21"/>
        </w:rPr>
      </w:pPr>
      <w:bookmarkStart w:id="655" w:name="_Toc351203541"/>
      <w:bookmarkStart w:id="656" w:name="_Toc532377227"/>
      <w:r>
        <w:rPr>
          <w:rFonts w:hint="eastAsia"/>
          <w:color w:val="auto"/>
          <w:sz w:val="21"/>
          <w:szCs w:val="21"/>
        </w:rPr>
        <w:t>6</w:t>
      </w:r>
      <w:bookmarkStart w:id="657" w:name="_Toc337558766"/>
      <w:r>
        <w:rPr>
          <w:rFonts w:hint="eastAsia"/>
          <w:color w:val="auto"/>
          <w:sz w:val="21"/>
          <w:szCs w:val="21"/>
        </w:rPr>
        <w:t>.3 环境保护</w:t>
      </w:r>
      <w:bookmarkEnd w:id="655"/>
      <w:bookmarkEnd w:id="656"/>
    </w:p>
    <w:bookmarkEnd w:id="657"/>
    <w:p w14:paraId="74C8D62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A473F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承包人应当承担因其原因引起的环境污染侵权损害赔偿责任，因上述环境污染引起纠纷而导致暂停施工的，由此增加的费用和（或）延误的工期由承包人承担。</w:t>
      </w:r>
    </w:p>
    <w:p w14:paraId="4B1DF91C">
      <w:pPr>
        <w:pStyle w:val="6"/>
        <w:keepNext/>
        <w:keepLines/>
        <w:spacing w:beforeLines="50" w:beforeAutospacing="0" w:afterLines="50" w:afterAutospacing="0" w:line="360" w:lineRule="auto"/>
        <w:jc w:val="both"/>
        <w:rPr>
          <w:bCs w:val="0"/>
          <w:color w:val="auto"/>
          <w:kern w:val="2"/>
          <w:sz w:val="21"/>
          <w:szCs w:val="21"/>
        </w:rPr>
      </w:pPr>
      <w:bookmarkStart w:id="658" w:name="_Toc532377228"/>
      <w:bookmarkStart w:id="659" w:name="_Toc532375593"/>
      <w:bookmarkStart w:id="660" w:name="_Toc351203542"/>
      <w:r>
        <w:rPr>
          <w:rFonts w:hint="eastAsia"/>
          <w:color w:val="auto"/>
          <w:kern w:val="2"/>
          <w:sz w:val="21"/>
          <w:szCs w:val="21"/>
        </w:rPr>
        <w:t>7</w:t>
      </w:r>
      <w:bookmarkStart w:id="661" w:name="_Toc337558767"/>
      <w:r>
        <w:rPr>
          <w:rFonts w:hint="eastAsia"/>
          <w:color w:val="auto"/>
          <w:kern w:val="2"/>
          <w:sz w:val="21"/>
          <w:szCs w:val="21"/>
        </w:rPr>
        <w:t>. 工期和进度</w:t>
      </w:r>
      <w:bookmarkEnd w:id="658"/>
      <w:bookmarkEnd w:id="659"/>
      <w:bookmarkEnd w:id="660"/>
    </w:p>
    <w:bookmarkEnd w:id="661"/>
    <w:p w14:paraId="20CBC557">
      <w:pPr>
        <w:pStyle w:val="7"/>
        <w:spacing w:before="0" w:beforeAutospacing="0" w:after="0" w:afterAutospacing="0" w:line="360" w:lineRule="auto"/>
        <w:ind w:firstLine="422" w:firstLineChars="200"/>
        <w:rPr>
          <w:color w:val="auto"/>
          <w:sz w:val="21"/>
          <w:szCs w:val="21"/>
        </w:rPr>
      </w:pPr>
      <w:bookmarkStart w:id="662" w:name="_Toc532377229"/>
      <w:bookmarkStart w:id="663" w:name="_Toc351203543"/>
      <w:r>
        <w:rPr>
          <w:rFonts w:hint="eastAsia"/>
          <w:color w:val="auto"/>
          <w:sz w:val="21"/>
          <w:szCs w:val="21"/>
        </w:rPr>
        <w:t>7</w:t>
      </w:r>
      <w:bookmarkStart w:id="664" w:name="_Toc337558768"/>
      <w:bookmarkStart w:id="665" w:name="_Toc296503066"/>
      <w:bookmarkStart w:id="666" w:name="_Toc296346567"/>
      <w:r>
        <w:rPr>
          <w:rFonts w:hint="eastAsia"/>
          <w:color w:val="auto"/>
          <w:sz w:val="21"/>
          <w:szCs w:val="21"/>
        </w:rPr>
        <w:t>.1施工组织设计</w:t>
      </w:r>
      <w:bookmarkEnd w:id="662"/>
      <w:bookmarkEnd w:id="663"/>
    </w:p>
    <w:bookmarkEnd w:id="664"/>
    <w:p w14:paraId="75598A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7.1.1 施工组织设计的内容</w:t>
      </w:r>
    </w:p>
    <w:p w14:paraId="7AB1E08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施工组织设计应包含以下内容：</w:t>
      </w:r>
    </w:p>
    <w:p w14:paraId="560CAC8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（1）施工方案； </w:t>
      </w:r>
    </w:p>
    <w:p w14:paraId="5E0654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（2）施工现场平面布置图；</w:t>
      </w:r>
    </w:p>
    <w:p w14:paraId="6BDD07D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（3）施工进度计划和保证措施； </w:t>
      </w:r>
    </w:p>
    <w:p w14:paraId="5C45C7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（4）劳动力及材料供应计划；</w:t>
      </w:r>
    </w:p>
    <w:p w14:paraId="008999F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（5）施工机械设备的选用；</w:t>
      </w:r>
    </w:p>
    <w:p w14:paraId="542419B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（6）质量保证体系及措施；</w:t>
      </w:r>
    </w:p>
    <w:p w14:paraId="73705F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（7）安全生产、文明施工措施；</w:t>
      </w:r>
    </w:p>
    <w:p w14:paraId="0F54F68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（8）环境保护、成本控制措施；</w:t>
      </w:r>
    </w:p>
    <w:p w14:paraId="175DC8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（9）合同当事人约定的其他内容。</w:t>
      </w:r>
    </w:p>
    <w:p w14:paraId="730173A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7.1.2 施工组织设计的提交和修改</w:t>
      </w:r>
    </w:p>
    <w:p w14:paraId="3EC194E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11F41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施工进度计划的编制和修改按照第7.2款〔施工进度计划〕执行。</w:t>
      </w:r>
    </w:p>
    <w:p w14:paraId="3ABC08FF">
      <w:pPr>
        <w:pStyle w:val="7"/>
        <w:spacing w:before="0" w:beforeAutospacing="0" w:after="0" w:afterAutospacing="0" w:line="360" w:lineRule="auto"/>
        <w:ind w:firstLine="422" w:firstLineChars="200"/>
        <w:rPr>
          <w:color w:val="auto"/>
          <w:sz w:val="21"/>
          <w:szCs w:val="21"/>
        </w:rPr>
      </w:pPr>
      <w:bookmarkStart w:id="667" w:name="_Toc532377230"/>
      <w:bookmarkStart w:id="668" w:name="_Toc351203544"/>
      <w:r>
        <w:rPr>
          <w:rFonts w:hint="eastAsia"/>
          <w:color w:val="auto"/>
          <w:sz w:val="21"/>
          <w:szCs w:val="21"/>
        </w:rPr>
        <w:t>7</w:t>
      </w:r>
      <w:bookmarkStart w:id="669" w:name="_Toc337558769"/>
      <w:r>
        <w:rPr>
          <w:rFonts w:hint="eastAsia"/>
          <w:color w:val="auto"/>
          <w:sz w:val="21"/>
          <w:szCs w:val="21"/>
        </w:rPr>
        <w:t>.2 施工进度计划</w:t>
      </w:r>
      <w:bookmarkEnd w:id="667"/>
      <w:bookmarkEnd w:id="668"/>
    </w:p>
    <w:bookmarkEnd w:id="669"/>
    <w:p w14:paraId="3C5AA8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7.2.1 施工进度计划的编制</w:t>
      </w:r>
    </w:p>
    <w:p w14:paraId="49100E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0B1879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7.2.2 施工进度计划的修订</w:t>
      </w:r>
    </w:p>
    <w:p w14:paraId="53F69D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6556AF9">
      <w:pPr>
        <w:pStyle w:val="7"/>
        <w:spacing w:before="0" w:beforeAutospacing="0" w:after="0" w:afterAutospacing="0" w:line="360" w:lineRule="auto"/>
        <w:ind w:firstLine="422" w:firstLineChars="200"/>
        <w:rPr>
          <w:color w:val="auto"/>
          <w:sz w:val="21"/>
          <w:szCs w:val="21"/>
        </w:rPr>
      </w:pPr>
      <w:bookmarkStart w:id="670" w:name="_Toc532377231"/>
      <w:bookmarkStart w:id="671" w:name="_Toc351203545"/>
      <w:r>
        <w:rPr>
          <w:rFonts w:hint="eastAsia"/>
          <w:color w:val="auto"/>
          <w:sz w:val="21"/>
          <w:szCs w:val="21"/>
        </w:rPr>
        <w:t>7</w:t>
      </w:r>
      <w:bookmarkStart w:id="672" w:name="_Toc337558770"/>
      <w:r>
        <w:rPr>
          <w:rFonts w:hint="eastAsia"/>
          <w:color w:val="auto"/>
          <w:sz w:val="21"/>
          <w:szCs w:val="21"/>
        </w:rPr>
        <w:t>.3 开工</w:t>
      </w:r>
      <w:bookmarkEnd w:id="670"/>
      <w:bookmarkEnd w:id="671"/>
    </w:p>
    <w:p w14:paraId="527B82C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7.3.1 开工准备</w:t>
      </w:r>
    </w:p>
    <w:p w14:paraId="37DDC9E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D9736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除专用合同条款另有约定外，合同当事人应按约定完成开工准备工作。</w:t>
      </w:r>
    </w:p>
    <w:p w14:paraId="54D748B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7.3.2 开工通知</w:t>
      </w:r>
    </w:p>
    <w:bookmarkEnd w:id="672"/>
    <w:p w14:paraId="0B4A55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581B3E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75D6815">
      <w:pPr>
        <w:pStyle w:val="7"/>
        <w:spacing w:before="0" w:beforeAutospacing="0" w:after="0" w:afterAutospacing="0" w:line="360" w:lineRule="auto"/>
        <w:ind w:firstLine="422" w:firstLineChars="200"/>
        <w:rPr>
          <w:color w:val="auto"/>
          <w:sz w:val="21"/>
          <w:szCs w:val="21"/>
        </w:rPr>
      </w:pPr>
      <w:bookmarkStart w:id="673" w:name="_Toc351203546"/>
      <w:bookmarkStart w:id="674" w:name="_Toc532377232"/>
      <w:r>
        <w:rPr>
          <w:rFonts w:hint="eastAsia"/>
          <w:color w:val="auto"/>
          <w:sz w:val="21"/>
          <w:szCs w:val="21"/>
        </w:rPr>
        <w:t>7.4测量放线</w:t>
      </w:r>
      <w:bookmarkEnd w:id="673"/>
      <w:bookmarkEnd w:id="674"/>
    </w:p>
    <w:p w14:paraId="1D2C955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F8112C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F06B0C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D2D0B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施工过程中对施工现场内水准点等测量标志物的保护工作由承包人负责。</w:t>
      </w:r>
      <w:bookmarkStart w:id="675" w:name="_Toc351203547"/>
    </w:p>
    <w:p w14:paraId="1CE0D245">
      <w:pPr>
        <w:pStyle w:val="7"/>
        <w:spacing w:before="0" w:beforeAutospacing="0" w:after="0" w:afterAutospacing="0" w:line="360" w:lineRule="auto"/>
        <w:ind w:firstLine="422" w:firstLineChars="200"/>
        <w:rPr>
          <w:color w:val="auto"/>
          <w:sz w:val="21"/>
          <w:szCs w:val="21"/>
        </w:rPr>
      </w:pPr>
      <w:bookmarkStart w:id="676" w:name="_Toc532377233"/>
      <w:r>
        <w:rPr>
          <w:rFonts w:hint="eastAsia"/>
          <w:color w:val="auto"/>
          <w:sz w:val="21"/>
          <w:szCs w:val="21"/>
        </w:rPr>
        <w:t>7</w:t>
      </w:r>
      <w:bookmarkEnd w:id="665"/>
      <w:bookmarkEnd w:id="666"/>
      <w:bookmarkStart w:id="677" w:name="_Toc337558772"/>
      <w:bookmarkStart w:id="678" w:name="_Toc296346574"/>
      <w:bookmarkStart w:id="679" w:name="_Toc296503073"/>
      <w:r>
        <w:rPr>
          <w:rFonts w:hint="eastAsia"/>
          <w:color w:val="auto"/>
          <w:sz w:val="21"/>
          <w:szCs w:val="21"/>
        </w:rPr>
        <w:t>.5 工期延误</w:t>
      </w:r>
      <w:bookmarkEnd w:id="675"/>
      <w:bookmarkEnd w:id="676"/>
    </w:p>
    <w:bookmarkEnd w:id="677"/>
    <w:bookmarkEnd w:id="678"/>
    <w:bookmarkEnd w:id="679"/>
    <w:p w14:paraId="40EF0F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7.5.1 因发包人原因导致工期延误</w:t>
      </w:r>
    </w:p>
    <w:p w14:paraId="20B3A6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在合同履行过程中，因下列情况导致工期延误和（或）费用增加的，由发包人承担由此延误的工期和（或）增加的费用，且发包人应支付承包人合理的利润： </w:t>
      </w:r>
    </w:p>
    <w:p w14:paraId="188FF7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（1）发包人未能按合同约定提供图纸或所提供图纸不符合合同约定的；</w:t>
      </w:r>
    </w:p>
    <w:p w14:paraId="5F5B8C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（2）发包人未能按合同约定提供施工现场、施工条件、基础资料、许可、批准等开工条件的；</w:t>
      </w:r>
    </w:p>
    <w:p w14:paraId="50FF19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（3）发包人提供的测量基准点、基准线和水准点及其书面资料存在错误或疏漏的；</w:t>
      </w:r>
    </w:p>
    <w:p w14:paraId="48F1F6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（4）发包人未能在计划开工日期之日起7天内同意下达开工通知的；</w:t>
      </w:r>
    </w:p>
    <w:p w14:paraId="7A1445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（5）发包人未能按合同约定日期支付工程预付款、进度款或竣工结算款的；</w:t>
      </w:r>
    </w:p>
    <w:p w14:paraId="0B02F02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（6）监理人未按合同约定发出指示、批准等文件的；</w:t>
      </w:r>
    </w:p>
    <w:p w14:paraId="6CAC64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（7）专用合同条款中约定的其他情形。</w:t>
      </w:r>
    </w:p>
    <w:p w14:paraId="2FD6DE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0E6B5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7.5.2 因承包人原因导致工期延误</w:t>
      </w:r>
    </w:p>
    <w:p w14:paraId="5F66E1D3">
      <w:pPr>
        <w:autoSpaceDE w:val="0"/>
        <w:autoSpaceDN w:val="0"/>
        <w:spacing w:line="360" w:lineRule="auto"/>
        <w:ind w:firstLine="420" w:firstLineChars="200"/>
        <w:jc w:val="left"/>
        <w:rPr>
          <w:rFonts w:ascii="宋体" w:hAnsi="宋体"/>
          <w:color w:val="auto"/>
          <w:kern w:val="0"/>
          <w:szCs w:val="21"/>
        </w:rPr>
      </w:pPr>
      <w:bookmarkStart w:id="680" w:name="_Toc296346577"/>
      <w:bookmarkStart w:id="681" w:name="_Toc296503076"/>
      <w:r>
        <w:rPr>
          <w:rFonts w:hint="eastAsia" w:ascii="宋体" w:hAnsi="宋体"/>
          <w:color w:val="auto"/>
          <w:kern w:val="0"/>
          <w:szCs w:val="21"/>
        </w:rPr>
        <w:t>因</w:t>
      </w:r>
      <w:bookmarkEnd w:id="680"/>
      <w:bookmarkEnd w:id="681"/>
      <w:r>
        <w:rPr>
          <w:rFonts w:hint="eastAsia" w:ascii="宋体" w:hAnsi="宋体"/>
          <w:color w:val="auto"/>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7DAA963A">
      <w:pPr>
        <w:pStyle w:val="7"/>
        <w:spacing w:before="0" w:beforeAutospacing="0" w:after="0" w:afterAutospacing="0" w:line="360" w:lineRule="auto"/>
        <w:ind w:firstLine="422" w:firstLineChars="200"/>
        <w:rPr>
          <w:color w:val="auto"/>
          <w:sz w:val="21"/>
          <w:szCs w:val="21"/>
        </w:rPr>
      </w:pPr>
      <w:bookmarkStart w:id="682" w:name="_Toc532377234"/>
      <w:bookmarkStart w:id="683" w:name="_Toc351203548"/>
      <w:r>
        <w:rPr>
          <w:rFonts w:hint="eastAsia"/>
          <w:color w:val="auto"/>
          <w:sz w:val="21"/>
          <w:szCs w:val="21"/>
        </w:rPr>
        <w:t>7</w:t>
      </w:r>
      <w:bookmarkStart w:id="684" w:name="_Toc296503074"/>
      <w:bookmarkStart w:id="685" w:name="_Toc337558773"/>
      <w:bookmarkStart w:id="686" w:name="_Toc296346575"/>
      <w:bookmarkStart w:id="687" w:name="_Toc296346578"/>
      <w:bookmarkStart w:id="688" w:name="_Toc296503077"/>
      <w:r>
        <w:rPr>
          <w:rFonts w:hint="eastAsia"/>
          <w:color w:val="auto"/>
          <w:sz w:val="21"/>
          <w:szCs w:val="21"/>
        </w:rPr>
        <w:t>.6 不利物质条件</w:t>
      </w:r>
      <w:bookmarkEnd w:id="682"/>
      <w:bookmarkEnd w:id="683"/>
    </w:p>
    <w:bookmarkEnd w:id="684"/>
    <w:bookmarkEnd w:id="685"/>
    <w:bookmarkEnd w:id="686"/>
    <w:p w14:paraId="5EE5624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A2D66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55E61EF">
      <w:pPr>
        <w:pStyle w:val="7"/>
        <w:spacing w:before="0" w:beforeAutospacing="0" w:after="0" w:afterAutospacing="0" w:line="360" w:lineRule="auto"/>
        <w:ind w:firstLine="422" w:firstLineChars="200"/>
        <w:rPr>
          <w:color w:val="auto"/>
          <w:sz w:val="21"/>
          <w:szCs w:val="21"/>
        </w:rPr>
      </w:pPr>
      <w:bookmarkStart w:id="689" w:name="_Toc351203549"/>
      <w:bookmarkStart w:id="690" w:name="_Toc532377235"/>
      <w:r>
        <w:rPr>
          <w:rFonts w:hint="eastAsia"/>
          <w:color w:val="auto"/>
          <w:sz w:val="21"/>
          <w:szCs w:val="21"/>
        </w:rPr>
        <w:t>7</w:t>
      </w:r>
      <w:bookmarkStart w:id="691" w:name="_Toc296346576"/>
      <w:bookmarkStart w:id="692" w:name="_Toc296503075"/>
      <w:bookmarkStart w:id="693" w:name="_Toc337558774"/>
      <w:r>
        <w:rPr>
          <w:rFonts w:hint="eastAsia"/>
          <w:color w:val="auto"/>
          <w:sz w:val="21"/>
          <w:szCs w:val="21"/>
        </w:rPr>
        <w:t>.7 异常恶劣的气候条件</w:t>
      </w:r>
      <w:bookmarkEnd w:id="689"/>
      <w:bookmarkEnd w:id="690"/>
    </w:p>
    <w:bookmarkEnd w:id="691"/>
    <w:bookmarkEnd w:id="692"/>
    <w:bookmarkEnd w:id="693"/>
    <w:p w14:paraId="3BC2202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2402B6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94" w:name="_Toc351203550"/>
    </w:p>
    <w:p w14:paraId="4380851B">
      <w:pPr>
        <w:pStyle w:val="7"/>
        <w:spacing w:before="0" w:beforeAutospacing="0" w:after="0" w:afterAutospacing="0" w:line="360" w:lineRule="auto"/>
        <w:ind w:firstLine="422" w:firstLineChars="200"/>
        <w:rPr>
          <w:color w:val="auto"/>
          <w:sz w:val="21"/>
          <w:szCs w:val="21"/>
        </w:rPr>
      </w:pPr>
      <w:bookmarkStart w:id="695" w:name="_Toc532377236"/>
      <w:r>
        <w:rPr>
          <w:rFonts w:hint="eastAsia"/>
          <w:color w:val="auto"/>
          <w:sz w:val="21"/>
          <w:szCs w:val="21"/>
        </w:rPr>
        <w:t>7</w:t>
      </w:r>
      <w:bookmarkStart w:id="696" w:name="_Toc337558775"/>
      <w:r>
        <w:rPr>
          <w:rFonts w:hint="eastAsia"/>
          <w:color w:val="auto"/>
          <w:sz w:val="21"/>
          <w:szCs w:val="21"/>
        </w:rPr>
        <w:t>.8 暂停施工</w:t>
      </w:r>
      <w:bookmarkEnd w:id="694"/>
      <w:bookmarkEnd w:id="695"/>
    </w:p>
    <w:bookmarkEnd w:id="687"/>
    <w:bookmarkEnd w:id="688"/>
    <w:bookmarkEnd w:id="696"/>
    <w:p w14:paraId="265D99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7.8.1发包人原因引起的暂停施工</w:t>
      </w:r>
    </w:p>
    <w:p w14:paraId="628C539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因发包人原因引起暂停施工的，监理人经发包人同意后，应及时下达暂停施工指示。情况紧急且监理人未及时下达暂停施工指示的，按照第7.8.4项〔紧急情况下的暂停施工〕执行。</w:t>
      </w:r>
    </w:p>
    <w:p w14:paraId="4245FBD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因发包人原因引起的暂停施工，发包人应承担由此增加的费用和（或）延误的工期，并支付承包人合理的利润。</w:t>
      </w:r>
    </w:p>
    <w:p w14:paraId="54D8DF7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7.8.2 承包人原因引起的暂停施工</w:t>
      </w:r>
    </w:p>
    <w:p w14:paraId="1DA8A5B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730C53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7.8.3 指示暂停施工</w:t>
      </w:r>
    </w:p>
    <w:p w14:paraId="0B1C3AD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监理人认为有必要时，并经发包人批准后，可向承包人作出暂停施工的指示，承包人应按监理人指示暂停施工。</w:t>
      </w:r>
    </w:p>
    <w:p w14:paraId="7712E25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7.8.4 紧急情况下的暂停施工</w:t>
      </w:r>
    </w:p>
    <w:p w14:paraId="2A7B897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45BE3C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7.8.5 暂停施工后的复工</w:t>
      </w:r>
    </w:p>
    <w:p w14:paraId="0698303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69F5C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承包人无故拖延和拒绝复工的，承包人承担由此增加的费用和（或）延误的工期；因发包人原因无法按时复工的，按照第7.5.1项〔因发包人原因导致工期延误〕约定办理。</w:t>
      </w:r>
    </w:p>
    <w:p w14:paraId="11579D3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7.8.6 暂停施工持续56天以上</w:t>
      </w:r>
    </w:p>
    <w:p w14:paraId="6618328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DC9D2B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BAE7F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7.8.7 暂停施工期间的工程照管</w:t>
      </w:r>
    </w:p>
    <w:p w14:paraId="4D9A720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暂停施工期间，承包人应负责妥善照管工程并提供安全保障，由此增加的费用由责任方承担。</w:t>
      </w:r>
    </w:p>
    <w:p w14:paraId="0C611BB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7.8.8 暂停施工的措施</w:t>
      </w:r>
    </w:p>
    <w:p w14:paraId="574F9E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暂停施工期间，发包人和承包人均应采取必要的措施确保工程质量及安全，防止因暂停施工扩大损失。</w:t>
      </w:r>
    </w:p>
    <w:p w14:paraId="5EE09EA3">
      <w:pPr>
        <w:pStyle w:val="7"/>
        <w:spacing w:before="0" w:beforeAutospacing="0" w:after="0" w:afterAutospacing="0" w:line="360" w:lineRule="auto"/>
        <w:ind w:firstLine="422" w:firstLineChars="200"/>
        <w:rPr>
          <w:color w:val="auto"/>
          <w:sz w:val="21"/>
          <w:szCs w:val="21"/>
        </w:rPr>
      </w:pPr>
      <w:bookmarkStart w:id="697" w:name="_Toc532377237"/>
      <w:bookmarkStart w:id="698" w:name="_Toc351203551"/>
      <w:r>
        <w:rPr>
          <w:rFonts w:hint="eastAsia"/>
          <w:color w:val="auto"/>
          <w:sz w:val="21"/>
          <w:szCs w:val="21"/>
        </w:rPr>
        <w:t>7.9提前竣工</w:t>
      </w:r>
      <w:bookmarkEnd w:id="697"/>
      <w:bookmarkEnd w:id="698"/>
    </w:p>
    <w:p w14:paraId="45EF98D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D5A598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7.9.2 发包人要求承包人提前竣工，或承包人提出提前竣工的建议能够给发包人带来效益的，合同当事人可以在专用合同条款中约定提前竣工的奖励。</w:t>
      </w:r>
    </w:p>
    <w:p w14:paraId="74399570">
      <w:pPr>
        <w:pStyle w:val="6"/>
        <w:keepNext/>
        <w:keepLines/>
        <w:spacing w:beforeLines="50" w:beforeAutospacing="0" w:afterLines="50" w:afterAutospacing="0" w:line="360" w:lineRule="auto"/>
        <w:jc w:val="both"/>
        <w:rPr>
          <w:bCs w:val="0"/>
          <w:color w:val="auto"/>
          <w:kern w:val="2"/>
          <w:sz w:val="21"/>
          <w:szCs w:val="21"/>
        </w:rPr>
      </w:pPr>
      <w:bookmarkStart w:id="699" w:name="_Toc532375594"/>
      <w:bookmarkStart w:id="700" w:name="_Toc351203552"/>
      <w:bookmarkStart w:id="701" w:name="_Toc532377238"/>
      <w:r>
        <w:rPr>
          <w:rFonts w:hint="eastAsia"/>
          <w:color w:val="auto"/>
          <w:kern w:val="2"/>
          <w:sz w:val="21"/>
          <w:szCs w:val="21"/>
        </w:rPr>
        <w:t>8</w:t>
      </w:r>
      <w:bookmarkStart w:id="702" w:name="_Toc296503058"/>
      <w:bookmarkStart w:id="703" w:name="_Toc337558776"/>
      <w:bookmarkStart w:id="704" w:name="_Toc296346559"/>
      <w:r>
        <w:rPr>
          <w:rFonts w:hint="eastAsia"/>
          <w:color w:val="auto"/>
          <w:kern w:val="2"/>
          <w:sz w:val="21"/>
          <w:szCs w:val="21"/>
        </w:rPr>
        <w:t>. 材料与设备</w:t>
      </w:r>
      <w:bookmarkEnd w:id="699"/>
      <w:bookmarkEnd w:id="700"/>
      <w:bookmarkEnd w:id="701"/>
    </w:p>
    <w:bookmarkEnd w:id="702"/>
    <w:bookmarkEnd w:id="703"/>
    <w:bookmarkEnd w:id="704"/>
    <w:p w14:paraId="3E25F14C">
      <w:pPr>
        <w:pStyle w:val="7"/>
        <w:spacing w:before="0" w:beforeAutospacing="0" w:after="0" w:afterAutospacing="0" w:line="360" w:lineRule="auto"/>
        <w:ind w:firstLine="422" w:firstLineChars="200"/>
        <w:rPr>
          <w:color w:val="auto"/>
          <w:sz w:val="21"/>
          <w:szCs w:val="21"/>
        </w:rPr>
      </w:pPr>
      <w:bookmarkStart w:id="705" w:name="_Toc351203553"/>
      <w:bookmarkStart w:id="706" w:name="_Toc532377239"/>
      <w:r>
        <w:rPr>
          <w:rFonts w:hint="eastAsia"/>
          <w:color w:val="auto"/>
          <w:sz w:val="21"/>
          <w:szCs w:val="21"/>
        </w:rPr>
        <w:t>8</w:t>
      </w:r>
      <w:bookmarkStart w:id="707" w:name="_Toc296503059"/>
      <w:bookmarkStart w:id="708" w:name="_Toc337558777"/>
      <w:bookmarkStart w:id="709" w:name="_Toc296346560"/>
      <w:bookmarkStart w:id="710" w:name="_Toc468936960"/>
      <w:r>
        <w:rPr>
          <w:rFonts w:hint="eastAsia"/>
          <w:color w:val="auto"/>
          <w:sz w:val="21"/>
          <w:szCs w:val="21"/>
        </w:rPr>
        <w:t>.1发包人供应材料与工程设备</w:t>
      </w:r>
      <w:bookmarkEnd w:id="705"/>
      <w:bookmarkEnd w:id="706"/>
    </w:p>
    <w:bookmarkEnd w:id="707"/>
    <w:bookmarkEnd w:id="708"/>
    <w:bookmarkEnd w:id="709"/>
    <w:p w14:paraId="20A908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发包人自行供应材料、工程设备的，应在签订合同时在专用合同条款的附件《发包人供应材料设备一览表》中明确材料、工程设备的品种、规格、型号、数量、单价、质量等级和送达地点。</w:t>
      </w:r>
    </w:p>
    <w:p w14:paraId="28308E0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CC22E4B">
      <w:pPr>
        <w:pStyle w:val="7"/>
        <w:spacing w:before="0" w:beforeAutospacing="0" w:after="0" w:afterAutospacing="0" w:line="360" w:lineRule="auto"/>
        <w:ind w:firstLine="422" w:firstLineChars="200"/>
        <w:rPr>
          <w:color w:val="auto"/>
          <w:sz w:val="21"/>
          <w:szCs w:val="21"/>
        </w:rPr>
      </w:pPr>
      <w:bookmarkStart w:id="711" w:name="_Toc532377240"/>
      <w:r>
        <w:rPr>
          <w:rFonts w:hint="eastAsia"/>
          <w:color w:val="auto"/>
          <w:sz w:val="21"/>
          <w:szCs w:val="21"/>
        </w:rPr>
        <w:t>8.2承包人采购材料与工程设备</w:t>
      </w:r>
      <w:bookmarkEnd w:id="711"/>
    </w:p>
    <w:p w14:paraId="6230C8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BB910CB">
      <w:pPr>
        <w:pStyle w:val="7"/>
        <w:spacing w:before="0" w:beforeAutospacing="0" w:after="0" w:afterAutospacing="0" w:line="360" w:lineRule="auto"/>
        <w:ind w:firstLine="422" w:firstLineChars="200"/>
        <w:rPr>
          <w:color w:val="auto"/>
          <w:sz w:val="21"/>
          <w:szCs w:val="21"/>
        </w:rPr>
      </w:pPr>
      <w:bookmarkStart w:id="712" w:name="_Toc532377241"/>
      <w:bookmarkStart w:id="713" w:name="_Toc351203555"/>
      <w:r>
        <w:rPr>
          <w:rFonts w:hint="eastAsia"/>
          <w:color w:val="auto"/>
          <w:sz w:val="21"/>
          <w:szCs w:val="21"/>
        </w:rPr>
        <w:t>8</w:t>
      </w:r>
      <w:bookmarkStart w:id="714" w:name="_Toc296346562"/>
      <w:bookmarkStart w:id="715" w:name="_Toc296503061"/>
      <w:bookmarkStart w:id="716" w:name="_Toc337558779"/>
      <w:r>
        <w:rPr>
          <w:rFonts w:hint="eastAsia"/>
          <w:color w:val="auto"/>
          <w:sz w:val="21"/>
          <w:szCs w:val="21"/>
        </w:rPr>
        <w:t>.3材料与工程设备的接收与拒收</w:t>
      </w:r>
      <w:bookmarkEnd w:id="712"/>
      <w:bookmarkEnd w:id="713"/>
    </w:p>
    <w:bookmarkEnd w:id="714"/>
    <w:bookmarkEnd w:id="715"/>
    <w:bookmarkEnd w:id="716"/>
    <w:p w14:paraId="388E8C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ED6AB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发包人提供的材料和工程设备的规格、数量或质量不符合合同约定的，或因发包人原因导致交货日期延误或交货地点变更等情况的，按照第16.1款〔发包人违约〕约定办理。</w:t>
      </w:r>
    </w:p>
    <w:p w14:paraId="130545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8.3.2 承包人采购的材料和工程设备，应保证产品质量合格，承包人应在材料和工程设备到货前24小时通知监理人检验。承</w:t>
      </w:r>
      <w:bookmarkStart w:id="717" w:name="_Toc250655469"/>
      <w:r>
        <w:rPr>
          <w:rFonts w:hint="eastAsia" w:ascii="宋体" w:hAnsi="宋体"/>
          <w:color w:val="auto"/>
          <w:kern w:val="0"/>
          <w:szCs w:val="21"/>
        </w:rPr>
        <w:t>包人进行永久设备、材料的制造和生产的，应符合相关质量标准，并向监理人提交材料的样本以及有关资料，并应在使用该材料或工程设备之前获得监理人同意。</w:t>
      </w:r>
    </w:p>
    <w:bookmarkEnd w:id="717"/>
    <w:p w14:paraId="48AF45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2E23D9C">
      <w:pPr>
        <w:pStyle w:val="7"/>
        <w:spacing w:before="0" w:beforeAutospacing="0" w:after="0" w:afterAutospacing="0" w:line="360" w:lineRule="auto"/>
        <w:ind w:firstLine="422" w:firstLineChars="200"/>
        <w:rPr>
          <w:color w:val="auto"/>
          <w:sz w:val="21"/>
          <w:szCs w:val="21"/>
        </w:rPr>
      </w:pPr>
      <w:bookmarkStart w:id="718" w:name="_Toc351203556"/>
      <w:bookmarkStart w:id="719" w:name="_Toc532377242"/>
      <w:r>
        <w:rPr>
          <w:rFonts w:hint="eastAsia"/>
          <w:color w:val="auto"/>
          <w:sz w:val="21"/>
          <w:szCs w:val="21"/>
        </w:rPr>
        <w:t>8</w:t>
      </w:r>
      <w:bookmarkStart w:id="720" w:name="_Toc337558780"/>
      <w:bookmarkStart w:id="721" w:name="_Toc296503062"/>
      <w:bookmarkStart w:id="722" w:name="_Toc296346563"/>
      <w:r>
        <w:rPr>
          <w:rFonts w:hint="eastAsia"/>
          <w:color w:val="auto"/>
          <w:sz w:val="21"/>
          <w:szCs w:val="21"/>
        </w:rPr>
        <w:t>.4材料与工程设备的保管与使用</w:t>
      </w:r>
      <w:bookmarkEnd w:id="718"/>
      <w:bookmarkEnd w:id="719"/>
    </w:p>
    <w:bookmarkEnd w:id="720"/>
    <w:bookmarkEnd w:id="721"/>
    <w:bookmarkEnd w:id="722"/>
    <w:p w14:paraId="66FCF7B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8.4.1 发包人供应材料与工程设备的保管与使用</w:t>
      </w:r>
    </w:p>
    <w:p w14:paraId="52B462A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3382BC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发包人供应的材料和工程设备使用前，由承包人负责检验，检验费用由发包人承担，不合格的不得使用。</w:t>
      </w:r>
    </w:p>
    <w:p w14:paraId="67C93EF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8.4.2 承包人采购材料与工程设备的保管与使用</w:t>
      </w:r>
    </w:p>
    <w:p w14:paraId="67AF89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55CB6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发包人或监理人发现承包人使用不符合设计或有关标准要求的材料和工程设备时，有权要求承包人进行修复、拆除或重新采购，由此增加的费用和（或）延误的工期，由承包人承担。</w:t>
      </w:r>
    </w:p>
    <w:p w14:paraId="7C7AD364">
      <w:pPr>
        <w:pStyle w:val="7"/>
        <w:spacing w:before="0" w:beforeAutospacing="0" w:after="0" w:afterAutospacing="0" w:line="360" w:lineRule="auto"/>
        <w:ind w:firstLine="422" w:firstLineChars="200"/>
        <w:rPr>
          <w:color w:val="auto"/>
          <w:sz w:val="21"/>
          <w:szCs w:val="21"/>
        </w:rPr>
      </w:pPr>
      <w:bookmarkStart w:id="723" w:name="_Toc351203557"/>
      <w:bookmarkStart w:id="724" w:name="_Toc532377243"/>
      <w:r>
        <w:rPr>
          <w:rFonts w:hint="eastAsia"/>
          <w:color w:val="auto"/>
          <w:sz w:val="21"/>
          <w:szCs w:val="21"/>
        </w:rPr>
        <w:t>8.5禁止使用不合格的材料和工程设备</w:t>
      </w:r>
      <w:bookmarkEnd w:id="723"/>
      <w:bookmarkEnd w:id="724"/>
    </w:p>
    <w:p w14:paraId="1B2598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8.5.1 监理人有权拒绝承包人提供的不合格材料或工程设备，并要求承包人立即进行更换。监理人应在更换后再次进行检查和检验，由此增加的费用和（或）延误的工期由承包人承担。</w:t>
      </w:r>
    </w:p>
    <w:p w14:paraId="355DAE1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8.5.2 监理人发现承包人使用了不合格的材料和工程设备，承包人应按照监理人的指示立即改正，并禁止在工程中继续使用不合格的材料和工程设备。</w:t>
      </w:r>
    </w:p>
    <w:p w14:paraId="15F80D2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8.5.3 发包人提供的材料或工程设备不符合合同要求的，承包人有权拒绝，并可要求发包人更换，由此增加的费用和（或）延误的工期由发包人承担，并支付承包人合理的利润。</w:t>
      </w:r>
    </w:p>
    <w:p w14:paraId="0100E2A4">
      <w:pPr>
        <w:pStyle w:val="7"/>
        <w:spacing w:before="0" w:beforeAutospacing="0" w:after="0" w:afterAutospacing="0" w:line="360" w:lineRule="auto"/>
        <w:ind w:firstLine="422" w:firstLineChars="200"/>
        <w:rPr>
          <w:color w:val="auto"/>
          <w:sz w:val="21"/>
          <w:szCs w:val="21"/>
        </w:rPr>
      </w:pPr>
      <w:bookmarkStart w:id="725" w:name="_Toc532377244"/>
      <w:bookmarkStart w:id="726" w:name="_Toc351203558"/>
      <w:r>
        <w:rPr>
          <w:rFonts w:hint="eastAsia"/>
          <w:color w:val="auto"/>
          <w:sz w:val="21"/>
          <w:szCs w:val="21"/>
        </w:rPr>
        <w:t>8.6 样品</w:t>
      </w:r>
      <w:bookmarkEnd w:id="725"/>
      <w:bookmarkEnd w:id="726"/>
    </w:p>
    <w:p w14:paraId="228998C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8.6.1</w:t>
      </w:r>
      <w:r>
        <w:rPr>
          <w:rFonts w:hint="eastAsia" w:ascii="宋体" w:hAnsi="宋体"/>
          <w:color w:val="auto"/>
          <w:kern w:val="0"/>
          <w:szCs w:val="21"/>
        </w:rPr>
        <w:tab/>
      </w:r>
      <w:r>
        <w:rPr>
          <w:rFonts w:hint="eastAsia" w:ascii="宋体" w:hAnsi="宋体"/>
          <w:color w:val="auto"/>
          <w:kern w:val="0"/>
          <w:szCs w:val="21"/>
        </w:rPr>
        <w:t>样品的报送与封存</w:t>
      </w:r>
    </w:p>
    <w:p w14:paraId="2756F48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需要承包人报送样品的材料或工程设备，样品的种类、名称、规格、数量等要求均应在专用合同条款中约定。样品的报送程序如下：</w:t>
      </w:r>
    </w:p>
    <w:p w14:paraId="5D75C65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37BE4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82973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（3）经发包人和监理人审批确认的样品应按约定的方法封样，封存的样品作为检验工程相关部分的标准之一。承包人在施工过程中不得使用与样品不符的材料或工程设备。</w:t>
      </w:r>
    </w:p>
    <w:p w14:paraId="188D357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4C1C3D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8.6.2 样品的保管</w:t>
      </w:r>
    </w:p>
    <w:p w14:paraId="7E885C5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经批准的样品应由监理人负责封存于现场，承包人应在现场为保存样品提供适当和固定的场所并保持适当和良好的存储环境条件。</w:t>
      </w:r>
    </w:p>
    <w:p w14:paraId="33A03719">
      <w:pPr>
        <w:pStyle w:val="7"/>
        <w:spacing w:before="0" w:beforeAutospacing="0" w:after="0" w:afterAutospacing="0" w:line="360" w:lineRule="auto"/>
        <w:ind w:firstLine="422" w:firstLineChars="200"/>
        <w:rPr>
          <w:color w:val="auto"/>
          <w:sz w:val="21"/>
          <w:szCs w:val="21"/>
        </w:rPr>
      </w:pPr>
      <w:bookmarkStart w:id="727" w:name="_Toc532377245"/>
      <w:bookmarkStart w:id="728" w:name="_Toc351203559"/>
      <w:r>
        <w:rPr>
          <w:rFonts w:hint="eastAsia"/>
          <w:color w:val="auto"/>
          <w:sz w:val="21"/>
          <w:szCs w:val="21"/>
        </w:rPr>
        <w:t>8.7材料与工程设备的替代</w:t>
      </w:r>
      <w:bookmarkEnd w:id="727"/>
      <w:bookmarkEnd w:id="728"/>
    </w:p>
    <w:p w14:paraId="022B5C8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8.7.1 出现下列情况需要使用替代材料和工程设备的，承包人应按照第8.7.2项约定的程序执行：</w:t>
      </w:r>
    </w:p>
    <w:p w14:paraId="7C9F88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（1）基准日期后生效的法律规定禁止使用的；</w:t>
      </w:r>
    </w:p>
    <w:p w14:paraId="379425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（2）发包人要求使用替代品的；</w:t>
      </w:r>
    </w:p>
    <w:p w14:paraId="6F3A811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（3）因其他原因必须使用替代品的。</w:t>
      </w:r>
    </w:p>
    <w:p w14:paraId="63221C1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8.7.2 承包人应在使用替代材料和工程设备28天前书面通知监理人，并附下列文件：</w:t>
      </w:r>
    </w:p>
    <w:p w14:paraId="67D88D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（1）被替代的材料和工程设备的名称、数量、规格、型号、品牌、性能、价格及其他相关资料；</w:t>
      </w:r>
    </w:p>
    <w:p w14:paraId="710C27D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（2）替代品的名称、数量、规格、型号、品牌、性能、价格及其他相关资料；</w:t>
      </w:r>
    </w:p>
    <w:p w14:paraId="3E28927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（3）替代品与被替代产品之间的差异以及使用替代品可能对工程产生的影响；</w:t>
      </w:r>
    </w:p>
    <w:p w14:paraId="7FB2D44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（4）替代品与被替代产品的价格差异；</w:t>
      </w:r>
    </w:p>
    <w:p w14:paraId="0F0835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（5）使用替代品的理由和原因说明；</w:t>
      </w:r>
    </w:p>
    <w:p w14:paraId="4E88D1B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（6）监理人要求的其他文件。</w:t>
      </w:r>
    </w:p>
    <w:p w14:paraId="32DE821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监理人应在收到通知后14天内向承包人发出经发包人签认的书面指示；监理人逾期发出书面指示的，视为发包人和监理人同意使用替代品。</w:t>
      </w:r>
    </w:p>
    <w:p w14:paraId="391ABB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38948E2">
      <w:pPr>
        <w:pStyle w:val="7"/>
        <w:spacing w:before="0" w:beforeAutospacing="0" w:after="0" w:afterAutospacing="0" w:line="360" w:lineRule="auto"/>
        <w:ind w:firstLine="422" w:firstLineChars="200"/>
        <w:rPr>
          <w:color w:val="auto"/>
          <w:sz w:val="21"/>
          <w:szCs w:val="21"/>
        </w:rPr>
      </w:pPr>
      <w:bookmarkStart w:id="729" w:name="_Toc351203560"/>
      <w:bookmarkStart w:id="730" w:name="_Toc532377246"/>
      <w:r>
        <w:rPr>
          <w:rFonts w:hint="eastAsia"/>
          <w:color w:val="auto"/>
          <w:sz w:val="21"/>
          <w:szCs w:val="21"/>
        </w:rPr>
        <w:t>8.8施工设备和临时设施</w:t>
      </w:r>
      <w:bookmarkEnd w:id="729"/>
      <w:bookmarkEnd w:id="730"/>
    </w:p>
    <w:p w14:paraId="77E704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8.8.1 承包人提供的施工设备和临时设施</w:t>
      </w:r>
    </w:p>
    <w:p w14:paraId="6F5C351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776EED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除专用合同条款另有约定外，承包人应自行承担修建临时设施的费用，需要临时占地的，应由发包人办理申请手续并承担相应费用。</w:t>
      </w:r>
    </w:p>
    <w:p w14:paraId="73B307D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8.8.2发包人提供的施工设备和临时设施</w:t>
      </w:r>
    </w:p>
    <w:p w14:paraId="113D988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发包人提供的施工设备或临时设施在专用合同条款中约定。</w:t>
      </w:r>
    </w:p>
    <w:p w14:paraId="1EF557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8.8.3要求承包人增加或更换施工设备</w:t>
      </w:r>
    </w:p>
    <w:p w14:paraId="5420A1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4798BBF2">
      <w:pPr>
        <w:pStyle w:val="7"/>
        <w:spacing w:before="0" w:beforeAutospacing="0" w:after="0" w:afterAutospacing="0" w:line="360" w:lineRule="auto"/>
        <w:ind w:firstLine="422" w:firstLineChars="200"/>
        <w:rPr>
          <w:color w:val="auto"/>
          <w:sz w:val="21"/>
          <w:szCs w:val="21"/>
        </w:rPr>
      </w:pPr>
      <w:bookmarkStart w:id="731" w:name="_Toc351203561"/>
      <w:bookmarkStart w:id="732" w:name="_Toc532377247"/>
      <w:r>
        <w:rPr>
          <w:rFonts w:hint="eastAsia"/>
          <w:color w:val="auto"/>
          <w:sz w:val="21"/>
          <w:szCs w:val="21"/>
        </w:rPr>
        <w:t>8</w:t>
      </w:r>
      <w:bookmarkStart w:id="733" w:name="_Toc296503063"/>
      <w:bookmarkStart w:id="734" w:name="_Toc296346564"/>
      <w:bookmarkStart w:id="735" w:name="_Toc337558781"/>
      <w:r>
        <w:rPr>
          <w:rFonts w:hint="eastAsia"/>
          <w:color w:val="auto"/>
          <w:sz w:val="21"/>
          <w:szCs w:val="21"/>
        </w:rPr>
        <w:t>.9材料与设备专用</w:t>
      </w:r>
      <w:bookmarkEnd w:id="731"/>
      <w:r>
        <w:rPr>
          <w:rFonts w:hint="eastAsia"/>
          <w:color w:val="auto"/>
          <w:sz w:val="21"/>
          <w:szCs w:val="21"/>
        </w:rPr>
        <w:t>要求</w:t>
      </w:r>
      <w:bookmarkEnd w:id="732"/>
    </w:p>
    <w:bookmarkEnd w:id="733"/>
    <w:bookmarkEnd w:id="734"/>
    <w:bookmarkEnd w:id="735"/>
    <w:p w14:paraId="3DF4BCD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10"/>
      <w:r>
        <w:rPr>
          <w:rFonts w:hint="eastAsia" w:ascii="宋体" w:hAnsi="宋体"/>
          <w:color w:val="auto"/>
          <w:kern w:val="0"/>
          <w:szCs w:val="21"/>
        </w:rPr>
        <w:t>经发包人批准，承包人可以根据施工进度计划撤走闲置的施工设备和其他物品。</w:t>
      </w:r>
    </w:p>
    <w:p w14:paraId="2683498D">
      <w:pPr>
        <w:pStyle w:val="6"/>
        <w:keepNext/>
        <w:keepLines/>
        <w:spacing w:beforeLines="50" w:beforeAutospacing="0" w:afterLines="50" w:afterAutospacing="0" w:line="360" w:lineRule="auto"/>
        <w:jc w:val="both"/>
        <w:rPr>
          <w:bCs w:val="0"/>
          <w:color w:val="auto"/>
          <w:kern w:val="2"/>
          <w:sz w:val="21"/>
          <w:szCs w:val="21"/>
        </w:rPr>
      </w:pPr>
      <w:bookmarkStart w:id="736" w:name="_Toc532377248"/>
      <w:bookmarkStart w:id="737" w:name="_Toc351203562"/>
      <w:bookmarkStart w:id="738" w:name="_Toc532375595"/>
      <w:r>
        <w:rPr>
          <w:rFonts w:hint="eastAsia"/>
          <w:color w:val="auto"/>
          <w:kern w:val="2"/>
          <w:sz w:val="21"/>
          <w:szCs w:val="21"/>
        </w:rPr>
        <w:t>9</w:t>
      </w:r>
      <w:bookmarkStart w:id="739" w:name="_Toc337558782"/>
      <w:bookmarkStart w:id="740" w:name="_Toc296503083"/>
      <w:bookmarkStart w:id="741" w:name="_Toc296346584"/>
      <w:r>
        <w:rPr>
          <w:rFonts w:hint="eastAsia"/>
          <w:color w:val="auto"/>
          <w:kern w:val="2"/>
          <w:sz w:val="21"/>
          <w:szCs w:val="21"/>
        </w:rPr>
        <w:t>. 试验与检验</w:t>
      </w:r>
      <w:bookmarkEnd w:id="736"/>
      <w:bookmarkEnd w:id="737"/>
      <w:bookmarkEnd w:id="738"/>
    </w:p>
    <w:bookmarkEnd w:id="739"/>
    <w:p w14:paraId="645B3742">
      <w:pPr>
        <w:pStyle w:val="7"/>
        <w:spacing w:before="0" w:beforeAutospacing="0" w:after="0" w:afterAutospacing="0" w:line="360" w:lineRule="auto"/>
        <w:ind w:firstLine="422" w:firstLineChars="200"/>
        <w:rPr>
          <w:color w:val="auto"/>
          <w:sz w:val="21"/>
          <w:szCs w:val="21"/>
        </w:rPr>
      </w:pPr>
      <w:bookmarkStart w:id="742" w:name="_Toc532377249"/>
      <w:bookmarkStart w:id="743" w:name="_Toc351203563"/>
      <w:r>
        <w:rPr>
          <w:rFonts w:hint="eastAsia"/>
          <w:color w:val="auto"/>
          <w:sz w:val="21"/>
          <w:szCs w:val="21"/>
        </w:rPr>
        <w:t>9</w:t>
      </w:r>
      <w:bookmarkStart w:id="744" w:name="_Toc337558783"/>
      <w:r>
        <w:rPr>
          <w:rFonts w:hint="eastAsia"/>
          <w:color w:val="auto"/>
          <w:sz w:val="21"/>
          <w:szCs w:val="21"/>
        </w:rPr>
        <w:t>.1试验设备与试验人员</w:t>
      </w:r>
      <w:bookmarkEnd w:id="742"/>
      <w:bookmarkEnd w:id="743"/>
    </w:p>
    <w:bookmarkEnd w:id="744"/>
    <w:p w14:paraId="1A42EB2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0CD8F5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9.1.2 承包人应按专用合同条款的约定提供试验设备、取样装置、试验场所和试验条件，并向监理人提交相应进场计划表。</w:t>
      </w:r>
    </w:p>
    <w:p w14:paraId="336C59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承包人配置的试验设备要符合相应试验规程的要求并经过具有资质的检测单位检测，且在正式使用该试验设备前，需要经过监理人与承包人共同校定。</w:t>
      </w:r>
    </w:p>
    <w:p w14:paraId="32FBC9A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9.1.3 承包人应向监理人提交试验人员的名单及其岗位、资格等证明资料，试验人员必须能够熟练进行相应的检测试验，承包人对试验人员的试验程序和试验结果的正确性负责。</w:t>
      </w:r>
    </w:p>
    <w:p w14:paraId="53D8C02E">
      <w:pPr>
        <w:pStyle w:val="7"/>
        <w:spacing w:before="0" w:beforeAutospacing="0" w:after="0" w:afterAutospacing="0" w:line="360" w:lineRule="auto"/>
        <w:ind w:firstLine="422" w:firstLineChars="200"/>
        <w:rPr>
          <w:color w:val="auto"/>
          <w:sz w:val="21"/>
          <w:szCs w:val="21"/>
        </w:rPr>
      </w:pPr>
      <w:bookmarkStart w:id="745" w:name="_Toc532377250"/>
      <w:bookmarkStart w:id="746" w:name="_Toc351203564"/>
      <w:r>
        <w:rPr>
          <w:rFonts w:hint="eastAsia"/>
          <w:color w:val="auto"/>
          <w:sz w:val="21"/>
          <w:szCs w:val="21"/>
        </w:rPr>
        <w:t>9</w:t>
      </w:r>
      <w:bookmarkStart w:id="747" w:name="_Toc337558784"/>
      <w:r>
        <w:rPr>
          <w:rFonts w:hint="eastAsia"/>
          <w:color w:val="auto"/>
          <w:sz w:val="21"/>
          <w:szCs w:val="21"/>
        </w:rPr>
        <w:t>.2取样</w:t>
      </w:r>
      <w:bookmarkEnd w:id="745"/>
      <w:bookmarkEnd w:id="746"/>
    </w:p>
    <w:bookmarkEnd w:id="747"/>
    <w:p w14:paraId="49BA1E6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试验属于自检性质的，承包人可以单独取样。试验属于监理人抽检性质的，可由监理人取样，也可由承包人的试验人员在监理人的监督下取样。</w:t>
      </w:r>
    </w:p>
    <w:p w14:paraId="118DE6AA">
      <w:pPr>
        <w:pStyle w:val="7"/>
        <w:spacing w:before="0" w:beforeAutospacing="0" w:after="0" w:afterAutospacing="0" w:line="360" w:lineRule="auto"/>
        <w:ind w:firstLine="422" w:firstLineChars="200"/>
        <w:rPr>
          <w:color w:val="auto"/>
          <w:sz w:val="21"/>
          <w:szCs w:val="21"/>
        </w:rPr>
      </w:pPr>
      <w:bookmarkStart w:id="748" w:name="_Toc532377251"/>
      <w:bookmarkStart w:id="749" w:name="_Toc351203565"/>
      <w:r>
        <w:rPr>
          <w:rFonts w:hint="eastAsia"/>
          <w:color w:val="auto"/>
          <w:sz w:val="21"/>
          <w:szCs w:val="21"/>
        </w:rPr>
        <w:t>9</w:t>
      </w:r>
      <w:bookmarkStart w:id="750" w:name="_Toc337558785"/>
      <w:r>
        <w:rPr>
          <w:rFonts w:hint="eastAsia"/>
          <w:color w:val="auto"/>
          <w:sz w:val="21"/>
          <w:szCs w:val="21"/>
        </w:rPr>
        <w:t>.3材料、工程设备和工程的试验和检验</w:t>
      </w:r>
      <w:bookmarkEnd w:id="748"/>
      <w:bookmarkEnd w:id="749"/>
    </w:p>
    <w:bookmarkEnd w:id="750"/>
    <w:p w14:paraId="531ABBB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8528F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31196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C44EBC7">
      <w:pPr>
        <w:pStyle w:val="7"/>
        <w:spacing w:before="0" w:beforeAutospacing="0" w:after="0" w:afterAutospacing="0" w:line="360" w:lineRule="auto"/>
        <w:ind w:firstLine="422" w:firstLineChars="200"/>
        <w:rPr>
          <w:color w:val="auto"/>
          <w:sz w:val="21"/>
          <w:szCs w:val="21"/>
        </w:rPr>
      </w:pPr>
      <w:bookmarkStart w:id="751" w:name="_Toc532377252"/>
      <w:bookmarkStart w:id="752" w:name="_Toc351203566"/>
      <w:r>
        <w:rPr>
          <w:rFonts w:hint="eastAsia"/>
          <w:color w:val="auto"/>
          <w:sz w:val="21"/>
          <w:szCs w:val="21"/>
        </w:rPr>
        <w:t>9</w:t>
      </w:r>
      <w:bookmarkStart w:id="753" w:name="_Toc337558786"/>
      <w:r>
        <w:rPr>
          <w:rFonts w:hint="eastAsia"/>
          <w:color w:val="auto"/>
          <w:sz w:val="21"/>
          <w:szCs w:val="21"/>
        </w:rPr>
        <w:t>.4现场工艺试验</w:t>
      </w:r>
      <w:bookmarkEnd w:id="751"/>
      <w:bookmarkEnd w:id="752"/>
    </w:p>
    <w:bookmarkEnd w:id="753"/>
    <w:p w14:paraId="728537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40A7AA4E">
      <w:pPr>
        <w:pStyle w:val="6"/>
        <w:keepNext/>
        <w:keepLines/>
        <w:spacing w:beforeLines="50" w:beforeAutospacing="0" w:afterLines="50" w:afterAutospacing="0" w:line="360" w:lineRule="auto"/>
        <w:jc w:val="both"/>
        <w:rPr>
          <w:bCs w:val="0"/>
          <w:color w:val="auto"/>
          <w:kern w:val="2"/>
          <w:sz w:val="21"/>
          <w:szCs w:val="21"/>
        </w:rPr>
      </w:pPr>
      <w:bookmarkStart w:id="754" w:name="_Toc532375596"/>
      <w:bookmarkStart w:id="755" w:name="_Toc532377253"/>
      <w:bookmarkStart w:id="756" w:name="_Toc351203567"/>
      <w:r>
        <w:rPr>
          <w:rFonts w:hint="eastAsia"/>
          <w:color w:val="auto"/>
          <w:kern w:val="2"/>
          <w:sz w:val="21"/>
          <w:szCs w:val="21"/>
        </w:rPr>
        <w:t>1</w:t>
      </w:r>
      <w:bookmarkStart w:id="757" w:name="_Toc337558787"/>
      <w:r>
        <w:rPr>
          <w:rFonts w:hint="eastAsia"/>
          <w:color w:val="auto"/>
          <w:kern w:val="2"/>
          <w:sz w:val="21"/>
          <w:szCs w:val="21"/>
        </w:rPr>
        <w:t>0. 变更</w:t>
      </w:r>
      <w:bookmarkEnd w:id="740"/>
      <w:bookmarkEnd w:id="741"/>
      <w:bookmarkEnd w:id="754"/>
      <w:bookmarkEnd w:id="755"/>
      <w:bookmarkEnd w:id="756"/>
    </w:p>
    <w:bookmarkEnd w:id="757"/>
    <w:p w14:paraId="273526C8">
      <w:pPr>
        <w:pStyle w:val="7"/>
        <w:spacing w:before="0" w:beforeAutospacing="0" w:after="0" w:afterAutospacing="0" w:line="360" w:lineRule="auto"/>
        <w:ind w:firstLine="422" w:firstLineChars="200"/>
        <w:rPr>
          <w:color w:val="auto"/>
          <w:sz w:val="21"/>
          <w:szCs w:val="21"/>
        </w:rPr>
      </w:pPr>
      <w:bookmarkStart w:id="758" w:name="_Toc351203568"/>
      <w:bookmarkStart w:id="759" w:name="_Toc532377254"/>
      <w:r>
        <w:rPr>
          <w:rFonts w:hint="eastAsia"/>
          <w:color w:val="auto"/>
          <w:sz w:val="21"/>
          <w:szCs w:val="21"/>
        </w:rPr>
        <w:t>1</w:t>
      </w:r>
      <w:bookmarkStart w:id="760" w:name="_Toc337558788"/>
      <w:bookmarkStart w:id="761" w:name="_Toc296346585"/>
      <w:bookmarkStart w:id="762" w:name="_Toc296503084"/>
      <w:r>
        <w:rPr>
          <w:rFonts w:hint="eastAsia"/>
          <w:color w:val="auto"/>
          <w:sz w:val="21"/>
          <w:szCs w:val="21"/>
        </w:rPr>
        <w:t>0.1变更的范围</w:t>
      </w:r>
      <w:bookmarkEnd w:id="758"/>
      <w:bookmarkEnd w:id="759"/>
    </w:p>
    <w:bookmarkEnd w:id="760"/>
    <w:bookmarkEnd w:id="761"/>
    <w:bookmarkEnd w:id="762"/>
    <w:p w14:paraId="40A09E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除专用合同条款另有约定外，合同履行过程中发生以下情形的，应按照本条约定进行变更：</w:t>
      </w:r>
    </w:p>
    <w:p w14:paraId="2EE3538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（1）增加或减少合同中任何工作，或追加额外的工作；</w:t>
      </w:r>
    </w:p>
    <w:p w14:paraId="1B0688F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（2）取消合同中任何工作，但转由他人实施的工作除外；</w:t>
      </w:r>
    </w:p>
    <w:p w14:paraId="0530675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（3）改变合同中任何工作的质量标准或其他特性；</w:t>
      </w:r>
    </w:p>
    <w:p w14:paraId="575BF16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（4）改变工程的基线、标高、位置和尺寸；</w:t>
      </w:r>
    </w:p>
    <w:p w14:paraId="3BD0DC5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（5）改变工程的时间安排或实施顺序。</w:t>
      </w:r>
    </w:p>
    <w:p w14:paraId="7B5CEC26">
      <w:pPr>
        <w:pStyle w:val="7"/>
        <w:spacing w:before="0" w:beforeAutospacing="0" w:after="0" w:afterAutospacing="0" w:line="360" w:lineRule="auto"/>
        <w:ind w:firstLine="422" w:firstLineChars="200"/>
        <w:rPr>
          <w:color w:val="auto"/>
          <w:sz w:val="21"/>
          <w:szCs w:val="21"/>
        </w:rPr>
      </w:pPr>
      <w:bookmarkStart w:id="763" w:name="_Toc532377255"/>
      <w:r>
        <w:rPr>
          <w:rFonts w:hint="eastAsia"/>
          <w:color w:val="auto"/>
          <w:sz w:val="21"/>
          <w:szCs w:val="21"/>
        </w:rPr>
        <w:t>10.2变更权</w:t>
      </w:r>
      <w:bookmarkEnd w:id="763"/>
    </w:p>
    <w:p w14:paraId="295DA5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CF6F27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涉及设计变更的，应由设计人提供变更后的图纸和说明。如变更超过原设计标准或批准的建设规模时，发包人应及时办理规划、设计变更等审批手续。</w:t>
      </w:r>
    </w:p>
    <w:p w14:paraId="50EB4822">
      <w:pPr>
        <w:pStyle w:val="7"/>
        <w:spacing w:before="0" w:beforeAutospacing="0" w:after="0" w:afterAutospacing="0" w:line="360" w:lineRule="auto"/>
        <w:ind w:firstLine="422" w:firstLineChars="200"/>
        <w:rPr>
          <w:color w:val="auto"/>
          <w:sz w:val="21"/>
          <w:szCs w:val="21"/>
        </w:rPr>
      </w:pPr>
      <w:bookmarkStart w:id="764" w:name="_Toc532377256"/>
      <w:r>
        <w:rPr>
          <w:rFonts w:hint="eastAsia"/>
          <w:color w:val="auto"/>
          <w:sz w:val="21"/>
          <w:szCs w:val="21"/>
        </w:rPr>
        <w:t>10.3变更程序</w:t>
      </w:r>
      <w:bookmarkEnd w:id="764"/>
    </w:p>
    <w:p w14:paraId="676E91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10.3.1 发包人提出变更</w:t>
      </w:r>
    </w:p>
    <w:p w14:paraId="2A8358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发包人提出变更的，应通过监理人向承包人发出变更指示，变更指示应说明计划变更的工程范围和变更的内容。</w:t>
      </w:r>
    </w:p>
    <w:p w14:paraId="443C45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10.3.2 监理人提出变更建议</w:t>
      </w:r>
    </w:p>
    <w:p w14:paraId="2B2B2EE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FCC9D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10.3.3 变更执行</w:t>
      </w:r>
    </w:p>
    <w:p w14:paraId="4D41AF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02FB5E6">
      <w:pPr>
        <w:pStyle w:val="7"/>
        <w:spacing w:before="0" w:beforeAutospacing="0" w:after="0" w:afterAutospacing="0" w:line="360" w:lineRule="auto"/>
        <w:ind w:firstLine="422" w:firstLineChars="200"/>
        <w:rPr>
          <w:color w:val="auto"/>
          <w:sz w:val="21"/>
          <w:szCs w:val="21"/>
        </w:rPr>
      </w:pPr>
      <w:bookmarkStart w:id="765" w:name="_Toc532377257"/>
      <w:bookmarkStart w:id="766" w:name="_Toc351203571"/>
      <w:r>
        <w:rPr>
          <w:rFonts w:hint="eastAsia"/>
          <w:color w:val="auto"/>
          <w:sz w:val="21"/>
          <w:szCs w:val="21"/>
        </w:rPr>
        <w:t>1</w:t>
      </w:r>
      <w:bookmarkStart w:id="767" w:name="_Toc337558791"/>
      <w:bookmarkStart w:id="768" w:name="_Toc296346588"/>
      <w:bookmarkStart w:id="769" w:name="_Toc296503087"/>
      <w:r>
        <w:rPr>
          <w:rFonts w:hint="eastAsia"/>
          <w:color w:val="auto"/>
          <w:sz w:val="21"/>
          <w:szCs w:val="21"/>
        </w:rPr>
        <w:t>0.4变更估价</w:t>
      </w:r>
      <w:bookmarkEnd w:id="765"/>
      <w:bookmarkEnd w:id="766"/>
    </w:p>
    <w:bookmarkEnd w:id="767"/>
    <w:bookmarkEnd w:id="768"/>
    <w:bookmarkEnd w:id="769"/>
    <w:p w14:paraId="7D89FB2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10.4.1 变更估价原则</w:t>
      </w:r>
    </w:p>
    <w:p w14:paraId="7CA75F9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除专用合同条款另有约定外，变更估价按照本款约定处理：</w:t>
      </w:r>
    </w:p>
    <w:p w14:paraId="5AFFDAA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（1）已标价工程量清单或预算书有相同项目的，按照相同项目单价认定；</w:t>
      </w:r>
    </w:p>
    <w:p w14:paraId="1A2EDC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（2）已标价工程量清单或预算书中无相同项目，但有类似项目的，参照类似项目的单价认定；</w:t>
      </w:r>
    </w:p>
    <w:p w14:paraId="481B19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C4FE1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10.4.2 变更估价程序</w:t>
      </w:r>
    </w:p>
    <w:p w14:paraId="27B1A20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8448E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因变更引起的价格调整应计入最近一期的进度款中支付。</w:t>
      </w:r>
    </w:p>
    <w:p w14:paraId="23516802">
      <w:pPr>
        <w:pStyle w:val="7"/>
        <w:spacing w:before="0" w:beforeAutospacing="0" w:after="0" w:afterAutospacing="0" w:line="360" w:lineRule="auto"/>
        <w:ind w:firstLine="422" w:firstLineChars="200"/>
        <w:rPr>
          <w:color w:val="auto"/>
          <w:sz w:val="21"/>
          <w:szCs w:val="21"/>
        </w:rPr>
      </w:pPr>
      <w:bookmarkStart w:id="770" w:name="_Toc351203572"/>
      <w:bookmarkStart w:id="771" w:name="_Toc532377258"/>
      <w:r>
        <w:rPr>
          <w:rFonts w:hint="eastAsia"/>
          <w:color w:val="auto"/>
          <w:sz w:val="21"/>
          <w:szCs w:val="21"/>
        </w:rPr>
        <w:t>1</w:t>
      </w:r>
      <w:bookmarkStart w:id="772" w:name="_Toc337558792"/>
      <w:bookmarkStart w:id="773" w:name="_Toc296346595"/>
      <w:bookmarkStart w:id="774" w:name="_Toc296503094"/>
      <w:r>
        <w:rPr>
          <w:rFonts w:hint="eastAsia"/>
          <w:color w:val="auto"/>
          <w:sz w:val="21"/>
          <w:szCs w:val="21"/>
        </w:rPr>
        <w:t>0.5承包人的合理化建议</w:t>
      </w:r>
      <w:bookmarkEnd w:id="770"/>
      <w:bookmarkEnd w:id="771"/>
    </w:p>
    <w:bookmarkEnd w:id="772"/>
    <w:bookmarkEnd w:id="773"/>
    <w:bookmarkEnd w:id="774"/>
    <w:p w14:paraId="4B0BD2E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承包人提出合理化建议的，应向监理人提交合理化建议说明，说明建议的内容和理由，以及实施该建议对合同价格和工期的影响。</w:t>
      </w:r>
    </w:p>
    <w:p w14:paraId="737014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8ED6D0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合理化建议降低了合同价格或者提高了工程经济效益的，发包人可对承包人给予奖励，奖励的方法和金额在专用合同条款中约定。</w:t>
      </w:r>
    </w:p>
    <w:p w14:paraId="29853E01">
      <w:pPr>
        <w:pStyle w:val="7"/>
        <w:spacing w:before="0" w:beforeAutospacing="0" w:after="0" w:afterAutospacing="0" w:line="360" w:lineRule="auto"/>
        <w:ind w:firstLine="422" w:firstLineChars="200"/>
        <w:rPr>
          <w:color w:val="auto"/>
          <w:sz w:val="21"/>
          <w:szCs w:val="21"/>
        </w:rPr>
      </w:pPr>
      <w:bookmarkStart w:id="775" w:name="_Toc532377259"/>
      <w:bookmarkStart w:id="776" w:name="_Toc351203573"/>
      <w:r>
        <w:rPr>
          <w:rFonts w:hint="eastAsia"/>
          <w:color w:val="auto"/>
          <w:sz w:val="21"/>
          <w:szCs w:val="21"/>
        </w:rPr>
        <w:t>1</w:t>
      </w:r>
      <w:bookmarkStart w:id="777" w:name="_Toc337558793"/>
      <w:r>
        <w:rPr>
          <w:rFonts w:hint="eastAsia"/>
          <w:color w:val="auto"/>
          <w:sz w:val="21"/>
          <w:szCs w:val="21"/>
        </w:rPr>
        <w:t>0.6变更引起的工期调整</w:t>
      </w:r>
      <w:bookmarkEnd w:id="775"/>
      <w:bookmarkEnd w:id="776"/>
      <w:bookmarkEnd w:id="777"/>
    </w:p>
    <w:p w14:paraId="1F98B84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因变更引起工期变化的，合同当事人均可要求调整合同工期，由合同当事人按照第4.4款〔商定或确定〕并参考工程所在地的工期定额标准确定增减工期天数。</w:t>
      </w:r>
    </w:p>
    <w:p w14:paraId="0BD2B695">
      <w:pPr>
        <w:pStyle w:val="7"/>
        <w:spacing w:before="0" w:beforeAutospacing="0" w:after="0" w:afterAutospacing="0" w:line="360" w:lineRule="auto"/>
        <w:ind w:firstLine="422" w:firstLineChars="200"/>
        <w:rPr>
          <w:color w:val="auto"/>
          <w:sz w:val="21"/>
          <w:szCs w:val="21"/>
        </w:rPr>
      </w:pPr>
      <w:bookmarkStart w:id="778" w:name="_Toc351203574"/>
      <w:bookmarkStart w:id="779" w:name="_Toc532377260"/>
      <w:r>
        <w:rPr>
          <w:rFonts w:hint="eastAsia"/>
          <w:color w:val="auto"/>
          <w:sz w:val="21"/>
          <w:szCs w:val="21"/>
        </w:rPr>
        <w:t>10.7暂估价</w:t>
      </w:r>
      <w:bookmarkEnd w:id="778"/>
      <w:bookmarkEnd w:id="779"/>
    </w:p>
    <w:p w14:paraId="77F8F3B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暂估价专业分包工程、服务、材料和工程设备的明细由合同当事人在专用合同条款中约定。</w:t>
      </w:r>
    </w:p>
    <w:p w14:paraId="53B1D95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10.7.1 依法必须采购的暂估价项目</w:t>
      </w:r>
    </w:p>
    <w:p w14:paraId="20C0EF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对于依法必须采购的暂估价项目，采取以下第1种方式确定。合同当事人也可以在专用合同条款中选择其他采购方式。</w:t>
      </w:r>
    </w:p>
    <w:p w14:paraId="7EF2B01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第1种方式：对于依法必须采购的暂估价项目，由承包人采购，对该暂估价项目的确认和批准按照以下约定执行：</w:t>
      </w:r>
    </w:p>
    <w:p w14:paraId="3B22303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14:paraId="5988D26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14:paraId="3DB587C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D6A005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14:paraId="6F5A21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10.7.2不属于依法必须采购的暂估价项目</w:t>
      </w:r>
    </w:p>
    <w:p w14:paraId="48A507A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除专用合同条款另有约定外，对于不属于依法必须采购的暂估价项目，采取以下第1种方式确定： </w:t>
      </w:r>
    </w:p>
    <w:p w14:paraId="5439047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第1种方式：对于不属于依法必须采购的暂估价项目，按本项约定确认和批准：</w:t>
      </w:r>
    </w:p>
    <w:p w14:paraId="45069BA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7CCFE6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（2）发包人认为承包人确定的供应商、分包人无法满足工程质量或合同要求的，发包人可以要求承包人重新确定暂估价项目的供应商、分包人;</w:t>
      </w:r>
    </w:p>
    <w:p w14:paraId="361B13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（3）承包人应当在签订暂估价合同后7天内，将暂估价合同副本报送发包人留存。</w:t>
      </w:r>
    </w:p>
    <w:p w14:paraId="5C27604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第2种方式：承包人按照第10.7.1项〔依法必须采购的暂估价项目〕约定的第1种方式确定暂估价项目。</w:t>
      </w:r>
    </w:p>
    <w:p w14:paraId="212897A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第3种方式：承包人直接实施的暂估价项目</w:t>
      </w:r>
    </w:p>
    <w:p w14:paraId="04BADBB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承包人具备实施暂估价项目的资格和条件的，经发包人和承包人协商一致后，可由承包人自行实施暂估价项目，合同当事人可以在专用合同条款约定具体事项。</w:t>
      </w:r>
    </w:p>
    <w:p w14:paraId="2470EB5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6B85F51">
      <w:pPr>
        <w:pStyle w:val="7"/>
        <w:spacing w:before="0" w:beforeAutospacing="0" w:after="0" w:afterAutospacing="0" w:line="360" w:lineRule="auto"/>
        <w:ind w:firstLine="422" w:firstLineChars="200"/>
        <w:rPr>
          <w:color w:val="auto"/>
          <w:sz w:val="21"/>
          <w:szCs w:val="21"/>
        </w:rPr>
      </w:pPr>
      <w:bookmarkStart w:id="780" w:name="_Toc351203575"/>
      <w:bookmarkStart w:id="781" w:name="_Toc532377261"/>
      <w:r>
        <w:rPr>
          <w:rFonts w:hint="eastAsia"/>
          <w:color w:val="auto"/>
          <w:sz w:val="21"/>
          <w:szCs w:val="21"/>
        </w:rPr>
        <w:t>1</w:t>
      </w:r>
      <w:bookmarkStart w:id="782" w:name="_Toc337558794"/>
      <w:bookmarkStart w:id="783" w:name="_Toc322522561"/>
      <w:bookmarkStart w:id="784" w:name="_Toc296503090"/>
      <w:bookmarkStart w:id="785" w:name="_Toc296346591"/>
      <w:r>
        <w:rPr>
          <w:rFonts w:hint="eastAsia"/>
          <w:color w:val="auto"/>
          <w:sz w:val="21"/>
          <w:szCs w:val="21"/>
        </w:rPr>
        <w:t>0.8暂列金额</w:t>
      </w:r>
      <w:bookmarkEnd w:id="780"/>
      <w:bookmarkEnd w:id="781"/>
    </w:p>
    <w:bookmarkEnd w:id="782"/>
    <w:p w14:paraId="68F878D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暂列金额应按照发包人的要求使用，发包人的要求应通过监理人发出。合同当事人可以在专用合同条款中协商确定有关事项。</w:t>
      </w:r>
    </w:p>
    <w:bookmarkEnd w:id="783"/>
    <w:bookmarkEnd w:id="784"/>
    <w:bookmarkEnd w:id="785"/>
    <w:p w14:paraId="175ED7FE">
      <w:pPr>
        <w:pStyle w:val="7"/>
        <w:spacing w:before="0" w:beforeAutospacing="0" w:after="0" w:afterAutospacing="0" w:line="360" w:lineRule="auto"/>
        <w:ind w:firstLine="422" w:firstLineChars="200"/>
        <w:rPr>
          <w:color w:val="auto"/>
          <w:sz w:val="21"/>
          <w:szCs w:val="21"/>
        </w:rPr>
      </w:pPr>
      <w:bookmarkStart w:id="786" w:name="_Toc532377262"/>
      <w:bookmarkStart w:id="787" w:name="_Toc351203576"/>
      <w:r>
        <w:rPr>
          <w:rFonts w:hint="eastAsia"/>
          <w:color w:val="auto"/>
          <w:sz w:val="21"/>
          <w:szCs w:val="21"/>
        </w:rPr>
        <w:t>1</w:t>
      </w:r>
      <w:bookmarkStart w:id="788" w:name="_Toc296346592"/>
      <w:bookmarkStart w:id="789" w:name="_Toc296503091"/>
      <w:bookmarkStart w:id="790" w:name="_Toc337558796"/>
      <w:r>
        <w:rPr>
          <w:rFonts w:hint="eastAsia"/>
          <w:color w:val="auto"/>
          <w:sz w:val="21"/>
          <w:szCs w:val="21"/>
        </w:rPr>
        <w:t>0.9计日工</w:t>
      </w:r>
      <w:bookmarkEnd w:id="786"/>
      <w:bookmarkEnd w:id="787"/>
      <w:bookmarkEnd w:id="788"/>
      <w:bookmarkEnd w:id="789"/>
      <w:bookmarkEnd w:id="790"/>
    </w:p>
    <w:p w14:paraId="45E2702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0E8AA5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采用计日工计价的任何一项工作，承包人应在该项工作实施过程中，每天提交以下报表和有关凭证报送监理人审查：</w:t>
      </w:r>
    </w:p>
    <w:p w14:paraId="4FE2749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（1）工作名称、内容和数量；</w:t>
      </w:r>
    </w:p>
    <w:p w14:paraId="5DE8E1A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（2）投入该工作的所有人员的姓名、专业、工种、级别和耗用工时；</w:t>
      </w:r>
    </w:p>
    <w:p w14:paraId="724893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（3）投入该工作的材料类别和数量；</w:t>
      </w:r>
    </w:p>
    <w:p w14:paraId="236ECE4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（4）投入该工作的施工设备型号、台数和耗用台时；</w:t>
      </w:r>
    </w:p>
    <w:p w14:paraId="0C763F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（5）其他有关资料和凭证。</w:t>
      </w:r>
    </w:p>
    <w:p w14:paraId="17C8524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计日工由承包人汇总后，列入最近一期进度付款申请单，由监理人审查并经发包人批准后列入进度付款。</w:t>
      </w:r>
    </w:p>
    <w:p w14:paraId="0977CC34">
      <w:pPr>
        <w:pStyle w:val="6"/>
        <w:keepNext/>
        <w:keepLines/>
        <w:spacing w:beforeLines="50" w:beforeAutospacing="0" w:afterLines="50" w:afterAutospacing="0" w:line="360" w:lineRule="auto"/>
        <w:jc w:val="both"/>
        <w:rPr>
          <w:bCs w:val="0"/>
          <w:color w:val="auto"/>
          <w:kern w:val="2"/>
          <w:sz w:val="21"/>
          <w:szCs w:val="21"/>
        </w:rPr>
      </w:pPr>
      <w:bookmarkStart w:id="791" w:name="_Toc532377263"/>
      <w:bookmarkStart w:id="792" w:name="_Toc351203577"/>
      <w:bookmarkStart w:id="793" w:name="_Toc532375597"/>
      <w:r>
        <w:rPr>
          <w:rFonts w:hint="eastAsia"/>
          <w:color w:val="auto"/>
          <w:kern w:val="2"/>
          <w:sz w:val="21"/>
          <w:szCs w:val="21"/>
        </w:rPr>
        <w:t>11. 价格调整</w:t>
      </w:r>
      <w:bookmarkEnd w:id="791"/>
      <w:bookmarkEnd w:id="792"/>
      <w:bookmarkEnd w:id="793"/>
    </w:p>
    <w:p w14:paraId="208BE423">
      <w:pPr>
        <w:pStyle w:val="7"/>
        <w:spacing w:before="0" w:beforeAutospacing="0" w:after="0" w:afterAutospacing="0" w:line="360" w:lineRule="auto"/>
        <w:ind w:firstLine="422" w:firstLineChars="200"/>
        <w:rPr>
          <w:color w:val="auto"/>
          <w:sz w:val="21"/>
          <w:szCs w:val="21"/>
        </w:rPr>
      </w:pPr>
      <w:bookmarkStart w:id="794" w:name="_Toc351203578"/>
      <w:bookmarkStart w:id="795" w:name="_Toc532377264"/>
      <w:bookmarkStart w:id="796" w:name="_Toc296503092"/>
      <w:bookmarkStart w:id="797" w:name="_Toc296346593"/>
      <w:bookmarkStart w:id="798" w:name="_Toc337558797"/>
      <w:r>
        <w:rPr>
          <w:rFonts w:hint="eastAsia"/>
          <w:color w:val="auto"/>
          <w:sz w:val="21"/>
          <w:szCs w:val="21"/>
        </w:rPr>
        <w:t>11.1市场价格波动引起的调整</w:t>
      </w:r>
      <w:bookmarkEnd w:id="794"/>
      <w:bookmarkEnd w:id="795"/>
    </w:p>
    <w:bookmarkEnd w:id="796"/>
    <w:bookmarkEnd w:id="797"/>
    <w:bookmarkEnd w:id="798"/>
    <w:p w14:paraId="59C51E4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除专用合同条款另有约定外，市场价格波动超过合同当事人约定的范围，合同价格应当调整。合同当事人可以在专用合同条款中约定选择以下一种方式对合同价格进行调整：</w:t>
      </w:r>
    </w:p>
    <w:p w14:paraId="770CB8D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第1种方式：采用价格指数进行价格调整。</w:t>
      </w:r>
    </w:p>
    <w:p w14:paraId="4D9060DC">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（1）价格调整公式</w:t>
      </w:r>
    </w:p>
    <w:p w14:paraId="08AD6AD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因人工、材料和设备等价格波动影响合同价格时，根据专用合同条款中约定的数据，按以下公式计算差额并调整合同价格：</w:t>
      </w:r>
    </w:p>
    <w:p w14:paraId="52EC6BBC">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5" o:spt="75" type="#_x0000_t75" style="height:43.5pt;width:360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14:paraId="3FFEA576">
      <w:pPr>
        <w:tabs>
          <w:tab w:val="left" w:pos="0"/>
          <w:tab w:val="left" w:pos="360"/>
          <w:tab w:val="left" w:pos="540"/>
        </w:tabs>
        <w:spacing w:line="360" w:lineRule="auto"/>
        <w:ind w:firstLine="200"/>
        <w:jc w:val="left"/>
        <w:rPr>
          <w:rFonts w:ascii="宋体" w:hAnsi="宋体"/>
          <w:color w:val="auto"/>
          <w:kern w:val="0"/>
          <w:szCs w:val="21"/>
        </w:rPr>
      </w:pPr>
      <w:r>
        <w:rPr>
          <w:rFonts w:hint="eastAsia" w:ascii="宋体" w:hAnsi="宋体"/>
          <w:color w:val="auto"/>
          <w:kern w:val="0"/>
          <w:szCs w:val="21"/>
        </w:rPr>
        <w:t>公式中：ΔP——需调整的价格差额；</w:t>
      </w:r>
    </w:p>
    <w:p w14:paraId="7142A3ED">
      <w:pPr>
        <w:tabs>
          <w:tab w:val="left" w:pos="0"/>
          <w:tab w:val="left" w:pos="360"/>
          <w:tab w:val="left" w:pos="540"/>
        </w:tabs>
        <w:spacing w:line="360" w:lineRule="auto"/>
        <w:ind w:firstLine="1260" w:firstLineChars="600"/>
        <w:jc w:val="left"/>
        <w:rPr>
          <w:rFonts w:ascii="宋体" w:hAnsi="宋体"/>
          <w:color w:val="auto"/>
          <w:kern w:val="0"/>
          <w:szCs w:val="21"/>
        </w:rPr>
      </w:pPr>
      <w:r>
        <w:rPr>
          <w:rFonts w:hint="eastAsia" w:ascii="宋体" w:hAnsi="宋体"/>
          <w:color w:val="auto"/>
          <w:kern w:val="0"/>
          <w:szCs w:val="21"/>
        </w:rPr>
        <w:object>
          <v:shape id="_x0000_i1026" o:spt="75" type="#_x0000_t75" style="height:21.75pt;width:21.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color w:val="auto"/>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597D714C">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A——定值权重（即不调部分的权重）；</w:t>
      </w:r>
    </w:p>
    <w:p w14:paraId="45B101A4">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7" o:spt="75" type="#_x0000_t75" style="height:21.75pt;width:1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color w:val="auto"/>
          <w:kern w:val="0"/>
          <w:szCs w:val="21"/>
        </w:rPr>
        <w:t>——各可调因子的变值权重（即可调部分的权重），为各可调因子在签约合同价中所占的比例；</w:t>
      </w:r>
    </w:p>
    <w:p w14:paraId="5E6FBCB6">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8" o:spt="75" type="#_x0000_t75" style="height:21.75pt;width:100.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color w:val="auto"/>
          <w:kern w:val="0"/>
          <w:szCs w:val="21"/>
        </w:rPr>
        <w:t>——各可调因子的现行价格指数，指约定的付款证书相关周期最后一天的前42天的各可调因子的价格指数；</w:t>
      </w:r>
    </w:p>
    <w:p w14:paraId="147F7FFD">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9" o:spt="75" type="#_x0000_t75" style="height:21.75pt;width:108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color w:val="auto"/>
          <w:kern w:val="0"/>
          <w:szCs w:val="21"/>
        </w:rPr>
        <w:t>——各可调因子的基本价格指数，指基准日期的各可调因子的价格指数。</w:t>
      </w:r>
    </w:p>
    <w:p w14:paraId="27FAA23E">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14:paraId="1D863E13">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（2）暂时确定调整差额</w:t>
      </w:r>
    </w:p>
    <w:p w14:paraId="602FEA2E">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在计算调整差额时无现行价格指数的，合同当事人同意暂用前次价格指数计算。实际价格指数有调整的，合同当事人进行相应调整。</w:t>
      </w:r>
    </w:p>
    <w:p w14:paraId="7EF0B37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（3）权重的调整</w:t>
      </w:r>
    </w:p>
    <w:p w14:paraId="33A6B0DB">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因变更导致合同约定的权重不合理时，按照第4.4款〔商定或确定〕执行。</w:t>
      </w:r>
    </w:p>
    <w:p w14:paraId="2969532A">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（4）因承包人原因工期延误后的价格调整</w:t>
      </w:r>
    </w:p>
    <w:p w14:paraId="3F10A79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5F293D9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第2种方式：采用造价信息进行价格调整。</w:t>
      </w:r>
    </w:p>
    <w:p w14:paraId="14EDEED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6B829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DF1782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（2）材料、工程设备价格变化的价款调整按照发包人提供的基准价格，按以下风险范围规定执行：</w:t>
      </w:r>
    </w:p>
    <w:p w14:paraId="6271956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55FF3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3B7887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068B681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18BCCEC">
      <w:pPr>
        <w:spacing w:line="360" w:lineRule="auto"/>
        <w:ind w:firstLine="420" w:firstLineChars="200"/>
        <w:jc w:val="left"/>
        <w:rPr>
          <w:rFonts w:ascii="宋体" w:hAnsi="宋体"/>
          <w:color w:val="auto"/>
          <w:kern w:val="0"/>
          <w:szCs w:val="21"/>
        </w:rPr>
      </w:pPr>
      <w:bookmarkStart w:id="799" w:name="OLE_LINK3"/>
      <w:r>
        <w:rPr>
          <w:rFonts w:hint="eastAsia" w:ascii="宋体" w:hAnsi="宋体"/>
          <w:color w:val="auto"/>
          <w:kern w:val="0"/>
          <w:szCs w:val="21"/>
        </w:rPr>
        <w:t>前述基准价格是指由发包人在采购文件或专用合同条款中给定的材料、工程设备的价格，该价格原则上应当按照省级或行业建设主管部门或其授权的工程造价管理机构发布的信息价编制。</w:t>
      </w:r>
    </w:p>
    <w:p w14:paraId="373867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（3）施工机械台班单价或施工机械使用费发生变化超过省级或行业建设主管部门或其授权的工程造价管理机构规定的范围时，按规定调整合同价格。</w:t>
      </w:r>
    </w:p>
    <w:p w14:paraId="5538E73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第3种方式：专用合同条款约定的其他方式。</w:t>
      </w:r>
    </w:p>
    <w:p w14:paraId="50A92A21">
      <w:pPr>
        <w:pStyle w:val="7"/>
        <w:spacing w:before="0" w:beforeAutospacing="0" w:after="0" w:afterAutospacing="0" w:line="360" w:lineRule="auto"/>
        <w:ind w:firstLine="422" w:firstLineChars="200"/>
        <w:rPr>
          <w:color w:val="auto"/>
          <w:sz w:val="21"/>
          <w:szCs w:val="21"/>
        </w:rPr>
      </w:pPr>
      <w:bookmarkStart w:id="800" w:name="_Toc532377265"/>
      <w:bookmarkStart w:id="801" w:name="_Toc351203579"/>
      <w:bookmarkStart w:id="802" w:name="_Toc337558798"/>
      <w:bookmarkStart w:id="803" w:name="_Toc296346594"/>
      <w:bookmarkStart w:id="804" w:name="_Toc296503093"/>
      <w:r>
        <w:rPr>
          <w:rFonts w:hint="eastAsia"/>
          <w:color w:val="auto"/>
          <w:sz w:val="21"/>
          <w:szCs w:val="21"/>
        </w:rPr>
        <w:t>11.2法律变化引起的调整</w:t>
      </w:r>
      <w:bookmarkEnd w:id="800"/>
      <w:bookmarkEnd w:id="801"/>
    </w:p>
    <w:bookmarkEnd w:id="802"/>
    <w:bookmarkEnd w:id="803"/>
    <w:bookmarkEnd w:id="804"/>
    <w:p w14:paraId="3BC890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DF388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因法律变化引起的合同价格和工期调整，合同当事人无法达成一致的，由总监理工程师按第4.4款〔商定或确定〕的约定处理。</w:t>
      </w:r>
    </w:p>
    <w:p w14:paraId="173EF5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因承包人原因造成工期延误，在工期延误期间出现法律变化的，由此增加的费用和（或）延误的工期由承包人承担。</w:t>
      </w:r>
    </w:p>
    <w:p w14:paraId="0CCDC24D">
      <w:pPr>
        <w:pStyle w:val="6"/>
        <w:keepNext/>
        <w:keepLines/>
        <w:spacing w:beforeLines="50" w:beforeAutospacing="0" w:afterLines="50" w:afterAutospacing="0" w:line="360" w:lineRule="auto"/>
        <w:jc w:val="both"/>
        <w:rPr>
          <w:bCs w:val="0"/>
          <w:color w:val="auto"/>
          <w:kern w:val="2"/>
          <w:sz w:val="21"/>
          <w:szCs w:val="21"/>
        </w:rPr>
      </w:pPr>
      <w:bookmarkStart w:id="805" w:name="_Toc532377266"/>
      <w:bookmarkStart w:id="806" w:name="_Toc351203580"/>
      <w:bookmarkStart w:id="807" w:name="_Toc532375598"/>
      <w:bookmarkStart w:id="808" w:name="_Toc337558799"/>
      <w:bookmarkStart w:id="809" w:name="_Toc296503096"/>
      <w:bookmarkStart w:id="810" w:name="_Toc296346597"/>
      <w:r>
        <w:rPr>
          <w:rFonts w:hint="eastAsia"/>
          <w:color w:val="auto"/>
          <w:kern w:val="2"/>
          <w:sz w:val="21"/>
          <w:szCs w:val="21"/>
        </w:rPr>
        <w:t>12. 合同价格、计量与支付</w:t>
      </w:r>
      <w:bookmarkEnd w:id="805"/>
      <w:bookmarkEnd w:id="806"/>
      <w:bookmarkEnd w:id="807"/>
    </w:p>
    <w:bookmarkEnd w:id="808"/>
    <w:p w14:paraId="45759E1D">
      <w:pPr>
        <w:pStyle w:val="7"/>
        <w:spacing w:before="0" w:beforeAutospacing="0" w:after="0" w:afterAutospacing="0" w:line="360" w:lineRule="auto"/>
        <w:ind w:firstLine="422" w:firstLineChars="200"/>
        <w:rPr>
          <w:color w:val="auto"/>
          <w:sz w:val="21"/>
          <w:szCs w:val="21"/>
        </w:rPr>
      </w:pPr>
      <w:bookmarkStart w:id="811" w:name="_Toc532377267"/>
      <w:bookmarkStart w:id="812" w:name="_Toc351203581"/>
      <w:bookmarkStart w:id="813" w:name="_Toc337558800"/>
      <w:r>
        <w:rPr>
          <w:rFonts w:hint="eastAsia"/>
          <w:color w:val="auto"/>
          <w:sz w:val="21"/>
          <w:szCs w:val="21"/>
        </w:rPr>
        <w:t>12.1 合同价</w:t>
      </w:r>
      <w:bookmarkEnd w:id="809"/>
      <w:bookmarkEnd w:id="810"/>
      <w:r>
        <w:rPr>
          <w:rFonts w:hint="eastAsia"/>
          <w:color w:val="auto"/>
          <w:sz w:val="21"/>
          <w:szCs w:val="21"/>
        </w:rPr>
        <w:t>格形式</w:t>
      </w:r>
      <w:bookmarkEnd w:id="811"/>
      <w:bookmarkEnd w:id="812"/>
    </w:p>
    <w:bookmarkEnd w:id="813"/>
    <w:p w14:paraId="0026A15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发包人和承包人应在合同协议书中选择下列一种合同价格形式： </w:t>
      </w:r>
    </w:p>
    <w:p w14:paraId="3F0159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w:t>
      </w:r>
    </w:p>
    <w:p w14:paraId="23538C1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0ED0B78">
      <w:pPr>
        <w:pStyle w:val="7"/>
        <w:spacing w:before="0" w:beforeAutospacing="0" w:after="0" w:afterAutospacing="0" w:line="360" w:lineRule="auto"/>
        <w:ind w:firstLine="420" w:firstLineChars="200"/>
        <w:rPr>
          <w:b w:val="0"/>
          <w:color w:val="auto"/>
          <w:sz w:val="21"/>
          <w:szCs w:val="21"/>
        </w:rPr>
      </w:pPr>
      <w:bookmarkStart w:id="814" w:name="_Toc532377268"/>
      <w:r>
        <w:rPr>
          <w:rFonts w:hint="eastAsia"/>
          <w:b w:val="0"/>
          <w:color w:val="auto"/>
          <w:sz w:val="21"/>
          <w:szCs w:val="21"/>
        </w:rPr>
        <w:t>2.总价合同</w:t>
      </w:r>
      <w:bookmarkEnd w:id="814"/>
    </w:p>
    <w:p w14:paraId="75C59FE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FCC35E4">
      <w:pPr>
        <w:pStyle w:val="7"/>
        <w:spacing w:before="0" w:beforeAutospacing="0" w:after="0" w:afterAutospacing="0" w:line="360" w:lineRule="auto"/>
        <w:ind w:firstLine="420" w:firstLineChars="200"/>
        <w:rPr>
          <w:b w:val="0"/>
          <w:color w:val="auto"/>
          <w:sz w:val="21"/>
          <w:szCs w:val="21"/>
        </w:rPr>
      </w:pPr>
      <w:bookmarkStart w:id="815" w:name="_Toc532377269"/>
      <w:r>
        <w:rPr>
          <w:rFonts w:hint="eastAsia"/>
          <w:b w:val="0"/>
          <w:color w:val="auto"/>
          <w:sz w:val="21"/>
          <w:szCs w:val="21"/>
        </w:rPr>
        <w:t>3.其它价格形式</w:t>
      </w:r>
      <w:bookmarkEnd w:id="815"/>
    </w:p>
    <w:p w14:paraId="541CAC6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合同当事人可在专用合同条款中约定其他合同价格形式。</w:t>
      </w:r>
    </w:p>
    <w:p w14:paraId="6C6BBB9A">
      <w:pPr>
        <w:pStyle w:val="7"/>
        <w:spacing w:before="0" w:beforeAutospacing="0" w:after="0" w:afterAutospacing="0" w:line="360" w:lineRule="auto"/>
        <w:ind w:firstLine="422" w:firstLineChars="200"/>
        <w:rPr>
          <w:color w:val="auto"/>
          <w:sz w:val="21"/>
          <w:szCs w:val="21"/>
        </w:rPr>
      </w:pPr>
      <w:bookmarkStart w:id="816" w:name="_Toc296346598"/>
      <w:bookmarkStart w:id="817" w:name="_Toc296503097"/>
      <w:bookmarkStart w:id="818" w:name="_Toc351203582"/>
      <w:bookmarkStart w:id="819" w:name="_Toc532377270"/>
      <w:bookmarkStart w:id="820" w:name="_Toc337558801"/>
      <w:r>
        <w:rPr>
          <w:rFonts w:hint="eastAsia"/>
          <w:color w:val="auto"/>
          <w:sz w:val="21"/>
          <w:szCs w:val="21"/>
        </w:rPr>
        <w:t>12.2预</w:t>
      </w:r>
      <w:bookmarkEnd w:id="816"/>
      <w:bookmarkEnd w:id="817"/>
      <w:bookmarkStart w:id="821" w:name="_Toc296346601"/>
      <w:bookmarkStart w:id="822" w:name="_Toc296503100"/>
      <w:r>
        <w:rPr>
          <w:rFonts w:hint="eastAsia"/>
          <w:color w:val="auto"/>
          <w:sz w:val="21"/>
          <w:szCs w:val="21"/>
        </w:rPr>
        <w:t>付款</w:t>
      </w:r>
      <w:bookmarkEnd w:id="818"/>
      <w:bookmarkEnd w:id="819"/>
    </w:p>
    <w:bookmarkEnd w:id="820"/>
    <w:bookmarkEnd w:id="821"/>
    <w:bookmarkEnd w:id="822"/>
    <w:p w14:paraId="439D29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12.2.1预付款的支付</w:t>
      </w:r>
    </w:p>
    <w:p w14:paraId="20E2F9C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预付款的支付按照专用合同条款约定执行，但至迟应在开工通知载明的开工日期7天前支付。预付款应当用于材料、工程设备、施工设备的采购及修建临时工程、组织施工队伍进场等。</w:t>
      </w:r>
    </w:p>
    <w:p w14:paraId="30A627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除专用合同条款另有约定外，预付款在进度付款中同比例扣回。</w:t>
      </w:r>
      <w:bookmarkEnd w:id="799"/>
      <w:r>
        <w:rPr>
          <w:rFonts w:hint="eastAsia" w:ascii="宋体" w:hAnsi="宋体"/>
          <w:color w:val="auto"/>
          <w:kern w:val="0"/>
          <w:szCs w:val="21"/>
        </w:rPr>
        <w:t>在颁发工程接收证书前，提前解除合同的，尚未扣完的预付款应与合同价款一并结算。</w:t>
      </w:r>
    </w:p>
    <w:p w14:paraId="21B61C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发包人逾期支付预付款超过7天的，承包人有权向发包人发出要求预付的催告通知，发包人收到通知后7天内仍未支付的，承包人有权暂停施工，并按第16.1.1项〔发包人违约的情形〕执行。</w:t>
      </w:r>
    </w:p>
    <w:p w14:paraId="6D7993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12.2.2 预付款担保</w:t>
      </w:r>
    </w:p>
    <w:p w14:paraId="198D749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C05E8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发包人在工程款中逐期扣回预付款后，预付款担保额度应相应减少，但剩余的预付款担保金额不得低于未被扣回的预付款金额。</w:t>
      </w:r>
    </w:p>
    <w:p w14:paraId="1E63883B">
      <w:pPr>
        <w:pStyle w:val="7"/>
        <w:spacing w:before="0" w:beforeAutospacing="0" w:after="0" w:afterAutospacing="0" w:line="360" w:lineRule="auto"/>
        <w:ind w:firstLine="422" w:firstLineChars="200"/>
        <w:rPr>
          <w:color w:val="auto"/>
          <w:sz w:val="21"/>
          <w:szCs w:val="21"/>
        </w:rPr>
      </w:pPr>
      <w:bookmarkStart w:id="823" w:name="_Toc351203583"/>
      <w:bookmarkStart w:id="824" w:name="_Toc532377271"/>
      <w:bookmarkStart w:id="825" w:name="_Toc337558802"/>
      <w:r>
        <w:rPr>
          <w:rFonts w:hint="eastAsia"/>
          <w:color w:val="auto"/>
          <w:sz w:val="21"/>
          <w:szCs w:val="21"/>
        </w:rPr>
        <w:t>12.3计量</w:t>
      </w:r>
      <w:bookmarkEnd w:id="823"/>
      <w:bookmarkEnd w:id="824"/>
    </w:p>
    <w:bookmarkEnd w:id="825"/>
    <w:p w14:paraId="4770CD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12.3.1 计量原则</w:t>
      </w:r>
    </w:p>
    <w:p w14:paraId="50EAE18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工程量计量按照合同约定的工程量计算规则、图纸及变更指示等进行计量。工程量计算规则应以相关的国家标准、行业标准等为依据，由合同当事人在专用合同条款中约定。</w:t>
      </w:r>
    </w:p>
    <w:p w14:paraId="45F7B11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12.3.2 计量周期</w:t>
      </w:r>
    </w:p>
    <w:p w14:paraId="614C2C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除专用合同条款另有约定外，工程量的计量按月进行。</w:t>
      </w:r>
    </w:p>
    <w:p w14:paraId="68E320E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12.3.3 单价合同的计量</w:t>
      </w:r>
    </w:p>
    <w:p w14:paraId="3AF5E99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除专用合同条款另有约定外，单价合同的计量按照本项约定执行：</w:t>
      </w:r>
    </w:p>
    <w:p w14:paraId="4E8C96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5806E9B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14739F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（3）监理人未在收到承包人提交的工程量报表后的7天内完成审核的，承包人报送的工程量报告中的工程量视为承包人实际完成的工程量，据此计算工程价款。</w:t>
      </w:r>
    </w:p>
    <w:p w14:paraId="02ABC0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12.3.4 总价合同的计量</w:t>
      </w:r>
    </w:p>
    <w:p w14:paraId="21E786E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除专用合同条款另有约定外，按月计量支付的总价合同，按照本项约定执行：</w:t>
      </w:r>
    </w:p>
    <w:p w14:paraId="50F7E96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6190E6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B4A0E8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（3）监理人未在收到承包人提交的工程量报表后的7天内完成复核的，承包人提交的工程量报告中的工程量视为承包人实际完成的工程量。</w:t>
      </w:r>
    </w:p>
    <w:p w14:paraId="447465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12.3.5 总价合同采用支付分解表计量支付的，可以按照第12.3.4项〔总价合同的计量〕约定进行计量，但合同价款按照支付分解表进行支付。</w:t>
      </w:r>
    </w:p>
    <w:p w14:paraId="76E20F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12.3.6 其他价格形式合同的计量</w:t>
      </w:r>
    </w:p>
    <w:p w14:paraId="129701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合同当事人可在专用合同条款中约定其他价格形式合同的计量方式和程序。</w:t>
      </w:r>
    </w:p>
    <w:p w14:paraId="2EB4BB87">
      <w:pPr>
        <w:pStyle w:val="7"/>
        <w:spacing w:before="0" w:beforeAutospacing="0" w:after="0" w:afterAutospacing="0" w:line="360" w:lineRule="auto"/>
        <w:ind w:firstLine="422" w:firstLineChars="200"/>
        <w:rPr>
          <w:color w:val="auto"/>
          <w:sz w:val="21"/>
          <w:szCs w:val="21"/>
        </w:rPr>
      </w:pPr>
      <w:bookmarkStart w:id="826" w:name="_Toc296503101"/>
      <w:bookmarkStart w:id="827" w:name="_Toc296346602"/>
      <w:bookmarkStart w:id="828" w:name="_Toc532377272"/>
      <w:bookmarkStart w:id="829" w:name="_Toc351203584"/>
      <w:bookmarkStart w:id="830" w:name="_Toc337558803"/>
      <w:r>
        <w:rPr>
          <w:rFonts w:hint="eastAsia"/>
          <w:color w:val="auto"/>
          <w:sz w:val="21"/>
          <w:szCs w:val="21"/>
        </w:rPr>
        <w:t>12.4工程进度款支</w:t>
      </w:r>
      <w:bookmarkEnd w:id="826"/>
      <w:bookmarkEnd w:id="827"/>
      <w:r>
        <w:rPr>
          <w:rFonts w:hint="eastAsia"/>
          <w:color w:val="auto"/>
          <w:sz w:val="21"/>
          <w:szCs w:val="21"/>
        </w:rPr>
        <w:t>付</w:t>
      </w:r>
      <w:bookmarkEnd w:id="828"/>
      <w:bookmarkEnd w:id="829"/>
    </w:p>
    <w:bookmarkEnd w:id="830"/>
    <w:p w14:paraId="7CB5E8B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12.4.1 付款周期</w:t>
      </w:r>
    </w:p>
    <w:p w14:paraId="68B0181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除专用合同条款另有约定外，付款周期应按照第12.3.2项〔计量周期〕的约定与计量周期保持一致。</w:t>
      </w:r>
    </w:p>
    <w:p w14:paraId="76EEB0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12.4.2 进度付款申请单的编制</w:t>
      </w:r>
    </w:p>
    <w:p w14:paraId="3ED24D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除专用合同条款另有约定外，进度付款申请单应包括下列内容：</w:t>
      </w:r>
    </w:p>
    <w:p w14:paraId="3998BE6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（1）截至本次付款周期已完成工作对应的金额；</w:t>
      </w:r>
    </w:p>
    <w:p w14:paraId="0A252D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（2）根据第10条〔变更〕应增加和扣减的变更金额；</w:t>
      </w:r>
    </w:p>
    <w:p w14:paraId="13C785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（3）根据第12.2款〔预付款〕约定应支付的预付款和扣减的返还预付款；</w:t>
      </w:r>
    </w:p>
    <w:p w14:paraId="054DA1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（4）根据第15.3款〔质量保证金〕约定应扣减的质量保证金；</w:t>
      </w:r>
    </w:p>
    <w:p w14:paraId="768612B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（5）根据第19条〔索赔〕应增加和扣减的索赔金额；</w:t>
      </w:r>
    </w:p>
    <w:p w14:paraId="0A6A35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（6）对已签发的进度款支付证书中出现错误的修正，应在本次进度付款中支付或扣除的金额；</w:t>
      </w:r>
    </w:p>
    <w:p w14:paraId="0B13F0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（7）根据合同约定应增加和扣减的其他金额。</w:t>
      </w:r>
    </w:p>
    <w:p w14:paraId="00E23F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12.4.3 进度付款申请单的提交</w:t>
      </w:r>
    </w:p>
    <w:p w14:paraId="5EEB8A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（1）单价合同进度付款申请单的提交</w:t>
      </w:r>
    </w:p>
    <w:p w14:paraId="61CE72D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883466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（2）总价合同进度付款申请单的提交</w:t>
      </w:r>
    </w:p>
    <w:p w14:paraId="43E513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总价合同按月计量支付的，承包人按照第12.3.4项〔总价合同的计量〕约定的时间按月向监理人提交进度付款申请单，并附上已完成工程量报表和有关资料。</w:t>
      </w:r>
    </w:p>
    <w:p w14:paraId="00A7A3D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总价合同按支付分解表支付的，承包人应按照第12.4.6项〔支付分解表〕及第12.4.2项〔进度付款申请单的编制〕的约定向监理人提交进度付款申请单。</w:t>
      </w:r>
    </w:p>
    <w:p w14:paraId="78610F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（3）其他价格形式合同的进度付款申请单的提交</w:t>
      </w:r>
    </w:p>
    <w:p w14:paraId="445C99D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合同当事人可在专用合同条款中约定其他价格形式合同的进度付款申请单的编制和提交程序。</w:t>
      </w:r>
    </w:p>
    <w:p w14:paraId="4ACEA3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12.4.4 进度款审核和支付</w:t>
      </w:r>
    </w:p>
    <w:p w14:paraId="34F35BE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D3C4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BBEFE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255EA4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（3）发包人签发进度款支付证书或临时进度款支付证书，不表明发包人已同意、批准或接受了承包人完成的相应部分的工作。</w:t>
      </w:r>
    </w:p>
    <w:p w14:paraId="66D4EA7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12.4.5 进度付款的修正</w:t>
      </w:r>
    </w:p>
    <w:p w14:paraId="56E3A8E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42B6AA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12.4.6 支付分解表</w:t>
      </w:r>
    </w:p>
    <w:p w14:paraId="26F91BC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1.支付分解表的编制要求</w:t>
      </w:r>
    </w:p>
    <w:p w14:paraId="468C2A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（1）支付分解表中所列的每期付款金额，应为第12.4.2项〔进度付款申请单的编制〕第（1）目的估算金额；</w:t>
      </w:r>
    </w:p>
    <w:p w14:paraId="774163A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（2）实际进度与施工进度计划不一致的，合同当事人可按照第4.4款〔商定或确定〕修改支付分解表；</w:t>
      </w:r>
    </w:p>
    <w:p w14:paraId="1A2CB0B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（3）不采用支付分解表的，承包人应向发包人和监理人提交按季度编制的支付估算分解表，用于支付参考。</w:t>
      </w:r>
    </w:p>
    <w:p w14:paraId="3B7670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2.总价合同支付分解表的编制与审批</w:t>
      </w:r>
    </w:p>
    <w:p w14:paraId="470507A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9C9E7F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（2）监理人应在收到支付分解表后7天内完成审核并报送发包人。发包人应在收到经监理人审核的支付分解表后7天内完成审批，经发包人批准的支付分解表为有约束力的支付分解表。</w:t>
      </w:r>
    </w:p>
    <w:p w14:paraId="3CC179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（3）发包人逾期未完成支付分解表审批的，也未及时要求承包人进行修正和提供补充资料的，则承包人提交的支付分解表视为已经获得发包人批准。</w:t>
      </w:r>
    </w:p>
    <w:p w14:paraId="31479F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3.单价合同的总价项目支付分解表的编制与审批</w:t>
      </w:r>
    </w:p>
    <w:p w14:paraId="53C710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1604E13">
      <w:pPr>
        <w:pStyle w:val="7"/>
        <w:spacing w:before="0" w:beforeAutospacing="0" w:after="0" w:afterAutospacing="0" w:line="360" w:lineRule="auto"/>
        <w:ind w:firstLine="422" w:firstLineChars="200"/>
        <w:rPr>
          <w:color w:val="auto"/>
          <w:sz w:val="21"/>
          <w:szCs w:val="21"/>
        </w:rPr>
      </w:pPr>
      <w:bookmarkStart w:id="831" w:name="_Toc532377273"/>
      <w:r>
        <w:rPr>
          <w:rFonts w:hint="eastAsia"/>
          <w:color w:val="auto"/>
          <w:sz w:val="21"/>
          <w:szCs w:val="21"/>
        </w:rPr>
        <w:t>12.5支付账户</w:t>
      </w:r>
      <w:bookmarkEnd w:id="831"/>
    </w:p>
    <w:p w14:paraId="321C65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发包人应将合同价款支付至合同协议书中约定的承包人账户。</w:t>
      </w:r>
    </w:p>
    <w:p w14:paraId="1AF98753">
      <w:pPr>
        <w:pStyle w:val="6"/>
        <w:keepNext/>
        <w:keepLines/>
        <w:spacing w:beforeLines="50" w:beforeAutospacing="0" w:afterLines="50" w:afterAutospacing="0" w:line="360" w:lineRule="auto"/>
        <w:jc w:val="both"/>
        <w:rPr>
          <w:bCs w:val="0"/>
          <w:color w:val="auto"/>
          <w:kern w:val="2"/>
          <w:sz w:val="21"/>
          <w:szCs w:val="21"/>
        </w:rPr>
      </w:pPr>
      <w:bookmarkStart w:id="832" w:name="_Toc532375599"/>
      <w:bookmarkStart w:id="833" w:name="_Toc351203586"/>
      <w:bookmarkStart w:id="834" w:name="_Toc532377274"/>
      <w:bookmarkStart w:id="835" w:name="_Toc296346607"/>
      <w:bookmarkStart w:id="836" w:name="_Toc337558804"/>
      <w:bookmarkStart w:id="837" w:name="_Toc296503106"/>
      <w:bookmarkStart w:id="838" w:name="_Toc322522574"/>
      <w:r>
        <w:rPr>
          <w:rFonts w:hint="eastAsia"/>
          <w:color w:val="auto"/>
          <w:kern w:val="2"/>
          <w:sz w:val="21"/>
          <w:szCs w:val="21"/>
        </w:rPr>
        <w:t>13. 验收和工程试车</w:t>
      </w:r>
      <w:bookmarkEnd w:id="832"/>
      <w:bookmarkEnd w:id="833"/>
      <w:bookmarkEnd w:id="834"/>
    </w:p>
    <w:bookmarkEnd w:id="835"/>
    <w:bookmarkEnd w:id="836"/>
    <w:bookmarkEnd w:id="837"/>
    <w:bookmarkEnd w:id="838"/>
    <w:p w14:paraId="28084D6A">
      <w:pPr>
        <w:pStyle w:val="7"/>
        <w:spacing w:before="0" w:beforeAutospacing="0" w:after="0" w:afterAutospacing="0" w:line="360" w:lineRule="auto"/>
        <w:ind w:firstLine="422" w:firstLineChars="200"/>
        <w:rPr>
          <w:color w:val="auto"/>
          <w:sz w:val="21"/>
          <w:szCs w:val="21"/>
        </w:rPr>
      </w:pPr>
      <w:bookmarkStart w:id="839" w:name="_Toc532377275"/>
      <w:bookmarkStart w:id="840" w:name="_Toc351203587"/>
      <w:bookmarkStart w:id="841" w:name="_Toc337558805"/>
      <w:bookmarkStart w:id="842" w:name="_Toc296503110"/>
      <w:bookmarkStart w:id="843" w:name="_Toc296346611"/>
      <w:r>
        <w:rPr>
          <w:rFonts w:hint="eastAsia"/>
          <w:color w:val="auto"/>
          <w:sz w:val="21"/>
          <w:szCs w:val="21"/>
        </w:rPr>
        <w:t>13.1分部分项工程验收</w:t>
      </w:r>
      <w:bookmarkEnd w:id="839"/>
      <w:bookmarkEnd w:id="840"/>
    </w:p>
    <w:bookmarkEnd w:id="841"/>
    <w:p w14:paraId="6B7D7F0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13.1.1 分部分项工程质量应符合国家有关工程施工验收规范、标准及合同约定，承包人应按照施工组织设计的要求完成分部分项工程施工。</w:t>
      </w:r>
    </w:p>
    <w:p w14:paraId="71C821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FA8F1C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分部分项工程的验收资料应当作为竣工资料的组成部分。</w:t>
      </w:r>
    </w:p>
    <w:p w14:paraId="7C5CB12B">
      <w:pPr>
        <w:pStyle w:val="7"/>
        <w:spacing w:before="0" w:beforeAutospacing="0" w:after="0" w:afterAutospacing="0" w:line="360" w:lineRule="auto"/>
        <w:ind w:firstLine="422" w:firstLineChars="200"/>
        <w:rPr>
          <w:color w:val="auto"/>
          <w:sz w:val="21"/>
          <w:szCs w:val="21"/>
        </w:rPr>
      </w:pPr>
      <w:bookmarkStart w:id="844" w:name="_Toc532377276"/>
      <w:bookmarkStart w:id="845" w:name="_Toc351203588"/>
      <w:bookmarkStart w:id="846" w:name="_Toc337558806"/>
      <w:r>
        <w:rPr>
          <w:rFonts w:hint="eastAsia"/>
          <w:color w:val="auto"/>
          <w:sz w:val="21"/>
          <w:szCs w:val="21"/>
        </w:rPr>
        <w:t>13.2竣工验收</w:t>
      </w:r>
      <w:bookmarkEnd w:id="844"/>
      <w:bookmarkEnd w:id="845"/>
    </w:p>
    <w:bookmarkEnd w:id="842"/>
    <w:bookmarkEnd w:id="843"/>
    <w:bookmarkEnd w:id="846"/>
    <w:p w14:paraId="7FD2231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13.2.1竣工验收条件</w:t>
      </w:r>
    </w:p>
    <w:p w14:paraId="55AB509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工程具备以下条件的，承包人可以申请竣工验收：</w:t>
      </w:r>
    </w:p>
    <w:p w14:paraId="137E2B4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（1）除发包人同意的甩项工作和缺陷修补工作外，合同范围内的全部工程以及有关工作，包括合同要求的试验、试运行以及检验均已完成，并符合合同要求；</w:t>
      </w:r>
    </w:p>
    <w:p w14:paraId="57A64F3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（2）已按合同约定编制了甩项工作和缺陷修补工作清单以及相应的施工计划；</w:t>
      </w:r>
    </w:p>
    <w:p w14:paraId="58A8322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（3）已按合同约定的内容和份数备齐竣工资料。</w:t>
      </w:r>
    </w:p>
    <w:p w14:paraId="517A62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13.2.2竣工验收程序</w:t>
      </w:r>
    </w:p>
    <w:p w14:paraId="328DD9D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除专用合同条款另有约定外，承包人申请竣工验收的，应当按照以下程序进行：</w:t>
      </w:r>
    </w:p>
    <w:p w14:paraId="4F1F905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021B84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E990DC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（3）竣工验收合格的，发包人应在验收合格后14天内向承包人签发工程接收证书。发包人无正当理由逾期不颁发工程接收证书的，自验收合格后第15天起视为已颁发工程接收证书。</w:t>
      </w:r>
    </w:p>
    <w:p w14:paraId="0CB78F9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30C7D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DCC698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74E2B8F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13.2.3竣工日期</w:t>
      </w:r>
    </w:p>
    <w:p w14:paraId="0CB7015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7" w:name="#go14"/>
      <w:bookmarkEnd w:id="847"/>
      <w:r>
        <w:rPr>
          <w:rFonts w:hint="eastAsia" w:ascii="宋体" w:hAnsi="宋体"/>
          <w:color w:val="auto"/>
          <w:kern w:val="0"/>
          <w:szCs w:val="21"/>
        </w:rPr>
        <w:t>收申请报告的日期为实际竣工日期；工程未经竣工验收，发包人擅自使用的，以转移占有工程之日为实际竣工日期。</w:t>
      </w:r>
    </w:p>
    <w:p w14:paraId="680D7F3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13.2.4 拒绝接收全部或部分工程</w:t>
      </w:r>
    </w:p>
    <w:p w14:paraId="50843E4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C7FC8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13.2.5 移交、接收全部与部分工程</w:t>
      </w:r>
    </w:p>
    <w:p w14:paraId="6B1B7D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除专用合同条款另有约定外，合同当事人应当在颁发工程接收证书后7天内完成工程的移交。</w:t>
      </w:r>
    </w:p>
    <w:p w14:paraId="1A818C3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7D4A15E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1403EC16">
      <w:pPr>
        <w:pStyle w:val="7"/>
        <w:spacing w:before="0" w:beforeAutospacing="0" w:after="0" w:afterAutospacing="0" w:line="360" w:lineRule="auto"/>
        <w:ind w:firstLine="422" w:firstLineChars="200"/>
        <w:rPr>
          <w:color w:val="auto"/>
          <w:sz w:val="21"/>
          <w:szCs w:val="21"/>
        </w:rPr>
      </w:pPr>
      <w:bookmarkStart w:id="848" w:name="_Toc351203589"/>
      <w:bookmarkStart w:id="849" w:name="_Toc532377277"/>
      <w:bookmarkStart w:id="850" w:name="_Toc296346612"/>
      <w:bookmarkStart w:id="851" w:name="_Toc337558807"/>
      <w:bookmarkStart w:id="852" w:name="_Toc296503111"/>
      <w:r>
        <w:rPr>
          <w:rFonts w:hint="eastAsia"/>
          <w:color w:val="auto"/>
          <w:sz w:val="21"/>
          <w:szCs w:val="21"/>
        </w:rPr>
        <w:t>13.3工程试车</w:t>
      </w:r>
      <w:bookmarkEnd w:id="848"/>
      <w:bookmarkEnd w:id="849"/>
    </w:p>
    <w:bookmarkEnd w:id="850"/>
    <w:bookmarkEnd w:id="851"/>
    <w:bookmarkEnd w:id="852"/>
    <w:p w14:paraId="5B30612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13.3.1试车程序</w:t>
      </w:r>
    </w:p>
    <w:p w14:paraId="35DD94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工程需要试车的，除专用合同条款另有约定外，试车内容应与承包人承包范围相一致，试车费用由承包人承担。工程试车应按如下程序进行：</w:t>
      </w:r>
    </w:p>
    <w:p w14:paraId="63A903B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C7ED6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EC09A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42AE9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13.3.2 试车中的责任</w:t>
      </w:r>
    </w:p>
    <w:p w14:paraId="5CE5823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B5237E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14F999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13.3.3 投料试车</w:t>
      </w:r>
    </w:p>
    <w:p w14:paraId="16594B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如需进行投料试车的，发包人应在工程竣工验收后组织投料试车。发包人要求在工程竣工验收前进行或需要承包人配合时，应征得承包人同意，并在专用合同条款中约定有关事项。</w:t>
      </w:r>
    </w:p>
    <w:p w14:paraId="684723E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97EEAAB">
      <w:pPr>
        <w:pStyle w:val="7"/>
        <w:spacing w:before="0" w:beforeAutospacing="0" w:after="0" w:afterAutospacing="0" w:line="360" w:lineRule="auto"/>
        <w:ind w:firstLine="422" w:firstLineChars="200"/>
        <w:rPr>
          <w:color w:val="auto"/>
          <w:sz w:val="21"/>
          <w:szCs w:val="21"/>
        </w:rPr>
      </w:pPr>
      <w:bookmarkStart w:id="853" w:name="_Toc532377278"/>
      <w:r>
        <w:rPr>
          <w:rFonts w:hint="eastAsia"/>
          <w:color w:val="auto"/>
          <w:sz w:val="21"/>
          <w:szCs w:val="21"/>
        </w:rPr>
        <w:t>13.4提前交付单位工程的验收</w:t>
      </w:r>
      <w:bookmarkEnd w:id="853"/>
    </w:p>
    <w:p w14:paraId="6E0B35B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13.4.1 发包人需要在工程竣工前使用单位工程的，或承包人提出提前交付已经竣工的单位工程且经发包人同意的，可进行单位工程验收，验收的程序按照第13.2款〔竣工验收〕的约定进行。</w:t>
      </w:r>
    </w:p>
    <w:p w14:paraId="5123FD7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70898A8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13.4.2 发包人要求在工程竣工前交付单位工程，由此导致承包人费用增加和（或）工期延误的，由发包人承担由此增加的费用和（或）延误的工期，并支付承包人合理的利润。</w:t>
      </w:r>
    </w:p>
    <w:p w14:paraId="3E0F673E">
      <w:pPr>
        <w:pStyle w:val="7"/>
        <w:spacing w:before="0" w:beforeAutospacing="0" w:after="0" w:afterAutospacing="0" w:line="360" w:lineRule="auto"/>
        <w:ind w:firstLine="422" w:firstLineChars="200"/>
        <w:rPr>
          <w:color w:val="auto"/>
          <w:sz w:val="21"/>
          <w:szCs w:val="21"/>
        </w:rPr>
      </w:pPr>
      <w:bookmarkStart w:id="854" w:name="_Toc351203591"/>
      <w:bookmarkStart w:id="855" w:name="_Toc532377279"/>
      <w:r>
        <w:rPr>
          <w:rFonts w:hint="eastAsia"/>
          <w:color w:val="auto"/>
          <w:sz w:val="21"/>
          <w:szCs w:val="21"/>
        </w:rPr>
        <w:t>13.5 施工期运行</w:t>
      </w:r>
      <w:bookmarkEnd w:id="854"/>
      <w:bookmarkEnd w:id="855"/>
    </w:p>
    <w:p w14:paraId="1084578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5F7665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13.5.2 在施工期运行中发现工程或工程设备损坏或存在缺陷的，由承包人按第15.2款〔缺陷责任期〕约定进行修复。</w:t>
      </w:r>
    </w:p>
    <w:p w14:paraId="0A87AAF6">
      <w:pPr>
        <w:pStyle w:val="7"/>
        <w:spacing w:before="0" w:beforeAutospacing="0" w:after="0" w:afterAutospacing="0" w:line="360" w:lineRule="auto"/>
        <w:ind w:firstLine="422" w:firstLineChars="200"/>
        <w:rPr>
          <w:color w:val="auto"/>
          <w:sz w:val="21"/>
          <w:szCs w:val="21"/>
        </w:rPr>
      </w:pPr>
      <w:bookmarkStart w:id="856" w:name="_Toc296346613"/>
      <w:bookmarkStart w:id="857" w:name="_Toc296503112"/>
      <w:bookmarkStart w:id="858" w:name="_Toc532377280"/>
      <w:bookmarkStart w:id="859" w:name="_Toc351203592"/>
      <w:bookmarkStart w:id="860" w:name="_Toc337558809"/>
      <w:r>
        <w:rPr>
          <w:rFonts w:hint="eastAsia"/>
          <w:color w:val="auto"/>
          <w:sz w:val="21"/>
          <w:szCs w:val="21"/>
        </w:rPr>
        <w:t>13.6 竣工退</w:t>
      </w:r>
      <w:bookmarkEnd w:id="856"/>
      <w:bookmarkEnd w:id="857"/>
      <w:r>
        <w:rPr>
          <w:rFonts w:hint="eastAsia"/>
          <w:color w:val="auto"/>
          <w:sz w:val="21"/>
          <w:szCs w:val="21"/>
        </w:rPr>
        <w:t>场</w:t>
      </w:r>
      <w:bookmarkEnd w:id="858"/>
      <w:bookmarkEnd w:id="859"/>
    </w:p>
    <w:bookmarkEnd w:id="860"/>
    <w:p w14:paraId="1C616BB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13.6.1 竣工退场</w:t>
      </w:r>
    </w:p>
    <w:p w14:paraId="7279311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颁发工程接收证书后，承包人应按以下要求对施工现场进行清理：</w:t>
      </w:r>
    </w:p>
    <w:p w14:paraId="13614BC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（1）施工现场内残留的垃圾已全部清除出场；</w:t>
      </w:r>
    </w:p>
    <w:p w14:paraId="3EEB6B8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（2）临时工程已拆除，场地已进行清理、平整或复原；</w:t>
      </w:r>
    </w:p>
    <w:p w14:paraId="78991E7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（3）按合同约定应撤离的人员、承包人施工设备和剩余的材料，包括废弃的施工设备和材料，已按计划撤离施工现场；</w:t>
      </w:r>
    </w:p>
    <w:p w14:paraId="7D9F401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（4）施工现场周边及其附近道路、河道的施工堆积物，已全部清理；</w:t>
      </w:r>
    </w:p>
    <w:p w14:paraId="01A096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（5）施工现场其他场地清理工作已全部完成。</w:t>
      </w:r>
    </w:p>
    <w:p w14:paraId="320B526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0AC50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13.6.2 地表还原</w:t>
      </w:r>
    </w:p>
    <w:p w14:paraId="0DB7E31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30AF31F7">
      <w:pPr>
        <w:pStyle w:val="6"/>
        <w:keepNext/>
        <w:keepLines/>
        <w:spacing w:beforeLines="50" w:beforeAutospacing="0" w:afterLines="50" w:afterAutospacing="0" w:line="360" w:lineRule="auto"/>
        <w:jc w:val="both"/>
        <w:rPr>
          <w:bCs w:val="0"/>
          <w:color w:val="auto"/>
          <w:kern w:val="2"/>
          <w:sz w:val="21"/>
          <w:szCs w:val="21"/>
        </w:rPr>
      </w:pPr>
      <w:bookmarkStart w:id="861" w:name="_Toc351203593"/>
      <w:bookmarkStart w:id="862" w:name="_Toc532377281"/>
      <w:bookmarkStart w:id="863" w:name="_Toc532375600"/>
      <w:bookmarkStart w:id="864" w:name="_Toc337558810"/>
      <w:bookmarkStart w:id="865" w:name="_Toc296503113"/>
      <w:bookmarkStart w:id="866" w:name="_Toc296346614"/>
      <w:r>
        <w:rPr>
          <w:rFonts w:hint="eastAsia"/>
          <w:color w:val="auto"/>
          <w:kern w:val="2"/>
          <w:sz w:val="21"/>
          <w:szCs w:val="21"/>
        </w:rPr>
        <w:t>14. 竣工结算</w:t>
      </w:r>
      <w:bookmarkEnd w:id="861"/>
      <w:bookmarkEnd w:id="862"/>
      <w:bookmarkEnd w:id="863"/>
    </w:p>
    <w:bookmarkEnd w:id="864"/>
    <w:p w14:paraId="31146EA4">
      <w:pPr>
        <w:pStyle w:val="7"/>
        <w:spacing w:before="0" w:beforeAutospacing="0" w:after="0" w:afterAutospacing="0" w:line="360" w:lineRule="auto"/>
        <w:ind w:firstLine="422" w:firstLineChars="200"/>
        <w:rPr>
          <w:color w:val="auto"/>
          <w:sz w:val="21"/>
          <w:szCs w:val="21"/>
        </w:rPr>
      </w:pPr>
      <w:bookmarkStart w:id="867" w:name="_Toc351203594"/>
      <w:bookmarkStart w:id="868" w:name="_Toc532377282"/>
      <w:bookmarkStart w:id="869" w:name="_Toc337558811"/>
      <w:r>
        <w:rPr>
          <w:rFonts w:hint="eastAsia"/>
          <w:color w:val="auto"/>
          <w:sz w:val="21"/>
          <w:szCs w:val="21"/>
        </w:rPr>
        <w:t>14.1 竣工结算申请</w:t>
      </w:r>
      <w:bookmarkEnd w:id="867"/>
      <w:bookmarkEnd w:id="868"/>
    </w:p>
    <w:bookmarkEnd w:id="869"/>
    <w:p w14:paraId="346D42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A61909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除专用合同条款另有约定外，竣工结算申请单应包括以下内容：</w:t>
      </w:r>
    </w:p>
    <w:p w14:paraId="0D79A2B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（1）竣工结算合同价格；</w:t>
      </w:r>
    </w:p>
    <w:p w14:paraId="072C14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（2）发包人已支付承包人的款项；</w:t>
      </w:r>
    </w:p>
    <w:p w14:paraId="406A40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（3）应扣留的质量保证金。已缴纳履约保证金的或提供其他工程质量担保方式的除外； </w:t>
      </w:r>
    </w:p>
    <w:p w14:paraId="14F2FF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（4）发包人应支付承包人的合同价款。</w:t>
      </w:r>
    </w:p>
    <w:p w14:paraId="21FA9BC4">
      <w:pPr>
        <w:pStyle w:val="7"/>
        <w:spacing w:before="0" w:beforeAutospacing="0" w:after="0" w:afterAutospacing="0" w:line="360" w:lineRule="auto"/>
        <w:ind w:firstLine="422" w:firstLineChars="200"/>
        <w:rPr>
          <w:color w:val="auto"/>
          <w:sz w:val="21"/>
          <w:szCs w:val="21"/>
        </w:rPr>
      </w:pPr>
      <w:bookmarkStart w:id="870" w:name="_Toc351203595"/>
      <w:bookmarkStart w:id="871" w:name="_Toc532377283"/>
      <w:bookmarkStart w:id="872" w:name="_Toc337558812"/>
      <w:r>
        <w:rPr>
          <w:rFonts w:hint="eastAsia"/>
          <w:color w:val="auto"/>
          <w:sz w:val="21"/>
          <w:szCs w:val="21"/>
        </w:rPr>
        <w:t>14.2 竣工结算审核</w:t>
      </w:r>
      <w:bookmarkEnd w:id="870"/>
      <w:bookmarkEnd w:id="871"/>
    </w:p>
    <w:bookmarkEnd w:id="872"/>
    <w:p w14:paraId="084015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6428EF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D4AD2E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799D5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481C413">
      <w:pPr>
        <w:pStyle w:val="7"/>
        <w:spacing w:before="0" w:beforeAutospacing="0" w:after="0" w:afterAutospacing="0" w:line="360" w:lineRule="auto"/>
        <w:ind w:firstLine="422" w:firstLineChars="200"/>
        <w:rPr>
          <w:color w:val="auto"/>
          <w:sz w:val="21"/>
          <w:szCs w:val="21"/>
        </w:rPr>
      </w:pPr>
      <w:bookmarkStart w:id="873" w:name="_Toc351203596"/>
      <w:bookmarkStart w:id="874" w:name="_Toc532377284"/>
      <w:bookmarkStart w:id="875" w:name="_Toc337558813"/>
      <w:r>
        <w:rPr>
          <w:rFonts w:hint="eastAsia"/>
          <w:color w:val="auto"/>
          <w:sz w:val="21"/>
          <w:szCs w:val="21"/>
        </w:rPr>
        <w:t>14.3 甩项竣工协议</w:t>
      </w:r>
      <w:bookmarkEnd w:id="873"/>
      <w:bookmarkEnd w:id="874"/>
    </w:p>
    <w:bookmarkEnd w:id="875"/>
    <w:p w14:paraId="1DF48859">
      <w:pPr>
        <w:autoSpaceDE w:val="0"/>
        <w:autoSpaceDN w:val="0"/>
        <w:spacing w:line="360" w:lineRule="auto"/>
        <w:ind w:firstLine="411" w:firstLineChars="196"/>
        <w:jc w:val="left"/>
        <w:rPr>
          <w:rFonts w:ascii="宋体" w:hAnsi="宋体"/>
          <w:color w:val="auto"/>
          <w:kern w:val="0"/>
          <w:szCs w:val="21"/>
        </w:rPr>
      </w:pPr>
      <w:r>
        <w:rPr>
          <w:rFonts w:hint="eastAsia" w:ascii="宋体" w:hAnsi="宋体"/>
          <w:color w:val="auto"/>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75C3B5C9">
      <w:pPr>
        <w:pStyle w:val="7"/>
        <w:spacing w:before="0" w:beforeAutospacing="0" w:after="0" w:afterAutospacing="0" w:line="360" w:lineRule="auto"/>
        <w:ind w:firstLine="422" w:firstLineChars="200"/>
        <w:rPr>
          <w:color w:val="auto"/>
          <w:sz w:val="21"/>
          <w:szCs w:val="21"/>
        </w:rPr>
      </w:pPr>
      <w:bookmarkStart w:id="876" w:name="_Toc532377285"/>
      <w:bookmarkStart w:id="877" w:name="_Toc351203597"/>
      <w:bookmarkStart w:id="878" w:name="_Toc337558814"/>
      <w:r>
        <w:rPr>
          <w:rFonts w:hint="eastAsia"/>
          <w:color w:val="auto"/>
          <w:sz w:val="21"/>
          <w:szCs w:val="21"/>
        </w:rPr>
        <w:t>14.4 最终结清</w:t>
      </w:r>
      <w:bookmarkEnd w:id="876"/>
      <w:bookmarkEnd w:id="877"/>
    </w:p>
    <w:bookmarkEnd w:id="878"/>
    <w:p w14:paraId="5A78781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14.4.1 最终结清申请单</w:t>
      </w:r>
    </w:p>
    <w:p w14:paraId="3961192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（1）除专用合同条款另有约定外，承包人应在缺陷责任期终止证书颁发后7天内，按专用合同条款约定的份数向发包人提交最终结清申请单，并提供相关证明材料。</w:t>
      </w:r>
    </w:p>
    <w:p w14:paraId="5BBA5A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除专用合同条款另有约定外，最终结清申请单应列明质量保证金、应扣除的质量保证金、缺陷责任期内发生的增减费用。</w:t>
      </w:r>
    </w:p>
    <w:p w14:paraId="53E2C0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（2）发包人对最终结清申请单内容有异议的，有权要求承包人进行修正和提供补充资料，承包人应向发包人提交修正后的最终结清申请单。</w:t>
      </w:r>
    </w:p>
    <w:p w14:paraId="654342B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14.4.2 最终结清证书和支付</w:t>
      </w:r>
    </w:p>
    <w:p w14:paraId="756B3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1E50B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93E12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（3）承包人对发包人颁发的最终结清证书有异议的，按第20条〔争议解决〕的约定办理。</w:t>
      </w:r>
    </w:p>
    <w:p w14:paraId="5FF34D10">
      <w:pPr>
        <w:pStyle w:val="6"/>
        <w:keepNext/>
        <w:keepLines/>
        <w:spacing w:beforeLines="50" w:beforeAutospacing="0" w:afterLines="50" w:afterAutospacing="0" w:line="360" w:lineRule="auto"/>
        <w:jc w:val="both"/>
        <w:rPr>
          <w:bCs w:val="0"/>
          <w:color w:val="auto"/>
          <w:kern w:val="2"/>
          <w:sz w:val="21"/>
          <w:szCs w:val="21"/>
        </w:rPr>
      </w:pPr>
      <w:bookmarkStart w:id="879" w:name="_Toc532377286"/>
      <w:bookmarkStart w:id="880" w:name="_Toc532375601"/>
      <w:bookmarkStart w:id="881" w:name="_Toc351203598"/>
      <w:bookmarkStart w:id="882" w:name="_Toc337558815"/>
      <w:r>
        <w:rPr>
          <w:rFonts w:hint="eastAsia"/>
          <w:color w:val="auto"/>
          <w:kern w:val="2"/>
          <w:sz w:val="21"/>
          <w:szCs w:val="21"/>
        </w:rPr>
        <w:t>15. 缺陷责任与保修</w:t>
      </w:r>
      <w:bookmarkEnd w:id="879"/>
      <w:bookmarkEnd w:id="880"/>
      <w:bookmarkEnd w:id="881"/>
    </w:p>
    <w:bookmarkEnd w:id="865"/>
    <w:bookmarkEnd w:id="866"/>
    <w:bookmarkEnd w:id="882"/>
    <w:p w14:paraId="30DC20CD">
      <w:pPr>
        <w:pStyle w:val="7"/>
        <w:spacing w:before="0" w:beforeAutospacing="0" w:after="0" w:afterAutospacing="0" w:line="360" w:lineRule="auto"/>
        <w:ind w:firstLine="422" w:firstLineChars="200"/>
        <w:rPr>
          <w:color w:val="auto"/>
          <w:sz w:val="21"/>
          <w:szCs w:val="21"/>
        </w:rPr>
      </w:pPr>
      <w:bookmarkStart w:id="883" w:name="_Toc532377287"/>
      <w:bookmarkStart w:id="884" w:name="_Toc351203599"/>
      <w:bookmarkStart w:id="885" w:name="_Toc337558816"/>
      <w:bookmarkStart w:id="886" w:name="_Toc296346615"/>
      <w:bookmarkStart w:id="887" w:name="_Toc296503114"/>
      <w:r>
        <w:rPr>
          <w:rFonts w:hint="eastAsia"/>
          <w:color w:val="auto"/>
          <w:sz w:val="21"/>
          <w:szCs w:val="21"/>
        </w:rPr>
        <w:t>15.1 工程保修的原则</w:t>
      </w:r>
      <w:bookmarkEnd w:id="883"/>
      <w:bookmarkEnd w:id="884"/>
    </w:p>
    <w:bookmarkEnd w:id="885"/>
    <w:p w14:paraId="3D3103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在工程移交发包人后，因承包人原因产生的质量缺陷，承包人应承担质量缺陷责任和保修义务。缺陷责任期届满，承包人仍应按合同约定的工程各部位保修年限承担保修义务。</w:t>
      </w:r>
    </w:p>
    <w:p w14:paraId="4E821AC6">
      <w:pPr>
        <w:pStyle w:val="7"/>
        <w:spacing w:before="0" w:beforeAutospacing="0" w:after="0" w:afterAutospacing="0" w:line="360" w:lineRule="auto"/>
        <w:ind w:firstLine="422" w:firstLineChars="200"/>
        <w:rPr>
          <w:color w:val="auto"/>
          <w:sz w:val="21"/>
          <w:szCs w:val="21"/>
        </w:rPr>
      </w:pPr>
      <w:bookmarkStart w:id="888" w:name="_Toc351203600"/>
      <w:bookmarkStart w:id="889" w:name="_Toc532377288"/>
      <w:bookmarkStart w:id="890" w:name="_Toc337558817"/>
      <w:r>
        <w:rPr>
          <w:rFonts w:hint="eastAsia"/>
          <w:color w:val="auto"/>
          <w:sz w:val="21"/>
          <w:szCs w:val="21"/>
        </w:rPr>
        <w:t>15.2 缺陷责任期</w:t>
      </w:r>
      <w:bookmarkEnd w:id="886"/>
      <w:bookmarkEnd w:id="887"/>
      <w:bookmarkEnd w:id="888"/>
      <w:bookmarkEnd w:id="889"/>
    </w:p>
    <w:bookmarkEnd w:id="890"/>
    <w:p w14:paraId="55ACBF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15.2.1 缺陷责任期从工程通过竣工验收之日起计算，合同当事人应在专用合同条款约定缺陷责任期的具体期限，但该期限最长不超过24个月。</w:t>
      </w:r>
    </w:p>
    <w:p w14:paraId="6CFAEEA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9DF53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771EC3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由他人原因造成的缺陷，发包人负责组织维修，承包人不承担费用，且发包人不得从保证金中扣除费用。</w:t>
      </w:r>
    </w:p>
    <w:p w14:paraId="7F2967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15.2.3 任何一项缺陷或损坏修复后，经检查证明其影响了工程或工程设备的使用性能，承包人应重新进行合同约定的试验和试运行，试验和试运行的全部费用应由责任方承担。</w:t>
      </w:r>
    </w:p>
    <w:p w14:paraId="653B6DE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44C0301">
      <w:pPr>
        <w:pStyle w:val="7"/>
        <w:spacing w:before="0" w:beforeAutospacing="0" w:after="0" w:afterAutospacing="0" w:line="360" w:lineRule="auto"/>
        <w:ind w:firstLine="422" w:firstLineChars="200"/>
        <w:rPr>
          <w:color w:val="auto"/>
          <w:sz w:val="21"/>
          <w:szCs w:val="21"/>
        </w:rPr>
      </w:pPr>
      <w:bookmarkStart w:id="891" w:name="_Toc351203601"/>
      <w:bookmarkStart w:id="892" w:name="_Toc532377289"/>
      <w:bookmarkStart w:id="893" w:name="_Toc337558818"/>
      <w:bookmarkStart w:id="894" w:name="_Toc296346616"/>
      <w:bookmarkStart w:id="895" w:name="_Toc296503115"/>
      <w:r>
        <w:rPr>
          <w:rFonts w:hint="eastAsia"/>
          <w:color w:val="auto"/>
          <w:sz w:val="21"/>
          <w:szCs w:val="21"/>
        </w:rPr>
        <w:t>15.3 质量保证金</w:t>
      </w:r>
      <w:bookmarkEnd w:id="891"/>
      <w:bookmarkEnd w:id="892"/>
    </w:p>
    <w:bookmarkEnd w:id="893"/>
    <w:p w14:paraId="609914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经合同当事人协商一致扣留质量保证金的，应在专用合同条款中予以明确。</w:t>
      </w:r>
    </w:p>
    <w:p w14:paraId="16F036F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在工程项目竣工前，承包人已经提供履约担保的，发包人不得同时预留工程质量保证金。</w:t>
      </w:r>
    </w:p>
    <w:p w14:paraId="3FA418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15.3.1 承包人提供质量保证金的方式</w:t>
      </w:r>
    </w:p>
    <w:p w14:paraId="26C3018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承包人提供质量保证金有以下三种方式：</w:t>
      </w:r>
    </w:p>
    <w:p w14:paraId="7701220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（1）质量保证金保函；</w:t>
      </w:r>
    </w:p>
    <w:p w14:paraId="7F7934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（2）相应比例的工程款；</w:t>
      </w:r>
    </w:p>
    <w:p w14:paraId="777646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（3）双方约定的其他方式。</w:t>
      </w:r>
    </w:p>
    <w:p w14:paraId="66A151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除专用合同条款另有约定外，质量保证金原则上采用上述第（1）种方式。</w:t>
      </w:r>
    </w:p>
    <w:p w14:paraId="1665A0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15.3.2 质量保证金的扣留</w:t>
      </w:r>
    </w:p>
    <w:p w14:paraId="2F4EFF3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质量保证金的扣留有以下三种方式：</w:t>
      </w:r>
    </w:p>
    <w:p w14:paraId="38E509E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（1）在支付工程进度款时逐次扣留，在此情形下，质量保证金的计算基数不包括预付款的支付、扣回以及价格调整的金额；</w:t>
      </w:r>
    </w:p>
    <w:p w14:paraId="1C6B6FC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w:t>
      </w:r>
      <w:bookmarkStart w:id="896" w:name="#go6"/>
      <w:bookmarkEnd w:id="896"/>
      <w:r>
        <w:rPr>
          <w:rFonts w:hint="eastAsia" w:ascii="宋体" w:hAnsi="宋体"/>
          <w:color w:val="auto"/>
          <w:kern w:val="0"/>
          <w:szCs w:val="21"/>
        </w:rPr>
        <w:t>程竣工结算时一次性扣留质量保证金；</w:t>
      </w:r>
    </w:p>
    <w:p w14:paraId="03CED42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（3）双方约定的其他扣留方式。</w:t>
      </w:r>
    </w:p>
    <w:p w14:paraId="17A3BC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除专用合同条款另有约定外，质量保证金的扣留原则上采用上述第（1）种方式。</w:t>
      </w:r>
    </w:p>
    <w:p w14:paraId="353A09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w:t>
      </w:r>
      <w:bookmarkStart w:id="897" w:name="#go4"/>
      <w:bookmarkEnd w:id="897"/>
      <w:r>
        <w:rPr>
          <w:rFonts w:hint="eastAsia" w:ascii="宋体" w:hAnsi="宋体"/>
          <w:color w:val="auto"/>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EFCDAA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发包人在退还质量保证金的同时按照中国人民银行发布的同期同类贷款基准利率支付利息。</w:t>
      </w:r>
    </w:p>
    <w:p w14:paraId="32A1D0D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15.3.3 质量保证金的退还</w:t>
      </w:r>
    </w:p>
    <w:p w14:paraId="511C9EE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缺陷责任期内，承包人认真履行合同约定的责任，到期后，承包人可向发包人申请返还保证金。</w:t>
      </w:r>
    </w:p>
    <w:p w14:paraId="300246E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190892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发包人和承包人对保证金预留、返还以及工程维修质量、费用有争议的，按合同第20条约定的争议和纠纷解决程序处理。</w:t>
      </w:r>
    </w:p>
    <w:p w14:paraId="3E3753AF">
      <w:pPr>
        <w:pStyle w:val="7"/>
        <w:spacing w:before="0" w:beforeAutospacing="0" w:after="0" w:afterAutospacing="0" w:line="360" w:lineRule="auto"/>
        <w:ind w:firstLine="422" w:firstLineChars="200"/>
        <w:rPr>
          <w:color w:val="auto"/>
          <w:sz w:val="21"/>
          <w:szCs w:val="21"/>
        </w:rPr>
      </w:pPr>
      <w:bookmarkStart w:id="898" w:name="_Toc532377290"/>
      <w:bookmarkStart w:id="899" w:name="_Toc351203602"/>
      <w:bookmarkStart w:id="900" w:name="_Toc337558819"/>
      <w:r>
        <w:rPr>
          <w:rFonts w:hint="eastAsia"/>
          <w:color w:val="auto"/>
          <w:sz w:val="21"/>
          <w:szCs w:val="21"/>
        </w:rPr>
        <w:t>15.4 保修</w:t>
      </w:r>
      <w:bookmarkEnd w:id="898"/>
      <w:bookmarkEnd w:id="899"/>
    </w:p>
    <w:bookmarkEnd w:id="894"/>
    <w:bookmarkEnd w:id="895"/>
    <w:bookmarkEnd w:id="900"/>
    <w:p w14:paraId="15112A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15.4.1保修责任</w:t>
      </w:r>
    </w:p>
    <w:p w14:paraId="0962BE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0F7B0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发包人未经竣工验收擅自使用工程的，保修期自转移占有之日起算。</w:t>
      </w:r>
    </w:p>
    <w:p w14:paraId="011DD74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15.4.2 修复费用</w:t>
      </w:r>
    </w:p>
    <w:p w14:paraId="49E168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保修期内，修复的费用按照以下约定处理：</w:t>
      </w:r>
    </w:p>
    <w:p w14:paraId="77A9FA4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（1）保修期内，因承包人原因造成工程的缺陷、损坏，承包人应负责修复，并承担修复的费用以及因工程的缺陷、损坏造成的人身伤害和财产损失；</w:t>
      </w:r>
    </w:p>
    <w:p w14:paraId="0CDB149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（2）保修期内，因发包人使用不当造成工程的缺陷、损坏，可以委托承包人修复，但发包人应承担修复的费用，并支付承包人合理利润；</w:t>
      </w:r>
    </w:p>
    <w:p w14:paraId="39D28B6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（3）因其他原因造成工程的缺陷、损坏，可以委托承包人修复，发包人应承担修复的费用，并支付承包人合理的利润，因工程的缺陷、损坏造成的人身伤害和财产损失由责任方承担。</w:t>
      </w:r>
    </w:p>
    <w:p w14:paraId="3E0239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15.4.3 修复通知</w:t>
      </w:r>
    </w:p>
    <w:p w14:paraId="4CEE6E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1E1A8F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15.4.4 未能修复</w:t>
      </w:r>
    </w:p>
    <w:p w14:paraId="431C248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01951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15.4.5 承包人出入权</w:t>
      </w:r>
    </w:p>
    <w:p w14:paraId="0BB073E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5358C8A">
      <w:pPr>
        <w:pStyle w:val="6"/>
        <w:keepNext/>
        <w:keepLines/>
        <w:spacing w:beforeLines="50" w:beforeAutospacing="0" w:afterLines="50" w:afterAutospacing="0" w:line="360" w:lineRule="auto"/>
        <w:jc w:val="both"/>
        <w:rPr>
          <w:bCs w:val="0"/>
          <w:color w:val="auto"/>
          <w:kern w:val="2"/>
          <w:sz w:val="21"/>
          <w:szCs w:val="21"/>
        </w:rPr>
      </w:pPr>
      <w:bookmarkStart w:id="901" w:name="_Toc532375602"/>
      <w:bookmarkStart w:id="902" w:name="_Toc351203603"/>
      <w:bookmarkStart w:id="903" w:name="_Toc532377291"/>
      <w:bookmarkStart w:id="904" w:name="_Toc337558820"/>
      <w:r>
        <w:rPr>
          <w:rFonts w:hint="eastAsia"/>
          <w:color w:val="auto"/>
          <w:kern w:val="2"/>
          <w:sz w:val="21"/>
          <w:szCs w:val="21"/>
        </w:rPr>
        <w:t>16. 违约</w:t>
      </w:r>
      <w:bookmarkEnd w:id="901"/>
      <w:bookmarkEnd w:id="902"/>
      <w:bookmarkEnd w:id="903"/>
    </w:p>
    <w:bookmarkEnd w:id="904"/>
    <w:p w14:paraId="008936C8">
      <w:pPr>
        <w:pStyle w:val="7"/>
        <w:spacing w:before="0" w:beforeAutospacing="0" w:after="0" w:afterAutospacing="0" w:line="360" w:lineRule="auto"/>
        <w:ind w:firstLine="422" w:firstLineChars="200"/>
        <w:rPr>
          <w:color w:val="auto"/>
          <w:sz w:val="21"/>
          <w:szCs w:val="21"/>
        </w:rPr>
      </w:pPr>
      <w:bookmarkStart w:id="905" w:name="_Toc296346630"/>
      <w:bookmarkStart w:id="906" w:name="_Toc296503129"/>
      <w:bookmarkStart w:id="907" w:name="_Toc532377292"/>
      <w:bookmarkStart w:id="908" w:name="_Toc351203604"/>
      <w:bookmarkStart w:id="909" w:name="_Toc337558821"/>
      <w:r>
        <w:rPr>
          <w:rFonts w:hint="eastAsia"/>
          <w:color w:val="auto"/>
          <w:sz w:val="21"/>
          <w:szCs w:val="21"/>
        </w:rPr>
        <w:t>16.1 发</w:t>
      </w:r>
      <w:bookmarkEnd w:id="905"/>
      <w:bookmarkEnd w:id="906"/>
      <w:r>
        <w:rPr>
          <w:rFonts w:hint="eastAsia"/>
          <w:color w:val="auto"/>
          <w:sz w:val="21"/>
          <w:szCs w:val="21"/>
        </w:rPr>
        <w:t>包人违约</w:t>
      </w:r>
      <w:bookmarkEnd w:id="907"/>
      <w:bookmarkEnd w:id="908"/>
    </w:p>
    <w:bookmarkEnd w:id="909"/>
    <w:p w14:paraId="384E4EB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16.1.1 发包人违约的情形</w:t>
      </w:r>
    </w:p>
    <w:p w14:paraId="41B32D2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在合同履行过程中发生的下列情形，属于发包人违约：</w:t>
      </w:r>
    </w:p>
    <w:p w14:paraId="333D539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（1）因发包人原因未能在计划开工日期前7天内下达开工通知的；</w:t>
      </w:r>
    </w:p>
    <w:p w14:paraId="729604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（2）因发包人原因未能按合同约定支付合同价款的；</w:t>
      </w:r>
    </w:p>
    <w:p w14:paraId="1C3D67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（3）发包人违反第10.1款〔变更的范围〕第（2）项约定，自行实施被取消的工作或转由他人实施的；</w:t>
      </w:r>
    </w:p>
    <w:p w14:paraId="799AD3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（4）发包人提供的材料、工程设备的规格、数量或质量不符合合同约定，或因发包人原因导致交货日期延误或交货地点变更等情况的；</w:t>
      </w:r>
    </w:p>
    <w:p w14:paraId="3B35D6B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（5）因发包人违反合同约定造成暂停施工的；</w:t>
      </w:r>
    </w:p>
    <w:p w14:paraId="3235AB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（6）发包人无正当理由没有在约定期限内发出复工指示，导致承包人无法复工的；</w:t>
      </w:r>
    </w:p>
    <w:p w14:paraId="481D36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（7）发包人明确表示或者以其行为表明不履行合同主要义务的；</w:t>
      </w:r>
    </w:p>
    <w:p w14:paraId="6AF99BF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（8）发包人未能按照合同约定履行其他义务的。</w:t>
      </w:r>
    </w:p>
    <w:p w14:paraId="7E1F65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03AC3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16.1.2 发包人违约的责任</w:t>
      </w:r>
    </w:p>
    <w:p w14:paraId="121EFA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发包人应承担因其违约给承包人增加的费用和（或）延误的工期，并支付承包人合理的利润。此外，合同当事人可在专用合同条款中另行约定发包人违约责任的承担方式和计算方法。</w:t>
      </w:r>
    </w:p>
    <w:p w14:paraId="63D61E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16.1.3 因发包人违约解除合同</w:t>
      </w:r>
    </w:p>
    <w:p w14:paraId="596F61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AB2D2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16.1.4 因发包人违约解除合同后的付款</w:t>
      </w:r>
    </w:p>
    <w:p w14:paraId="368A2A9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承包人按照本款约定解除合同的，发包人应在解除合同后28天内支付下列款项，并解除履约担保：</w:t>
      </w:r>
    </w:p>
    <w:p w14:paraId="104C296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（1）合同解除前所完成工作的价款；</w:t>
      </w:r>
    </w:p>
    <w:p w14:paraId="41E30AF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（2）承包人为工程施工订购并已付款的材料、工程设备和其他物品的价款；</w:t>
      </w:r>
    </w:p>
    <w:p w14:paraId="1852EA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（3）承包人撤离施工现场以及遣散承包人人员的款项；</w:t>
      </w:r>
    </w:p>
    <w:p w14:paraId="066409E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（4）按照合同约定在合同解除前应支付的违约金；</w:t>
      </w:r>
    </w:p>
    <w:p w14:paraId="26894E5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（5）按照合同约定应当支付给承包人的其他款项；</w:t>
      </w:r>
    </w:p>
    <w:p w14:paraId="77E9B53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（6）按照合同约定应退还的质量保证金；</w:t>
      </w:r>
    </w:p>
    <w:p w14:paraId="6A1C6AB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（7）因解除合同给承包人造成的损失。</w:t>
      </w:r>
    </w:p>
    <w:p w14:paraId="477075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合同当事人未能就解除合同后的结清达成一致的，按照第20条〔争议解决〕的约定处理。</w:t>
      </w:r>
    </w:p>
    <w:p w14:paraId="13B22F2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承包人应妥善做好已完工程和与工程有关的已购材料、工程设备的保护和移交工作，并将施工设备和人员撤出施工现场，发包人应为承包人撤出提供必要条件。</w:t>
      </w:r>
    </w:p>
    <w:p w14:paraId="7C93CA87">
      <w:pPr>
        <w:pStyle w:val="7"/>
        <w:spacing w:before="0" w:beforeAutospacing="0" w:after="0" w:afterAutospacing="0" w:line="360" w:lineRule="auto"/>
        <w:ind w:firstLine="422" w:firstLineChars="200"/>
        <w:rPr>
          <w:color w:val="auto"/>
          <w:sz w:val="21"/>
          <w:szCs w:val="21"/>
        </w:rPr>
      </w:pPr>
      <w:bookmarkStart w:id="910" w:name="_Toc351203605"/>
      <w:bookmarkStart w:id="911" w:name="_Toc532377293"/>
      <w:bookmarkStart w:id="912" w:name="_Toc296346632"/>
      <w:bookmarkStart w:id="913" w:name="_Toc296503131"/>
      <w:bookmarkStart w:id="914" w:name="_Toc337558822"/>
      <w:r>
        <w:rPr>
          <w:rFonts w:hint="eastAsia"/>
          <w:color w:val="auto"/>
          <w:sz w:val="21"/>
          <w:szCs w:val="21"/>
        </w:rPr>
        <w:t>16.2 承包人违约</w:t>
      </w:r>
      <w:bookmarkEnd w:id="910"/>
      <w:bookmarkEnd w:id="911"/>
    </w:p>
    <w:bookmarkEnd w:id="912"/>
    <w:bookmarkEnd w:id="913"/>
    <w:bookmarkEnd w:id="914"/>
    <w:p w14:paraId="3CEDCC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16.2.1 承包人违约的情形</w:t>
      </w:r>
    </w:p>
    <w:p w14:paraId="41B847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在合同履行过程中发生的下列情形，属于承包人违约：</w:t>
      </w:r>
    </w:p>
    <w:p w14:paraId="1DCDC6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（1）承包人违反合同约定进行转包或违法分包的；</w:t>
      </w:r>
    </w:p>
    <w:p w14:paraId="0DBE17C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（2）承包人违反合同约定采购和使用不合格的材料和工程设备的；</w:t>
      </w:r>
    </w:p>
    <w:p w14:paraId="63CF6F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（3）因承包人原因导致工程质量不符合合同要求的； </w:t>
      </w:r>
    </w:p>
    <w:p w14:paraId="24DCE41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（4）承包人违反第8.9款〔材料与设备专用要求〕的约定，未经批准，私自将已按照合同约定进入施工现场的材料或设备撤离施工现场的；</w:t>
      </w:r>
    </w:p>
    <w:p w14:paraId="7DDAA87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（5）承包人未能按施工进度计划及时完成合同约定的工作，造成工期延误的；</w:t>
      </w:r>
    </w:p>
    <w:p w14:paraId="2DF503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（6）承包人在缺陷责任期及保修期内，未能在合理期限对工程缺陷进行修复，或拒绝按发包人要求进行修复的；</w:t>
      </w:r>
    </w:p>
    <w:p w14:paraId="5973714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（7）承包人明确表示或者以其行为表明不履行合同主要义务的；</w:t>
      </w:r>
    </w:p>
    <w:p w14:paraId="042CD3C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（8）承包人未能按照合同约定履行其他义务的。</w:t>
      </w:r>
    </w:p>
    <w:p w14:paraId="77845F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承包人发生除本项第（7）目约定以外的其他违约情况时，监理人可向承包人发出整改通知，要求其在指定的期限内改正。</w:t>
      </w:r>
    </w:p>
    <w:p w14:paraId="61CCC0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16.2.2 承包人违约的责任</w:t>
      </w:r>
    </w:p>
    <w:p w14:paraId="01034AA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承包人应承担因其违约行为而增加的费用和（或）延误的工期。此外，合同当事人可在专用合同条款中另行约定承包人违约责任的承担方式和计算方法。</w:t>
      </w:r>
    </w:p>
    <w:p w14:paraId="52AB10F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16.2.3 因承包人违约解除合同</w:t>
      </w:r>
    </w:p>
    <w:p w14:paraId="1EE30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88D0EB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16.2.4因承包人违约解除合同后的处理</w:t>
      </w:r>
    </w:p>
    <w:p w14:paraId="28691D6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因承包人原因导致合同解除的，则合同当事人应在合同解除后28天内完成估价、付款和清算，并按以下约定执行：</w:t>
      </w:r>
    </w:p>
    <w:p w14:paraId="286078B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（1）合同解除后，按第4.4款〔商定或确定〕商定或确定承包人实际完成工作对应的合同价款，以及承包人已提供的材料、工程设备、施工设备和临时工程等的价值；</w:t>
      </w:r>
    </w:p>
    <w:p w14:paraId="6D6A0AE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（2）合同解除后，承包人应支付的违约金；</w:t>
      </w:r>
    </w:p>
    <w:p w14:paraId="0FC691D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（3）合同解除后，因解除合同给发包人造成的损失；</w:t>
      </w:r>
    </w:p>
    <w:p w14:paraId="29C535C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（4）合同解除后，承包人应按照发包人要求和监理人的指示完成现场的清理和撤离；</w:t>
      </w:r>
    </w:p>
    <w:p w14:paraId="36FDE7F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（5）发包人和承包人应在合同解除后进行清算，出具最终结清付款证书，结清全部款项。</w:t>
      </w:r>
    </w:p>
    <w:p w14:paraId="726272B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2D13945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16.2.5采购合同权益转让</w:t>
      </w:r>
    </w:p>
    <w:p w14:paraId="5020D8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FFFF98C">
      <w:pPr>
        <w:pStyle w:val="7"/>
        <w:spacing w:before="0" w:beforeAutospacing="0" w:after="0" w:afterAutospacing="0" w:line="360" w:lineRule="auto"/>
        <w:ind w:firstLine="422" w:firstLineChars="200"/>
        <w:rPr>
          <w:color w:val="auto"/>
          <w:sz w:val="21"/>
          <w:szCs w:val="21"/>
        </w:rPr>
      </w:pPr>
      <w:bookmarkStart w:id="915" w:name="_Toc532377294"/>
      <w:bookmarkStart w:id="916" w:name="_Toc351203606"/>
      <w:r>
        <w:rPr>
          <w:rFonts w:hint="eastAsia"/>
          <w:color w:val="auto"/>
          <w:sz w:val="21"/>
          <w:szCs w:val="21"/>
        </w:rPr>
        <w:t>16.3 第三人造成的违约</w:t>
      </w:r>
      <w:bookmarkEnd w:id="915"/>
      <w:bookmarkEnd w:id="916"/>
    </w:p>
    <w:p w14:paraId="0E61F6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在履行合同过程中，一方当事人因第三人的原因造成违约的，应当向对方当事人承担违约责任。一方当事人和第三人之间的纠纷，依照法律规定或者按照约定解决。</w:t>
      </w:r>
    </w:p>
    <w:p w14:paraId="6EC66C6C">
      <w:pPr>
        <w:pStyle w:val="6"/>
        <w:keepNext/>
        <w:keepLines/>
        <w:spacing w:beforeLines="50" w:beforeAutospacing="0" w:afterLines="50" w:afterAutospacing="0" w:line="360" w:lineRule="auto"/>
        <w:jc w:val="both"/>
        <w:rPr>
          <w:bCs w:val="0"/>
          <w:color w:val="auto"/>
          <w:kern w:val="2"/>
          <w:sz w:val="21"/>
          <w:szCs w:val="21"/>
        </w:rPr>
      </w:pPr>
      <w:bookmarkStart w:id="917" w:name="_Toc532375603"/>
      <w:bookmarkStart w:id="918" w:name="_Toc532377295"/>
      <w:bookmarkStart w:id="919" w:name="_Toc296503116"/>
      <w:bookmarkStart w:id="920" w:name="_Toc296346617"/>
      <w:bookmarkStart w:id="921" w:name="_Toc337558823"/>
      <w:bookmarkStart w:id="922" w:name="_Toc351203607"/>
      <w:r>
        <w:rPr>
          <w:rFonts w:hint="eastAsia"/>
          <w:color w:val="auto"/>
          <w:kern w:val="2"/>
          <w:sz w:val="21"/>
          <w:szCs w:val="21"/>
        </w:rPr>
        <w:t>17. 不可抗力</w:t>
      </w:r>
      <w:bookmarkEnd w:id="917"/>
      <w:bookmarkEnd w:id="918"/>
      <w:bookmarkEnd w:id="919"/>
      <w:bookmarkEnd w:id="920"/>
      <w:bookmarkEnd w:id="921"/>
      <w:bookmarkEnd w:id="922"/>
    </w:p>
    <w:p w14:paraId="04EADD54">
      <w:pPr>
        <w:pStyle w:val="7"/>
        <w:spacing w:before="0" w:beforeAutospacing="0" w:after="0" w:afterAutospacing="0" w:line="360" w:lineRule="auto"/>
        <w:ind w:firstLine="422" w:firstLineChars="200"/>
        <w:rPr>
          <w:color w:val="auto"/>
          <w:sz w:val="21"/>
          <w:szCs w:val="21"/>
        </w:rPr>
      </w:pPr>
      <w:bookmarkStart w:id="923" w:name="_Toc351203608"/>
      <w:bookmarkStart w:id="924" w:name="_Toc532377296"/>
      <w:bookmarkStart w:id="925" w:name="_Toc337558824"/>
      <w:bookmarkStart w:id="926" w:name="_Toc296346618"/>
      <w:bookmarkStart w:id="927" w:name="_Toc296503117"/>
      <w:r>
        <w:rPr>
          <w:rFonts w:hint="eastAsia"/>
          <w:color w:val="auto"/>
          <w:sz w:val="21"/>
          <w:szCs w:val="21"/>
        </w:rPr>
        <w:t>17.1 不可抗力的确认</w:t>
      </w:r>
      <w:bookmarkEnd w:id="923"/>
      <w:bookmarkEnd w:id="924"/>
    </w:p>
    <w:bookmarkEnd w:id="925"/>
    <w:bookmarkEnd w:id="926"/>
    <w:bookmarkEnd w:id="927"/>
    <w:p w14:paraId="16849E2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18CFE9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F8414D3">
      <w:pPr>
        <w:pStyle w:val="7"/>
        <w:spacing w:before="0" w:beforeAutospacing="0" w:after="0" w:afterAutospacing="0" w:line="360" w:lineRule="auto"/>
        <w:ind w:firstLine="422" w:firstLineChars="200"/>
        <w:rPr>
          <w:color w:val="auto"/>
          <w:sz w:val="21"/>
          <w:szCs w:val="21"/>
        </w:rPr>
      </w:pPr>
      <w:bookmarkStart w:id="928" w:name="_Toc351203609"/>
      <w:bookmarkStart w:id="929" w:name="_Toc532377297"/>
      <w:bookmarkStart w:id="930" w:name="_Toc337558825"/>
      <w:bookmarkStart w:id="931" w:name="_Toc296503118"/>
      <w:bookmarkStart w:id="932" w:name="_Toc296346619"/>
      <w:r>
        <w:rPr>
          <w:rFonts w:hint="eastAsia"/>
          <w:color w:val="auto"/>
          <w:sz w:val="21"/>
          <w:szCs w:val="21"/>
        </w:rPr>
        <w:t>17.2 不可抗力的通知</w:t>
      </w:r>
      <w:bookmarkEnd w:id="928"/>
      <w:bookmarkEnd w:id="929"/>
    </w:p>
    <w:bookmarkEnd w:id="930"/>
    <w:bookmarkEnd w:id="931"/>
    <w:bookmarkEnd w:id="932"/>
    <w:p w14:paraId="744219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合同一方当事人遇到不可抗力事件，使其履行合同义务受到阻碍时，应立即通知合同另一方当事人和监理人，书面说明不可抗力和受阻碍的详细情况，并提供必要的证明。</w:t>
      </w:r>
    </w:p>
    <w:p w14:paraId="34B43F3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4CB5F748">
      <w:pPr>
        <w:pStyle w:val="7"/>
        <w:spacing w:before="0" w:beforeAutospacing="0" w:after="0" w:afterAutospacing="0" w:line="360" w:lineRule="auto"/>
        <w:ind w:firstLine="422" w:firstLineChars="200"/>
        <w:rPr>
          <w:color w:val="auto"/>
          <w:sz w:val="21"/>
          <w:szCs w:val="21"/>
        </w:rPr>
      </w:pPr>
      <w:bookmarkStart w:id="933" w:name="_Toc532377298"/>
      <w:r>
        <w:rPr>
          <w:rFonts w:hint="eastAsia"/>
          <w:color w:val="auto"/>
          <w:sz w:val="21"/>
          <w:szCs w:val="21"/>
        </w:rPr>
        <w:t>17.3 不可抗力后果的承担</w:t>
      </w:r>
      <w:bookmarkEnd w:id="933"/>
    </w:p>
    <w:p w14:paraId="5199448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17.3.1 不可抗力引起的后果及造成的损失由合同当事人按照法律规定及合同约定各自承担。不可抗力发生前已完成的工程应当按照合同约定进行计量支付。</w:t>
      </w:r>
    </w:p>
    <w:p w14:paraId="788534B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17.3.2 不可抗力导致的人员伤亡、财产损失、费用增加和（或）工期延误等后果，由合同当事人按以下原则承担：</w:t>
      </w:r>
    </w:p>
    <w:p w14:paraId="7CD684D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（1）永久工程、已运至施工现场的材料和工程设备的损坏，以及因工程损坏造成的第三人人员伤亡和财产损失由发包人承担；</w:t>
      </w:r>
    </w:p>
    <w:p w14:paraId="55C308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（2）承包人施工设备的损坏由承包人承担；</w:t>
      </w:r>
    </w:p>
    <w:p w14:paraId="79461A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（3）发包人和承包人承担各自人员伤亡和财产的损失；</w:t>
      </w:r>
    </w:p>
    <w:p w14:paraId="45159F9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0C93F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（5）因不可抗力引起或将引起工期延误，发包人要求赶工的，由此增加的赶工费用由发包人承担；</w:t>
      </w:r>
    </w:p>
    <w:p w14:paraId="0D49AA9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（6）承包人在停工期间按照发包人要求照管、清理和修复工程的费用由发包人承担。</w:t>
      </w:r>
    </w:p>
    <w:p w14:paraId="556CF2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不可抗力发生后，合同当事人均应采取措施尽量避免和减少损失的扩大，任何一方当事人没有采取有效措施导致损失扩大的，应对扩大的损失承担责任。</w:t>
      </w:r>
    </w:p>
    <w:p w14:paraId="1E69BF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因合同一方迟延履行合同义务，在迟延履行期间遭遇不可抗力的，不免除其违约责任。</w:t>
      </w:r>
    </w:p>
    <w:p w14:paraId="35BBA207">
      <w:pPr>
        <w:pStyle w:val="7"/>
        <w:spacing w:before="0" w:beforeAutospacing="0" w:after="0" w:afterAutospacing="0" w:line="360" w:lineRule="auto"/>
        <w:ind w:firstLine="422" w:firstLineChars="200"/>
        <w:rPr>
          <w:color w:val="auto"/>
          <w:sz w:val="21"/>
          <w:szCs w:val="21"/>
        </w:rPr>
      </w:pPr>
      <w:bookmarkStart w:id="934" w:name="_Toc351203611"/>
      <w:bookmarkStart w:id="935" w:name="_Toc532377299"/>
      <w:bookmarkStart w:id="936" w:name="_Toc337558827"/>
      <w:r>
        <w:rPr>
          <w:rFonts w:hint="eastAsia"/>
          <w:color w:val="auto"/>
          <w:sz w:val="21"/>
          <w:szCs w:val="21"/>
        </w:rPr>
        <w:t>17.4 因不可抗力解除合同</w:t>
      </w:r>
      <w:bookmarkEnd w:id="934"/>
      <w:bookmarkEnd w:id="935"/>
    </w:p>
    <w:bookmarkEnd w:id="936"/>
    <w:p w14:paraId="28C89C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22073D3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（1）合同解除前承包人已完成工作的价款；</w:t>
      </w:r>
    </w:p>
    <w:p w14:paraId="64572A2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（2）承包人为工程订购的并已交付给承包人，或承包人有责任接受交付的材料、工程设备和其他物品的价款；</w:t>
      </w:r>
    </w:p>
    <w:p w14:paraId="490DC36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（3）发包人要求承包人退货或解除订货合同而产生的费用，或因不能退货或解除合同而产生的损失；</w:t>
      </w:r>
    </w:p>
    <w:p w14:paraId="3C8F562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（4）承包人撤离施工现场以及遣散承包人人员的费用；</w:t>
      </w:r>
    </w:p>
    <w:p w14:paraId="631E42D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（5）按照合同约定在合同解除前应支付给承包人的其他款项；</w:t>
      </w:r>
    </w:p>
    <w:p w14:paraId="7DA9B70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（6）扣减承包人按照合同约定应向发包人支付的款项；</w:t>
      </w:r>
    </w:p>
    <w:p w14:paraId="41C9F8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（7）双方商定或确定的其他款项。</w:t>
      </w:r>
    </w:p>
    <w:p w14:paraId="58D0283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除专用合同条款另有约定外，合同解除后，发包人应在商定或确定上述款项后28天内完成上述款项的支付。</w:t>
      </w:r>
    </w:p>
    <w:p w14:paraId="01484423">
      <w:pPr>
        <w:pStyle w:val="6"/>
        <w:keepNext/>
        <w:keepLines/>
        <w:spacing w:beforeLines="50" w:beforeAutospacing="0" w:afterLines="50" w:afterAutospacing="0" w:line="360" w:lineRule="auto"/>
        <w:jc w:val="both"/>
        <w:rPr>
          <w:bCs w:val="0"/>
          <w:color w:val="auto"/>
          <w:kern w:val="2"/>
          <w:sz w:val="21"/>
          <w:szCs w:val="21"/>
        </w:rPr>
      </w:pPr>
      <w:bookmarkStart w:id="937" w:name="_Toc351203612"/>
      <w:bookmarkStart w:id="938" w:name="_Toc532375604"/>
      <w:bookmarkStart w:id="939" w:name="_Toc532377300"/>
      <w:bookmarkStart w:id="940" w:name="_Toc296346621"/>
      <w:bookmarkStart w:id="941" w:name="_Toc296503120"/>
      <w:bookmarkStart w:id="942" w:name="_Toc337558828"/>
      <w:r>
        <w:rPr>
          <w:rFonts w:hint="eastAsia"/>
          <w:color w:val="auto"/>
          <w:kern w:val="2"/>
          <w:sz w:val="21"/>
          <w:szCs w:val="21"/>
        </w:rPr>
        <w:t>18. 保险</w:t>
      </w:r>
      <w:bookmarkEnd w:id="937"/>
      <w:bookmarkEnd w:id="938"/>
      <w:bookmarkEnd w:id="939"/>
    </w:p>
    <w:bookmarkEnd w:id="940"/>
    <w:bookmarkEnd w:id="941"/>
    <w:bookmarkEnd w:id="942"/>
    <w:p w14:paraId="2D762742">
      <w:pPr>
        <w:pStyle w:val="7"/>
        <w:spacing w:before="0" w:beforeAutospacing="0" w:after="0" w:afterAutospacing="0" w:line="360" w:lineRule="auto"/>
        <w:ind w:firstLine="422" w:firstLineChars="200"/>
        <w:rPr>
          <w:color w:val="auto"/>
          <w:sz w:val="21"/>
          <w:szCs w:val="21"/>
        </w:rPr>
      </w:pPr>
      <w:bookmarkStart w:id="943" w:name="_Toc351203613"/>
      <w:bookmarkStart w:id="944" w:name="_Toc532377301"/>
      <w:bookmarkStart w:id="945" w:name="_Toc337558829"/>
      <w:bookmarkStart w:id="946" w:name="_Toc296503121"/>
      <w:bookmarkStart w:id="947" w:name="_Toc296346622"/>
      <w:r>
        <w:rPr>
          <w:rFonts w:hint="eastAsia"/>
          <w:color w:val="auto"/>
          <w:sz w:val="21"/>
          <w:szCs w:val="21"/>
        </w:rPr>
        <w:t>18.1 工程保险</w:t>
      </w:r>
      <w:bookmarkEnd w:id="943"/>
      <w:bookmarkEnd w:id="944"/>
    </w:p>
    <w:bookmarkEnd w:id="945"/>
    <w:bookmarkEnd w:id="946"/>
    <w:bookmarkEnd w:id="947"/>
    <w:p w14:paraId="55AC8C8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除专用合同条款另有约定外，发包人应投保建筑工程一切险或安装工程一切险；发包人委托承包人投保的，因投保产生的保险费和其他相关费用由发包人承担。</w:t>
      </w:r>
    </w:p>
    <w:p w14:paraId="4FAD0B04">
      <w:pPr>
        <w:pStyle w:val="7"/>
        <w:spacing w:before="0" w:beforeAutospacing="0" w:after="0" w:afterAutospacing="0" w:line="360" w:lineRule="auto"/>
        <w:ind w:firstLine="422" w:firstLineChars="200"/>
        <w:rPr>
          <w:color w:val="auto"/>
          <w:sz w:val="21"/>
          <w:szCs w:val="21"/>
        </w:rPr>
      </w:pPr>
      <w:bookmarkStart w:id="948" w:name="_Toc532377302"/>
      <w:bookmarkStart w:id="949" w:name="_Toc351203614"/>
      <w:bookmarkStart w:id="950" w:name="_Toc296503122"/>
      <w:bookmarkStart w:id="951" w:name="_Toc337558830"/>
      <w:bookmarkStart w:id="952" w:name="_Toc296346623"/>
      <w:r>
        <w:rPr>
          <w:rFonts w:hint="eastAsia"/>
          <w:color w:val="auto"/>
          <w:sz w:val="21"/>
          <w:szCs w:val="21"/>
        </w:rPr>
        <w:t>18.2 工伤保险</w:t>
      </w:r>
      <w:bookmarkEnd w:id="948"/>
      <w:bookmarkEnd w:id="949"/>
    </w:p>
    <w:bookmarkEnd w:id="950"/>
    <w:bookmarkEnd w:id="951"/>
    <w:bookmarkEnd w:id="952"/>
    <w:p w14:paraId="678BDD9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18.2.1 发包人应依照法律规定参加工伤保险，并为在施工现场的全部员工办理工伤保险，缴纳工伤保险费，并要求监理人及由发包人为履行合同聘请的第三方依法参加工伤保险。</w:t>
      </w:r>
    </w:p>
    <w:p w14:paraId="1273FB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18.2.2 承包人应依照法律规定参加工伤保险，并为其履行合同的全部员工办理工伤保险，缴纳工伤保险费，并要求分包人及由承包人为履行合同聘请的第三方依法参加工伤保险。</w:t>
      </w:r>
    </w:p>
    <w:p w14:paraId="3820B639">
      <w:pPr>
        <w:pStyle w:val="7"/>
        <w:spacing w:before="0" w:beforeAutospacing="0" w:after="0" w:afterAutospacing="0" w:line="360" w:lineRule="auto"/>
        <w:ind w:firstLine="422" w:firstLineChars="200"/>
        <w:rPr>
          <w:color w:val="auto"/>
          <w:sz w:val="21"/>
          <w:szCs w:val="21"/>
        </w:rPr>
      </w:pPr>
      <w:bookmarkStart w:id="953" w:name="_Toc351203615"/>
      <w:bookmarkStart w:id="954" w:name="_Toc532377303"/>
      <w:bookmarkStart w:id="955" w:name="_Toc337558831"/>
      <w:bookmarkStart w:id="956" w:name="_Toc296503125"/>
      <w:bookmarkStart w:id="957" w:name="_Toc296346626"/>
      <w:r>
        <w:rPr>
          <w:rFonts w:hint="eastAsia"/>
          <w:color w:val="auto"/>
          <w:sz w:val="21"/>
          <w:szCs w:val="21"/>
        </w:rPr>
        <w:t>18.3其他保险</w:t>
      </w:r>
      <w:bookmarkEnd w:id="953"/>
      <w:bookmarkEnd w:id="954"/>
    </w:p>
    <w:bookmarkEnd w:id="955"/>
    <w:bookmarkEnd w:id="956"/>
    <w:bookmarkEnd w:id="957"/>
    <w:p w14:paraId="2CC09C1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发包人和承包人可以为其施工现场的全部人员办理意外伤害保险并支付保险费，包括其员工及为履行合同聘请的第三方的人员，具体事项由合同当事人在专用合同条款约定。</w:t>
      </w:r>
    </w:p>
    <w:p w14:paraId="692F3CF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除专用合同条款另有约定外，承包人应为其施工设备等办理财产保险。</w:t>
      </w:r>
    </w:p>
    <w:p w14:paraId="77DB8318">
      <w:pPr>
        <w:pStyle w:val="7"/>
        <w:spacing w:before="0" w:beforeAutospacing="0" w:after="0" w:afterAutospacing="0" w:line="360" w:lineRule="auto"/>
        <w:ind w:firstLine="422" w:firstLineChars="200"/>
        <w:rPr>
          <w:color w:val="auto"/>
          <w:sz w:val="21"/>
          <w:szCs w:val="21"/>
        </w:rPr>
      </w:pPr>
      <w:bookmarkStart w:id="958" w:name="_Toc351203616"/>
      <w:bookmarkStart w:id="959" w:name="_Toc532377304"/>
      <w:r>
        <w:rPr>
          <w:rFonts w:hint="eastAsia"/>
          <w:color w:val="auto"/>
          <w:sz w:val="21"/>
          <w:szCs w:val="21"/>
        </w:rPr>
        <w:t>18.4持续保险</w:t>
      </w:r>
      <w:bookmarkEnd w:id="958"/>
      <w:bookmarkEnd w:id="959"/>
    </w:p>
    <w:p w14:paraId="7267D1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合同当事人应与保险人保持联系，使保险人能够随时了解工程实施中的变动，并确保按保险合同条款要求持续保险。</w:t>
      </w:r>
    </w:p>
    <w:p w14:paraId="4810ACDC">
      <w:pPr>
        <w:pStyle w:val="7"/>
        <w:spacing w:before="0" w:beforeAutospacing="0" w:after="0" w:afterAutospacing="0" w:line="360" w:lineRule="auto"/>
        <w:ind w:firstLine="422" w:firstLineChars="200"/>
        <w:rPr>
          <w:color w:val="auto"/>
          <w:sz w:val="21"/>
          <w:szCs w:val="21"/>
        </w:rPr>
      </w:pPr>
      <w:bookmarkStart w:id="960" w:name="_Toc351203617"/>
      <w:bookmarkStart w:id="961" w:name="_Toc532377305"/>
      <w:bookmarkStart w:id="962" w:name="_Toc296346627"/>
      <w:bookmarkStart w:id="963" w:name="_Toc337558832"/>
      <w:bookmarkStart w:id="964" w:name="_Toc296503126"/>
      <w:r>
        <w:rPr>
          <w:rFonts w:hint="eastAsia"/>
          <w:color w:val="auto"/>
          <w:sz w:val="21"/>
          <w:szCs w:val="21"/>
        </w:rPr>
        <w:t>18.5 保险凭证</w:t>
      </w:r>
      <w:bookmarkEnd w:id="960"/>
      <w:bookmarkEnd w:id="961"/>
    </w:p>
    <w:bookmarkEnd w:id="962"/>
    <w:bookmarkEnd w:id="963"/>
    <w:bookmarkEnd w:id="964"/>
    <w:p w14:paraId="4C1DCB9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合同当事人应及时向另一方当事人提交其已投保的各项保险的凭证和保险单复印件。</w:t>
      </w:r>
    </w:p>
    <w:p w14:paraId="02DE83F9">
      <w:pPr>
        <w:pStyle w:val="7"/>
        <w:spacing w:before="0" w:beforeAutospacing="0" w:after="0" w:afterAutospacing="0" w:line="360" w:lineRule="auto"/>
        <w:ind w:firstLine="422" w:firstLineChars="200"/>
        <w:rPr>
          <w:color w:val="auto"/>
          <w:sz w:val="21"/>
          <w:szCs w:val="21"/>
        </w:rPr>
      </w:pPr>
      <w:bookmarkStart w:id="965" w:name="_Toc351203618"/>
      <w:bookmarkStart w:id="966" w:name="_Toc532377306"/>
      <w:bookmarkStart w:id="967" w:name="_Toc296503127"/>
      <w:bookmarkStart w:id="968" w:name="_Toc296346628"/>
      <w:bookmarkStart w:id="969" w:name="_Toc337558833"/>
      <w:r>
        <w:rPr>
          <w:rFonts w:hint="eastAsia"/>
          <w:color w:val="auto"/>
          <w:sz w:val="21"/>
          <w:szCs w:val="21"/>
        </w:rPr>
        <w:t>18.6 未按约定投保的补救</w:t>
      </w:r>
      <w:bookmarkEnd w:id="965"/>
      <w:bookmarkEnd w:id="966"/>
    </w:p>
    <w:bookmarkEnd w:id="967"/>
    <w:bookmarkEnd w:id="968"/>
    <w:bookmarkEnd w:id="969"/>
    <w:p w14:paraId="003D57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6541197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33AED5CB">
      <w:pPr>
        <w:pStyle w:val="7"/>
        <w:spacing w:before="0" w:beforeAutospacing="0" w:after="0" w:afterAutospacing="0" w:line="360" w:lineRule="auto"/>
        <w:ind w:firstLine="422" w:firstLineChars="200"/>
        <w:rPr>
          <w:color w:val="auto"/>
          <w:sz w:val="21"/>
          <w:szCs w:val="21"/>
        </w:rPr>
      </w:pPr>
      <w:bookmarkStart w:id="970" w:name="_Toc351203619"/>
      <w:bookmarkStart w:id="971" w:name="_Toc532377307"/>
      <w:bookmarkStart w:id="972" w:name="_Toc337558834"/>
      <w:r>
        <w:rPr>
          <w:rFonts w:hint="eastAsia"/>
          <w:color w:val="auto"/>
          <w:sz w:val="21"/>
          <w:szCs w:val="21"/>
        </w:rPr>
        <w:t>18.7 通知义务</w:t>
      </w:r>
      <w:bookmarkEnd w:id="970"/>
      <w:bookmarkEnd w:id="971"/>
    </w:p>
    <w:bookmarkEnd w:id="972"/>
    <w:p w14:paraId="3D3006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47C321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保险事故发生时，投保人应按照保险合同规定的条件和期限及时向保险人报告。发包人和承包人应当在知道保险事故发生后及时通知对方。</w:t>
      </w:r>
    </w:p>
    <w:p w14:paraId="48FDEB08">
      <w:pPr>
        <w:pStyle w:val="6"/>
        <w:keepNext/>
        <w:keepLines/>
        <w:spacing w:beforeLines="50" w:beforeAutospacing="0" w:afterLines="50" w:afterAutospacing="0" w:line="360" w:lineRule="auto"/>
        <w:jc w:val="both"/>
        <w:rPr>
          <w:bCs w:val="0"/>
          <w:color w:val="auto"/>
          <w:kern w:val="2"/>
          <w:sz w:val="21"/>
          <w:szCs w:val="21"/>
        </w:rPr>
      </w:pPr>
      <w:bookmarkStart w:id="973" w:name="_Toc532375605"/>
      <w:bookmarkStart w:id="974" w:name="_Toc532377308"/>
      <w:r>
        <w:rPr>
          <w:rFonts w:hint="eastAsia"/>
          <w:color w:val="auto"/>
          <w:kern w:val="2"/>
          <w:sz w:val="21"/>
          <w:szCs w:val="21"/>
        </w:rPr>
        <w:t>19. 索赔</w:t>
      </w:r>
      <w:bookmarkEnd w:id="973"/>
      <w:bookmarkEnd w:id="974"/>
    </w:p>
    <w:p w14:paraId="11962A26">
      <w:pPr>
        <w:pStyle w:val="7"/>
        <w:spacing w:before="0" w:beforeAutospacing="0" w:after="0" w:afterAutospacing="0" w:line="360" w:lineRule="auto"/>
        <w:ind w:firstLine="422" w:firstLineChars="200"/>
        <w:rPr>
          <w:color w:val="auto"/>
          <w:sz w:val="21"/>
          <w:szCs w:val="21"/>
        </w:rPr>
      </w:pPr>
      <w:bookmarkStart w:id="975" w:name="_Toc532377309"/>
      <w:r>
        <w:rPr>
          <w:rFonts w:hint="eastAsia"/>
          <w:color w:val="auto"/>
          <w:sz w:val="21"/>
          <w:szCs w:val="21"/>
        </w:rPr>
        <w:t>19.1承包人的索赔</w:t>
      </w:r>
      <w:bookmarkEnd w:id="975"/>
    </w:p>
    <w:p w14:paraId="52506A3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根据合同约定，承包人认为有权得到追加付款和（或）延长工期的，应按以下程序向发包人提出索赔：</w:t>
      </w:r>
    </w:p>
    <w:p w14:paraId="41E6E4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CD871F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（2）承包人应在发出索赔意向通知书后28天内，向监理人正式递交索赔报告；索赔报告应详细说明索赔理由以及要求追加的付款金额和（或）延长的工期，并附必要的记录和证明材料；</w:t>
      </w:r>
    </w:p>
    <w:p w14:paraId="6BA8E31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（3）索赔事件具有持续影响的，承包人应按合理时间间隔继续递交延续索赔通知，说明持续影响的实际情况和记录，列出累计的追加付款金额和（或）工期延长天数；</w:t>
      </w:r>
    </w:p>
    <w:p w14:paraId="6B37565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（4）在索赔事件影响结束后28天内，承包人应向监理人递交最终索赔报告，说明最终要求索赔的追加付款金额和（或）延长的工期，并附必要的记录和证明材料。</w:t>
      </w:r>
    </w:p>
    <w:p w14:paraId="242CC202">
      <w:pPr>
        <w:pStyle w:val="7"/>
        <w:spacing w:before="0" w:beforeAutospacing="0" w:after="0" w:afterAutospacing="0" w:line="360" w:lineRule="auto"/>
        <w:ind w:firstLine="422" w:firstLineChars="200"/>
        <w:rPr>
          <w:color w:val="auto"/>
          <w:sz w:val="21"/>
          <w:szCs w:val="21"/>
        </w:rPr>
      </w:pPr>
      <w:bookmarkStart w:id="976" w:name="_Toc532377310"/>
      <w:bookmarkStart w:id="977" w:name="_Toc351203622"/>
      <w:bookmarkStart w:id="978" w:name="_Toc337558837"/>
      <w:bookmarkStart w:id="979" w:name="_Toc296346643"/>
      <w:bookmarkStart w:id="980" w:name="_Toc296503142"/>
      <w:r>
        <w:rPr>
          <w:rFonts w:hint="eastAsia"/>
          <w:color w:val="auto"/>
          <w:sz w:val="21"/>
          <w:szCs w:val="21"/>
        </w:rPr>
        <w:t>19.2 对承包人索赔的处理</w:t>
      </w:r>
      <w:bookmarkEnd w:id="976"/>
      <w:bookmarkEnd w:id="977"/>
    </w:p>
    <w:bookmarkEnd w:id="978"/>
    <w:bookmarkEnd w:id="979"/>
    <w:bookmarkEnd w:id="980"/>
    <w:p w14:paraId="17BE5BF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对承包人索赔的处理如下：</w:t>
      </w:r>
    </w:p>
    <w:p w14:paraId="36B84D5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（1）监理人应在收到索赔报告后14天内完成审查并报送发包人。监理人对索赔报告存在异议的，有权要求承包人提交全部原始记录副本；</w:t>
      </w:r>
    </w:p>
    <w:p w14:paraId="15E071A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1D4493D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（3）承包人接受索赔处理结果的，索赔款项在当期进度款中进行支付；承包人不接受索赔处理结果的，按照第20条〔争议解决〕约定处理。</w:t>
      </w:r>
    </w:p>
    <w:p w14:paraId="592C4DE7">
      <w:pPr>
        <w:pStyle w:val="7"/>
        <w:spacing w:before="0" w:beforeAutospacing="0" w:after="0" w:afterAutospacing="0" w:line="360" w:lineRule="auto"/>
        <w:ind w:firstLine="422" w:firstLineChars="200"/>
        <w:rPr>
          <w:color w:val="auto"/>
          <w:sz w:val="21"/>
          <w:szCs w:val="21"/>
        </w:rPr>
      </w:pPr>
      <w:bookmarkStart w:id="981" w:name="_Toc351203623"/>
      <w:bookmarkStart w:id="982" w:name="_Toc532377311"/>
      <w:bookmarkStart w:id="983" w:name="_Toc296346644"/>
      <w:bookmarkStart w:id="984" w:name="_Toc337558838"/>
      <w:bookmarkStart w:id="985" w:name="_Toc296503143"/>
      <w:r>
        <w:rPr>
          <w:rFonts w:hint="eastAsia"/>
          <w:color w:val="auto"/>
          <w:sz w:val="21"/>
          <w:szCs w:val="21"/>
        </w:rPr>
        <w:t>19.3发包人的索赔</w:t>
      </w:r>
      <w:bookmarkEnd w:id="981"/>
      <w:bookmarkEnd w:id="982"/>
    </w:p>
    <w:bookmarkEnd w:id="983"/>
    <w:bookmarkEnd w:id="984"/>
    <w:bookmarkEnd w:id="985"/>
    <w:p w14:paraId="0099F1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根据合同约定，发包人认为有权得到赔付金额和（或）延长缺陷责任期的，监理人应向承包人发出通知并附有详细的证明。</w:t>
      </w:r>
    </w:p>
    <w:p w14:paraId="76C0B7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66620B8">
      <w:pPr>
        <w:pStyle w:val="7"/>
        <w:spacing w:before="0" w:beforeAutospacing="0" w:after="0" w:afterAutospacing="0" w:line="360" w:lineRule="auto"/>
        <w:ind w:firstLine="422" w:firstLineChars="200"/>
        <w:rPr>
          <w:color w:val="auto"/>
          <w:sz w:val="21"/>
          <w:szCs w:val="21"/>
        </w:rPr>
      </w:pPr>
      <w:bookmarkStart w:id="986" w:name="_Toc532377312"/>
      <w:bookmarkStart w:id="987" w:name="_Toc351203624"/>
      <w:bookmarkStart w:id="988" w:name="_Toc337558839"/>
      <w:bookmarkStart w:id="989" w:name="_Toc296503144"/>
      <w:bookmarkStart w:id="990" w:name="_Toc296346645"/>
      <w:r>
        <w:rPr>
          <w:rFonts w:hint="eastAsia"/>
          <w:color w:val="auto"/>
          <w:sz w:val="21"/>
          <w:szCs w:val="21"/>
        </w:rPr>
        <w:t>19.4 对发包人索赔的处理</w:t>
      </w:r>
      <w:bookmarkEnd w:id="986"/>
      <w:bookmarkEnd w:id="987"/>
    </w:p>
    <w:bookmarkEnd w:id="988"/>
    <w:bookmarkEnd w:id="989"/>
    <w:bookmarkEnd w:id="990"/>
    <w:p w14:paraId="0E0C51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1BBFD9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（1）承包人收到发包人提交的索赔报告后，应及时审查索赔报告的内容、查验发包人证明材料；</w:t>
      </w:r>
    </w:p>
    <w:p w14:paraId="0ED7978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（2）承包人应在收到索赔报告或有关索赔的进一步证明材料后28天内，将索赔处理结果答复发包人。如果承包人未在上述期限内作出答复的，则视为对发包人索赔要求的认可；</w:t>
      </w:r>
    </w:p>
    <w:p w14:paraId="3E932F1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（3）承包人接受索赔处理结果的，发包人可从应支付给承包人的合同价款中扣除赔付的金额或延长缺陷责任期；发包人不接受索赔处理结果的，按第20条〔争议解决〕约定处理。</w:t>
      </w:r>
    </w:p>
    <w:p w14:paraId="199502DD">
      <w:pPr>
        <w:pStyle w:val="7"/>
        <w:spacing w:before="0" w:beforeAutospacing="0" w:after="0" w:afterAutospacing="0" w:line="360" w:lineRule="auto"/>
        <w:ind w:firstLine="420" w:firstLineChars="200"/>
        <w:rPr>
          <w:b w:val="0"/>
          <w:color w:val="auto"/>
          <w:sz w:val="21"/>
          <w:szCs w:val="21"/>
        </w:rPr>
      </w:pPr>
      <w:bookmarkStart w:id="991" w:name="_Toc351203625"/>
      <w:bookmarkStart w:id="992" w:name="_Toc532377313"/>
      <w:r>
        <w:rPr>
          <w:rFonts w:hint="eastAsia"/>
          <w:b w:val="0"/>
          <w:color w:val="auto"/>
          <w:sz w:val="21"/>
          <w:szCs w:val="21"/>
        </w:rPr>
        <w:t>19.5 提出索赔的期限</w:t>
      </w:r>
      <w:bookmarkEnd w:id="991"/>
      <w:bookmarkEnd w:id="992"/>
    </w:p>
    <w:p w14:paraId="2464504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（1）承包人按第14.2款〔竣工结算审核〕约定接收竣工付款证书后，应被视为已无权再提出在工程接收证书颁发前所发生的任何索赔。</w:t>
      </w:r>
    </w:p>
    <w:p w14:paraId="59E5EE7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（2）承包人按第14.4款〔最终结清〕提交的最终结清申请单中，只限于提出工程接收证书颁发后发生的索赔。提出索赔的期限自接受最终结清证书时终止。</w:t>
      </w:r>
    </w:p>
    <w:p w14:paraId="3444CF1F">
      <w:pPr>
        <w:pStyle w:val="6"/>
        <w:keepNext/>
        <w:keepLines/>
        <w:spacing w:beforeLines="50" w:beforeAutospacing="0" w:afterLines="50" w:afterAutospacing="0" w:line="360" w:lineRule="auto"/>
        <w:jc w:val="both"/>
        <w:rPr>
          <w:bCs w:val="0"/>
          <w:color w:val="auto"/>
          <w:kern w:val="2"/>
          <w:sz w:val="21"/>
          <w:szCs w:val="21"/>
        </w:rPr>
      </w:pPr>
      <w:bookmarkStart w:id="993" w:name="_Toc351203626"/>
      <w:bookmarkStart w:id="994" w:name="_Toc532375606"/>
      <w:bookmarkStart w:id="995" w:name="_Toc532377314"/>
      <w:r>
        <w:rPr>
          <w:rFonts w:hint="eastAsia"/>
          <w:color w:val="auto"/>
          <w:kern w:val="2"/>
          <w:sz w:val="21"/>
          <w:szCs w:val="21"/>
        </w:rPr>
        <w:t>20</w:t>
      </w:r>
      <w:bookmarkStart w:id="996" w:name="_Toc296346647"/>
      <w:bookmarkStart w:id="997" w:name="_Toc296503146"/>
      <w:bookmarkStart w:id="998" w:name="_Toc337558840"/>
      <w:r>
        <w:rPr>
          <w:rFonts w:hint="eastAsia"/>
          <w:color w:val="auto"/>
          <w:kern w:val="2"/>
          <w:sz w:val="21"/>
          <w:szCs w:val="21"/>
        </w:rPr>
        <w:t>. 争议解决</w:t>
      </w:r>
      <w:bookmarkEnd w:id="993"/>
      <w:bookmarkEnd w:id="994"/>
      <w:bookmarkEnd w:id="995"/>
    </w:p>
    <w:bookmarkEnd w:id="996"/>
    <w:bookmarkEnd w:id="997"/>
    <w:bookmarkEnd w:id="998"/>
    <w:p w14:paraId="3BC00BF9">
      <w:pPr>
        <w:pStyle w:val="7"/>
        <w:spacing w:before="0" w:beforeAutospacing="0" w:after="0" w:afterAutospacing="0" w:line="360" w:lineRule="auto"/>
        <w:ind w:firstLine="422" w:firstLineChars="200"/>
        <w:rPr>
          <w:color w:val="auto"/>
          <w:sz w:val="21"/>
          <w:szCs w:val="21"/>
        </w:rPr>
      </w:pPr>
      <w:bookmarkStart w:id="999" w:name="_Toc532377315"/>
      <w:bookmarkStart w:id="1000" w:name="_Toc351203627"/>
      <w:bookmarkStart w:id="1001" w:name="_Toc296346648"/>
      <w:bookmarkStart w:id="1002" w:name="_Toc337558841"/>
      <w:bookmarkStart w:id="1003" w:name="_Toc296503147"/>
      <w:r>
        <w:rPr>
          <w:rFonts w:hint="eastAsia"/>
          <w:color w:val="auto"/>
          <w:sz w:val="21"/>
          <w:szCs w:val="21"/>
        </w:rPr>
        <w:t>20.1和解</w:t>
      </w:r>
      <w:bookmarkEnd w:id="999"/>
      <w:bookmarkEnd w:id="1000"/>
    </w:p>
    <w:bookmarkEnd w:id="1001"/>
    <w:bookmarkEnd w:id="1002"/>
    <w:bookmarkEnd w:id="1003"/>
    <w:p w14:paraId="7F7AD7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合同当事人可以就争议自行和解，自行和解达成协议的经双方签字并盖章后作为合同补充文件，双方均应遵照执行。</w:t>
      </w:r>
    </w:p>
    <w:p w14:paraId="72B1F9D7">
      <w:pPr>
        <w:pStyle w:val="7"/>
        <w:spacing w:before="0" w:beforeAutospacing="0" w:after="0" w:afterAutospacing="0" w:line="360" w:lineRule="auto"/>
        <w:ind w:firstLine="422" w:firstLineChars="200"/>
        <w:rPr>
          <w:color w:val="auto"/>
          <w:sz w:val="21"/>
          <w:szCs w:val="21"/>
        </w:rPr>
      </w:pPr>
      <w:bookmarkStart w:id="1004" w:name="_Toc351203628"/>
      <w:bookmarkStart w:id="1005" w:name="_Toc532377316"/>
      <w:r>
        <w:rPr>
          <w:rFonts w:hint="eastAsia"/>
          <w:color w:val="auto"/>
          <w:sz w:val="21"/>
          <w:szCs w:val="21"/>
        </w:rPr>
        <w:t>20</w:t>
      </w:r>
      <w:bookmarkStart w:id="1006" w:name="_Toc296503148"/>
      <w:bookmarkStart w:id="1007" w:name="_Toc296346649"/>
      <w:bookmarkStart w:id="1008" w:name="_Toc337558842"/>
      <w:r>
        <w:rPr>
          <w:rFonts w:hint="eastAsia"/>
          <w:color w:val="auto"/>
          <w:sz w:val="21"/>
          <w:szCs w:val="21"/>
        </w:rPr>
        <w:t>.2调解</w:t>
      </w:r>
      <w:bookmarkEnd w:id="1004"/>
      <w:bookmarkEnd w:id="1005"/>
    </w:p>
    <w:bookmarkEnd w:id="1006"/>
    <w:bookmarkEnd w:id="1007"/>
    <w:bookmarkEnd w:id="1008"/>
    <w:p w14:paraId="1EF996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合同当事人可以就争议请求建设行政主管部门、行业协会或其他第三方进行调解，调解达成协议的，经双方签字并盖章后作为合同补充文件，双方均应遵照执行。</w:t>
      </w:r>
    </w:p>
    <w:p w14:paraId="7D8C410E">
      <w:pPr>
        <w:pStyle w:val="7"/>
        <w:spacing w:before="0" w:beforeAutospacing="0" w:after="0" w:afterAutospacing="0" w:line="360" w:lineRule="auto"/>
        <w:ind w:firstLine="422" w:firstLineChars="200"/>
        <w:rPr>
          <w:color w:val="auto"/>
          <w:sz w:val="21"/>
          <w:szCs w:val="21"/>
        </w:rPr>
      </w:pPr>
      <w:bookmarkStart w:id="1009" w:name="_Toc351203629"/>
      <w:bookmarkStart w:id="1010" w:name="_Toc532377317"/>
      <w:bookmarkStart w:id="1011" w:name="_Toc337558843"/>
      <w:bookmarkStart w:id="1012" w:name="_Toc296503149"/>
      <w:bookmarkStart w:id="1013" w:name="_Toc296346650"/>
      <w:r>
        <w:rPr>
          <w:rFonts w:hint="eastAsia"/>
          <w:color w:val="auto"/>
          <w:sz w:val="21"/>
          <w:szCs w:val="21"/>
        </w:rPr>
        <w:t>20.3争议评审</w:t>
      </w:r>
      <w:bookmarkEnd w:id="1009"/>
      <w:bookmarkEnd w:id="1010"/>
    </w:p>
    <w:bookmarkEnd w:id="1011"/>
    <w:bookmarkEnd w:id="1012"/>
    <w:bookmarkEnd w:id="1013"/>
    <w:p w14:paraId="0A0CA84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合同当事人在专用合同条款中约定采取争议评审方式解决争议以及评审规则，并按下列约定执行： </w:t>
      </w:r>
    </w:p>
    <w:p w14:paraId="338D64B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20.3.1 争议评审小组的确定</w:t>
      </w:r>
    </w:p>
    <w:p w14:paraId="72EEB0A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合同当事人可以共同选择一名或三名争议评审员，组成争议评审小组。除专用合同条款另有约定外，合同当事人应当自合同签订后28天内，或者争议发生后14天内，选定争议评审员。</w:t>
      </w:r>
    </w:p>
    <w:p w14:paraId="47954B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3188D7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除专用合同条款另有约定外，评审员报酬由发包人和承包人各承担一半。</w:t>
      </w:r>
    </w:p>
    <w:p w14:paraId="04897A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20.3.2 争议评审小组的决定</w:t>
      </w:r>
    </w:p>
    <w:p w14:paraId="5ECE07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57AAE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20.3.3 争议评审小组决定的效力</w:t>
      </w:r>
    </w:p>
    <w:p w14:paraId="7250DE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争议评审小组作出的书面决定经合同当事人签字确认后，对双方具有约束力，双方应遵照执行。</w:t>
      </w:r>
    </w:p>
    <w:p w14:paraId="232EC89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任何一方当事人不接受争议评审小组决定或不履行争议评审小组决定的，双方可选择采用其他争议解决方式。</w:t>
      </w:r>
    </w:p>
    <w:p w14:paraId="5E11812C">
      <w:pPr>
        <w:pStyle w:val="7"/>
        <w:spacing w:before="0" w:beforeAutospacing="0" w:after="0" w:afterAutospacing="0" w:line="360" w:lineRule="auto"/>
        <w:ind w:firstLine="422" w:firstLineChars="200"/>
        <w:rPr>
          <w:color w:val="auto"/>
          <w:sz w:val="21"/>
          <w:szCs w:val="21"/>
        </w:rPr>
      </w:pPr>
      <w:bookmarkStart w:id="1014" w:name="_Toc351203630"/>
      <w:bookmarkStart w:id="1015" w:name="_Toc532377318"/>
      <w:bookmarkStart w:id="1016" w:name="_Toc296503150"/>
      <w:bookmarkStart w:id="1017" w:name="_Toc296346651"/>
      <w:bookmarkStart w:id="1018" w:name="_Toc337558844"/>
      <w:r>
        <w:rPr>
          <w:rFonts w:hint="eastAsia"/>
          <w:color w:val="auto"/>
          <w:sz w:val="21"/>
          <w:szCs w:val="21"/>
        </w:rPr>
        <w:t>20.4仲裁或诉讼</w:t>
      </w:r>
      <w:bookmarkEnd w:id="1014"/>
      <w:bookmarkEnd w:id="1015"/>
    </w:p>
    <w:bookmarkEnd w:id="1016"/>
    <w:bookmarkEnd w:id="1017"/>
    <w:bookmarkEnd w:id="1018"/>
    <w:p w14:paraId="511412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因合同及合同有关事项产生的争议，合同当事人可以在专用合同条款中约定以下一种方式解决争议：</w:t>
      </w:r>
    </w:p>
    <w:p w14:paraId="61E940B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（1）向约定的仲裁委员会申请仲裁；</w:t>
      </w:r>
    </w:p>
    <w:p w14:paraId="0595CD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（2）向有管辖权的人民法院起诉。</w:t>
      </w:r>
    </w:p>
    <w:p w14:paraId="01E4E4E2">
      <w:pPr>
        <w:pStyle w:val="7"/>
        <w:spacing w:before="0" w:beforeAutospacing="0" w:after="0" w:afterAutospacing="0" w:line="360" w:lineRule="auto"/>
        <w:ind w:firstLine="420" w:firstLineChars="200"/>
        <w:rPr>
          <w:b w:val="0"/>
          <w:color w:val="auto"/>
          <w:sz w:val="21"/>
          <w:szCs w:val="21"/>
        </w:rPr>
      </w:pPr>
      <w:bookmarkStart w:id="1019" w:name="_Toc351203631"/>
      <w:bookmarkStart w:id="1020" w:name="_Toc532377319"/>
      <w:bookmarkStart w:id="1021" w:name="_Toc296503152"/>
      <w:bookmarkStart w:id="1022" w:name="_Toc296346653"/>
      <w:bookmarkStart w:id="1023" w:name="_Toc337558845"/>
      <w:r>
        <w:rPr>
          <w:rFonts w:hint="eastAsia"/>
          <w:b w:val="0"/>
          <w:color w:val="auto"/>
          <w:sz w:val="21"/>
          <w:szCs w:val="21"/>
        </w:rPr>
        <w:t>20.5争议解决条款效力</w:t>
      </w:r>
      <w:bookmarkEnd w:id="1019"/>
      <w:bookmarkEnd w:id="1020"/>
    </w:p>
    <w:bookmarkEnd w:id="1021"/>
    <w:bookmarkEnd w:id="1022"/>
    <w:bookmarkEnd w:id="1023"/>
    <w:p w14:paraId="3F5B9A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合同有关争议解决的条款独立存在，合同的变更、解除、终止、无效或者被撤销均不影响其效力。</w:t>
      </w:r>
    </w:p>
    <w:p w14:paraId="5EB45B1F">
      <w:pPr>
        <w:keepNext/>
        <w:keepLines/>
        <w:snapToGrid w:val="0"/>
        <w:spacing w:before="260" w:after="260" w:line="360" w:lineRule="auto"/>
        <w:outlineLvl w:val="2"/>
        <w:rPr>
          <w:rFonts w:ascii="宋体" w:hAnsi="宋体"/>
          <w:b/>
          <w:bCs/>
          <w:color w:val="auto"/>
          <w:szCs w:val="21"/>
          <w:lang w:val="zh-CN"/>
        </w:rPr>
      </w:pPr>
      <w:r>
        <w:rPr>
          <w:rFonts w:hint="eastAsia" w:ascii="宋体" w:hAnsi="宋体"/>
          <w:b/>
          <w:bCs/>
          <w:color w:val="auto"/>
          <w:szCs w:val="21"/>
          <w:lang w:val="zh-CN"/>
        </w:rPr>
        <w:br w:type="page"/>
      </w:r>
    </w:p>
    <w:p w14:paraId="3880852C">
      <w:pPr>
        <w:pStyle w:val="5"/>
        <w:jc w:val="center"/>
        <w:rPr>
          <w:rFonts w:ascii="宋体" w:hAnsi="宋体"/>
          <w:color w:val="auto"/>
          <w:sz w:val="44"/>
          <w:szCs w:val="44"/>
        </w:rPr>
      </w:pPr>
      <w:bookmarkStart w:id="1024" w:name="_Toc532375607"/>
      <w:bookmarkStart w:id="1025" w:name="_Toc532377320"/>
      <w:bookmarkStart w:id="1026" w:name="_Toc529388290"/>
      <w:bookmarkStart w:id="1027" w:name="_Toc26921"/>
      <w:r>
        <w:rPr>
          <w:rFonts w:hint="eastAsia" w:ascii="宋体" w:hAnsi="宋体"/>
          <w:color w:val="auto"/>
          <w:sz w:val="44"/>
          <w:szCs w:val="44"/>
        </w:rPr>
        <w:t>第三部分 专用合同条款</w:t>
      </w:r>
      <w:bookmarkEnd w:id="1024"/>
      <w:bookmarkEnd w:id="1025"/>
      <w:bookmarkEnd w:id="1026"/>
      <w:bookmarkEnd w:id="1027"/>
    </w:p>
    <w:p w14:paraId="42D2416E">
      <w:pPr>
        <w:pStyle w:val="6"/>
        <w:keepNext/>
        <w:keepLines/>
        <w:spacing w:beforeLines="50" w:beforeAutospacing="0" w:afterLines="50" w:afterAutospacing="0" w:line="360" w:lineRule="auto"/>
        <w:jc w:val="both"/>
        <w:rPr>
          <w:bCs w:val="0"/>
          <w:color w:val="auto"/>
          <w:kern w:val="2"/>
          <w:sz w:val="21"/>
          <w:szCs w:val="21"/>
        </w:rPr>
      </w:pPr>
      <w:bookmarkStart w:id="1028" w:name="_Toc532377321"/>
      <w:bookmarkStart w:id="1029" w:name="_Toc532375608"/>
      <w:bookmarkStart w:id="1030" w:name="_Toc351203633"/>
      <w:bookmarkStart w:id="1031" w:name="_Hlk528927191"/>
      <w:r>
        <w:rPr>
          <w:rFonts w:hint="eastAsia"/>
          <w:color w:val="auto"/>
          <w:kern w:val="2"/>
          <w:sz w:val="21"/>
          <w:szCs w:val="21"/>
        </w:rPr>
        <w:t>1</w:t>
      </w:r>
      <w:bookmarkStart w:id="1032" w:name="_Toc296347155"/>
      <w:bookmarkStart w:id="1033" w:name="_Toc296890984"/>
      <w:bookmarkStart w:id="1034" w:name="_Toc292559866"/>
      <w:bookmarkStart w:id="1035" w:name="_Toc296346657"/>
      <w:bookmarkStart w:id="1036" w:name="_Toc296503156"/>
      <w:bookmarkStart w:id="1037" w:name="_Toc292559361"/>
      <w:bookmarkStart w:id="1038" w:name="_Toc296891196"/>
      <w:bookmarkStart w:id="1039" w:name="_Toc297120456"/>
      <w:bookmarkStart w:id="1040" w:name="_Toc296944495"/>
      <w:bookmarkStart w:id="1041" w:name="_Toc297048342"/>
      <w:r>
        <w:rPr>
          <w:rFonts w:hint="eastAsia"/>
          <w:color w:val="auto"/>
          <w:kern w:val="2"/>
          <w:sz w:val="21"/>
          <w:szCs w:val="21"/>
        </w:rPr>
        <w:t>. 一般约定</w:t>
      </w:r>
      <w:bookmarkEnd w:id="1028"/>
      <w:bookmarkEnd w:id="1029"/>
      <w:bookmarkEnd w:id="1030"/>
    </w:p>
    <w:bookmarkEnd w:id="1032"/>
    <w:bookmarkEnd w:id="1033"/>
    <w:bookmarkEnd w:id="1034"/>
    <w:bookmarkEnd w:id="1035"/>
    <w:bookmarkEnd w:id="1036"/>
    <w:bookmarkEnd w:id="1037"/>
    <w:bookmarkEnd w:id="1038"/>
    <w:bookmarkEnd w:id="1039"/>
    <w:bookmarkEnd w:id="1040"/>
    <w:bookmarkEnd w:id="1041"/>
    <w:p w14:paraId="2425D731">
      <w:pPr>
        <w:pStyle w:val="7"/>
        <w:spacing w:before="0" w:beforeAutospacing="0" w:after="0" w:afterAutospacing="0" w:line="360" w:lineRule="auto"/>
        <w:ind w:firstLine="422" w:firstLineChars="200"/>
        <w:rPr>
          <w:color w:val="auto"/>
          <w:sz w:val="21"/>
          <w:szCs w:val="21"/>
        </w:rPr>
      </w:pPr>
      <w:bookmarkStart w:id="1042" w:name="_Toc532377322"/>
      <w:r>
        <w:rPr>
          <w:rFonts w:hint="eastAsia"/>
          <w:color w:val="auto"/>
          <w:sz w:val="21"/>
          <w:szCs w:val="21"/>
        </w:rPr>
        <w:t>1.1词语定义与解释</w:t>
      </w:r>
      <w:bookmarkEnd w:id="1042"/>
    </w:p>
    <w:p w14:paraId="48FB63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 合同</w:t>
      </w:r>
    </w:p>
    <w:p w14:paraId="7469F02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1.1.1.6技术标准和要求：</w:t>
      </w:r>
      <w:r>
        <w:rPr>
          <w:rFonts w:hint="eastAsia" w:ascii="宋体" w:hAnsi="宋体"/>
          <w:color w:val="auto"/>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rPr>
        <w:t>。</w:t>
      </w:r>
    </w:p>
    <w:p w14:paraId="4BFA52F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w:t>
      </w:r>
      <w:r>
        <w:rPr>
          <w:rFonts w:hint="eastAsia" w:ascii="宋体" w:hAnsi="宋体"/>
          <w:color w:val="auto"/>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rPr>
        <w:t>。</w:t>
      </w:r>
    </w:p>
    <w:p w14:paraId="262A572D">
      <w:pPr>
        <w:spacing w:line="360" w:lineRule="auto"/>
        <w:ind w:firstLine="420" w:firstLineChars="200"/>
        <w:jc w:val="left"/>
        <w:rPr>
          <w:rFonts w:ascii="宋体" w:hAnsi="宋体"/>
          <w:color w:val="auto"/>
          <w:szCs w:val="21"/>
        </w:rPr>
      </w:pPr>
      <w:r>
        <w:rPr>
          <w:rFonts w:hint="eastAsia" w:ascii="宋体" w:hAnsi="宋体"/>
          <w:color w:val="auto"/>
          <w:kern w:val="0"/>
          <w:szCs w:val="21"/>
        </w:rPr>
        <w:t>1.1.1.10 其他合同文件包括：</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6E0E3BB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本项补充1.1.1.11～1.1.1.16目：</w:t>
      </w:r>
    </w:p>
    <w:p w14:paraId="591ECF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1.1.1.11 采购文件：</w:t>
      </w:r>
      <w:r>
        <w:rPr>
          <w:rFonts w:hint="eastAsia" w:ascii="宋体" w:hAnsi="宋体"/>
          <w:color w:val="auto"/>
          <w:kern w:val="0"/>
          <w:szCs w:val="21"/>
          <w:u w:val="single"/>
        </w:rPr>
        <w:t>指本工程的采购文件、图纸、其他技术资料及采购人发出的对采购文件所作的澄清、修改等资料</w:t>
      </w:r>
      <w:r>
        <w:rPr>
          <w:rFonts w:hint="eastAsia" w:ascii="宋体" w:hAnsi="宋体"/>
          <w:color w:val="auto"/>
          <w:kern w:val="0"/>
          <w:szCs w:val="21"/>
        </w:rPr>
        <w:t>。</w:t>
      </w:r>
    </w:p>
    <w:p w14:paraId="293B339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1.1.1.12 工作：</w:t>
      </w:r>
      <w:r>
        <w:rPr>
          <w:rFonts w:hint="eastAsia" w:ascii="宋体" w:hAnsi="宋体"/>
          <w:color w:val="auto"/>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rPr>
        <w:t>。</w:t>
      </w:r>
    </w:p>
    <w:p w14:paraId="69BACD23">
      <w:pPr>
        <w:spacing w:line="360" w:lineRule="auto"/>
        <w:ind w:firstLine="420" w:firstLineChars="200"/>
        <w:jc w:val="left"/>
        <w:rPr>
          <w:rFonts w:ascii="宋体" w:hAnsi="宋体"/>
          <w:color w:val="auto"/>
          <w:szCs w:val="21"/>
        </w:rPr>
      </w:pPr>
      <w:r>
        <w:rPr>
          <w:rFonts w:hint="eastAsia" w:ascii="宋体" w:hAnsi="宋体"/>
          <w:color w:val="auto"/>
          <w:szCs w:val="21"/>
        </w:rPr>
        <w:t>1.1.1.13 重大设计变更：按照规定需要重新报建设行政主管部门批准的设计变更。</w:t>
      </w:r>
    </w:p>
    <w:p w14:paraId="66D0F95F">
      <w:pPr>
        <w:spacing w:line="360" w:lineRule="auto"/>
        <w:ind w:firstLine="420" w:firstLineChars="200"/>
        <w:jc w:val="left"/>
        <w:rPr>
          <w:rFonts w:ascii="宋体" w:hAnsi="宋体"/>
          <w:color w:val="auto"/>
          <w:szCs w:val="21"/>
        </w:rPr>
      </w:pPr>
      <w:r>
        <w:rPr>
          <w:rFonts w:ascii="宋体" w:hAnsi="宋体"/>
          <w:color w:val="auto"/>
          <w:szCs w:val="21"/>
        </w:rPr>
        <w:t>1.1.1.</w:t>
      </w:r>
      <w:r>
        <w:rPr>
          <w:rFonts w:hint="eastAsia" w:ascii="宋体" w:hAnsi="宋体"/>
          <w:color w:val="auto"/>
          <w:szCs w:val="21"/>
        </w:rPr>
        <w:t>14 公章：专指法定单位名称章</w:t>
      </w:r>
      <w:r>
        <w:rPr>
          <w:rFonts w:ascii="宋体" w:hAnsi="宋体"/>
          <w:color w:val="auto"/>
          <w:szCs w:val="21"/>
        </w:rPr>
        <w:t>。</w:t>
      </w:r>
    </w:p>
    <w:bookmarkEnd w:id="1031"/>
    <w:p w14:paraId="555FD16F">
      <w:pPr>
        <w:spacing w:line="360" w:lineRule="auto"/>
        <w:ind w:firstLine="420" w:firstLineChars="200"/>
        <w:jc w:val="left"/>
        <w:rPr>
          <w:rFonts w:ascii="宋体" w:hAnsi="宋体"/>
          <w:color w:val="auto"/>
          <w:szCs w:val="21"/>
        </w:rPr>
      </w:pPr>
      <w:r>
        <w:rPr>
          <w:rFonts w:hint="eastAsia" w:ascii="宋体" w:hAnsi="宋体"/>
          <w:color w:val="auto"/>
          <w:szCs w:val="21"/>
        </w:rPr>
        <w:t>1.1.1.15 到岗：指承包人按照到岗履职承诺安排满足办理施工许可手续相关要求的项目主要管理人员实际到施工现场就职履约的行为。</w:t>
      </w:r>
    </w:p>
    <w:p w14:paraId="6AD543D8">
      <w:pPr>
        <w:spacing w:line="360" w:lineRule="auto"/>
        <w:ind w:firstLine="420" w:firstLineChars="200"/>
        <w:jc w:val="left"/>
        <w:rPr>
          <w:rFonts w:ascii="宋体" w:hAnsi="宋体"/>
          <w:color w:val="auto"/>
          <w:szCs w:val="21"/>
        </w:rPr>
      </w:pPr>
      <w:r>
        <w:rPr>
          <w:rFonts w:hint="eastAsia" w:ascii="宋体" w:hAnsi="宋体"/>
          <w:color w:val="auto"/>
          <w:szCs w:val="21"/>
        </w:rPr>
        <w:t>1.1.1.16 项目法人：指具有民事权利能力和民事行为能力，依法独立享有民事权利和承担民事义务，以建设项目为目的，从事项目管理的机构、单位或组织。</w:t>
      </w:r>
    </w:p>
    <w:p w14:paraId="4E2C0263">
      <w:pPr>
        <w:spacing w:line="360" w:lineRule="auto"/>
        <w:ind w:firstLine="420" w:firstLineChars="200"/>
        <w:jc w:val="left"/>
        <w:rPr>
          <w:rFonts w:ascii="宋体" w:hAnsi="宋体"/>
          <w:color w:val="auto"/>
          <w:szCs w:val="21"/>
        </w:rPr>
      </w:pPr>
      <w:r>
        <w:rPr>
          <w:rFonts w:hint="eastAsia" w:ascii="宋体" w:hAnsi="宋体"/>
          <w:color w:val="auto"/>
          <w:szCs w:val="21"/>
        </w:rPr>
        <w:t>1.1.2 合同当事人及其他相关方</w:t>
      </w:r>
    </w:p>
    <w:p w14:paraId="009B5CE0">
      <w:pPr>
        <w:spacing w:line="360" w:lineRule="auto"/>
        <w:ind w:firstLine="420" w:firstLineChars="200"/>
        <w:jc w:val="left"/>
        <w:rPr>
          <w:rFonts w:ascii="宋体" w:hAnsi="宋体"/>
          <w:color w:val="auto"/>
          <w:szCs w:val="21"/>
        </w:rPr>
      </w:pPr>
      <w:r>
        <w:rPr>
          <w:rFonts w:hint="eastAsia" w:ascii="宋体" w:hAnsi="宋体"/>
          <w:color w:val="auto"/>
          <w:szCs w:val="21"/>
        </w:rPr>
        <w:t>1.1.2.4 监理人：</w:t>
      </w:r>
    </w:p>
    <w:p w14:paraId="7A44AE66">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1FEE8786">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2CCBCD6C">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745FC79B">
      <w:pPr>
        <w:spacing w:line="360" w:lineRule="auto"/>
        <w:ind w:firstLine="420" w:firstLineChars="200"/>
        <w:jc w:val="left"/>
        <w:rPr>
          <w:rFonts w:ascii="宋体" w:hAnsi="宋体"/>
          <w:color w:val="auto"/>
          <w:szCs w:val="21"/>
        </w:rPr>
      </w:pPr>
      <w:r>
        <w:rPr>
          <w:rFonts w:hint="eastAsia" w:ascii="宋体" w:hAnsi="宋体"/>
          <w:color w:val="auto"/>
          <w:szCs w:val="21"/>
        </w:rPr>
        <w:t>1.1.2.5 设计人：</w:t>
      </w:r>
    </w:p>
    <w:p w14:paraId="3438B5A2">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0849E11A">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2CF5D4AA">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7B889B00">
      <w:pPr>
        <w:spacing w:line="360" w:lineRule="auto"/>
        <w:ind w:firstLine="420" w:firstLineChars="200"/>
        <w:jc w:val="left"/>
        <w:rPr>
          <w:rFonts w:ascii="宋体" w:hAnsi="宋体"/>
          <w:color w:val="auto"/>
          <w:szCs w:val="21"/>
        </w:rPr>
      </w:pPr>
      <w:r>
        <w:rPr>
          <w:rFonts w:hint="eastAsia" w:ascii="宋体" w:hAnsi="宋体"/>
          <w:color w:val="auto"/>
          <w:szCs w:val="21"/>
        </w:rPr>
        <w:t>1.1.3 工程和设备</w:t>
      </w:r>
    </w:p>
    <w:p w14:paraId="772CEA61">
      <w:pPr>
        <w:spacing w:line="360" w:lineRule="auto"/>
        <w:ind w:firstLine="420" w:firstLineChars="200"/>
        <w:jc w:val="left"/>
        <w:rPr>
          <w:rFonts w:ascii="宋体" w:hAnsi="宋体"/>
          <w:color w:val="auto"/>
          <w:szCs w:val="21"/>
        </w:rPr>
      </w:pPr>
      <w:r>
        <w:rPr>
          <w:rFonts w:hint="eastAsia" w:ascii="宋体" w:hAnsi="宋体"/>
          <w:color w:val="auto"/>
          <w:kern w:val="0"/>
          <w:szCs w:val="21"/>
        </w:rPr>
        <w:t>1.1.3.7 作为施工现场组成部分的其他场所包括：</w:t>
      </w:r>
      <w:r>
        <w:rPr>
          <w:rFonts w:hint="eastAsia" w:ascii="宋体" w:hAnsi="宋体"/>
          <w:color w:val="auto"/>
          <w:kern w:val="0"/>
          <w:szCs w:val="21"/>
          <w:u w:val="single"/>
        </w:rPr>
        <w:t>永久占地、临时占地以及为修建临时工程而租用、占用的土地</w:t>
      </w:r>
      <w:r>
        <w:rPr>
          <w:rFonts w:hint="eastAsia" w:ascii="宋体" w:hAnsi="宋体"/>
          <w:color w:val="auto"/>
          <w:szCs w:val="21"/>
        </w:rPr>
        <w:t>。</w:t>
      </w:r>
    </w:p>
    <w:p w14:paraId="296010ED">
      <w:pPr>
        <w:spacing w:line="360" w:lineRule="auto"/>
        <w:ind w:firstLine="420" w:firstLineChars="200"/>
        <w:jc w:val="left"/>
        <w:rPr>
          <w:rFonts w:ascii="宋体" w:hAnsi="宋体"/>
          <w:color w:val="auto"/>
          <w:szCs w:val="21"/>
        </w:rPr>
      </w:pPr>
      <w:r>
        <w:rPr>
          <w:rFonts w:hint="eastAsia" w:ascii="宋体" w:hAnsi="宋体"/>
          <w:color w:val="auto"/>
          <w:kern w:val="0"/>
          <w:szCs w:val="21"/>
        </w:rPr>
        <w:t>1.1.3.9 永久占地包括：</w:t>
      </w:r>
      <w:r>
        <w:rPr>
          <w:rFonts w:hint="eastAsia" w:ascii="宋体" w:hAnsi="宋体"/>
          <w:color w:val="auto"/>
          <w:kern w:val="0"/>
          <w:szCs w:val="21"/>
          <w:u w:val="single"/>
        </w:rPr>
        <w:t>为实施合同工程而需要的一切永久占用的土地，即合同工程</w:t>
      </w:r>
      <w:r>
        <w:rPr>
          <w:rFonts w:hint="eastAsia" w:ascii="宋体" w:hAnsi="宋体"/>
          <w:color w:val="auto"/>
          <w:szCs w:val="21"/>
          <w:u w:val="single"/>
        </w:rPr>
        <w:t>用地红线范围内的土地</w:t>
      </w:r>
      <w:r>
        <w:rPr>
          <w:rFonts w:hint="eastAsia" w:ascii="宋体" w:hAnsi="宋体"/>
          <w:color w:val="auto"/>
          <w:szCs w:val="21"/>
        </w:rPr>
        <w:t>。</w:t>
      </w:r>
    </w:p>
    <w:p w14:paraId="08E6DD39">
      <w:pPr>
        <w:spacing w:line="360" w:lineRule="auto"/>
        <w:ind w:firstLine="420" w:firstLineChars="200"/>
        <w:jc w:val="left"/>
        <w:rPr>
          <w:rFonts w:ascii="宋体" w:hAnsi="宋体"/>
          <w:color w:val="auto"/>
          <w:szCs w:val="21"/>
        </w:rPr>
      </w:pPr>
      <w:r>
        <w:rPr>
          <w:rFonts w:hint="eastAsia" w:ascii="宋体" w:hAnsi="宋体"/>
          <w:color w:val="auto"/>
          <w:szCs w:val="21"/>
        </w:rPr>
        <w:t>1.1.3.10 临时占地包括：</w:t>
      </w:r>
      <w:r>
        <w:rPr>
          <w:rFonts w:hint="eastAsia" w:ascii="宋体" w:hAnsi="宋体"/>
          <w:color w:val="auto"/>
          <w:szCs w:val="21"/>
          <w:u w:val="single"/>
        </w:rPr>
        <w:t>为实施合同工程而需要</w:t>
      </w:r>
      <w:r>
        <w:rPr>
          <w:rFonts w:hint="eastAsia" w:ascii="宋体" w:hAnsi="宋体"/>
          <w:color w:val="auto"/>
          <w:kern w:val="0"/>
          <w:szCs w:val="21"/>
          <w:u w:val="single"/>
        </w:rPr>
        <w:t>的一切</w:t>
      </w:r>
      <w:r>
        <w:rPr>
          <w:rFonts w:hint="eastAsia" w:ascii="宋体" w:hAnsi="宋体"/>
          <w:color w:val="auto"/>
          <w:szCs w:val="21"/>
          <w:u w:val="single"/>
        </w:rPr>
        <w:t>临时占用的土地，包括施工所用的临时便道等的临时出入道，以及生产（办公）、生活等临时设施用地</w:t>
      </w:r>
      <w:r>
        <w:rPr>
          <w:rFonts w:hint="eastAsia" w:ascii="宋体" w:hAnsi="宋体"/>
          <w:color w:val="auto"/>
          <w:szCs w:val="21"/>
        </w:rPr>
        <w:t>。</w:t>
      </w:r>
    </w:p>
    <w:p w14:paraId="2BD7179B">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459D2910">
      <w:pPr>
        <w:spacing w:line="360" w:lineRule="auto"/>
        <w:ind w:firstLine="420" w:firstLineChars="200"/>
        <w:jc w:val="left"/>
        <w:rPr>
          <w:rFonts w:ascii="宋体" w:hAnsi="宋体"/>
          <w:color w:val="auto"/>
          <w:szCs w:val="21"/>
        </w:rPr>
      </w:pPr>
      <w:bookmarkStart w:id="1043" w:name="_Hlk528927262"/>
      <w:r>
        <w:rPr>
          <w:rFonts w:hint="eastAsia" w:ascii="宋体" w:hAnsi="宋体"/>
          <w:color w:val="auto"/>
          <w:szCs w:val="21"/>
        </w:rPr>
        <w:t>本项补充1.1.6.2～1.1.6.3目：</w:t>
      </w:r>
    </w:p>
    <w:p w14:paraId="1C40D1D8">
      <w:pPr>
        <w:spacing w:line="360" w:lineRule="auto"/>
        <w:ind w:firstLine="420" w:firstLineChars="200"/>
        <w:jc w:val="left"/>
        <w:rPr>
          <w:rFonts w:ascii="宋体" w:hAnsi="宋体"/>
          <w:color w:val="auto"/>
          <w:szCs w:val="21"/>
        </w:rPr>
      </w:pPr>
      <w:r>
        <w:rPr>
          <w:rFonts w:hint="eastAsia" w:ascii="宋体" w:hAnsi="宋体"/>
          <w:color w:val="auto"/>
          <w:szCs w:val="21"/>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rPr>
        <w:t>违法行为</w:t>
      </w:r>
      <w:r>
        <w:rPr>
          <w:rFonts w:hint="eastAsia" w:ascii="宋体" w:hAnsi="宋体"/>
          <w:color w:val="auto"/>
          <w:szCs w:val="21"/>
        </w:rPr>
        <w:t>。</w:t>
      </w:r>
    </w:p>
    <w:bookmarkEnd w:id="1043"/>
    <w:p w14:paraId="35092513">
      <w:pPr>
        <w:spacing w:line="360" w:lineRule="auto"/>
        <w:ind w:firstLine="420" w:firstLineChars="200"/>
        <w:jc w:val="left"/>
        <w:rPr>
          <w:rFonts w:ascii="宋体" w:hAnsi="宋体"/>
          <w:color w:val="auto"/>
          <w:szCs w:val="21"/>
        </w:rPr>
      </w:pPr>
      <w:r>
        <w:rPr>
          <w:rFonts w:hint="eastAsia" w:ascii="宋体" w:hAnsi="宋体"/>
          <w:color w:val="auto"/>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41FC948B">
      <w:pPr>
        <w:pStyle w:val="7"/>
        <w:spacing w:before="0" w:beforeAutospacing="0" w:after="0" w:afterAutospacing="0" w:line="360" w:lineRule="auto"/>
        <w:ind w:firstLine="422" w:firstLineChars="200"/>
        <w:rPr>
          <w:color w:val="auto"/>
          <w:sz w:val="21"/>
          <w:szCs w:val="21"/>
        </w:rPr>
      </w:pPr>
      <w:bookmarkStart w:id="1044" w:name="_Toc532377323"/>
      <w:r>
        <w:rPr>
          <w:rFonts w:hint="eastAsia"/>
          <w:color w:val="auto"/>
          <w:sz w:val="21"/>
          <w:szCs w:val="21"/>
        </w:rPr>
        <w:t>1.4 标准和规范</w:t>
      </w:r>
      <w:bookmarkEnd w:id="1044"/>
    </w:p>
    <w:p w14:paraId="37EBE60E">
      <w:pPr>
        <w:spacing w:line="360" w:lineRule="auto"/>
        <w:ind w:firstLine="420" w:firstLineChars="200"/>
        <w:jc w:val="left"/>
        <w:rPr>
          <w:rFonts w:ascii="宋体" w:hAnsi="宋体"/>
          <w:color w:val="auto"/>
          <w:szCs w:val="21"/>
        </w:rPr>
      </w:pPr>
      <w:r>
        <w:rPr>
          <w:rFonts w:hint="eastAsia" w:ascii="宋体" w:hAnsi="宋体"/>
          <w:color w:val="auto"/>
          <w:szCs w:val="21"/>
        </w:rPr>
        <w:t>1.4.1 适用于工程的标准规范包括：</w:t>
      </w:r>
    </w:p>
    <w:p w14:paraId="4DE6D525">
      <w:pPr>
        <w:spacing w:line="360" w:lineRule="auto"/>
        <w:ind w:firstLine="420" w:firstLineChars="200"/>
        <w:jc w:val="left"/>
        <w:rPr>
          <w:rFonts w:ascii="宋体" w:hAnsi="宋体"/>
          <w:color w:val="auto"/>
          <w:szCs w:val="21"/>
        </w:rPr>
      </w:pPr>
      <w:r>
        <w:rPr>
          <w:rFonts w:hint="eastAsia" w:ascii="宋体" w:hAnsi="宋体"/>
          <w:color w:val="auto"/>
          <w:szCs w:val="21"/>
        </w:rPr>
        <w:t>（1）施工图所涉及的技术标准、规范、规程、图集等；</w:t>
      </w:r>
    </w:p>
    <w:p w14:paraId="64FC9E03">
      <w:pPr>
        <w:spacing w:line="360" w:lineRule="auto"/>
        <w:ind w:firstLine="420" w:firstLineChars="200"/>
        <w:jc w:val="left"/>
        <w:rPr>
          <w:rFonts w:ascii="宋体" w:hAnsi="宋体"/>
          <w:color w:val="auto"/>
          <w:szCs w:val="21"/>
          <w:u w:val="single"/>
        </w:rPr>
      </w:pPr>
      <w:r>
        <w:rPr>
          <w:rFonts w:hint="eastAsia" w:ascii="宋体" w:hAnsi="宋体"/>
          <w:color w:val="auto"/>
          <w:szCs w:val="21"/>
        </w:rPr>
        <w:t>（2）国家、行业或重庆市与本工程有关的标准，以及相应的规范、规程等，当这些标准、规范、规程不一致时，以标准、规范、规程要求最高的为准。</w:t>
      </w:r>
    </w:p>
    <w:p w14:paraId="2382F6F8">
      <w:pPr>
        <w:spacing w:line="360" w:lineRule="auto"/>
        <w:ind w:firstLine="420" w:firstLineChars="200"/>
        <w:jc w:val="left"/>
        <w:rPr>
          <w:rFonts w:ascii="宋体" w:hAnsi="宋体"/>
          <w:color w:val="auto"/>
          <w:szCs w:val="21"/>
          <w:u w:val="single"/>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14:paraId="43C2662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3E73FF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发包人提供国外标准、规范的份数：</w:t>
      </w:r>
      <w:r>
        <w:rPr>
          <w:rFonts w:hint="eastAsia" w:ascii="宋体" w:hAnsi="宋体"/>
          <w:color w:val="auto"/>
          <w:kern w:val="0"/>
          <w:szCs w:val="21"/>
          <w:u w:val="single"/>
        </w:rPr>
        <w:t xml:space="preserve"> / </w:t>
      </w:r>
      <w:r>
        <w:rPr>
          <w:rFonts w:hint="eastAsia" w:ascii="宋体" w:hAnsi="宋体"/>
          <w:color w:val="auto"/>
          <w:kern w:val="0"/>
          <w:szCs w:val="21"/>
        </w:rPr>
        <w:t>；</w:t>
      </w:r>
    </w:p>
    <w:p w14:paraId="4B9513B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083B8237">
      <w:pPr>
        <w:spacing w:line="360" w:lineRule="auto"/>
        <w:ind w:firstLine="420" w:firstLineChars="200"/>
        <w:jc w:val="left"/>
        <w:rPr>
          <w:rFonts w:ascii="宋体" w:hAnsi="宋体"/>
          <w:color w:val="auto"/>
          <w:szCs w:val="21"/>
        </w:rPr>
      </w:pPr>
      <w:r>
        <w:rPr>
          <w:rFonts w:hint="eastAsia" w:ascii="宋体" w:hAnsi="宋体"/>
          <w:color w:val="auto"/>
          <w:szCs w:val="21"/>
        </w:rPr>
        <w:t>1.4.3 发包人对工程的技术标准和功能要求的特殊要求：</w:t>
      </w:r>
      <w:r>
        <w:rPr>
          <w:rFonts w:hint="eastAsia" w:ascii="宋体" w:hAnsi="宋体"/>
          <w:color w:val="auto"/>
          <w:kern w:val="0"/>
          <w:szCs w:val="21"/>
          <w:u w:val="single"/>
        </w:rPr>
        <w:t xml:space="preserve">/ </w:t>
      </w:r>
      <w:r>
        <w:rPr>
          <w:rFonts w:hint="eastAsia" w:ascii="宋体" w:hAnsi="宋体"/>
          <w:color w:val="auto"/>
          <w:szCs w:val="21"/>
        </w:rPr>
        <w:t>。</w:t>
      </w:r>
    </w:p>
    <w:p w14:paraId="47CC54C6">
      <w:pPr>
        <w:pStyle w:val="7"/>
        <w:spacing w:before="0" w:beforeAutospacing="0" w:after="0" w:afterAutospacing="0" w:line="360" w:lineRule="auto"/>
        <w:ind w:firstLine="422" w:firstLineChars="200"/>
        <w:rPr>
          <w:color w:val="auto"/>
          <w:sz w:val="21"/>
          <w:szCs w:val="21"/>
        </w:rPr>
      </w:pPr>
      <w:bookmarkStart w:id="1045" w:name="_Toc532377324"/>
      <w:r>
        <w:rPr>
          <w:rFonts w:hint="eastAsia"/>
          <w:color w:val="auto"/>
          <w:sz w:val="21"/>
          <w:szCs w:val="21"/>
        </w:rPr>
        <w:t>1.5 合同文件的优先顺序</w:t>
      </w:r>
      <w:bookmarkEnd w:id="1045"/>
    </w:p>
    <w:p w14:paraId="35877258">
      <w:pPr>
        <w:spacing w:line="360" w:lineRule="auto"/>
        <w:ind w:firstLine="420" w:firstLineChars="200"/>
        <w:jc w:val="left"/>
        <w:rPr>
          <w:rFonts w:ascii="宋体" w:hAnsi="宋体"/>
          <w:color w:val="auto"/>
          <w:szCs w:val="21"/>
        </w:rPr>
      </w:pPr>
      <w:r>
        <w:rPr>
          <w:rFonts w:hint="eastAsia" w:ascii="宋体" w:hAnsi="宋体"/>
          <w:color w:val="auto"/>
          <w:szCs w:val="21"/>
        </w:rPr>
        <w:t>合同文件组成及优先顺序为：</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016F56CC">
      <w:pPr>
        <w:pStyle w:val="7"/>
        <w:spacing w:before="0" w:beforeAutospacing="0" w:after="0" w:afterAutospacing="0" w:line="360" w:lineRule="auto"/>
        <w:ind w:firstLine="422" w:firstLineChars="200"/>
        <w:rPr>
          <w:color w:val="auto"/>
          <w:sz w:val="21"/>
          <w:szCs w:val="21"/>
        </w:rPr>
      </w:pPr>
      <w:bookmarkStart w:id="1046" w:name="_Toc532377325"/>
      <w:r>
        <w:rPr>
          <w:rFonts w:hint="eastAsia"/>
          <w:color w:val="auto"/>
          <w:sz w:val="21"/>
          <w:szCs w:val="21"/>
        </w:rPr>
        <w:t>1.6 图纸和承包人文件</w:t>
      </w:r>
      <w:bookmarkEnd w:id="1046"/>
    </w:p>
    <w:p w14:paraId="2E7B222C">
      <w:pPr>
        <w:spacing w:line="360" w:lineRule="auto"/>
        <w:ind w:firstLine="420" w:firstLineChars="200"/>
        <w:jc w:val="left"/>
        <w:rPr>
          <w:rFonts w:ascii="宋体" w:hAnsi="宋体"/>
          <w:color w:val="auto"/>
          <w:szCs w:val="21"/>
        </w:rPr>
      </w:pPr>
      <w:r>
        <w:rPr>
          <w:rFonts w:hint="eastAsia" w:ascii="宋体" w:hAnsi="宋体"/>
          <w:color w:val="auto"/>
          <w:szCs w:val="21"/>
        </w:rPr>
        <w:t>1.6.1 图纸的提供和交底</w:t>
      </w:r>
    </w:p>
    <w:p w14:paraId="3A563BB8">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发包人向承包人提供图纸的期限：</w:t>
      </w:r>
      <w:r>
        <w:rPr>
          <w:rFonts w:hint="eastAsia" w:ascii="宋体" w:hAnsi="宋体"/>
          <w:color w:val="auto"/>
          <w:szCs w:val="21"/>
          <w:u w:val="single"/>
        </w:rPr>
        <w:t>通用合同条款第7.3.2款</w:t>
      </w:r>
      <w:r>
        <w:rPr>
          <w:rFonts w:hint="eastAsia" w:ascii="宋体" w:hAnsi="宋体"/>
          <w:bCs/>
          <w:color w:val="auto"/>
          <w:szCs w:val="21"/>
          <w:u w:val="single"/>
        </w:rPr>
        <w:t>〔</w:t>
      </w:r>
      <w:r>
        <w:rPr>
          <w:rFonts w:hint="eastAsia" w:ascii="宋体" w:hAnsi="宋体"/>
          <w:color w:val="auto"/>
          <w:szCs w:val="21"/>
          <w:u w:val="single"/>
        </w:rPr>
        <w:t>开工通知</w:t>
      </w:r>
      <w:r>
        <w:rPr>
          <w:rFonts w:hint="eastAsia" w:ascii="宋体" w:hAnsi="宋体"/>
          <w:bCs/>
          <w:color w:val="auto"/>
          <w:szCs w:val="21"/>
          <w:u w:val="single"/>
        </w:rPr>
        <w:t>〕</w:t>
      </w:r>
      <w:r>
        <w:rPr>
          <w:rFonts w:hint="eastAsia" w:ascii="宋体" w:hAnsi="宋体"/>
          <w:color w:val="auto"/>
          <w:szCs w:val="21"/>
          <w:u w:val="single"/>
        </w:rPr>
        <w:t>载明的开工日期前14天</w:t>
      </w:r>
      <w:r>
        <w:rPr>
          <w:rFonts w:hint="eastAsia" w:ascii="宋体" w:hAnsi="宋体"/>
          <w:color w:val="auto"/>
          <w:szCs w:val="21"/>
        </w:rPr>
        <w:t>；</w:t>
      </w:r>
    </w:p>
    <w:p w14:paraId="08E75A1C">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发包人向承包人提供图纸的数量：</w:t>
      </w:r>
      <w:r>
        <w:rPr>
          <w:rFonts w:hint="eastAsia" w:ascii="宋体" w:hAnsi="宋体"/>
          <w:color w:val="auto"/>
          <w:szCs w:val="21"/>
          <w:u w:val="single"/>
        </w:rPr>
        <w:t xml:space="preserve">  套</w:t>
      </w:r>
      <w:r>
        <w:rPr>
          <w:rFonts w:hint="eastAsia" w:ascii="宋体" w:hAnsi="宋体"/>
          <w:color w:val="auto"/>
          <w:szCs w:val="21"/>
        </w:rPr>
        <w:t xml:space="preserve">； </w:t>
      </w:r>
    </w:p>
    <w:p w14:paraId="29BD0B59">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发包人向承包人提供图纸的内容：</w:t>
      </w:r>
      <w:r>
        <w:rPr>
          <w:rFonts w:hint="eastAsia" w:ascii="宋体" w:hAnsi="宋体"/>
          <w:color w:val="auto"/>
          <w:szCs w:val="21"/>
          <w:u w:val="single"/>
        </w:rPr>
        <w:t>工程承包范围内工程的施工图设计文件</w:t>
      </w:r>
      <w:r>
        <w:rPr>
          <w:rFonts w:hint="eastAsia" w:ascii="宋体" w:hAnsi="宋体"/>
          <w:color w:val="auto"/>
          <w:szCs w:val="21"/>
        </w:rPr>
        <w:t>；</w:t>
      </w:r>
    </w:p>
    <w:p w14:paraId="4976F1CF">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发包人组织承包人、监理人和设计人进行图纸会审和设计交底的时间：</w:t>
      </w:r>
      <w:r>
        <w:rPr>
          <w:rFonts w:hint="eastAsia" w:ascii="宋体" w:hAnsi="宋体"/>
          <w:color w:val="auto"/>
          <w:szCs w:val="21"/>
          <w:u w:val="single"/>
        </w:rPr>
        <w:t>提供施工图后7天内</w:t>
      </w:r>
      <w:r>
        <w:rPr>
          <w:rFonts w:hint="eastAsia" w:ascii="宋体" w:hAnsi="宋体"/>
          <w:color w:val="auto"/>
          <w:szCs w:val="21"/>
        </w:rPr>
        <w:t>。</w:t>
      </w:r>
    </w:p>
    <w:p w14:paraId="4568AA83">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承包人可以书面方式通过监理人向发包人申请进行紧急的设计交底，发包人认为确有必要且条件许可时，应尽快组织实施承包人申请的设计交底。</w:t>
      </w:r>
    </w:p>
    <w:p w14:paraId="13E39718">
      <w:pPr>
        <w:spacing w:line="360" w:lineRule="auto"/>
        <w:ind w:firstLine="420" w:firstLineChars="200"/>
        <w:jc w:val="left"/>
        <w:rPr>
          <w:rFonts w:ascii="宋体" w:hAnsi="宋体"/>
          <w:color w:val="auto"/>
          <w:szCs w:val="21"/>
        </w:rPr>
      </w:pPr>
      <w:r>
        <w:rPr>
          <w:rFonts w:hint="eastAsia" w:ascii="宋体" w:hAnsi="宋体"/>
          <w:color w:val="auto"/>
          <w:szCs w:val="21"/>
        </w:rPr>
        <w:t>1.6.2 图纸的错误</w:t>
      </w:r>
    </w:p>
    <w:p w14:paraId="4A5695E0">
      <w:pPr>
        <w:spacing w:line="360" w:lineRule="auto"/>
        <w:ind w:firstLine="420" w:firstLineChars="200"/>
        <w:jc w:val="left"/>
        <w:rPr>
          <w:rFonts w:ascii="宋体" w:hAnsi="宋体"/>
          <w:color w:val="auto"/>
          <w:szCs w:val="21"/>
        </w:rPr>
      </w:pPr>
      <w:r>
        <w:rPr>
          <w:rFonts w:hint="eastAsia" w:ascii="宋体" w:hAnsi="宋体"/>
          <w:color w:val="auto"/>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1FA18F6C">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承包人不得利用图纸的差错、遗漏或缺陷，从中获得不正当的利益。</w:t>
      </w:r>
    </w:p>
    <w:p w14:paraId="1C5CC01B">
      <w:pPr>
        <w:spacing w:line="360" w:lineRule="auto"/>
        <w:ind w:firstLine="420" w:firstLineChars="200"/>
        <w:jc w:val="left"/>
        <w:rPr>
          <w:rFonts w:ascii="宋体" w:hAnsi="宋体"/>
          <w:color w:val="auto"/>
          <w:szCs w:val="21"/>
        </w:rPr>
      </w:pPr>
      <w:r>
        <w:rPr>
          <w:rFonts w:hint="eastAsia" w:ascii="宋体" w:hAnsi="宋体"/>
          <w:color w:val="auto"/>
          <w:szCs w:val="21"/>
        </w:rPr>
        <w:t>1.6.4 承包人文件</w:t>
      </w:r>
    </w:p>
    <w:p w14:paraId="7EA73EB5">
      <w:pPr>
        <w:spacing w:line="360" w:lineRule="auto"/>
        <w:ind w:firstLine="420" w:firstLineChars="200"/>
        <w:jc w:val="left"/>
        <w:rPr>
          <w:rFonts w:ascii="宋体" w:hAnsi="宋体"/>
          <w:color w:val="auto"/>
          <w:szCs w:val="21"/>
        </w:rPr>
      </w:pPr>
      <w:r>
        <w:rPr>
          <w:rFonts w:hint="eastAsia" w:ascii="宋体" w:hAnsi="宋体"/>
          <w:color w:val="auto"/>
          <w:szCs w:val="21"/>
        </w:rPr>
        <w:t>需要由承包人提供的书面文件，包括：</w:t>
      </w:r>
      <w:r>
        <w:rPr>
          <w:rFonts w:hint="eastAsia" w:ascii="宋体" w:hAnsi="宋体"/>
          <w:color w:val="auto"/>
          <w:szCs w:val="21"/>
          <w:u w:val="single"/>
        </w:rPr>
        <w:t>施工组织设计、专项施工方案、</w:t>
      </w:r>
      <w:r>
        <w:rPr>
          <w:rFonts w:ascii="宋体" w:hAnsi="宋体"/>
          <w:color w:val="auto"/>
          <w:szCs w:val="21"/>
          <w:u w:val="single"/>
        </w:rPr>
        <w:t>危险性较大分部分项工程施工方案</w:t>
      </w:r>
      <w:r>
        <w:rPr>
          <w:rFonts w:hint="eastAsia" w:ascii="宋体" w:hAnsi="宋体"/>
          <w:color w:val="auto"/>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rPr>
        <w:t>。</w:t>
      </w:r>
    </w:p>
    <w:p w14:paraId="474DFDEF">
      <w:pPr>
        <w:spacing w:line="360" w:lineRule="auto"/>
        <w:ind w:firstLine="420" w:firstLineChars="200"/>
        <w:jc w:val="left"/>
        <w:rPr>
          <w:rFonts w:ascii="宋体" w:hAnsi="宋体"/>
          <w:color w:val="auto"/>
          <w:szCs w:val="21"/>
        </w:rPr>
      </w:pPr>
      <w:r>
        <w:rPr>
          <w:rFonts w:hint="eastAsia" w:ascii="宋体" w:hAnsi="宋体"/>
          <w:color w:val="auto"/>
          <w:szCs w:val="21"/>
        </w:rPr>
        <w:t>承包人提供文件的期限、数量：</w:t>
      </w:r>
    </w:p>
    <w:p w14:paraId="64FF51F6">
      <w:pPr>
        <w:spacing w:line="360" w:lineRule="auto"/>
        <w:ind w:firstLine="420" w:firstLineChars="200"/>
        <w:jc w:val="left"/>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rPr>
        <w:t>。</w:t>
      </w:r>
    </w:p>
    <w:p w14:paraId="77435559">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每月25日前报送月工程进度完成报表</w:t>
      </w:r>
      <w:r>
        <w:rPr>
          <w:rFonts w:hint="eastAsia" w:ascii="宋体" w:hAnsi="宋体"/>
          <w:color w:val="auto"/>
          <w:szCs w:val="21"/>
        </w:rPr>
        <w:t>。</w:t>
      </w:r>
    </w:p>
    <w:p w14:paraId="74DEB9A1">
      <w:pPr>
        <w:spacing w:line="360" w:lineRule="auto"/>
        <w:ind w:firstLine="420" w:firstLineChars="200"/>
        <w:jc w:val="left"/>
        <w:rPr>
          <w:rFonts w:ascii="宋体" w:hAnsi="宋体"/>
          <w:color w:val="auto"/>
          <w:szCs w:val="21"/>
          <w:u w:val="single"/>
        </w:rPr>
      </w:pPr>
      <w:r>
        <w:rPr>
          <w:rFonts w:hint="eastAsia" w:ascii="宋体" w:hAnsi="宋体"/>
          <w:color w:val="auto"/>
          <w:szCs w:val="21"/>
        </w:rPr>
        <w:t>（3）合同另有约定的，按照其约定。</w:t>
      </w:r>
    </w:p>
    <w:p w14:paraId="28CCC34C">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hint="eastAsia" w:ascii="宋体" w:hAnsi="宋体"/>
          <w:color w:val="auto"/>
          <w:szCs w:val="21"/>
          <w:u w:val="single"/>
        </w:rPr>
        <w:t>收到施工组织设计和工程总体进度计划及当年年度施工进度计划后7天内；合同另有约定的，从其约定</w:t>
      </w:r>
      <w:r>
        <w:rPr>
          <w:rFonts w:hint="eastAsia" w:ascii="宋体" w:hAnsi="宋体"/>
          <w:color w:val="auto"/>
          <w:szCs w:val="21"/>
        </w:rPr>
        <w:t>。</w:t>
      </w:r>
    </w:p>
    <w:p w14:paraId="6CC48204">
      <w:pPr>
        <w:spacing w:line="360" w:lineRule="auto"/>
        <w:ind w:firstLine="420" w:firstLineChars="200"/>
        <w:jc w:val="left"/>
        <w:rPr>
          <w:rFonts w:ascii="宋体" w:hAnsi="宋体"/>
          <w:color w:val="auto"/>
          <w:szCs w:val="21"/>
        </w:rPr>
      </w:pPr>
      <w:r>
        <w:rPr>
          <w:rFonts w:hint="eastAsia" w:ascii="宋体" w:hAnsi="宋体"/>
          <w:color w:val="auto"/>
          <w:szCs w:val="21"/>
        </w:rPr>
        <w:t>承包人提供的文件的费用：</w:t>
      </w:r>
      <w:r>
        <w:rPr>
          <w:rFonts w:hint="eastAsia" w:ascii="宋体" w:hAnsi="宋体"/>
          <w:color w:val="auto"/>
          <w:szCs w:val="21"/>
          <w:u w:val="single"/>
        </w:rPr>
        <w:t>由承包人承担</w:t>
      </w:r>
      <w:r>
        <w:rPr>
          <w:rFonts w:hint="eastAsia" w:ascii="宋体" w:hAnsi="宋体"/>
          <w:color w:val="auto"/>
          <w:szCs w:val="21"/>
        </w:rPr>
        <w:t>。</w:t>
      </w:r>
    </w:p>
    <w:p w14:paraId="681BC53F">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发包人审批承包人文件的期限：</w:t>
      </w:r>
      <w:r>
        <w:rPr>
          <w:rFonts w:hint="eastAsia" w:ascii="宋体" w:hAnsi="宋体"/>
          <w:color w:val="auto"/>
          <w:szCs w:val="21"/>
          <w:u w:val="single"/>
        </w:rPr>
        <w:t>收到后14天内；合同另有约定的，从其约定</w:t>
      </w:r>
      <w:r>
        <w:rPr>
          <w:rFonts w:hint="eastAsia" w:ascii="宋体" w:hAnsi="宋体"/>
          <w:color w:val="auto"/>
          <w:szCs w:val="21"/>
        </w:rPr>
        <w:t>。</w:t>
      </w:r>
    </w:p>
    <w:p w14:paraId="26AEBCDA">
      <w:pPr>
        <w:spacing w:line="360" w:lineRule="auto"/>
        <w:ind w:firstLine="420" w:firstLineChars="200"/>
        <w:jc w:val="left"/>
        <w:rPr>
          <w:rFonts w:ascii="宋体" w:hAnsi="宋体"/>
          <w:color w:val="auto"/>
          <w:szCs w:val="21"/>
        </w:rPr>
      </w:pPr>
      <w:r>
        <w:rPr>
          <w:rFonts w:hint="eastAsia" w:ascii="宋体" w:hAnsi="宋体"/>
          <w:color w:val="auto"/>
          <w:szCs w:val="21"/>
          <w:u w:val="single"/>
        </w:rPr>
        <w:t>监理人、发包人的修改意见和审批，不免除或减轻承包人对该工作、工程、材料、工程设备等应承担的责任和义务</w:t>
      </w:r>
      <w:r>
        <w:rPr>
          <w:rFonts w:hint="eastAsia" w:ascii="宋体" w:hAnsi="宋体"/>
          <w:color w:val="auto"/>
          <w:szCs w:val="21"/>
        </w:rPr>
        <w:t>。</w:t>
      </w:r>
    </w:p>
    <w:p w14:paraId="3B2DDB4C">
      <w:pPr>
        <w:pStyle w:val="7"/>
        <w:spacing w:before="0" w:beforeAutospacing="0" w:after="0" w:afterAutospacing="0" w:line="360" w:lineRule="auto"/>
        <w:ind w:firstLine="422" w:firstLineChars="200"/>
        <w:rPr>
          <w:color w:val="auto"/>
          <w:sz w:val="21"/>
          <w:szCs w:val="21"/>
        </w:rPr>
      </w:pPr>
      <w:bookmarkStart w:id="1047" w:name="_Toc532377326"/>
      <w:r>
        <w:rPr>
          <w:rFonts w:hint="eastAsia"/>
          <w:color w:val="auto"/>
          <w:sz w:val="21"/>
          <w:szCs w:val="21"/>
        </w:rPr>
        <w:t>1.7 联络</w:t>
      </w:r>
      <w:bookmarkEnd w:id="1047"/>
    </w:p>
    <w:p w14:paraId="66DEB01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发包人和承包人应当在</w:t>
      </w:r>
      <w:r>
        <w:rPr>
          <w:rFonts w:hint="eastAsia" w:ascii="宋体" w:hAnsi="宋体"/>
          <w:color w:val="auto"/>
          <w:szCs w:val="21"/>
          <w:u w:val="single"/>
        </w:rPr>
        <w:t xml:space="preserve"> 1 </w:t>
      </w:r>
      <w:r>
        <w:rPr>
          <w:rFonts w:hint="eastAsia" w:ascii="宋体" w:hAnsi="宋体"/>
          <w:color w:val="auto"/>
          <w:kern w:val="0"/>
          <w:szCs w:val="21"/>
        </w:rPr>
        <w:t>天内将与合同有关的通知、批准、证明、证书、指示、指令、要求、请求、同意、意见、确定和决定等书面函件送达对方当事人，并办理书面签收手续。</w:t>
      </w:r>
    </w:p>
    <w:p w14:paraId="35192D0A">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7702AA9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发包人指定的接收人：</w:t>
      </w:r>
      <w:bookmarkStart w:id="1048" w:name="_Hlk528493983"/>
      <w:bookmarkEnd w:id="1048"/>
      <w:r>
        <w:rPr>
          <w:rFonts w:ascii="宋体" w:hAnsi="宋体"/>
          <w:color w:val="auto"/>
          <w:kern w:val="0"/>
          <w:szCs w:val="21"/>
          <w:u w:val="single"/>
        </w:rPr>
        <w:t xml:space="preserve">                             </w:t>
      </w:r>
      <w:r>
        <w:rPr>
          <w:rFonts w:hint="eastAsia" w:ascii="宋体" w:hAnsi="宋体"/>
          <w:color w:val="auto"/>
          <w:kern w:val="0"/>
          <w:szCs w:val="21"/>
        </w:rPr>
        <w:t>；</w:t>
      </w:r>
    </w:p>
    <w:p w14:paraId="6DC930AD">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5D86FEC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08B343A7">
      <w:pPr>
        <w:tabs>
          <w:tab w:val="left" w:pos="7371"/>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6B32E2F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01855D5C">
      <w:pPr>
        <w:pStyle w:val="7"/>
        <w:spacing w:before="0" w:beforeAutospacing="0" w:after="0" w:afterAutospacing="0" w:line="360" w:lineRule="auto"/>
        <w:ind w:firstLine="422" w:firstLineChars="200"/>
        <w:rPr>
          <w:color w:val="auto"/>
          <w:sz w:val="21"/>
          <w:szCs w:val="21"/>
        </w:rPr>
      </w:pPr>
      <w:bookmarkStart w:id="1049" w:name="_Toc532377327"/>
      <w:r>
        <w:rPr>
          <w:rFonts w:hint="eastAsia"/>
          <w:color w:val="auto"/>
          <w:sz w:val="21"/>
          <w:szCs w:val="21"/>
        </w:rPr>
        <w:t>1.8 严禁贿赂</w:t>
      </w:r>
      <w:bookmarkEnd w:id="1049"/>
    </w:p>
    <w:p w14:paraId="13E7E58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本款补充以下内容：</w:t>
      </w:r>
    </w:p>
    <w:p w14:paraId="3810E04A">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在合同执行过程中，合同当事人应严格履行附件8《廉洁从业协议》。</w:t>
      </w:r>
    </w:p>
    <w:p w14:paraId="28E56375">
      <w:pPr>
        <w:pStyle w:val="7"/>
        <w:spacing w:before="0" w:beforeAutospacing="0" w:after="0" w:afterAutospacing="0" w:line="360" w:lineRule="auto"/>
        <w:ind w:firstLine="422" w:firstLineChars="200"/>
        <w:rPr>
          <w:color w:val="auto"/>
          <w:sz w:val="21"/>
          <w:szCs w:val="21"/>
        </w:rPr>
      </w:pPr>
      <w:bookmarkStart w:id="1050" w:name="_Toc532377328"/>
      <w:r>
        <w:rPr>
          <w:rFonts w:hint="eastAsia"/>
          <w:color w:val="auto"/>
          <w:sz w:val="21"/>
          <w:szCs w:val="21"/>
        </w:rPr>
        <w:t>1.10 交通运输</w:t>
      </w:r>
      <w:bookmarkEnd w:id="1050"/>
    </w:p>
    <w:p w14:paraId="4BEE3B17">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051" w:name="_Toc312677986"/>
      <w:bookmarkStart w:id="1052" w:name="_Toc300934943"/>
      <w:bookmarkStart w:id="1053" w:name="_Toc304295521"/>
      <w:bookmarkStart w:id="1054" w:name="_Toc303539100"/>
      <w:bookmarkStart w:id="1055" w:name="_Toc318581155"/>
      <w:r>
        <w:rPr>
          <w:rFonts w:hint="eastAsia" w:ascii="宋体" w:hAnsi="宋体"/>
          <w:color w:val="auto"/>
          <w:szCs w:val="21"/>
        </w:rPr>
        <w:t>.10.1 出入现场的权利</w:t>
      </w:r>
    </w:p>
    <w:p w14:paraId="717B053B">
      <w:pPr>
        <w:spacing w:line="360" w:lineRule="auto"/>
        <w:ind w:firstLine="420" w:firstLineChars="200"/>
        <w:jc w:val="left"/>
        <w:rPr>
          <w:rFonts w:ascii="宋体" w:hAnsi="宋体"/>
          <w:color w:val="auto"/>
          <w:kern w:val="0"/>
          <w:szCs w:val="21"/>
        </w:rPr>
      </w:pPr>
      <w:r>
        <w:rPr>
          <w:rFonts w:hint="eastAsia" w:ascii="宋体" w:hAnsi="宋体"/>
          <w:color w:val="auto"/>
          <w:szCs w:val="21"/>
        </w:rPr>
        <w:t>关于出入现场的权利的约定：</w:t>
      </w:r>
      <w:r>
        <w:rPr>
          <w:rFonts w:hint="eastAsia" w:ascii="宋体" w:hAnsi="宋体"/>
          <w:color w:val="auto"/>
          <w:szCs w:val="21"/>
          <w:u w:val="single"/>
        </w:rPr>
        <w:t xml:space="preserve">        </w:t>
      </w:r>
      <w:r>
        <w:rPr>
          <w:rFonts w:hint="eastAsia" w:ascii="宋体" w:hAnsi="宋体"/>
          <w:color w:val="auto"/>
          <w:szCs w:val="21"/>
        </w:rPr>
        <w:t>。</w:t>
      </w:r>
    </w:p>
    <w:bookmarkEnd w:id="1051"/>
    <w:bookmarkEnd w:id="1052"/>
    <w:bookmarkEnd w:id="1053"/>
    <w:bookmarkEnd w:id="1054"/>
    <w:bookmarkEnd w:id="1055"/>
    <w:p w14:paraId="4EE8B617">
      <w:pPr>
        <w:spacing w:line="360" w:lineRule="auto"/>
        <w:ind w:firstLine="420" w:firstLineChars="200"/>
        <w:jc w:val="left"/>
        <w:rPr>
          <w:rFonts w:ascii="宋体" w:hAnsi="宋体"/>
          <w:color w:val="auto"/>
          <w:szCs w:val="21"/>
        </w:rPr>
      </w:pPr>
      <w:r>
        <w:rPr>
          <w:rFonts w:hint="eastAsia" w:ascii="宋体" w:hAnsi="宋体"/>
          <w:color w:val="auto"/>
          <w:szCs w:val="21"/>
        </w:rPr>
        <w:t>1.10.2 场外交通</w:t>
      </w:r>
    </w:p>
    <w:p w14:paraId="1BA1D6D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承包人应遵守有关交通法规，执行有关道路限速、限行、禁止超载的规定，并配合交通管理部门的监督和检查。场外交通以施工场地移交时的现状为准。</w:t>
      </w:r>
    </w:p>
    <w:p w14:paraId="0FE3FE58">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056" w:name="_Toc304295522"/>
      <w:bookmarkStart w:id="1057" w:name="_Toc312677987"/>
      <w:bookmarkStart w:id="1058" w:name="_Toc300934944"/>
      <w:bookmarkStart w:id="1059" w:name="_Toc318581156"/>
      <w:bookmarkStart w:id="1060" w:name="_Toc303539101"/>
      <w:r>
        <w:rPr>
          <w:rFonts w:hint="eastAsia" w:ascii="宋体" w:hAnsi="宋体"/>
          <w:color w:val="auto"/>
          <w:szCs w:val="21"/>
        </w:rPr>
        <w:t>.10.3 场内交通</w:t>
      </w:r>
    </w:p>
    <w:p w14:paraId="0267FD2F">
      <w:pPr>
        <w:spacing w:line="360" w:lineRule="auto"/>
        <w:ind w:firstLine="420" w:firstLineChars="200"/>
        <w:jc w:val="left"/>
        <w:rPr>
          <w:rFonts w:ascii="宋体" w:hAnsi="宋体"/>
          <w:color w:val="auto"/>
          <w:szCs w:val="21"/>
          <w:u w:val="single"/>
        </w:rPr>
      </w:pPr>
      <w:r>
        <w:rPr>
          <w:rFonts w:hint="eastAsia" w:ascii="宋体" w:hAnsi="宋体"/>
          <w:color w:val="auto"/>
          <w:kern w:val="0"/>
          <w:szCs w:val="21"/>
        </w:rPr>
        <w:t>关于场外交通和场内交通的边界的约定：</w:t>
      </w:r>
      <w:r>
        <w:rPr>
          <w:rFonts w:hint="eastAsia" w:ascii="宋体" w:hAnsi="宋体"/>
          <w:color w:val="auto"/>
          <w:szCs w:val="21"/>
          <w:u w:val="single"/>
        </w:rPr>
        <w:t>以合同工程用地红线为界，用地红线外为场外交通，用地红线范围内为场内交通（场外道路穿越场内的除外）</w:t>
      </w:r>
      <w:r>
        <w:rPr>
          <w:rFonts w:hint="eastAsia" w:ascii="宋体" w:hAnsi="宋体"/>
          <w:color w:val="auto"/>
          <w:szCs w:val="21"/>
        </w:rPr>
        <w:t>。</w:t>
      </w:r>
    </w:p>
    <w:p w14:paraId="57A42851">
      <w:pPr>
        <w:spacing w:line="360" w:lineRule="auto"/>
        <w:ind w:firstLine="420" w:firstLineChars="200"/>
        <w:jc w:val="left"/>
        <w:rPr>
          <w:rFonts w:ascii="宋体" w:hAnsi="宋体"/>
          <w:color w:val="auto"/>
          <w:szCs w:val="21"/>
        </w:rPr>
      </w:pPr>
      <w:r>
        <w:rPr>
          <w:rFonts w:hint="eastAsia" w:ascii="宋体" w:hAnsi="宋体"/>
          <w:color w:val="auto"/>
          <w:kern w:val="0"/>
          <w:szCs w:val="21"/>
        </w:rPr>
        <w:t>关于发包人向承包人免费提供满足工程施工需要的场内道路和交通设施的约定：</w:t>
      </w:r>
      <w:r>
        <w:rPr>
          <w:rFonts w:hint="eastAsia" w:ascii="宋体" w:hAnsi="宋体"/>
          <w:color w:val="auto"/>
          <w:kern w:val="0"/>
          <w:szCs w:val="21"/>
          <w:u w:val="single"/>
        </w:rPr>
        <w:t>以施工场地移交时的现状为准</w:t>
      </w:r>
      <w:r>
        <w:rPr>
          <w:rFonts w:hint="eastAsia" w:ascii="宋体" w:hAnsi="宋体"/>
          <w:color w:val="auto"/>
          <w:szCs w:val="21"/>
        </w:rPr>
        <w:t>。</w:t>
      </w:r>
    </w:p>
    <w:bookmarkEnd w:id="1056"/>
    <w:bookmarkEnd w:id="1057"/>
    <w:bookmarkEnd w:id="1058"/>
    <w:bookmarkEnd w:id="1059"/>
    <w:bookmarkEnd w:id="1060"/>
    <w:p w14:paraId="195064EC">
      <w:pPr>
        <w:spacing w:line="360" w:lineRule="auto"/>
        <w:ind w:firstLine="420" w:firstLineChars="200"/>
        <w:jc w:val="left"/>
        <w:rPr>
          <w:rFonts w:ascii="宋体" w:hAnsi="宋体"/>
          <w:color w:val="auto"/>
          <w:szCs w:val="21"/>
        </w:rPr>
      </w:pPr>
      <w:bookmarkStart w:id="1061" w:name="_Toc318581157"/>
      <w:r>
        <w:rPr>
          <w:rFonts w:hint="eastAsia" w:ascii="宋体" w:hAnsi="宋体"/>
          <w:color w:val="auto"/>
          <w:szCs w:val="21"/>
        </w:rPr>
        <w:t>1.10.4 超大件和超重件的运输</w:t>
      </w:r>
    </w:p>
    <w:p w14:paraId="6484A5BD">
      <w:pPr>
        <w:spacing w:line="360" w:lineRule="auto"/>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运输超大件或超重件所需的道路和桥梁临时加固改造费用和其他有关费用由</w:t>
      </w:r>
      <w:r>
        <w:rPr>
          <w:rFonts w:hint="eastAsia" w:ascii="宋体" w:hAnsi="宋体"/>
          <w:color w:val="auto"/>
          <w:szCs w:val="21"/>
          <w:u w:val="single"/>
        </w:rPr>
        <w:t>发包人</w:t>
      </w:r>
      <w:r>
        <w:rPr>
          <w:rFonts w:hint="eastAsia" w:ascii="宋体" w:hAnsi="宋体"/>
          <w:color w:val="auto"/>
          <w:szCs w:val="21"/>
        </w:rPr>
        <w:t>承担。</w:t>
      </w:r>
    </w:p>
    <w:bookmarkEnd w:id="1061"/>
    <w:p w14:paraId="4CF4A5C6">
      <w:pPr>
        <w:pStyle w:val="7"/>
        <w:spacing w:before="0" w:beforeAutospacing="0" w:after="0" w:afterAutospacing="0" w:line="360" w:lineRule="auto"/>
        <w:ind w:firstLine="422" w:firstLineChars="200"/>
        <w:rPr>
          <w:color w:val="auto"/>
          <w:sz w:val="21"/>
          <w:szCs w:val="21"/>
        </w:rPr>
      </w:pPr>
      <w:bookmarkStart w:id="1062" w:name="_Toc532377329"/>
      <w:r>
        <w:rPr>
          <w:rFonts w:hint="eastAsia"/>
          <w:color w:val="auto"/>
          <w:sz w:val="21"/>
          <w:szCs w:val="21"/>
        </w:rPr>
        <w:t>1.11 知识产权</w:t>
      </w:r>
      <w:bookmarkEnd w:id="1062"/>
    </w:p>
    <w:p w14:paraId="2A845145">
      <w:pPr>
        <w:spacing w:line="360" w:lineRule="auto"/>
        <w:ind w:firstLine="420" w:firstLineChars="200"/>
        <w:jc w:val="left"/>
        <w:rPr>
          <w:rFonts w:ascii="宋体" w:hAnsi="宋体"/>
          <w:color w:val="auto"/>
          <w:szCs w:val="21"/>
        </w:rPr>
      </w:pPr>
      <w:r>
        <w:rPr>
          <w:rFonts w:hint="eastAsia" w:ascii="宋体" w:hAnsi="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u w:val="single"/>
        </w:rPr>
        <w:t>属于发包人</w:t>
      </w:r>
      <w:r>
        <w:rPr>
          <w:rFonts w:hint="eastAsia" w:ascii="宋体" w:hAnsi="宋体"/>
          <w:color w:val="auto"/>
          <w:szCs w:val="21"/>
        </w:rPr>
        <w:t>。</w:t>
      </w:r>
    </w:p>
    <w:p w14:paraId="38F64790">
      <w:pPr>
        <w:spacing w:line="360" w:lineRule="auto"/>
        <w:ind w:firstLine="420" w:firstLineChars="200"/>
        <w:jc w:val="left"/>
        <w:rPr>
          <w:rFonts w:ascii="宋体" w:hAnsi="宋体"/>
          <w:color w:val="auto"/>
          <w:szCs w:val="21"/>
        </w:rPr>
      </w:pPr>
      <w:r>
        <w:rPr>
          <w:rFonts w:hint="eastAsia" w:ascii="宋体" w:hAnsi="宋体"/>
          <w:color w:val="auto"/>
          <w:szCs w:val="21"/>
        </w:rPr>
        <w:t>关于发包人提供的上述文件的使用限制的要求：</w:t>
      </w:r>
      <w:r>
        <w:rPr>
          <w:rFonts w:hint="eastAsia" w:ascii="宋体" w:hAnsi="宋体"/>
          <w:color w:val="auto"/>
          <w:szCs w:val="21"/>
          <w:u w:val="single"/>
        </w:rPr>
        <w:t>按通用合同条款执行</w:t>
      </w:r>
      <w:r>
        <w:rPr>
          <w:rFonts w:hint="eastAsia" w:ascii="宋体" w:hAnsi="宋体"/>
          <w:color w:val="auto"/>
          <w:szCs w:val="21"/>
        </w:rPr>
        <w:t>。</w:t>
      </w:r>
    </w:p>
    <w:p w14:paraId="0CE0CA0C">
      <w:pPr>
        <w:spacing w:line="360" w:lineRule="auto"/>
        <w:ind w:firstLine="420" w:firstLineChars="200"/>
        <w:jc w:val="left"/>
        <w:rPr>
          <w:rFonts w:ascii="宋体" w:hAnsi="宋体"/>
          <w:color w:val="auto"/>
          <w:szCs w:val="21"/>
        </w:rPr>
      </w:pPr>
      <w:r>
        <w:rPr>
          <w:rFonts w:hint="eastAsia"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hint="eastAsia" w:ascii="宋体" w:hAnsi="宋体"/>
          <w:color w:val="auto"/>
          <w:szCs w:val="21"/>
        </w:rPr>
        <w:t>。</w:t>
      </w:r>
    </w:p>
    <w:p w14:paraId="597F862C">
      <w:pPr>
        <w:pStyle w:val="7"/>
        <w:spacing w:before="0" w:beforeAutospacing="0" w:after="0" w:afterAutospacing="0" w:line="360" w:lineRule="auto"/>
        <w:ind w:firstLine="422" w:firstLineChars="200"/>
        <w:rPr>
          <w:color w:val="auto"/>
          <w:sz w:val="21"/>
          <w:szCs w:val="21"/>
        </w:rPr>
      </w:pPr>
      <w:bookmarkStart w:id="1063" w:name="_Toc532377330"/>
      <w:r>
        <w:rPr>
          <w:rFonts w:hint="eastAsia"/>
          <w:color w:val="auto"/>
          <w:sz w:val="21"/>
          <w:szCs w:val="21"/>
        </w:rPr>
        <w:t>1.13工程量清单错误的修正</w:t>
      </w:r>
      <w:bookmarkEnd w:id="1063"/>
    </w:p>
    <w:p w14:paraId="30F733DB">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出现工程量清单错误时，责任和权利划分：</w:t>
      </w:r>
      <w:r>
        <w:rPr>
          <w:rFonts w:hint="eastAsia" w:ascii="宋体" w:hAnsi="宋体"/>
          <w:color w:val="auto"/>
          <w:szCs w:val="21"/>
          <w:u w:val="single"/>
        </w:rPr>
        <w:t xml:space="preserve">        </w:t>
      </w:r>
      <w:r>
        <w:rPr>
          <w:rFonts w:hint="eastAsia" w:ascii="宋体" w:hAnsi="宋体"/>
          <w:color w:val="auto"/>
          <w:szCs w:val="21"/>
        </w:rPr>
        <w:t>。</w:t>
      </w:r>
    </w:p>
    <w:p w14:paraId="3B2C8CD1">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出现工程量清单错误时，是否调整合同价格：</w:t>
      </w:r>
      <w:r>
        <w:rPr>
          <w:rFonts w:hint="eastAsia" w:ascii="宋体" w:hAnsi="宋体"/>
          <w:color w:val="auto"/>
          <w:szCs w:val="21"/>
          <w:u w:val="single"/>
        </w:rPr>
        <w:t xml:space="preserve">        </w:t>
      </w:r>
      <w:r>
        <w:rPr>
          <w:rFonts w:hint="eastAsia" w:ascii="宋体" w:hAnsi="宋体"/>
          <w:color w:val="auto"/>
          <w:kern w:val="0"/>
          <w:szCs w:val="21"/>
        </w:rPr>
        <w:t>。</w:t>
      </w:r>
    </w:p>
    <w:p w14:paraId="0F047F23">
      <w:pPr>
        <w:spacing w:line="360" w:lineRule="auto"/>
        <w:ind w:firstLine="420" w:firstLineChars="200"/>
        <w:jc w:val="left"/>
        <w:rPr>
          <w:rFonts w:ascii="宋体" w:hAnsi="宋体"/>
          <w:color w:val="auto"/>
          <w:szCs w:val="21"/>
        </w:rPr>
      </w:pPr>
      <w:r>
        <w:rPr>
          <w:rFonts w:hint="eastAsia" w:ascii="宋体" w:hAnsi="宋体"/>
          <w:color w:val="auto"/>
          <w:szCs w:val="21"/>
        </w:rPr>
        <w:t>允许调整合同价格的工程量偏差范围：</w:t>
      </w:r>
      <w:r>
        <w:rPr>
          <w:rFonts w:hint="eastAsia" w:ascii="宋体" w:hAnsi="宋体"/>
          <w:color w:val="auto"/>
          <w:szCs w:val="21"/>
          <w:u w:val="single"/>
        </w:rPr>
        <w:t xml:space="preserve">        </w:t>
      </w:r>
      <w:r>
        <w:rPr>
          <w:rFonts w:hint="eastAsia" w:ascii="宋体" w:hAnsi="宋体"/>
          <w:color w:val="auto"/>
          <w:szCs w:val="21"/>
        </w:rPr>
        <w:t>。</w:t>
      </w:r>
    </w:p>
    <w:p w14:paraId="25857AB8">
      <w:pPr>
        <w:pStyle w:val="6"/>
        <w:keepNext/>
        <w:keepLines/>
        <w:spacing w:beforeLines="50" w:beforeAutospacing="0" w:afterLines="50" w:afterAutospacing="0" w:line="360" w:lineRule="auto"/>
        <w:jc w:val="both"/>
        <w:rPr>
          <w:bCs w:val="0"/>
          <w:color w:val="auto"/>
          <w:kern w:val="2"/>
          <w:sz w:val="21"/>
          <w:szCs w:val="21"/>
        </w:rPr>
      </w:pPr>
      <w:bookmarkStart w:id="1064" w:name="_Toc532375609"/>
      <w:bookmarkStart w:id="1065" w:name="_Toc532377331"/>
      <w:bookmarkStart w:id="1066" w:name="_Toc351203634"/>
      <w:r>
        <w:rPr>
          <w:rFonts w:hint="eastAsia"/>
          <w:color w:val="auto"/>
          <w:kern w:val="2"/>
          <w:sz w:val="21"/>
          <w:szCs w:val="21"/>
        </w:rPr>
        <w:t>2</w:t>
      </w:r>
      <w:bookmarkStart w:id="1067" w:name="_Toc296890985"/>
      <w:bookmarkStart w:id="1068" w:name="_Toc296503157"/>
      <w:bookmarkStart w:id="1069" w:name="_Toc296944496"/>
      <w:bookmarkStart w:id="1070" w:name="_Toc292559867"/>
      <w:bookmarkStart w:id="1071" w:name="_Toc297048343"/>
      <w:bookmarkStart w:id="1072" w:name="_Toc292559362"/>
      <w:bookmarkStart w:id="1073" w:name="_Toc296346658"/>
      <w:bookmarkStart w:id="1074" w:name="_Toc296347156"/>
      <w:bookmarkStart w:id="1075" w:name="_Toc297120457"/>
      <w:bookmarkStart w:id="1076" w:name="_Toc296891197"/>
      <w:r>
        <w:rPr>
          <w:rFonts w:hint="eastAsia"/>
          <w:color w:val="auto"/>
          <w:kern w:val="2"/>
          <w:sz w:val="21"/>
          <w:szCs w:val="21"/>
        </w:rPr>
        <w:t>. 发包人</w:t>
      </w:r>
      <w:bookmarkEnd w:id="1064"/>
      <w:bookmarkEnd w:id="1065"/>
      <w:bookmarkEnd w:id="1066"/>
    </w:p>
    <w:bookmarkEnd w:id="1067"/>
    <w:bookmarkEnd w:id="1068"/>
    <w:bookmarkEnd w:id="1069"/>
    <w:bookmarkEnd w:id="1070"/>
    <w:bookmarkEnd w:id="1071"/>
    <w:bookmarkEnd w:id="1072"/>
    <w:bookmarkEnd w:id="1073"/>
    <w:bookmarkEnd w:id="1074"/>
    <w:bookmarkEnd w:id="1075"/>
    <w:bookmarkEnd w:id="1076"/>
    <w:p w14:paraId="41A94954">
      <w:pPr>
        <w:spacing w:line="360" w:lineRule="auto"/>
        <w:ind w:firstLine="420" w:firstLineChars="200"/>
        <w:jc w:val="left"/>
        <w:rPr>
          <w:rFonts w:ascii="宋体" w:hAnsi="宋体"/>
          <w:color w:val="auto"/>
          <w:szCs w:val="21"/>
        </w:rPr>
      </w:pPr>
      <w:r>
        <w:rPr>
          <w:rFonts w:hint="eastAsia" w:ascii="宋体" w:hAnsi="宋体"/>
          <w:color w:val="auto"/>
          <w:szCs w:val="21"/>
        </w:rPr>
        <w:t>2.1许可或批准</w:t>
      </w:r>
    </w:p>
    <w:p w14:paraId="452710A3">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施工所需临时用水、临时用电、中断道路交通、临时占道的许可或批准由承包人负责办理。</w:t>
      </w:r>
    </w:p>
    <w:p w14:paraId="4E115FDA">
      <w:pPr>
        <w:spacing w:line="360" w:lineRule="auto"/>
        <w:ind w:firstLine="420" w:firstLineChars="200"/>
        <w:jc w:val="left"/>
        <w:rPr>
          <w:rFonts w:ascii="宋体" w:hAnsi="宋体"/>
          <w:color w:val="auto"/>
          <w:szCs w:val="21"/>
        </w:rPr>
      </w:pPr>
      <w:r>
        <w:rPr>
          <w:rFonts w:hint="eastAsia" w:ascii="宋体" w:hAnsi="宋体"/>
          <w:color w:val="auto"/>
          <w:szCs w:val="21"/>
        </w:rPr>
        <w:t>2.2 发包人代表</w:t>
      </w:r>
    </w:p>
    <w:p w14:paraId="20F06BD6">
      <w:pPr>
        <w:spacing w:line="360" w:lineRule="auto"/>
        <w:ind w:firstLine="420" w:firstLineChars="200"/>
        <w:jc w:val="left"/>
        <w:rPr>
          <w:rFonts w:ascii="宋体" w:hAnsi="宋体"/>
          <w:color w:val="auto"/>
          <w:szCs w:val="21"/>
        </w:rPr>
      </w:pPr>
      <w:r>
        <w:rPr>
          <w:rFonts w:hint="eastAsia" w:ascii="宋体" w:hAnsi="宋体"/>
          <w:color w:val="auto"/>
          <w:szCs w:val="21"/>
        </w:rPr>
        <w:t>发包人代表：</w:t>
      </w:r>
    </w:p>
    <w:p w14:paraId="24304CDF">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rPr>
        <w:t xml:space="preserve">               </w:t>
      </w:r>
      <w:r>
        <w:rPr>
          <w:rFonts w:hint="eastAsia" w:ascii="宋体" w:hAnsi="宋体"/>
          <w:color w:val="auto"/>
          <w:szCs w:val="21"/>
        </w:rPr>
        <w:t>；</w:t>
      </w:r>
    </w:p>
    <w:p w14:paraId="79279804">
      <w:pPr>
        <w:spacing w:line="360" w:lineRule="auto"/>
        <w:ind w:firstLine="420" w:firstLineChars="200"/>
        <w:jc w:val="left"/>
        <w:rPr>
          <w:rFonts w:ascii="宋体" w:hAnsi="宋体"/>
          <w:color w:val="auto"/>
          <w:szCs w:val="21"/>
        </w:rPr>
      </w:pPr>
      <w:r>
        <w:rPr>
          <w:rFonts w:hint="eastAsia" w:ascii="宋体" w:hAnsi="宋体"/>
          <w:color w:val="auto"/>
          <w:szCs w:val="21"/>
        </w:rPr>
        <w:t>联系电话：</w:t>
      </w:r>
      <w:r>
        <w:rPr>
          <w:rFonts w:hint="eastAsia" w:ascii="宋体" w:hAnsi="宋体"/>
          <w:color w:val="auto"/>
          <w:szCs w:val="21"/>
          <w:u w:val="single"/>
        </w:rPr>
        <w:t xml:space="preserve">               </w:t>
      </w:r>
      <w:r>
        <w:rPr>
          <w:rFonts w:hint="eastAsia" w:ascii="宋体" w:hAnsi="宋体"/>
          <w:color w:val="auto"/>
          <w:szCs w:val="21"/>
        </w:rPr>
        <w:t>；</w:t>
      </w:r>
    </w:p>
    <w:p w14:paraId="508B2786">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发包人对发包人代表的授权范围如下：依照发包人相关管理办法包括但不限于</w:t>
      </w:r>
      <w:r>
        <w:rPr>
          <w:rFonts w:hint="eastAsia" w:ascii="宋体" w:hAnsi="宋体"/>
          <w:color w:val="auto"/>
          <w:szCs w:val="21"/>
          <w:u w:val="single"/>
        </w:rPr>
        <w:t>工程质量、安全、进度、投资控制，与各方进行联络、协调，召集会议；解决工程中出现的问题；工程资料管理；执行权利范围内的签证权等。</w:t>
      </w:r>
    </w:p>
    <w:p w14:paraId="182CEADD">
      <w:pPr>
        <w:spacing w:line="360" w:lineRule="auto"/>
        <w:ind w:firstLine="420" w:firstLineChars="200"/>
        <w:jc w:val="left"/>
        <w:rPr>
          <w:rFonts w:ascii="宋体" w:hAnsi="宋体"/>
          <w:color w:val="auto"/>
          <w:szCs w:val="21"/>
        </w:rPr>
      </w:pPr>
      <w:r>
        <w:rPr>
          <w:rFonts w:hint="eastAsia" w:ascii="宋体" w:hAnsi="宋体"/>
          <w:color w:val="auto"/>
          <w:szCs w:val="21"/>
        </w:rPr>
        <w:t>2.4 施工现场、施工条件和基础资料的提供</w:t>
      </w:r>
    </w:p>
    <w:p w14:paraId="4B15B2A5">
      <w:pPr>
        <w:spacing w:line="360" w:lineRule="auto"/>
        <w:ind w:firstLine="420" w:firstLineChars="200"/>
        <w:jc w:val="left"/>
        <w:rPr>
          <w:rFonts w:ascii="宋体" w:hAnsi="宋体"/>
          <w:color w:val="auto"/>
          <w:szCs w:val="21"/>
        </w:rPr>
      </w:pPr>
      <w:r>
        <w:rPr>
          <w:rFonts w:hint="eastAsia" w:ascii="宋体" w:hAnsi="宋体"/>
          <w:color w:val="auto"/>
          <w:szCs w:val="21"/>
        </w:rPr>
        <w:t>2.4.1 提供施工现场</w:t>
      </w:r>
    </w:p>
    <w:p w14:paraId="5DC438D1">
      <w:pPr>
        <w:spacing w:line="360" w:lineRule="auto"/>
        <w:ind w:firstLine="420" w:firstLineChars="200"/>
        <w:jc w:val="left"/>
        <w:rPr>
          <w:rFonts w:ascii="宋体" w:hAnsi="宋体"/>
          <w:color w:val="auto"/>
          <w:szCs w:val="21"/>
        </w:rPr>
      </w:pPr>
      <w:r>
        <w:rPr>
          <w:rFonts w:hint="eastAsia" w:ascii="宋体" w:hAnsi="宋体"/>
          <w:color w:val="auto"/>
          <w:szCs w:val="21"/>
        </w:rPr>
        <w:t>关于发包人移交施工现场的期限要求：</w:t>
      </w:r>
      <w:r>
        <w:rPr>
          <w:rFonts w:hint="eastAsia" w:ascii="宋体" w:hAnsi="宋体"/>
          <w:color w:val="auto"/>
          <w:szCs w:val="21"/>
          <w:u w:val="single"/>
        </w:rPr>
        <w:t xml:space="preserve">  按通用合同条款执行  </w:t>
      </w:r>
      <w:r>
        <w:rPr>
          <w:rFonts w:hint="eastAsia" w:ascii="宋体" w:hAnsi="宋体"/>
          <w:color w:val="auto"/>
          <w:szCs w:val="21"/>
        </w:rPr>
        <w:t>。</w:t>
      </w:r>
    </w:p>
    <w:p w14:paraId="5EF66EC1">
      <w:pPr>
        <w:spacing w:line="360" w:lineRule="auto"/>
        <w:ind w:firstLine="420" w:firstLineChars="200"/>
        <w:jc w:val="left"/>
        <w:rPr>
          <w:rFonts w:ascii="宋体" w:hAnsi="宋体"/>
          <w:color w:val="auto"/>
          <w:szCs w:val="21"/>
        </w:rPr>
      </w:pPr>
      <w:r>
        <w:rPr>
          <w:rFonts w:hint="eastAsia" w:ascii="宋体" w:hAnsi="宋体"/>
          <w:color w:val="auto"/>
          <w:szCs w:val="21"/>
        </w:rPr>
        <w:t>发包人场地移交后，若承包人在移交当日未提出异议，视为接受场地现状；</w:t>
      </w:r>
    </w:p>
    <w:p w14:paraId="75BCFCBE">
      <w:pPr>
        <w:spacing w:line="360" w:lineRule="auto"/>
        <w:ind w:firstLine="420" w:firstLineChars="200"/>
        <w:jc w:val="left"/>
        <w:rPr>
          <w:rFonts w:ascii="宋体" w:hAnsi="宋体"/>
          <w:color w:val="auto"/>
          <w:szCs w:val="21"/>
        </w:rPr>
      </w:pPr>
      <w:r>
        <w:rPr>
          <w:rFonts w:hint="eastAsia" w:ascii="宋体" w:hAnsi="宋体"/>
          <w:color w:val="auto"/>
          <w:szCs w:val="21"/>
        </w:rPr>
        <w:t>2.4.2 提供施工条件</w:t>
      </w:r>
    </w:p>
    <w:p w14:paraId="235580B3">
      <w:pPr>
        <w:spacing w:line="360" w:lineRule="auto"/>
        <w:ind w:firstLine="420" w:firstLineChars="200"/>
        <w:jc w:val="left"/>
        <w:rPr>
          <w:rFonts w:ascii="宋体" w:hAnsi="宋体"/>
          <w:color w:val="auto"/>
          <w:szCs w:val="21"/>
        </w:rPr>
      </w:pPr>
      <w:r>
        <w:rPr>
          <w:rFonts w:hint="eastAsia" w:ascii="宋体" w:hAnsi="宋体"/>
          <w:color w:val="auto"/>
          <w:szCs w:val="21"/>
        </w:rPr>
        <w:t>关于发包人应负责提供施工所需要的条件，包括：</w:t>
      </w:r>
    </w:p>
    <w:p w14:paraId="540B687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负责征地拆迁工作，居民与单位的动迁安置，旧房拆除、补偿，负责根据工程建设需要及时提供工程用地(含临时用地)和取、弃土用地；负责协助承包人处理项目建设期涉及的各有关方面与建设施工中发生的各类矛盾，协调政府及地方各方面的关系；</w:t>
      </w:r>
    </w:p>
    <w:p w14:paraId="7766C423">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（2）负责该项目的勘测设计和项目报批工作，在项目开工前完成项目的相关批准文件；</w:t>
      </w:r>
    </w:p>
    <w:p w14:paraId="37A08ADE">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（3）协助承包人办理施工所需临时用水、临时用电，由承包人负责接入施工现场并承担施工所需水、电及通迅费用；</w:t>
      </w:r>
    </w:p>
    <w:p w14:paraId="55B6E443">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（4）向承包人提供施工场地工程地勘和地下管线资料，但不保证与现场完全吻合，承包方有义务对现场进行踏勘；</w:t>
      </w:r>
    </w:p>
    <w:p w14:paraId="147D2577">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（5）确定水准点与坐标控制点，以书面形式交给承包方，进行现场交验；</w:t>
      </w:r>
    </w:p>
    <w:p w14:paraId="76415F5C">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（6）协助承包人办理施工许可证及其他施工所需的交通、环保、环卫、噪音等证件及手续；</w:t>
      </w:r>
    </w:p>
    <w:p w14:paraId="4A15FAB3">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（7）施工场地周围地下管线和邻近建筑物、构筑物(含文物保护建筑)、古树名木的保护工作由承包人负责保护和承担相应费用。</w:t>
      </w:r>
    </w:p>
    <w:p w14:paraId="3FA8FFD4">
      <w:pPr>
        <w:spacing w:line="360" w:lineRule="auto"/>
        <w:ind w:firstLine="420" w:firstLineChars="200"/>
        <w:jc w:val="left"/>
        <w:rPr>
          <w:rFonts w:ascii="宋体" w:hAnsi="宋体"/>
          <w:color w:val="auto"/>
          <w:szCs w:val="21"/>
        </w:rPr>
      </w:pPr>
      <w:r>
        <w:rPr>
          <w:rFonts w:hint="eastAsia" w:ascii="宋体" w:hAnsi="宋体"/>
          <w:color w:val="auto"/>
          <w:szCs w:val="21"/>
        </w:rPr>
        <w:t>2.4.5 发包人的其它权利和义务</w:t>
      </w:r>
    </w:p>
    <w:p w14:paraId="5C4B03A1">
      <w:pPr>
        <w:spacing w:line="360" w:lineRule="auto"/>
        <w:ind w:firstLine="420" w:firstLineChars="200"/>
        <w:jc w:val="left"/>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（1）负责组织施工图审查；负责组织设计单位向承包人进行施工图技术交底；负责审批设计变更；</w:t>
      </w:r>
    </w:p>
    <w:p w14:paraId="751B1A1A">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（2）负责审核承包人报送的施工组织设计，审查承包人专项施工方案并督促实施；</w:t>
      </w:r>
    </w:p>
    <w:p w14:paraId="48178487">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（3）负责质量管理和质量监督工作，有权对本项目的施工进行监督和检测，负责选定监理单位。关于监理单位及监理工程师的工作职责,按监理合同约定为准；</w:t>
      </w:r>
    </w:p>
    <w:p w14:paraId="00BB1E2D">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（4）负责审查项目开工报告，审批分项工程开工报告，督促承包人按照项目总体实施计划组织施工；</w:t>
      </w:r>
    </w:p>
    <w:p w14:paraId="71A39AB4">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（5）审定工程进度计划，并监督承包方按批准的建设进度计划实施；</w:t>
      </w:r>
    </w:p>
    <w:p w14:paraId="07581C8B">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（6）有权对设计进行变更或优化，对变更设计及其费用的调整有审核确认权；</w:t>
      </w:r>
    </w:p>
    <w:p w14:paraId="7F651819">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（7）负责实施过程中涉及的工程计量、工程计价、设计变更、工程造价增减的确认和审批工作；</w:t>
      </w:r>
    </w:p>
    <w:p w14:paraId="02FE613E">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（8）发包人或发包人委托的机构有权按工程进度要求检查、监督本工程进度情况及发包人资金使用情况，定期或不定期检查本工程质量、安全、进度及文明施工；</w:t>
      </w:r>
    </w:p>
    <w:p w14:paraId="7A35A947">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(9)有权委托有资质的审计机构对项目建设进行全过程跟踪审计监督；</w:t>
      </w:r>
    </w:p>
    <w:p w14:paraId="2CBF87D2">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(10)按照住房和城乡建设部及重庆市地方现行建设工程交、竣（完）工验收相关规定负责组织移交、竣（完）工验收；</w:t>
      </w:r>
    </w:p>
    <w:p w14:paraId="27845363">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(11)负责工程质量保修期到期后的验收工作；</w:t>
      </w:r>
    </w:p>
    <w:p w14:paraId="2F0E13C7">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(12)督促设计单位及时解决设计缺陷或设计与实际不符等问题。</w:t>
      </w:r>
    </w:p>
    <w:p w14:paraId="3CD5B8C5">
      <w:pPr>
        <w:pStyle w:val="6"/>
        <w:keepNext/>
        <w:keepLines/>
        <w:spacing w:beforeLines="50" w:beforeAutospacing="0" w:afterLines="50" w:afterAutospacing="0" w:line="360" w:lineRule="auto"/>
        <w:jc w:val="both"/>
        <w:rPr>
          <w:bCs w:val="0"/>
          <w:color w:val="auto"/>
          <w:kern w:val="2"/>
          <w:sz w:val="21"/>
          <w:szCs w:val="21"/>
        </w:rPr>
      </w:pPr>
      <w:bookmarkStart w:id="1077" w:name="_Toc532375610"/>
      <w:bookmarkStart w:id="1078" w:name="_Toc532377334"/>
      <w:bookmarkStart w:id="1079" w:name="_Toc351203635"/>
      <w:r>
        <w:rPr>
          <w:rFonts w:hint="eastAsia"/>
          <w:color w:val="auto"/>
          <w:kern w:val="2"/>
          <w:sz w:val="21"/>
          <w:szCs w:val="21"/>
        </w:rPr>
        <w:t>3</w:t>
      </w:r>
      <w:bookmarkStart w:id="1080" w:name="_Toc296347157"/>
      <w:bookmarkStart w:id="1081" w:name="_Toc296890986"/>
      <w:bookmarkStart w:id="1082" w:name="_Toc292559363"/>
      <w:bookmarkStart w:id="1083" w:name="_Toc292559868"/>
      <w:bookmarkStart w:id="1084" w:name="_Toc296891198"/>
      <w:bookmarkStart w:id="1085" w:name="_Toc297120458"/>
      <w:bookmarkStart w:id="1086" w:name="_Toc296346659"/>
      <w:bookmarkStart w:id="1087" w:name="_Toc296944497"/>
      <w:bookmarkStart w:id="1088" w:name="_Toc297048344"/>
      <w:bookmarkStart w:id="1089" w:name="_Toc296503158"/>
      <w:r>
        <w:rPr>
          <w:rFonts w:hint="eastAsia"/>
          <w:color w:val="auto"/>
          <w:kern w:val="2"/>
          <w:sz w:val="21"/>
          <w:szCs w:val="21"/>
        </w:rPr>
        <w:t>. 承包人</w:t>
      </w:r>
      <w:bookmarkEnd w:id="1077"/>
      <w:bookmarkEnd w:id="1078"/>
      <w:bookmarkEnd w:id="1079"/>
    </w:p>
    <w:bookmarkEnd w:id="1080"/>
    <w:bookmarkEnd w:id="1081"/>
    <w:bookmarkEnd w:id="1082"/>
    <w:bookmarkEnd w:id="1083"/>
    <w:bookmarkEnd w:id="1084"/>
    <w:bookmarkEnd w:id="1085"/>
    <w:bookmarkEnd w:id="1086"/>
    <w:bookmarkEnd w:id="1087"/>
    <w:bookmarkEnd w:id="1088"/>
    <w:bookmarkEnd w:id="1089"/>
    <w:p w14:paraId="6953CABB">
      <w:pPr>
        <w:pStyle w:val="7"/>
        <w:spacing w:before="0" w:beforeAutospacing="0" w:after="0" w:afterAutospacing="0" w:line="360" w:lineRule="auto"/>
        <w:ind w:firstLine="422" w:firstLineChars="200"/>
        <w:rPr>
          <w:color w:val="auto"/>
          <w:sz w:val="21"/>
          <w:szCs w:val="21"/>
        </w:rPr>
      </w:pPr>
      <w:bookmarkStart w:id="1090" w:name="_Toc532377335"/>
      <w:r>
        <w:rPr>
          <w:rFonts w:hint="eastAsia"/>
          <w:color w:val="auto"/>
          <w:sz w:val="21"/>
          <w:szCs w:val="21"/>
        </w:rPr>
        <w:t>3.1 承包人的一般义务</w:t>
      </w:r>
      <w:bookmarkEnd w:id="1090"/>
    </w:p>
    <w:p w14:paraId="43B7D247">
      <w:pPr>
        <w:spacing w:line="360" w:lineRule="auto"/>
        <w:ind w:firstLine="420" w:firstLineChars="200"/>
        <w:jc w:val="left"/>
        <w:rPr>
          <w:rFonts w:ascii="宋体" w:hAnsi="宋体"/>
          <w:color w:val="auto"/>
          <w:szCs w:val="21"/>
        </w:rPr>
      </w:pPr>
      <w:r>
        <w:rPr>
          <w:rFonts w:hint="eastAsia" w:ascii="宋体" w:hAnsi="宋体"/>
          <w:color w:val="auto"/>
          <w:szCs w:val="21"/>
        </w:rPr>
        <w:t>本款细化为3.1.1～3.1.10项：</w:t>
      </w:r>
    </w:p>
    <w:p w14:paraId="22F36822">
      <w:pPr>
        <w:spacing w:line="360" w:lineRule="auto"/>
        <w:ind w:firstLine="420" w:firstLineChars="200"/>
        <w:jc w:val="left"/>
        <w:rPr>
          <w:rFonts w:ascii="宋体" w:hAnsi="宋体"/>
          <w:color w:val="auto"/>
          <w:szCs w:val="21"/>
        </w:rPr>
      </w:pPr>
      <w:r>
        <w:rPr>
          <w:rFonts w:hint="eastAsia" w:ascii="宋体" w:hAnsi="宋体"/>
          <w:color w:val="auto"/>
          <w:szCs w:val="21"/>
        </w:rPr>
        <w:t>3.1.1办理法律规定和合同约定应由承包人办理的许可和批准，并将办理结果书面报送发包人留存；协助发包人办理施工所需的工程质量监督、安全监督、施工许可证等相关证件及手续。</w:t>
      </w:r>
    </w:p>
    <w:p w14:paraId="3C95D07E">
      <w:pPr>
        <w:spacing w:line="360" w:lineRule="auto"/>
        <w:ind w:firstLine="420" w:firstLineChars="200"/>
        <w:jc w:val="left"/>
        <w:rPr>
          <w:rFonts w:ascii="宋体" w:hAnsi="宋体"/>
          <w:color w:val="auto"/>
          <w:szCs w:val="21"/>
        </w:rPr>
      </w:pPr>
      <w:r>
        <w:rPr>
          <w:rFonts w:hint="eastAsia" w:ascii="宋体" w:hAnsi="宋体"/>
          <w:color w:val="auto"/>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75D63574">
      <w:pPr>
        <w:spacing w:line="360" w:lineRule="auto"/>
        <w:ind w:firstLine="420" w:firstLineChars="200"/>
        <w:jc w:val="left"/>
        <w:rPr>
          <w:rFonts w:ascii="宋体" w:hAnsi="宋体"/>
          <w:color w:val="auto"/>
          <w:szCs w:val="21"/>
        </w:rPr>
      </w:pPr>
      <w:r>
        <w:rPr>
          <w:rFonts w:hint="eastAsia" w:ascii="宋体" w:hAnsi="宋体"/>
          <w:color w:val="auto"/>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76BE607A">
      <w:pPr>
        <w:spacing w:line="360" w:lineRule="auto"/>
        <w:ind w:firstLine="420" w:firstLineChars="200"/>
        <w:jc w:val="left"/>
        <w:rPr>
          <w:rFonts w:ascii="宋体" w:hAnsi="宋体"/>
          <w:color w:val="auto"/>
          <w:szCs w:val="21"/>
        </w:rPr>
      </w:pPr>
      <w:r>
        <w:rPr>
          <w:rFonts w:hint="eastAsia" w:ascii="宋体" w:hAnsi="宋体"/>
          <w:color w:val="auto"/>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281F80FE">
      <w:pPr>
        <w:spacing w:line="360" w:lineRule="auto"/>
        <w:ind w:firstLine="420" w:firstLineChars="200"/>
        <w:jc w:val="left"/>
        <w:rPr>
          <w:rFonts w:ascii="宋体" w:hAnsi="宋体"/>
          <w:color w:val="auto"/>
          <w:szCs w:val="21"/>
        </w:rPr>
      </w:pPr>
      <w:r>
        <w:rPr>
          <w:rFonts w:hint="eastAsia" w:ascii="宋体" w:hAnsi="宋体"/>
          <w:color w:val="auto"/>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A25E28D">
      <w:pPr>
        <w:spacing w:line="360" w:lineRule="auto"/>
        <w:ind w:firstLine="420" w:firstLineChars="200"/>
        <w:jc w:val="left"/>
        <w:rPr>
          <w:rFonts w:ascii="宋体" w:hAnsi="宋体"/>
          <w:color w:val="auto"/>
          <w:szCs w:val="21"/>
        </w:rPr>
      </w:pPr>
      <w:r>
        <w:rPr>
          <w:rFonts w:hint="eastAsia" w:ascii="宋体" w:hAnsi="宋体"/>
          <w:color w:val="auto"/>
          <w:szCs w:val="21"/>
        </w:rPr>
        <w:t>3.1.6按照第6.3款〔环境保护〕约定负责施工场地及其周边环境与生态的保护工作。</w:t>
      </w:r>
    </w:p>
    <w:p w14:paraId="42021116">
      <w:pPr>
        <w:spacing w:line="360" w:lineRule="auto"/>
        <w:ind w:firstLine="420" w:firstLineChars="200"/>
        <w:jc w:val="left"/>
        <w:rPr>
          <w:rFonts w:ascii="宋体" w:hAnsi="宋体"/>
          <w:color w:val="auto"/>
          <w:szCs w:val="21"/>
        </w:rPr>
      </w:pPr>
      <w:r>
        <w:rPr>
          <w:rFonts w:hint="eastAsia" w:ascii="宋体" w:hAnsi="宋体"/>
          <w:color w:val="auto"/>
          <w:szCs w:val="21"/>
        </w:rPr>
        <w:t>3.1.7按照第6.1款〔安全文明施工〕约定采取施工安全措施，确保工程及其人员、材料、设备和设施的安全，防止因工程施工造成的人身伤害和财产损失。</w:t>
      </w:r>
    </w:p>
    <w:p w14:paraId="0A5DAE41">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3.1.8将发包人按合同约定支付的各项价款专用于合同工程，且应及时支付其雇用人员工资，并及时向分包人支付合同价款。</w:t>
      </w:r>
    </w:p>
    <w:p w14:paraId="6C47AF74">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3.1.9承包人提交的竣工资料的内容：</w:t>
      </w:r>
      <w:r>
        <w:rPr>
          <w:rFonts w:hint="eastAsia" w:ascii="宋体" w:hAnsi="宋体"/>
          <w:color w:val="auto"/>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rPr>
        <w:t>。</w:t>
      </w:r>
    </w:p>
    <w:p w14:paraId="5BA9B810">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承包人需要提交的竣工资料套数：完整竣工资料一式</w:t>
      </w:r>
      <w:r>
        <w:rPr>
          <w:rFonts w:hint="eastAsia" w:ascii="宋体" w:hAnsi="宋体"/>
          <w:color w:val="auto"/>
          <w:szCs w:val="21"/>
          <w:u w:val="single"/>
        </w:rPr>
        <w:t xml:space="preserve">  3  </w:t>
      </w:r>
      <w:r>
        <w:rPr>
          <w:rFonts w:hint="eastAsia" w:ascii="宋体" w:hAnsi="宋体"/>
          <w:color w:val="auto"/>
          <w:szCs w:val="21"/>
        </w:rPr>
        <w:t>套（含电子文档）。</w:t>
      </w:r>
    </w:p>
    <w:p w14:paraId="5C3A3002">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承包人提交的竣工资料的费用承担：</w:t>
      </w:r>
      <w:r>
        <w:rPr>
          <w:rFonts w:hint="eastAsia" w:ascii="宋体" w:hAnsi="宋体"/>
          <w:color w:val="auto"/>
          <w:szCs w:val="21"/>
          <w:u w:val="single"/>
        </w:rPr>
        <w:t>由承包人承担</w:t>
      </w:r>
      <w:r>
        <w:rPr>
          <w:rFonts w:hint="eastAsia" w:ascii="宋体" w:hAnsi="宋体"/>
          <w:color w:val="auto"/>
          <w:szCs w:val="21"/>
        </w:rPr>
        <w:t>。</w:t>
      </w:r>
    </w:p>
    <w:p w14:paraId="04E547EE">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承包人提交的竣工资料移交时间：</w:t>
      </w:r>
      <w:r>
        <w:rPr>
          <w:rFonts w:hint="eastAsia" w:ascii="宋体" w:hAnsi="宋体"/>
          <w:color w:val="auto"/>
          <w:szCs w:val="21"/>
          <w:u w:val="single"/>
        </w:rPr>
        <w:t>工程竣工验收合格后 1 个月内移交给发包人</w:t>
      </w:r>
      <w:r>
        <w:rPr>
          <w:rFonts w:hint="eastAsia" w:ascii="宋体" w:hAnsi="宋体"/>
          <w:color w:val="auto"/>
          <w:szCs w:val="21"/>
        </w:rPr>
        <w:t>。</w:t>
      </w:r>
    </w:p>
    <w:p w14:paraId="041FA60A">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承包人提交的竣工资料形式要求：</w:t>
      </w:r>
      <w:r>
        <w:rPr>
          <w:rFonts w:hint="eastAsia" w:ascii="宋体" w:hAnsi="宋体"/>
          <w:color w:val="auto"/>
          <w:szCs w:val="21"/>
          <w:u w:val="single"/>
        </w:rPr>
        <w:t>完整的书面文件及电子文档</w:t>
      </w:r>
      <w:r>
        <w:rPr>
          <w:rFonts w:hint="eastAsia" w:ascii="宋体" w:hAnsi="宋体"/>
          <w:color w:val="auto"/>
          <w:szCs w:val="21"/>
        </w:rPr>
        <w:t>。</w:t>
      </w:r>
    </w:p>
    <w:p w14:paraId="0C3F3D4D">
      <w:pPr>
        <w:spacing w:line="360" w:lineRule="auto"/>
        <w:ind w:firstLine="420" w:firstLineChars="200"/>
        <w:jc w:val="left"/>
        <w:rPr>
          <w:rFonts w:ascii="宋体" w:hAnsi="宋体"/>
          <w:color w:val="auto"/>
          <w:szCs w:val="21"/>
        </w:rPr>
      </w:pPr>
      <w:r>
        <w:rPr>
          <w:rFonts w:hint="eastAsia" w:ascii="宋体" w:hAnsi="宋体"/>
          <w:color w:val="auto"/>
          <w:szCs w:val="21"/>
        </w:rPr>
        <w:t>3.1.10承包人应履行的其他义务：</w:t>
      </w:r>
    </w:p>
    <w:p w14:paraId="6C522F9D">
      <w:pPr>
        <w:spacing w:line="360" w:lineRule="auto"/>
        <w:ind w:firstLine="420" w:firstLineChars="200"/>
        <w:jc w:val="left"/>
        <w:rPr>
          <w:rFonts w:ascii="宋体" w:hAnsi="宋体"/>
          <w:color w:val="auto"/>
          <w:szCs w:val="21"/>
        </w:rPr>
      </w:pPr>
      <w:r>
        <w:rPr>
          <w:rFonts w:hint="eastAsia" w:ascii="宋体" w:hAnsi="宋体"/>
          <w:color w:val="auto"/>
          <w:szCs w:val="21"/>
        </w:rPr>
        <w:t>3.1.10.1在开始施工之前，承包人应核查、复测本工程的各种基准标志。承包人应及时将上述基准标志中存在的错误、不完整或其他缺陷通知发包人，以便发包人核实后重新确认。</w:t>
      </w:r>
    </w:p>
    <w:p w14:paraId="4CF08CD8">
      <w:pPr>
        <w:spacing w:line="360" w:lineRule="auto"/>
        <w:ind w:firstLine="420" w:firstLineChars="200"/>
        <w:jc w:val="left"/>
        <w:rPr>
          <w:rFonts w:ascii="宋体" w:hAnsi="宋体"/>
          <w:color w:val="auto"/>
          <w:szCs w:val="21"/>
        </w:rPr>
      </w:pPr>
      <w:r>
        <w:rPr>
          <w:rFonts w:hint="eastAsia" w:ascii="宋体" w:hAnsi="宋体"/>
          <w:color w:val="auto"/>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1BB2BE8B">
      <w:pPr>
        <w:spacing w:line="360" w:lineRule="auto"/>
        <w:ind w:firstLine="420" w:firstLineChars="200"/>
        <w:jc w:val="left"/>
        <w:rPr>
          <w:rFonts w:ascii="宋体" w:hAnsi="宋体"/>
          <w:color w:val="auto"/>
          <w:szCs w:val="21"/>
        </w:rPr>
      </w:pPr>
      <w:r>
        <w:rPr>
          <w:rFonts w:hint="eastAsia" w:ascii="宋体" w:hAnsi="宋体"/>
          <w:color w:val="auto"/>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52B5CAF5">
      <w:pPr>
        <w:spacing w:line="360" w:lineRule="auto"/>
        <w:ind w:firstLine="420" w:firstLineChars="200"/>
        <w:jc w:val="left"/>
        <w:rPr>
          <w:rFonts w:ascii="宋体" w:hAnsi="宋体"/>
          <w:color w:val="auto"/>
          <w:szCs w:val="21"/>
        </w:rPr>
      </w:pPr>
      <w:r>
        <w:rPr>
          <w:rFonts w:hint="eastAsia" w:ascii="宋体" w:hAnsi="宋体"/>
          <w:color w:val="auto"/>
          <w:szCs w:val="21"/>
        </w:rPr>
        <w:t>3.1.10.4承包人应服从发包人要求的管理模式、工作方式和工作要求，同时接受监理人、跟审单位的管理和全程监督，配合项目结、决算的办理。</w:t>
      </w:r>
    </w:p>
    <w:p w14:paraId="3530E4BB">
      <w:pPr>
        <w:spacing w:line="360" w:lineRule="auto"/>
        <w:ind w:firstLine="420" w:firstLineChars="200"/>
        <w:jc w:val="left"/>
        <w:rPr>
          <w:rFonts w:ascii="宋体" w:hAnsi="宋体"/>
          <w:color w:val="auto"/>
          <w:szCs w:val="21"/>
        </w:rPr>
      </w:pPr>
      <w:r>
        <w:rPr>
          <w:rFonts w:hint="eastAsia" w:ascii="宋体" w:hAnsi="宋体"/>
          <w:color w:val="auto"/>
          <w:szCs w:val="21"/>
        </w:rPr>
        <w:t>3.1.10.5</w:t>
      </w:r>
      <w:r>
        <w:rPr>
          <w:rFonts w:hint="eastAsia" w:ascii="宋体" w:hAnsi="宋体"/>
          <w:color w:val="auto"/>
          <w:szCs w:val="21"/>
          <w:u w:val="single"/>
        </w:rPr>
        <w:t>承包人应为本工程开立专用账户，接受发包人的监管</w:t>
      </w:r>
      <w:r>
        <w:rPr>
          <w:rFonts w:hint="eastAsia" w:ascii="宋体" w:hAnsi="宋体"/>
          <w:color w:val="auto"/>
          <w:szCs w:val="21"/>
        </w:rPr>
        <w:t>。</w:t>
      </w:r>
    </w:p>
    <w:p w14:paraId="24143CD6">
      <w:pPr>
        <w:spacing w:line="360" w:lineRule="auto"/>
        <w:ind w:firstLine="420" w:firstLineChars="200"/>
        <w:jc w:val="left"/>
        <w:rPr>
          <w:rFonts w:ascii="宋体" w:hAnsi="宋体"/>
          <w:color w:val="auto"/>
          <w:szCs w:val="21"/>
          <w:u w:val="single"/>
        </w:rPr>
      </w:pPr>
      <w:r>
        <w:rPr>
          <w:rFonts w:hint="eastAsia" w:ascii="宋体" w:hAnsi="宋体"/>
          <w:color w:val="auto"/>
          <w:szCs w:val="21"/>
        </w:rPr>
        <w:t>3.1.10.6</w:t>
      </w:r>
      <w:r>
        <w:rPr>
          <w:rFonts w:hint="eastAsia" w:ascii="宋体" w:hAnsi="宋体"/>
          <w:color w:val="auto"/>
          <w:szCs w:val="21"/>
          <w:u w:val="single"/>
        </w:rPr>
        <w:t xml:space="preserve">    /    。</w:t>
      </w:r>
    </w:p>
    <w:p w14:paraId="24D4A1A2">
      <w:pPr>
        <w:pStyle w:val="7"/>
        <w:spacing w:before="0" w:beforeAutospacing="0" w:after="0" w:afterAutospacing="0" w:line="360" w:lineRule="auto"/>
        <w:ind w:firstLine="422" w:firstLineChars="200"/>
        <w:rPr>
          <w:color w:val="auto"/>
          <w:sz w:val="21"/>
          <w:szCs w:val="21"/>
        </w:rPr>
      </w:pPr>
      <w:bookmarkStart w:id="1091" w:name="_Toc532377336"/>
      <w:r>
        <w:rPr>
          <w:rFonts w:hint="eastAsia"/>
          <w:color w:val="auto"/>
          <w:sz w:val="21"/>
          <w:szCs w:val="21"/>
        </w:rPr>
        <w:t>3.2 项目经理</w:t>
      </w:r>
      <w:bookmarkEnd w:id="1091"/>
    </w:p>
    <w:p w14:paraId="385198DE">
      <w:pPr>
        <w:spacing w:line="360" w:lineRule="auto"/>
        <w:ind w:firstLine="420" w:firstLineChars="200"/>
        <w:jc w:val="left"/>
        <w:rPr>
          <w:rFonts w:ascii="宋体" w:hAnsi="宋体"/>
          <w:color w:val="auto"/>
          <w:szCs w:val="21"/>
        </w:rPr>
      </w:pPr>
      <w:r>
        <w:rPr>
          <w:rFonts w:hint="eastAsia" w:ascii="宋体" w:hAnsi="宋体"/>
          <w:color w:val="auto"/>
          <w:kern w:val="0"/>
          <w:szCs w:val="21"/>
        </w:rPr>
        <w:t xml:space="preserve">3.2.1 </w:t>
      </w:r>
      <w:r>
        <w:rPr>
          <w:rFonts w:hint="eastAsia" w:ascii="宋体" w:hAnsi="宋体"/>
          <w:color w:val="auto"/>
          <w:szCs w:val="21"/>
        </w:rPr>
        <w:t>项目经理：</w:t>
      </w:r>
    </w:p>
    <w:p w14:paraId="25731AC0">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381A7C6F">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 </w:t>
      </w:r>
      <w:r>
        <w:rPr>
          <w:rFonts w:hint="eastAsia" w:ascii="宋体" w:hAnsi="宋体"/>
          <w:color w:val="auto"/>
          <w:szCs w:val="21"/>
        </w:rPr>
        <w:t>；</w:t>
      </w:r>
    </w:p>
    <w:p w14:paraId="0BBEC611">
      <w:pPr>
        <w:spacing w:line="360" w:lineRule="auto"/>
        <w:ind w:firstLine="420" w:firstLineChars="200"/>
        <w:jc w:val="left"/>
        <w:rPr>
          <w:rFonts w:ascii="宋体" w:hAnsi="宋体"/>
          <w:color w:val="auto"/>
          <w:szCs w:val="21"/>
        </w:rPr>
      </w:pPr>
      <w:r>
        <w:rPr>
          <w:rFonts w:hint="eastAsia" w:ascii="宋体" w:hAnsi="宋体"/>
          <w:color w:val="auto"/>
          <w:szCs w:val="21"/>
        </w:rPr>
        <w:t>建造师执业资格等级：</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054AA562">
      <w:pPr>
        <w:spacing w:line="360" w:lineRule="auto"/>
        <w:ind w:firstLine="420" w:firstLineChars="200"/>
        <w:jc w:val="left"/>
        <w:rPr>
          <w:rFonts w:ascii="宋体" w:hAnsi="宋体"/>
          <w:color w:val="auto"/>
          <w:szCs w:val="21"/>
        </w:rPr>
      </w:pPr>
      <w:r>
        <w:rPr>
          <w:rFonts w:hint="eastAsia" w:ascii="宋体" w:hAnsi="宋体"/>
          <w:color w:val="auto"/>
          <w:szCs w:val="21"/>
        </w:rPr>
        <w:t>建造师注册证书号：</w:t>
      </w:r>
      <w:r>
        <w:rPr>
          <w:rFonts w:ascii="宋体" w:hAnsi="宋体"/>
          <w:color w:val="auto"/>
          <w:szCs w:val="21"/>
          <w:u w:val="single"/>
        </w:rPr>
        <w:t>       </w:t>
      </w:r>
      <w:r>
        <w:rPr>
          <w:rFonts w:hint="eastAsia" w:ascii="宋体" w:hAnsi="宋体"/>
          <w:color w:val="auto"/>
          <w:szCs w:val="21"/>
        </w:rPr>
        <w:t>；</w:t>
      </w:r>
    </w:p>
    <w:p w14:paraId="0EACEEB8">
      <w:pPr>
        <w:spacing w:line="360" w:lineRule="auto"/>
        <w:ind w:firstLine="420" w:firstLineChars="200"/>
        <w:jc w:val="left"/>
        <w:rPr>
          <w:rFonts w:ascii="宋体" w:hAnsi="宋体"/>
          <w:color w:val="auto"/>
          <w:szCs w:val="21"/>
        </w:rPr>
      </w:pPr>
      <w:r>
        <w:rPr>
          <w:rFonts w:hint="eastAsia" w:ascii="宋体" w:hAnsi="宋体"/>
          <w:color w:val="auto"/>
          <w:szCs w:val="21"/>
        </w:rPr>
        <w:t>建造师执业印章号：</w:t>
      </w:r>
      <w:r>
        <w:rPr>
          <w:rFonts w:ascii="宋体" w:hAnsi="宋体"/>
          <w:color w:val="auto"/>
          <w:szCs w:val="21"/>
          <w:u w:val="single"/>
        </w:rPr>
        <w:t>                     </w:t>
      </w:r>
      <w:r>
        <w:rPr>
          <w:rFonts w:hint="eastAsia" w:ascii="宋体" w:hAnsi="宋体"/>
          <w:color w:val="auto"/>
          <w:szCs w:val="21"/>
        </w:rPr>
        <w:t>；</w:t>
      </w:r>
    </w:p>
    <w:p w14:paraId="3808D806">
      <w:pPr>
        <w:spacing w:line="360" w:lineRule="auto"/>
        <w:ind w:firstLine="420" w:firstLineChars="200"/>
        <w:jc w:val="left"/>
        <w:rPr>
          <w:rFonts w:ascii="宋体" w:hAnsi="宋体"/>
          <w:color w:val="auto"/>
          <w:szCs w:val="21"/>
        </w:rPr>
      </w:pPr>
      <w:r>
        <w:rPr>
          <w:rFonts w:hint="eastAsia" w:ascii="宋体" w:hAnsi="宋体"/>
          <w:color w:val="auto"/>
          <w:szCs w:val="21"/>
        </w:rPr>
        <w:t>安全生产考核合格证书号：</w:t>
      </w:r>
      <w:r>
        <w:rPr>
          <w:rFonts w:ascii="宋体" w:hAnsi="宋体"/>
          <w:color w:val="auto"/>
          <w:szCs w:val="21"/>
          <w:u w:val="single"/>
        </w:rPr>
        <w:t>           </w:t>
      </w:r>
      <w:r>
        <w:rPr>
          <w:rFonts w:hint="eastAsia" w:ascii="宋体" w:hAnsi="宋体"/>
          <w:color w:val="auto"/>
          <w:szCs w:val="21"/>
        </w:rPr>
        <w:t>；</w:t>
      </w:r>
    </w:p>
    <w:p w14:paraId="228138E6">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       </w:t>
      </w:r>
      <w:r>
        <w:rPr>
          <w:rFonts w:hint="eastAsia" w:ascii="宋体" w:hAnsi="宋体"/>
          <w:color w:val="auto"/>
          <w:szCs w:val="21"/>
        </w:rPr>
        <w:t>。</w:t>
      </w:r>
    </w:p>
    <w:p w14:paraId="41E5BFDB">
      <w:pPr>
        <w:spacing w:line="360" w:lineRule="auto"/>
        <w:ind w:firstLine="420" w:firstLineChars="200"/>
        <w:jc w:val="left"/>
        <w:rPr>
          <w:rFonts w:ascii="宋体" w:hAnsi="宋体"/>
          <w:color w:val="auto"/>
          <w:szCs w:val="21"/>
        </w:rPr>
      </w:pPr>
      <w:r>
        <w:rPr>
          <w:rFonts w:hint="eastAsia" w:ascii="宋体" w:hAnsi="宋体"/>
          <w:color w:val="auto"/>
          <w:szCs w:val="21"/>
        </w:rPr>
        <w:t>承包人对项目经理的授权范围如下：</w:t>
      </w:r>
      <w:r>
        <w:rPr>
          <w:rFonts w:hint="eastAsia" w:ascii="宋体" w:hAnsi="宋体"/>
          <w:color w:val="auto"/>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rPr>
        <w:t>。</w:t>
      </w:r>
    </w:p>
    <w:p w14:paraId="36267A37">
      <w:pPr>
        <w:spacing w:line="360" w:lineRule="auto"/>
        <w:ind w:firstLine="420" w:firstLineChars="200"/>
        <w:jc w:val="left"/>
        <w:rPr>
          <w:rFonts w:ascii="宋体" w:hAnsi="宋体"/>
          <w:color w:val="auto"/>
          <w:szCs w:val="21"/>
        </w:rPr>
      </w:pPr>
      <w:r>
        <w:rPr>
          <w:rFonts w:hint="eastAsia" w:ascii="宋体" w:hAnsi="宋体"/>
          <w:color w:val="auto"/>
          <w:szCs w:val="21"/>
        </w:rPr>
        <w:t>关于项目经理每月在施工现场的时间要求：</w:t>
      </w:r>
      <w:r>
        <w:rPr>
          <w:rFonts w:hint="eastAsia" w:ascii="宋体" w:hAnsi="宋体"/>
          <w:color w:val="auto"/>
          <w:szCs w:val="21"/>
          <w:u w:val="single"/>
        </w:rPr>
        <w:t>不少于22天，由监理人负责项目经理的考勤</w:t>
      </w:r>
      <w:r>
        <w:rPr>
          <w:rFonts w:hint="eastAsia" w:ascii="宋体" w:hAnsi="宋体"/>
          <w:color w:val="auto"/>
          <w:szCs w:val="21"/>
        </w:rPr>
        <w:t>。</w:t>
      </w:r>
    </w:p>
    <w:p w14:paraId="00ECBE7D">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rPr>
        <w:t>。</w:t>
      </w:r>
    </w:p>
    <w:p w14:paraId="78375707">
      <w:pPr>
        <w:spacing w:line="360" w:lineRule="auto"/>
        <w:ind w:firstLine="420" w:firstLineChars="200"/>
        <w:jc w:val="left"/>
        <w:rPr>
          <w:rFonts w:ascii="宋体" w:hAnsi="宋体"/>
          <w:color w:val="auto"/>
          <w:szCs w:val="21"/>
        </w:rPr>
      </w:pPr>
      <w:r>
        <w:rPr>
          <w:rFonts w:hint="eastAsia" w:ascii="宋体" w:hAnsi="宋体"/>
          <w:color w:val="auto"/>
          <w:szCs w:val="21"/>
        </w:rPr>
        <w:t>3.2.2 技术负责人</w:t>
      </w:r>
    </w:p>
    <w:p w14:paraId="3DC810CB">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5B81A5DE">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660C3DE1">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76F1B690">
      <w:pPr>
        <w:spacing w:line="360" w:lineRule="auto"/>
        <w:ind w:firstLine="420" w:firstLineChars="200"/>
        <w:jc w:val="left"/>
        <w:rPr>
          <w:rFonts w:ascii="宋体" w:hAnsi="宋体"/>
          <w:color w:val="auto"/>
          <w:szCs w:val="21"/>
        </w:rPr>
      </w:pPr>
      <w:r>
        <w:rPr>
          <w:rFonts w:hint="eastAsia" w:ascii="宋体" w:hAnsi="宋体"/>
          <w:color w:val="auto"/>
          <w:szCs w:val="21"/>
        </w:rPr>
        <w:t>专     业：</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0D0AE422">
      <w:pPr>
        <w:spacing w:line="360" w:lineRule="auto"/>
        <w:ind w:firstLine="420" w:firstLineChars="200"/>
        <w:jc w:val="left"/>
        <w:rPr>
          <w:rFonts w:ascii="宋体" w:hAnsi="宋体"/>
          <w:color w:val="auto"/>
          <w:szCs w:val="21"/>
        </w:rPr>
      </w:pPr>
      <w:r>
        <w:rPr>
          <w:rFonts w:hint="eastAsia" w:ascii="宋体" w:hAnsi="宋体"/>
          <w:color w:val="auto"/>
          <w:szCs w:val="21"/>
        </w:rPr>
        <w:t>证书名称及号码：</w:t>
      </w:r>
      <w:r>
        <w:rPr>
          <w:rFonts w:ascii="宋体" w:hAnsi="宋体"/>
          <w:color w:val="auto"/>
          <w:szCs w:val="21"/>
          <w:u w:val="single"/>
        </w:rPr>
        <w:t xml:space="preserve">                         </w:t>
      </w:r>
      <w:r>
        <w:rPr>
          <w:rFonts w:hint="eastAsia" w:ascii="宋体" w:hAnsi="宋体"/>
          <w:color w:val="auto"/>
          <w:szCs w:val="21"/>
        </w:rPr>
        <w:t>；</w:t>
      </w:r>
    </w:p>
    <w:p w14:paraId="627C1B04">
      <w:pPr>
        <w:pStyle w:val="2"/>
        <w:spacing w:after="0"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5AF6CD5E">
      <w:pPr>
        <w:spacing w:line="360" w:lineRule="auto"/>
        <w:ind w:firstLine="420" w:firstLineChars="200"/>
        <w:jc w:val="left"/>
        <w:rPr>
          <w:rFonts w:ascii="宋体" w:hAnsi="宋体"/>
          <w:color w:val="auto"/>
          <w:szCs w:val="21"/>
        </w:rPr>
      </w:pPr>
      <w:r>
        <w:rPr>
          <w:rFonts w:hint="eastAsia" w:ascii="宋体" w:hAnsi="宋体"/>
          <w:color w:val="auto"/>
          <w:kern w:val="0"/>
          <w:szCs w:val="21"/>
        </w:rPr>
        <w:t>关于技</w:t>
      </w:r>
      <w:r>
        <w:rPr>
          <w:rFonts w:hint="eastAsia" w:ascii="宋体" w:hAnsi="宋体"/>
          <w:color w:val="auto"/>
          <w:szCs w:val="21"/>
        </w:rPr>
        <w:t>术负责人每月在施工现场的时间要求：</w:t>
      </w:r>
      <w:r>
        <w:rPr>
          <w:rFonts w:hint="eastAsia" w:ascii="宋体" w:hAnsi="宋体"/>
          <w:color w:val="auto"/>
          <w:szCs w:val="21"/>
          <w:u w:val="single"/>
        </w:rPr>
        <w:t>不少于22天，由监理人负责技术负责人的考勤</w:t>
      </w:r>
      <w:r>
        <w:rPr>
          <w:rFonts w:hint="eastAsia" w:ascii="宋体" w:hAnsi="宋体"/>
          <w:color w:val="auto"/>
          <w:szCs w:val="21"/>
        </w:rPr>
        <w:t>。</w:t>
      </w:r>
    </w:p>
    <w:p w14:paraId="2723B4E6">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rPr>
        <w:t>。</w:t>
      </w:r>
      <w:bookmarkStart w:id="1092" w:name="_Hlk528927599"/>
    </w:p>
    <w:bookmarkEnd w:id="1092"/>
    <w:p w14:paraId="681F40E2">
      <w:pPr>
        <w:spacing w:line="360" w:lineRule="auto"/>
        <w:ind w:firstLine="420" w:firstLineChars="200"/>
        <w:jc w:val="left"/>
        <w:rPr>
          <w:rFonts w:ascii="宋体" w:hAnsi="宋体"/>
          <w:color w:val="auto"/>
          <w:szCs w:val="21"/>
        </w:rPr>
      </w:pPr>
      <w:bookmarkStart w:id="1093" w:name="_Hlk528927718"/>
      <w:r>
        <w:rPr>
          <w:rFonts w:hint="eastAsia" w:ascii="宋体" w:hAnsi="宋体"/>
          <w:color w:val="auto"/>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093"/>
    </w:p>
    <w:p w14:paraId="486B7A19">
      <w:pPr>
        <w:spacing w:line="360" w:lineRule="auto"/>
        <w:ind w:firstLine="420" w:firstLineChars="200"/>
        <w:jc w:val="left"/>
        <w:rPr>
          <w:rFonts w:ascii="宋体" w:hAnsi="宋体"/>
          <w:color w:val="auto"/>
          <w:szCs w:val="21"/>
        </w:rPr>
      </w:pPr>
      <w:r>
        <w:rPr>
          <w:rFonts w:hint="eastAsia" w:ascii="宋体" w:hAnsi="宋体"/>
          <w:color w:val="auto"/>
          <w:szCs w:val="21"/>
        </w:rPr>
        <w:t>若项目经理和技术负责人出现下列情形需更换的，承包人按通用条款第3.2.3项的规定向发包人发出通知，经发包人领导班子集体决策同意后予以批准，并将变更信息推送给行业主管部门：</w:t>
      </w:r>
    </w:p>
    <w:p w14:paraId="0ABE602F">
      <w:pPr>
        <w:spacing w:line="360" w:lineRule="auto"/>
        <w:ind w:firstLine="420" w:firstLineChars="200"/>
        <w:jc w:val="left"/>
        <w:rPr>
          <w:rFonts w:ascii="宋体" w:hAnsi="宋体"/>
          <w:color w:val="auto"/>
          <w:szCs w:val="21"/>
        </w:rPr>
      </w:pPr>
      <w:r>
        <w:rPr>
          <w:rFonts w:hint="eastAsia" w:ascii="宋体" w:hAnsi="宋体"/>
          <w:color w:val="auto"/>
          <w:szCs w:val="21"/>
        </w:rPr>
        <w:t>1、死亡；</w:t>
      </w:r>
    </w:p>
    <w:p w14:paraId="04D40A45">
      <w:pPr>
        <w:spacing w:line="360" w:lineRule="auto"/>
        <w:ind w:firstLine="420" w:firstLineChars="200"/>
        <w:jc w:val="left"/>
        <w:rPr>
          <w:rFonts w:ascii="宋体" w:hAnsi="宋体"/>
          <w:color w:val="auto"/>
          <w:szCs w:val="21"/>
        </w:rPr>
      </w:pPr>
      <w:r>
        <w:rPr>
          <w:rFonts w:hint="eastAsia" w:ascii="宋体" w:hAnsi="宋体"/>
          <w:color w:val="auto"/>
          <w:szCs w:val="21"/>
        </w:rPr>
        <w:t>2、非承包人原因导致工期延长，而致使项目经理和技术负责人达到法定退休年龄且确需退休；</w:t>
      </w:r>
    </w:p>
    <w:p w14:paraId="7E81221F">
      <w:pPr>
        <w:spacing w:line="360" w:lineRule="auto"/>
        <w:ind w:firstLine="420" w:firstLineChars="200"/>
        <w:jc w:val="left"/>
        <w:rPr>
          <w:rFonts w:ascii="宋体" w:hAnsi="宋体"/>
          <w:color w:val="auto"/>
          <w:szCs w:val="21"/>
        </w:rPr>
      </w:pPr>
      <w:r>
        <w:rPr>
          <w:rFonts w:hint="eastAsia" w:ascii="宋体" w:hAnsi="宋体"/>
          <w:color w:val="auto"/>
          <w:szCs w:val="21"/>
        </w:rPr>
        <w:t>3、按《职工非因工伤残或因病丧失劳动能力程度鉴定标准（试行）》规定鉴定为完全丧失劳动能力和大部分丧失劳动能力；</w:t>
      </w:r>
    </w:p>
    <w:p w14:paraId="50F1829C">
      <w:pPr>
        <w:spacing w:line="360" w:lineRule="auto"/>
        <w:ind w:firstLine="420" w:firstLineChars="200"/>
        <w:jc w:val="left"/>
        <w:rPr>
          <w:rFonts w:ascii="宋体" w:hAnsi="宋体"/>
          <w:color w:val="auto"/>
          <w:szCs w:val="21"/>
        </w:rPr>
      </w:pPr>
      <w:r>
        <w:rPr>
          <w:rFonts w:hint="eastAsia" w:ascii="宋体" w:hAnsi="宋体"/>
          <w:color w:val="auto"/>
          <w:szCs w:val="21"/>
        </w:rPr>
        <w:t>4、非承包人原因导致中标3个月不能开工；</w:t>
      </w:r>
    </w:p>
    <w:p w14:paraId="4F111570">
      <w:pPr>
        <w:spacing w:line="360" w:lineRule="auto"/>
        <w:ind w:firstLine="420" w:firstLineChars="200"/>
        <w:jc w:val="left"/>
        <w:rPr>
          <w:rFonts w:ascii="宋体" w:hAnsi="宋体"/>
          <w:color w:val="auto"/>
          <w:szCs w:val="21"/>
        </w:rPr>
      </w:pPr>
      <w:r>
        <w:rPr>
          <w:rFonts w:hint="eastAsia" w:ascii="宋体" w:hAnsi="宋体"/>
          <w:color w:val="auto"/>
          <w:szCs w:val="21"/>
        </w:rPr>
        <w:t>5、被公安或者司法机关限制人身自由；</w:t>
      </w:r>
    </w:p>
    <w:p w14:paraId="5CB00F09">
      <w:pPr>
        <w:spacing w:line="360" w:lineRule="auto"/>
        <w:ind w:firstLine="420" w:firstLineChars="200"/>
        <w:jc w:val="left"/>
        <w:rPr>
          <w:rFonts w:ascii="宋体" w:hAnsi="宋体"/>
          <w:color w:val="auto"/>
          <w:szCs w:val="21"/>
        </w:rPr>
      </w:pPr>
      <w:r>
        <w:rPr>
          <w:rFonts w:hint="eastAsia" w:ascii="宋体" w:hAnsi="宋体"/>
          <w:color w:val="auto"/>
          <w:szCs w:val="21"/>
        </w:rPr>
        <w:t>6、被取消职称或者执业资格，不满足项目管理要求；</w:t>
      </w:r>
    </w:p>
    <w:p w14:paraId="753D2B23">
      <w:pPr>
        <w:spacing w:line="360" w:lineRule="auto"/>
        <w:ind w:firstLine="420" w:firstLineChars="200"/>
        <w:jc w:val="left"/>
        <w:rPr>
          <w:rFonts w:ascii="宋体" w:hAnsi="宋体"/>
          <w:color w:val="auto"/>
          <w:szCs w:val="21"/>
        </w:rPr>
      </w:pPr>
      <w:r>
        <w:rPr>
          <w:rFonts w:hint="eastAsia" w:ascii="宋体" w:hAnsi="宋体"/>
          <w:color w:val="auto"/>
          <w:szCs w:val="21"/>
        </w:rPr>
        <w:t>7、非承包人原因导致确需变更的其它情形。</w:t>
      </w:r>
    </w:p>
    <w:p w14:paraId="761AC54C">
      <w:pPr>
        <w:spacing w:line="360" w:lineRule="auto"/>
        <w:ind w:firstLine="420" w:firstLineChars="200"/>
        <w:jc w:val="left"/>
        <w:rPr>
          <w:rFonts w:ascii="宋体" w:hAnsi="宋体"/>
          <w:color w:val="auto"/>
          <w:szCs w:val="21"/>
        </w:rPr>
      </w:pPr>
      <w:r>
        <w:rPr>
          <w:rFonts w:hint="eastAsia" w:ascii="宋体" w:hAnsi="宋体"/>
          <w:color w:val="auto"/>
          <w:szCs w:val="21"/>
        </w:rPr>
        <w:t>本款补充3.2.6项</w:t>
      </w:r>
    </w:p>
    <w:p w14:paraId="13B04B43">
      <w:pPr>
        <w:spacing w:line="360" w:lineRule="auto"/>
        <w:ind w:firstLine="420" w:firstLineChars="200"/>
        <w:jc w:val="left"/>
        <w:rPr>
          <w:rFonts w:ascii="宋体" w:hAnsi="宋体"/>
          <w:color w:val="auto"/>
          <w:szCs w:val="21"/>
        </w:rPr>
      </w:pPr>
      <w:r>
        <w:rPr>
          <w:rFonts w:hint="eastAsia" w:ascii="宋体" w:hAnsi="宋体"/>
          <w:color w:val="auto"/>
          <w:szCs w:val="21"/>
        </w:rPr>
        <w:t>3.2.6 国有资金投资项目其他主要人员变更参照《重庆市政府投资项目合同变更管理暂行办法》的规定。</w:t>
      </w:r>
    </w:p>
    <w:p w14:paraId="7FEC7CE1">
      <w:pPr>
        <w:pStyle w:val="7"/>
        <w:spacing w:before="0" w:beforeAutospacing="0" w:after="0" w:afterAutospacing="0" w:line="360" w:lineRule="auto"/>
        <w:ind w:firstLine="422" w:firstLineChars="200"/>
        <w:rPr>
          <w:color w:val="auto"/>
          <w:sz w:val="21"/>
          <w:szCs w:val="21"/>
        </w:rPr>
      </w:pPr>
      <w:bookmarkStart w:id="1094" w:name="_Toc532377337"/>
      <w:r>
        <w:rPr>
          <w:rFonts w:hint="eastAsia"/>
          <w:color w:val="auto"/>
          <w:sz w:val="21"/>
          <w:szCs w:val="21"/>
        </w:rPr>
        <w:t>3.3 承包人人员</w:t>
      </w:r>
      <w:bookmarkEnd w:id="1094"/>
    </w:p>
    <w:p w14:paraId="323993AB">
      <w:pPr>
        <w:spacing w:line="360" w:lineRule="auto"/>
        <w:ind w:firstLine="420" w:firstLineChars="200"/>
        <w:jc w:val="left"/>
        <w:rPr>
          <w:rFonts w:ascii="宋体" w:hAnsi="宋体"/>
          <w:color w:val="auto"/>
          <w:szCs w:val="21"/>
        </w:rPr>
      </w:pPr>
      <w:r>
        <w:rPr>
          <w:rFonts w:hint="eastAsia" w:ascii="宋体" w:hAnsi="宋体"/>
          <w:color w:val="auto"/>
          <w:szCs w:val="21"/>
        </w:rPr>
        <w:t>3.3.1 承包人应按建设行政主管部门现行规定配备现场施工从业人员，具体要求如下：</w:t>
      </w:r>
      <w:r>
        <w:rPr>
          <w:rFonts w:hint="eastAsia" w:ascii="宋体" w:hAnsi="宋体"/>
          <w:color w:val="auto"/>
          <w:szCs w:val="21"/>
          <w:u w:val="single"/>
        </w:rPr>
        <w:t xml:space="preserve">        </w:t>
      </w:r>
    </w:p>
    <w:p w14:paraId="7B7B227F">
      <w:pPr>
        <w:spacing w:line="360" w:lineRule="auto"/>
        <w:ind w:firstLine="420" w:firstLineChars="200"/>
        <w:jc w:val="left"/>
        <w:rPr>
          <w:rFonts w:ascii="宋体" w:hAnsi="宋体"/>
          <w:color w:val="auto"/>
          <w:szCs w:val="21"/>
        </w:rPr>
      </w:pPr>
      <w:r>
        <w:rPr>
          <w:rFonts w:hint="eastAsia" w:ascii="宋体" w:hAnsi="宋体"/>
          <w:color w:val="auto"/>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2EBDCB64">
      <w:pPr>
        <w:spacing w:line="360" w:lineRule="auto"/>
        <w:ind w:firstLine="420" w:firstLineChars="200"/>
        <w:jc w:val="left"/>
        <w:rPr>
          <w:rFonts w:ascii="宋体" w:hAnsi="宋体"/>
          <w:color w:val="auto"/>
          <w:szCs w:val="21"/>
        </w:rPr>
      </w:pPr>
      <w:r>
        <w:rPr>
          <w:rFonts w:hint="eastAsia" w:ascii="宋体" w:hAnsi="宋体"/>
          <w:color w:val="auto"/>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4B81BC1B">
      <w:pPr>
        <w:spacing w:line="360" w:lineRule="auto"/>
        <w:ind w:firstLine="420" w:firstLineChars="200"/>
        <w:jc w:val="left"/>
        <w:rPr>
          <w:rFonts w:ascii="宋体" w:hAnsi="宋体"/>
          <w:color w:val="auto"/>
          <w:szCs w:val="21"/>
        </w:rPr>
      </w:pPr>
      <w:r>
        <w:rPr>
          <w:rFonts w:hint="eastAsia" w:ascii="宋体" w:hAnsi="宋体"/>
          <w:color w:val="auto"/>
          <w:szCs w:val="21"/>
        </w:rPr>
        <w:t>3.3.4 承包人主要施工管理人员离开施工现场，指定的临时人员需满足：</w:t>
      </w:r>
      <w:r>
        <w:rPr>
          <w:rFonts w:hint="eastAsia" w:ascii="宋体" w:hAnsi="宋体"/>
          <w:color w:val="auto"/>
          <w:szCs w:val="21"/>
          <w:u w:val="single"/>
        </w:rPr>
        <w:t>《重庆市房屋建筑与市政基础设施工程现场施工从业人员配备标准》（DBJ50-157-2013）的相应要求</w:t>
      </w:r>
      <w:r>
        <w:rPr>
          <w:rFonts w:hint="eastAsia" w:ascii="宋体" w:hAnsi="宋体"/>
          <w:color w:val="auto"/>
          <w:szCs w:val="21"/>
        </w:rPr>
        <w:t>。</w:t>
      </w:r>
    </w:p>
    <w:p w14:paraId="342B45A9">
      <w:pPr>
        <w:pStyle w:val="7"/>
        <w:spacing w:before="0" w:beforeAutospacing="0" w:after="0" w:afterAutospacing="0" w:line="360" w:lineRule="auto"/>
        <w:ind w:firstLine="422" w:firstLineChars="200"/>
        <w:rPr>
          <w:color w:val="auto"/>
          <w:sz w:val="21"/>
          <w:szCs w:val="21"/>
        </w:rPr>
      </w:pPr>
      <w:bookmarkStart w:id="1095" w:name="_Toc532377338"/>
      <w:r>
        <w:rPr>
          <w:rFonts w:hint="eastAsia"/>
          <w:color w:val="auto"/>
          <w:sz w:val="21"/>
          <w:szCs w:val="21"/>
        </w:rPr>
        <w:t>3</w:t>
      </w:r>
      <w:bookmarkStart w:id="1096" w:name="_Toc292559869"/>
      <w:bookmarkStart w:id="1097" w:name="_Toc296944498"/>
      <w:bookmarkStart w:id="1098" w:name="_Toc296346660"/>
      <w:bookmarkStart w:id="1099" w:name="_Toc296347158"/>
      <w:bookmarkStart w:id="1100" w:name="_Toc297123492"/>
      <w:bookmarkStart w:id="1101" w:name="_Toc304295523"/>
      <w:bookmarkStart w:id="1102" w:name="_Toc296503159"/>
      <w:bookmarkStart w:id="1103" w:name="_Toc292559364"/>
      <w:bookmarkStart w:id="1104" w:name="_Toc300934945"/>
      <w:bookmarkStart w:id="1105" w:name="_Toc297120459"/>
      <w:bookmarkStart w:id="1106" w:name="_Toc297048345"/>
      <w:bookmarkStart w:id="1107" w:name="_Toc312677988"/>
      <w:bookmarkStart w:id="1108" w:name="_Toc296891199"/>
      <w:bookmarkStart w:id="1109" w:name="_Toc297216151"/>
      <w:bookmarkStart w:id="1110" w:name="_Toc303539102"/>
      <w:bookmarkStart w:id="1111" w:name="_Toc296890987"/>
      <w:r>
        <w:rPr>
          <w:rFonts w:hint="eastAsia"/>
          <w:color w:val="auto"/>
          <w:sz w:val="21"/>
          <w:szCs w:val="21"/>
        </w:rPr>
        <w:t>.5 分包</w:t>
      </w:r>
      <w:bookmarkEnd w:id="1095"/>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14:paraId="49704A6D">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112" w:name="_Toc318581158"/>
      <w:bookmarkStart w:id="1113" w:name="_Toc297120460"/>
      <w:bookmarkStart w:id="1114" w:name="_Toc296944499"/>
      <w:bookmarkStart w:id="1115" w:name="_Toc296346661"/>
      <w:bookmarkStart w:id="1116" w:name="_Toc292559870"/>
      <w:bookmarkStart w:id="1117" w:name="_Toc312677989"/>
      <w:bookmarkStart w:id="1118" w:name="_Toc297048346"/>
      <w:bookmarkStart w:id="1119" w:name="_Toc303539103"/>
      <w:bookmarkStart w:id="1120" w:name="_Toc296503160"/>
      <w:bookmarkStart w:id="1121" w:name="_Toc297123493"/>
      <w:bookmarkStart w:id="1122" w:name="_Toc296890988"/>
      <w:bookmarkStart w:id="1123" w:name="_Toc297216152"/>
      <w:bookmarkStart w:id="1124" w:name="_Toc300934946"/>
      <w:bookmarkStart w:id="1125" w:name="_Toc304295524"/>
      <w:bookmarkStart w:id="1126" w:name="_Toc292559365"/>
      <w:bookmarkStart w:id="1127" w:name="_Toc296891200"/>
      <w:bookmarkStart w:id="1128" w:name="_Toc296347159"/>
      <w:r>
        <w:rPr>
          <w:rFonts w:hint="eastAsia" w:ascii="宋体" w:hAnsi="宋体"/>
          <w:color w:val="auto"/>
          <w:szCs w:val="21"/>
        </w:rPr>
        <w:t>.5.1 分包的一般约定</w:t>
      </w:r>
    </w:p>
    <w:p w14:paraId="2A8D8C70">
      <w:pPr>
        <w:spacing w:line="360" w:lineRule="auto"/>
        <w:ind w:firstLine="420" w:firstLineChars="200"/>
        <w:jc w:val="left"/>
        <w:rPr>
          <w:rFonts w:ascii="宋体" w:hAnsi="宋体"/>
          <w:color w:val="auto"/>
          <w:szCs w:val="21"/>
        </w:rPr>
      </w:pPr>
      <w:r>
        <w:rPr>
          <w:rFonts w:hint="eastAsia" w:ascii="宋体" w:hAnsi="宋体"/>
          <w:color w:val="auto"/>
          <w:szCs w:val="21"/>
        </w:rPr>
        <w:t>禁止分包的工程包括：主体结构、关键性工作等国家法律、法规禁止分包的工程。</w:t>
      </w:r>
    </w:p>
    <w:p w14:paraId="247DD23F">
      <w:pPr>
        <w:spacing w:line="360" w:lineRule="auto"/>
        <w:ind w:firstLine="420" w:firstLineChars="200"/>
        <w:jc w:val="left"/>
        <w:rPr>
          <w:rFonts w:ascii="宋体" w:hAnsi="宋体"/>
          <w:color w:val="auto"/>
          <w:szCs w:val="21"/>
        </w:rPr>
      </w:pPr>
      <w:r>
        <w:rPr>
          <w:rFonts w:hint="eastAsia" w:ascii="宋体" w:hAnsi="宋体"/>
          <w:color w:val="auto"/>
          <w:szCs w:val="21"/>
        </w:rPr>
        <w:t>主体结构、关键性工作的范围：国家法律、法规、规范、标准等所约束的范围。如房建工程主体结构指混凝土工程、砌体工程、钢结构工程（具体有基础、梁、板、柱、砼墙、楼梯工程等）</w:t>
      </w:r>
      <w:bookmarkStart w:id="1129" w:name="_Toc303539104"/>
      <w:bookmarkStart w:id="1130" w:name="_Toc297120461"/>
      <w:bookmarkStart w:id="1131" w:name="_Toc304295525"/>
      <w:bookmarkStart w:id="1132" w:name="_Toc297216153"/>
      <w:bookmarkStart w:id="1133" w:name="_Toc297123494"/>
      <w:bookmarkStart w:id="1134" w:name="_Toc296347160"/>
      <w:bookmarkStart w:id="1135" w:name="_Toc297048347"/>
      <w:bookmarkStart w:id="1136" w:name="_Toc296890989"/>
      <w:bookmarkStart w:id="1137" w:name="_Toc296891201"/>
      <w:bookmarkStart w:id="1138" w:name="_Toc300934947"/>
      <w:bookmarkStart w:id="1139" w:name="_Toc296346662"/>
      <w:bookmarkStart w:id="1140" w:name="_Toc296944500"/>
      <w:bookmarkStart w:id="1141" w:name="_Toc296503161"/>
      <w:r>
        <w:rPr>
          <w:rFonts w:hint="eastAsia" w:ascii="宋体" w:hAnsi="宋体"/>
          <w:color w:val="auto"/>
          <w:szCs w:val="21"/>
        </w:rPr>
        <w:t>；关键性工作指梁、板、柱等部位。</w:t>
      </w:r>
    </w:p>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14:paraId="3CE77478">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33AD8E5A">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142" w:name="_Toc312677990"/>
      <w:bookmarkStart w:id="1143" w:name="_Toc318581159"/>
      <w:r>
        <w:rPr>
          <w:rFonts w:hint="eastAsia" w:ascii="宋体" w:hAnsi="宋体"/>
          <w:color w:val="auto"/>
          <w:szCs w:val="21"/>
        </w:rPr>
        <w:t>.5.2分包的确定</w:t>
      </w:r>
    </w:p>
    <w:p w14:paraId="1C27204F">
      <w:pPr>
        <w:spacing w:line="360" w:lineRule="auto"/>
        <w:ind w:firstLine="420" w:firstLineChars="200"/>
        <w:jc w:val="left"/>
        <w:rPr>
          <w:rFonts w:ascii="宋体" w:hAnsi="宋体"/>
          <w:i/>
          <w:iCs/>
          <w:color w:val="auto"/>
          <w:szCs w:val="21"/>
        </w:rPr>
      </w:pPr>
      <w:r>
        <w:rPr>
          <w:rFonts w:hint="eastAsia" w:ascii="宋体" w:hAnsi="宋体"/>
          <w:color w:val="auto"/>
          <w:szCs w:val="21"/>
        </w:rPr>
        <w:t>允许分包的专业工程包括：</w:t>
      </w:r>
      <w:r>
        <w:rPr>
          <w:rFonts w:hint="eastAsia" w:ascii="宋体" w:hAnsi="宋体"/>
          <w:color w:val="auto"/>
          <w:szCs w:val="21"/>
          <w:u w:val="single"/>
        </w:rPr>
        <w:t xml:space="preserve">    /    。</w:t>
      </w:r>
      <w:r>
        <w:rPr>
          <w:rFonts w:hint="eastAsia" w:ascii="宋体" w:hAnsi="宋体"/>
          <w:i/>
          <w:iCs/>
          <w:color w:val="auto"/>
          <w:szCs w:val="21"/>
        </w:rPr>
        <w:t>[提示：符合《中华人民共和国建筑法》和《中华人民共和国采购投标法》的相关规定。]</w:t>
      </w:r>
    </w:p>
    <w:p w14:paraId="2E0848B6">
      <w:pPr>
        <w:spacing w:line="360" w:lineRule="auto"/>
        <w:ind w:firstLine="420" w:firstLineChars="200"/>
        <w:jc w:val="left"/>
        <w:rPr>
          <w:rFonts w:ascii="宋体" w:hAnsi="宋体"/>
          <w:color w:val="auto"/>
          <w:szCs w:val="21"/>
        </w:rPr>
      </w:pPr>
      <w:r>
        <w:rPr>
          <w:rFonts w:hint="eastAsia" w:ascii="宋体" w:hAnsi="宋体"/>
          <w:color w:val="auto"/>
          <w:szCs w:val="21"/>
        </w:rPr>
        <w:t>3.5.4 分包合同价款</w:t>
      </w:r>
    </w:p>
    <w:p w14:paraId="74E0C16F">
      <w:pPr>
        <w:spacing w:line="360" w:lineRule="auto"/>
        <w:ind w:firstLine="420" w:firstLineChars="200"/>
        <w:jc w:val="left"/>
        <w:rPr>
          <w:rFonts w:ascii="宋体" w:hAnsi="宋体"/>
          <w:color w:val="auto"/>
          <w:szCs w:val="21"/>
        </w:rPr>
      </w:pPr>
      <w:r>
        <w:rPr>
          <w:rFonts w:hint="eastAsia" w:ascii="宋体" w:hAnsi="宋体"/>
          <w:color w:val="auto"/>
          <w:szCs w:val="21"/>
        </w:rPr>
        <w:t>关于分包合同价款支付的约定：</w:t>
      </w:r>
      <w:bookmarkEnd w:id="1142"/>
      <w:bookmarkEnd w:id="1143"/>
      <w:r>
        <w:rPr>
          <w:rFonts w:hint="eastAsia" w:ascii="宋体" w:hAnsi="宋体"/>
          <w:color w:val="auto"/>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rPr>
        <w:t>。</w:t>
      </w:r>
    </w:p>
    <w:p w14:paraId="178DA35F">
      <w:pPr>
        <w:spacing w:line="360" w:lineRule="auto"/>
        <w:ind w:firstLine="420" w:firstLineChars="200"/>
        <w:jc w:val="left"/>
        <w:rPr>
          <w:rFonts w:ascii="宋体" w:hAnsi="宋体"/>
          <w:color w:val="auto"/>
          <w:szCs w:val="21"/>
        </w:rPr>
      </w:pPr>
      <w:r>
        <w:rPr>
          <w:rFonts w:hint="eastAsia" w:ascii="宋体" w:hAnsi="宋体"/>
          <w:color w:val="auto"/>
          <w:szCs w:val="21"/>
        </w:rPr>
        <w:t>本款补充3.5.6项：</w:t>
      </w:r>
    </w:p>
    <w:p w14:paraId="01BCC400">
      <w:pPr>
        <w:spacing w:line="360" w:lineRule="auto"/>
        <w:ind w:firstLine="420" w:firstLineChars="200"/>
        <w:jc w:val="left"/>
        <w:rPr>
          <w:rFonts w:ascii="宋体" w:hAnsi="宋体"/>
          <w:color w:val="auto"/>
          <w:szCs w:val="21"/>
        </w:rPr>
      </w:pPr>
      <w:r>
        <w:rPr>
          <w:rFonts w:hint="eastAsia" w:ascii="宋体" w:hAnsi="宋体"/>
          <w:color w:val="auto"/>
          <w:szCs w:val="21"/>
        </w:rPr>
        <w:t>3.5.6严禁违法分包</w:t>
      </w:r>
    </w:p>
    <w:p w14:paraId="5711293D">
      <w:pPr>
        <w:spacing w:line="360" w:lineRule="auto"/>
        <w:ind w:firstLine="420" w:firstLineChars="200"/>
        <w:jc w:val="left"/>
        <w:rPr>
          <w:rFonts w:ascii="宋体" w:hAnsi="宋体"/>
          <w:color w:val="auto"/>
          <w:szCs w:val="21"/>
        </w:rPr>
      </w:pPr>
      <w:r>
        <w:rPr>
          <w:rFonts w:hint="eastAsia" w:ascii="宋体" w:hAnsi="宋体"/>
          <w:color w:val="auto"/>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7D1CA7DF">
      <w:pPr>
        <w:pStyle w:val="7"/>
        <w:spacing w:before="0" w:beforeAutospacing="0" w:after="0" w:afterAutospacing="0" w:line="360" w:lineRule="auto"/>
        <w:ind w:firstLine="422" w:firstLineChars="200"/>
        <w:rPr>
          <w:color w:val="auto"/>
          <w:sz w:val="21"/>
          <w:szCs w:val="21"/>
        </w:rPr>
      </w:pPr>
      <w:bookmarkStart w:id="1144" w:name="_Toc532377339"/>
      <w:r>
        <w:rPr>
          <w:rFonts w:hint="eastAsia"/>
          <w:color w:val="auto"/>
          <w:sz w:val="21"/>
          <w:szCs w:val="21"/>
        </w:rPr>
        <w:t>3.7 履约担保</w:t>
      </w:r>
      <w:bookmarkEnd w:id="1144"/>
    </w:p>
    <w:p w14:paraId="1E626A71">
      <w:pPr>
        <w:spacing w:line="360" w:lineRule="auto"/>
        <w:ind w:firstLine="420" w:firstLineChars="200"/>
        <w:jc w:val="left"/>
        <w:rPr>
          <w:rFonts w:ascii="宋体" w:hAnsi="宋体"/>
          <w:color w:val="auto"/>
          <w:szCs w:val="21"/>
        </w:rPr>
      </w:pPr>
      <w:r>
        <w:rPr>
          <w:rFonts w:hint="eastAsia" w:ascii="宋体" w:hAnsi="宋体"/>
          <w:color w:val="auto"/>
          <w:szCs w:val="21"/>
        </w:rPr>
        <w:t>3.7.1承包人是否提供履约担保：</w:t>
      </w:r>
      <w:r>
        <w:rPr>
          <w:rFonts w:hint="eastAsia" w:ascii="宋体" w:hAnsi="宋体"/>
          <w:color w:val="auto"/>
          <w:szCs w:val="21"/>
          <w:u w:val="single"/>
        </w:rPr>
        <w:t>提供</w:t>
      </w:r>
      <w:r>
        <w:rPr>
          <w:rFonts w:hint="eastAsia" w:ascii="宋体" w:hAnsi="宋体"/>
          <w:color w:val="auto"/>
          <w:szCs w:val="21"/>
        </w:rPr>
        <w:t>。</w:t>
      </w:r>
    </w:p>
    <w:p w14:paraId="555BDCE2">
      <w:pPr>
        <w:spacing w:line="360" w:lineRule="auto"/>
        <w:ind w:firstLine="420" w:firstLineChars="200"/>
        <w:jc w:val="left"/>
        <w:rPr>
          <w:rFonts w:ascii="宋体" w:hAnsi="宋体"/>
          <w:color w:val="auto"/>
          <w:szCs w:val="21"/>
        </w:rPr>
      </w:pPr>
      <w:r>
        <w:rPr>
          <w:rFonts w:hint="eastAsia" w:ascii="宋体" w:hAnsi="宋体"/>
          <w:color w:val="auto"/>
          <w:szCs w:val="21"/>
        </w:rPr>
        <w:t>3.7.2承包人提供履约担保的形式、金额及期限：</w:t>
      </w:r>
    </w:p>
    <w:p w14:paraId="1514CF71">
      <w:pPr>
        <w:spacing w:line="360" w:lineRule="auto"/>
        <w:ind w:firstLine="420" w:firstLineChars="200"/>
        <w:jc w:val="left"/>
        <w:rPr>
          <w:rFonts w:ascii="宋体" w:hAnsi="宋体"/>
          <w:color w:val="auto"/>
          <w:szCs w:val="21"/>
        </w:rPr>
      </w:pPr>
      <w:r>
        <w:rPr>
          <w:rFonts w:hint="eastAsia" w:ascii="宋体" w:hAnsi="宋体"/>
          <w:color w:val="auto"/>
          <w:szCs w:val="21"/>
        </w:rPr>
        <w:t>（1）履约担保的形式：现金或银行保函或现金+银行保函的组合；采用银行保函</w:t>
      </w:r>
      <w:r>
        <w:rPr>
          <w:rFonts w:hint="eastAsia" w:ascii="宋体" w:hAnsi="宋体" w:cs="宋体"/>
          <w:color w:val="auto"/>
          <w:szCs w:val="21"/>
        </w:rPr>
        <w:t>(仅限于全国性商业银行不含地方银行)</w:t>
      </w:r>
      <w:r>
        <w:rPr>
          <w:rFonts w:hint="eastAsia" w:ascii="宋体" w:hAnsi="宋体"/>
          <w:color w:val="auto"/>
          <w:szCs w:val="21"/>
        </w:rPr>
        <w:t>形式的，保函必须为不可撤销且见索即付；</w:t>
      </w:r>
    </w:p>
    <w:p w14:paraId="078917BD">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（2）履约担保的金额：</w:t>
      </w:r>
      <w:r>
        <w:rPr>
          <w:rFonts w:hint="eastAsia" w:ascii="仿宋_GB2312" w:hAnsi="宋体" w:eastAsia="仿宋_GB2312" w:cs="宋体"/>
          <w:color w:val="auto"/>
          <w:kern w:val="0"/>
          <w:szCs w:val="21"/>
        </w:rPr>
        <w:t xml:space="preserve">            </w:t>
      </w:r>
      <w:r>
        <w:rPr>
          <w:rFonts w:hint="eastAsia" w:ascii="宋体" w:hAnsi="宋体"/>
          <w:color w:val="auto"/>
          <w:szCs w:val="21"/>
        </w:rPr>
        <w:t>；</w:t>
      </w:r>
    </w:p>
    <w:p w14:paraId="37E54BE6">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（3）履约担保的提交时间：</w:t>
      </w:r>
      <w:r>
        <w:rPr>
          <w:rFonts w:hint="eastAsia" w:ascii="宋体" w:hAnsi="宋体"/>
          <w:color w:val="auto"/>
          <w:szCs w:val="21"/>
          <w:u w:val="single"/>
        </w:rPr>
        <w:t>在合同签订前，承包人按担保金额向发包人提交履约担保</w:t>
      </w:r>
      <w:r>
        <w:rPr>
          <w:rFonts w:hint="eastAsia" w:ascii="宋体" w:hAnsi="宋体"/>
          <w:color w:val="auto"/>
          <w:szCs w:val="21"/>
        </w:rPr>
        <w:t>。</w:t>
      </w:r>
    </w:p>
    <w:p w14:paraId="72C74E79">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（4）履约担保的期限：</w:t>
      </w:r>
      <w:r>
        <w:rPr>
          <w:rFonts w:hint="eastAsia" w:ascii="宋体" w:hAnsi="宋体"/>
          <w:color w:val="auto"/>
          <w:szCs w:val="21"/>
          <w:u w:val="single"/>
        </w:rPr>
        <w:t>自我方法定代表人（或其委托代理人）签字并加盖公章之日起至你方签发或应签发工程接收证书之日止</w:t>
      </w:r>
      <w:r>
        <w:rPr>
          <w:rFonts w:hint="eastAsia" w:ascii="宋体" w:hAnsi="宋体"/>
          <w:color w:val="auto"/>
          <w:szCs w:val="21"/>
        </w:rPr>
        <w:t>。</w:t>
      </w:r>
    </w:p>
    <w:p w14:paraId="6BE95816">
      <w:pPr>
        <w:tabs>
          <w:tab w:val="left" w:pos="1134"/>
        </w:tabs>
        <w:spacing w:line="360" w:lineRule="auto"/>
        <w:ind w:firstLine="420" w:firstLineChars="200"/>
        <w:jc w:val="left"/>
        <w:rPr>
          <w:rFonts w:ascii="宋体" w:hAnsi="宋体"/>
          <w:color w:val="auto"/>
          <w:szCs w:val="21"/>
          <w:u w:val="single"/>
        </w:rPr>
      </w:pPr>
      <w:r>
        <w:rPr>
          <w:rFonts w:hint="eastAsia" w:ascii="宋体" w:hAnsi="宋体"/>
          <w:color w:val="auto"/>
          <w:szCs w:val="21"/>
        </w:rPr>
        <w:t>（5）履约担保的退还时间：</w:t>
      </w:r>
      <w:r>
        <w:rPr>
          <w:rFonts w:hint="eastAsia" w:ascii="宋体" w:hAnsi="宋体"/>
          <w:color w:val="auto"/>
          <w:szCs w:val="21"/>
          <w:u w:val="single"/>
        </w:rPr>
        <w:t>采用现金担保的，工程竣工验收合格后14天内退还；采用银行保函的，工程竣工验收合格后14天内退还，或按工程实际情况约定分阶段退还，阶段划分按以下标准执行：</w:t>
      </w:r>
    </w:p>
    <w:p w14:paraId="5F8DE032">
      <w:pPr>
        <w:tabs>
          <w:tab w:val="left" w:pos="1134"/>
        </w:tabs>
        <w:spacing w:line="360" w:lineRule="auto"/>
        <w:jc w:val="lef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w:t>
      </w:r>
    </w:p>
    <w:p w14:paraId="59E26E97">
      <w:pPr>
        <w:spacing w:line="360" w:lineRule="auto"/>
        <w:ind w:firstLine="420" w:firstLineChars="200"/>
        <w:jc w:val="left"/>
        <w:rPr>
          <w:rFonts w:ascii="宋体" w:hAnsi="宋体"/>
          <w:color w:val="auto"/>
          <w:szCs w:val="21"/>
        </w:rPr>
      </w:pPr>
      <w:r>
        <w:rPr>
          <w:rFonts w:hint="eastAsia" w:ascii="宋体" w:hAnsi="宋体"/>
          <w:color w:val="auto"/>
          <w:szCs w:val="21"/>
        </w:rPr>
        <w:t>本款补充3.7.3项：</w:t>
      </w:r>
    </w:p>
    <w:p w14:paraId="12AD9E5B">
      <w:pPr>
        <w:pStyle w:val="2"/>
        <w:spacing w:after="0" w:line="360" w:lineRule="auto"/>
        <w:ind w:firstLine="420" w:firstLineChars="200"/>
        <w:jc w:val="left"/>
        <w:rPr>
          <w:rFonts w:ascii="宋体" w:hAnsi="宋体"/>
          <w:color w:val="auto"/>
          <w:szCs w:val="21"/>
        </w:rPr>
      </w:pPr>
      <w:r>
        <w:rPr>
          <w:rFonts w:hint="eastAsia" w:ascii="宋体" w:hAnsi="宋体"/>
          <w:color w:val="auto"/>
          <w:szCs w:val="21"/>
        </w:rPr>
        <w:t>3.7.3 低价风险担保</w:t>
      </w:r>
    </w:p>
    <w:p w14:paraId="6385E739">
      <w:pPr>
        <w:spacing w:line="360" w:lineRule="auto"/>
        <w:ind w:firstLine="420" w:firstLineChars="200"/>
        <w:jc w:val="left"/>
        <w:rPr>
          <w:rFonts w:ascii="宋体" w:hAnsi="宋体"/>
          <w:color w:val="auto"/>
          <w:szCs w:val="21"/>
        </w:rPr>
      </w:pPr>
      <w:r>
        <w:rPr>
          <w:rFonts w:hint="eastAsia" w:ascii="宋体" w:hAnsi="宋体"/>
          <w:color w:val="auto"/>
          <w:szCs w:val="21"/>
        </w:rPr>
        <w:t>承包人提供低价风险担保的情形：采用经评审的最低投标价法的项目投标报价低于最高限价85%时。</w:t>
      </w:r>
    </w:p>
    <w:p w14:paraId="046D6381">
      <w:pPr>
        <w:spacing w:line="360" w:lineRule="auto"/>
        <w:ind w:firstLine="420" w:firstLineChars="200"/>
        <w:jc w:val="left"/>
        <w:rPr>
          <w:rFonts w:ascii="宋体" w:hAnsi="宋体"/>
          <w:color w:val="auto"/>
          <w:szCs w:val="21"/>
        </w:rPr>
      </w:pPr>
      <w:r>
        <w:rPr>
          <w:rFonts w:hint="eastAsia" w:ascii="宋体" w:hAnsi="宋体"/>
          <w:color w:val="auto"/>
          <w:szCs w:val="21"/>
        </w:rPr>
        <w:t>承包人提供低价风险担保的形式、金额及期限：</w:t>
      </w:r>
    </w:p>
    <w:p w14:paraId="2C4F1883">
      <w:pPr>
        <w:spacing w:line="360" w:lineRule="auto"/>
        <w:ind w:firstLine="420" w:firstLineChars="200"/>
        <w:jc w:val="left"/>
        <w:rPr>
          <w:rFonts w:ascii="宋体" w:hAnsi="宋体"/>
          <w:color w:val="auto"/>
          <w:szCs w:val="21"/>
        </w:rPr>
      </w:pPr>
      <w:r>
        <w:rPr>
          <w:rFonts w:hint="eastAsia" w:ascii="宋体" w:hAnsi="宋体"/>
          <w:color w:val="auto"/>
          <w:szCs w:val="21"/>
        </w:rPr>
        <w:t>（1）低价风险担保的形式：现金或银行保函或现金+银行保函的组合；采用银行保函</w:t>
      </w:r>
      <w:r>
        <w:rPr>
          <w:rFonts w:hint="eastAsia" w:ascii="宋体" w:hAnsi="宋体" w:cs="宋体"/>
          <w:color w:val="auto"/>
          <w:szCs w:val="21"/>
        </w:rPr>
        <w:t>(仅限于全国性商业银行不含地方银行)</w:t>
      </w:r>
      <w:r>
        <w:rPr>
          <w:rFonts w:hint="eastAsia" w:ascii="宋体" w:hAnsi="宋体"/>
          <w:color w:val="auto"/>
          <w:szCs w:val="21"/>
        </w:rPr>
        <w:t>形式的，保函必须为不可撤销且见索即付；</w:t>
      </w:r>
    </w:p>
    <w:p w14:paraId="1756229E">
      <w:pPr>
        <w:spacing w:line="360" w:lineRule="auto"/>
        <w:ind w:firstLine="420" w:firstLineChars="200"/>
        <w:jc w:val="left"/>
        <w:rPr>
          <w:rFonts w:ascii="宋体" w:hAnsi="宋体"/>
          <w:color w:val="auto"/>
          <w:szCs w:val="21"/>
        </w:rPr>
      </w:pPr>
      <w:r>
        <w:rPr>
          <w:rFonts w:hint="eastAsia" w:ascii="宋体" w:hAnsi="宋体"/>
          <w:color w:val="auto"/>
          <w:szCs w:val="21"/>
        </w:rPr>
        <w:t>（2）低价风险担保的金额：</w:t>
      </w:r>
      <w:r>
        <w:rPr>
          <w:rFonts w:hint="eastAsia" w:ascii="仿宋_GB2312" w:hAnsi="宋体" w:eastAsia="仿宋_GB2312" w:cs="宋体"/>
          <w:color w:val="auto"/>
          <w:kern w:val="0"/>
          <w:szCs w:val="21"/>
          <w:u w:val="single"/>
        </w:rPr>
        <w:t xml:space="preserve">            </w:t>
      </w:r>
      <w:r>
        <w:rPr>
          <w:rFonts w:hint="eastAsia" w:ascii="宋体" w:hAnsi="宋体"/>
          <w:color w:val="auto"/>
          <w:szCs w:val="21"/>
        </w:rPr>
        <w:t>；</w:t>
      </w:r>
    </w:p>
    <w:p w14:paraId="00227130">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（3）低价风险担保的提交时间：</w:t>
      </w:r>
      <w:r>
        <w:rPr>
          <w:rFonts w:hint="eastAsia"/>
          <w:color w:val="auto"/>
          <w:szCs w:val="21"/>
          <w:u w:val="single"/>
        </w:rPr>
        <w:t>从采购人低价风险担保书面通知送达拟中标人之日起 10工作日内</w:t>
      </w:r>
      <w:r>
        <w:rPr>
          <w:rFonts w:hint="eastAsia" w:ascii="宋体" w:hAnsi="宋体"/>
          <w:color w:val="auto"/>
          <w:szCs w:val="21"/>
          <w:u w:val="single"/>
        </w:rPr>
        <w:t>；</w:t>
      </w:r>
    </w:p>
    <w:p w14:paraId="11621EA8">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（4）低价风险担保的期限：</w:t>
      </w:r>
      <w:r>
        <w:rPr>
          <w:rFonts w:hint="eastAsia"/>
          <w:color w:val="auto"/>
          <w:szCs w:val="21"/>
          <w:u w:val="single"/>
        </w:rPr>
        <w:t>自低价风险担保生效之日起至竣工验收合格之日止</w:t>
      </w:r>
      <w:r>
        <w:rPr>
          <w:rFonts w:hint="eastAsia" w:ascii="宋体" w:hAnsi="宋体"/>
          <w:color w:val="auto"/>
          <w:szCs w:val="21"/>
        </w:rPr>
        <w:t>。</w:t>
      </w:r>
    </w:p>
    <w:p w14:paraId="7EEABD16">
      <w:pPr>
        <w:pStyle w:val="2"/>
        <w:spacing w:after="0" w:line="360" w:lineRule="auto"/>
        <w:ind w:firstLine="420" w:firstLineChars="200"/>
        <w:jc w:val="left"/>
        <w:rPr>
          <w:rFonts w:ascii="宋体" w:hAnsi="宋体"/>
          <w:color w:val="auto"/>
          <w:szCs w:val="21"/>
        </w:rPr>
      </w:pPr>
      <w:r>
        <w:rPr>
          <w:rFonts w:hint="eastAsia" w:ascii="宋体" w:hAnsi="宋体"/>
          <w:color w:val="auto"/>
          <w:szCs w:val="21"/>
        </w:rPr>
        <w:t>低价风险担保的退还时间：</w:t>
      </w:r>
      <w:r>
        <w:rPr>
          <w:rFonts w:hint="eastAsia" w:ascii="宋体" w:hAnsi="宋体"/>
          <w:color w:val="auto"/>
          <w:szCs w:val="21"/>
          <w:u w:val="single"/>
        </w:rPr>
        <w:t>采用现金担保的，工程竣工验收合格后14天内无息退还；采用银行保函的，工程竣工验收合格后14天内退还</w:t>
      </w:r>
      <w:r>
        <w:rPr>
          <w:rFonts w:hint="eastAsia" w:ascii="宋体" w:hAnsi="宋体"/>
          <w:color w:val="auto"/>
          <w:szCs w:val="21"/>
        </w:rPr>
        <w:t>。</w:t>
      </w:r>
    </w:p>
    <w:p w14:paraId="19D7F4CB">
      <w:pPr>
        <w:pStyle w:val="2"/>
        <w:spacing w:after="0" w:line="360" w:lineRule="auto"/>
        <w:ind w:firstLine="420" w:firstLineChars="200"/>
        <w:jc w:val="left"/>
        <w:rPr>
          <w:rFonts w:ascii="宋体" w:hAnsi="宋体"/>
          <w:color w:val="auto"/>
          <w:szCs w:val="21"/>
        </w:rPr>
      </w:pPr>
      <w:bookmarkStart w:id="1145" w:name="_Toc351203636"/>
      <w:bookmarkStart w:id="1146" w:name="_Toc532377340"/>
      <w:bookmarkStart w:id="1147" w:name="_Toc532375611"/>
      <w:r>
        <w:rPr>
          <w:rFonts w:hint="eastAsia" w:ascii="宋体" w:hAnsi="宋体"/>
          <w:color w:val="auto"/>
          <w:szCs w:val="21"/>
        </w:rPr>
        <w:t>（5）低价风险担保的扣减：</w:t>
      </w:r>
    </w:p>
    <w:p w14:paraId="250D0EF5">
      <w:pPr>
        <w:pStyle w:val="2"/>
        <w:spacing w:after="0" w:line="360" w:lineRule="auto"/>
        <w:ind w:firstLine="420" w:firstLineChars="200"/>
        <w:jc w:val="left"/>
        <w:rPr>
          <w:rFonts w:ascii="宋体" w:hAnsi="宋体"/>
          <w:color w:val="auto"/>
          <w:szCs w:val="21"/>
        </w:rPr>
      </w:pPr>
      <w:r>
        <w:rPr>
          <w:rFonts w:hint="eastAsia" w:ascii="宋体" w:hAnsi="宋体"/>
          <w:color w:val="auto"/>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color w:val="auto"/>
          <w:szCs w:val="21"/>
          <w:u w:val="single"/>
        </w:rPr>
        <w:t>50～100%</w:t>
      </w:r>
      <w:r>
        <w:rPr>
          <w:rFonts w:hint="eastAsia" w:ascii="宋体" w:hAnsi="宋体"/>
          <w:color w:val="auto"/>
          <w:szCs w:val="21"/>
        </w:rPr>
        <w:t>扣减，直至解除合同；</w:t>
      </w:r>
    </w:p>
    <w:p w14:paraId="1CF4052E">
      <w:pPr>
        <w:pStyle w:val="2"/>
        <w:spacing w:after="0" w:line="360" w:lineRule="auto"/>
        <w:ind w:firstLine="420" w:firstLineChars="200"/>
        <w:jc w:val="left"/>
        <w:rPr>
          <w:rFonts w:ascii="宋体" w:hAnsi="宋体"/>
          <w:color w:val="auto"/>
          <w:szCs w:val="21"/>
        </w:rPr>
      </w:pPr>
      <w:r>
        <w:rPr>
          <w:rFonts w:hint="eastAsia" w:ascii="宋体" w:hAnsi="宋体"/>
          <w:color w:val="auto"/>
          <w:szCs w:val="21"/>
        </w:rPr>
        <w:t>②承包人在工程施工期间或竣工验收时，工程质量不符合国家现行有关施工质量验收规范要求的，按低价风险担保金额的</w:t>
      </w:r>
      <w:r>
        <w:rPr>
          <w:rFonts w:hint="eastAsia" w:ascii="宋体" w:hAnsi="宋体"/>
          <w:color w:val="auto"/>
          <w:szCs w:val="21"/>
          <w:u w:val="single"/>
        </w:rPr>
        <w:t>50～100%</w:t>
      </w:r>
      <w:r>
        <w:rPr>
          <w:rFonts w:hint="eastAsia" w:ascii="宋体" w:hAnsi="宋体"/>
          <w:color w:val="auto"/>
          <w:szCs w:val="21"/>
        </w:rPr>
        <w:t>扣减，直至解除合同；</w:t>
      </w:r>
    </w:p>
    <w:p w14:paraId="6C03581C">
      <w:pPr>
        <w:pStyle w:val="2"/>
        <w:spacing w:after="0" w:line="360" w:lineRule="auto"/>
        <w:ind w:firstLine="420" w:firstLineChars="200"/>
        <w:jc w:val="left"/>
        <w:rPr>
          <w:rFonts w:ascii="宋体" w:hAnsi="宋体"/>
          <w:color w:val="auto"/>
          <w:szCs w:val="21"/>
        </w:rPr>
      </w:pPr>
      <w:r>
        <w:rPr>
          <w:rFonts w:hint="eastAsia" w:ascii="宋体" w:hAnsi="宋体"/>
          <w:color w:val="auto"/>
          <w:szCs w:val="21"/>
        </w:rPr>
        <w:t>③承包人因16.2.3项原因被解除合同的，低价风险担保将全额扣除；</w:t>
      </w:r>
    </w:p>
    <w:p w14:paraId="5C275C9D">
      <w:pPr>
        <w:pStyle w:val="2"/>
        <w:spacing w:after="0" w:line="360" w:lineRule="auto"/>
        <w:ind w:firstLine="420" w:firstLineChars="200"/>
        <w:jc w:val="left"/>
        <w:rPr>
          <w:rFonts w:ascii="宋体" w:hAnsi="宋体"/>
          <w:color w:val="auto"/>
          <w:szCs w:val="21"/>
          <w:u w:val="single"/>
        </w:rPr>
      </w:pPr>
      <w:r>
        <w:rPr>
          <w:rFonts w:hint="eastAsia" w:ascii="宋体" w:hAnsi="宋体"/>
          <w:color w:val="auto"/>
          <w:szCs w:val="21"/>
        </w:rPr>
        <w:t>④因承包人过错导致的其他情形：</w:t>
      </w:r>
      <w:r>
        <w:rPr>
          <w:rFonts w:hint="eastAsia" w:ascii="宋体" w:hAnsi="宋体"/>
          <w:color w:val="auto"/>
          <w:szCs w:val="21"/>
          <w:u w:val="single"/>
        </w:rPr>
        <w:t xml:space="preserve">        </w:t>
      </w:r>
      <w:r>
        <w:rPr>
          <w:rFonts w:hint="eastAsia" w:ascii="宋体" w:hAnsi="宋体"/>
          <w:color w:val="auto"/>
          <w:szCs w:val="21"/>
        </w:rPr>
        <w:t>。</w:t>
      </w:r>
    </w:p>
    <w:p w14:paraId="16A9FC8B">
      <w:pPr>
        <w:pStyle w:val="6"/>
        <w:keepNext/>
        <w:keepLines/>
        <w:spacing w:beforeLines="50" w:beforeAutospacing="0" w:afterLines="50" w:afterAutospacing="0" w:line="360" w:lineRule="auto"/>
        <w:jc w:val="both"/>
        <w:rPr>
          <w:bCs w:val="0"/>
          <w:color w:val="auto"/>
          <w:kern w:val="2"/>
          <w:sz w:val="21"/>
          <w:szCs w:val="21"/>
        </w:rPr>
      </w:pPr>
      <w:r>
        <w:rPr>
          <w:rFonts w:hint="eastAsia"/>
          <w:color w:val="auto"/>
          <w:kern w:val="2"/>
          <w:sz w:val="21"/>
          <w:szCs w:val="21"/>
        </w:rPr>
        <w:t>4</w:t>
      </w:r>
      <w:bookmarkStart w:id="1148" w:name="_Toc292559871"/>
      <w:bookmarkStart w:id="1149" w:name="_Toc296890990"/>
      <w:bookmarkStart w:id="1150" w:name="_Toc296346663"/>
      <w:bookmarkStart w:id="1151" w:name="_Toc296503162"/>
      <w:bookmarkStart w:id="1152" w:name="_Toc296891202"/>
      <w:bookmarkStart w:id="1153" w:name="_Toc296944501"/>
      <w:bookmarkStart w:id="1154" w:name="_Toc296347161"/>
      <w:bookmarkStart w:id="1155" w:name="_Toc267251413"/>
      <w:bookmarkStart w:id="1156" w:name="_Toc297120462"/>
      <w:bookmarkStart w:id="1157" w:name="_Toc297048348"/>
      <w:bookmarkStart w:id="1158" w:name="_Toc292559366"/>
      <w:r>
        <w:rPr>
          <w:rFonts w:hint="eastAsia"/>
          <w:color w:val="auto"/>
          <w:kern w:val="2"/>
          <w:sz w:val="21"/>
          <w:szCs w:val="21"/>
        </w:rPr>
        <w:t>. 监</w:t>
      </w:r>
      <w:bookmarkEnd w:id="1148"/>
      <w:bookmarkEnd w:id="1149"/>
      <w:bookmarkEnd w:id="1150"/>
      <w:bookmarkEnd w:id="1151"/>
      <w:bookmarkEnd w:id="1152"/>
      <w:bookmarkEnd w:id="1153"/>
      <w:bookmarkEnd w:id="1154"/>
      <w:bookmarkEnd w:id="1155"/>
      <w:bookmarkEnd w:id="1156"/>
      <w:bookmarkEnd w:id="1157"/>
      <w:bookmarkEnd w:id="1158"/>
      <w:r>
        <w:rPr>
          <w:rFonts w:hint="eastAsia"/>
          <w:color w:val="auto"/>
          <w:kern w:val="2"/>
          <w:sz w:val="21"/>
          <w:szCs w:val="21"/>
        </w:rPr>
        <w:t>理人</w:t>
      </w:r>
      <w:bookmarkEnd w:id="1145"/>
      <w:bookmarkEnd w:id="1146"/>
      <w:bookmarkEnd w:id="1147"/>
    </w:p>
    <w:p w14:paraId="11D696F0">
      <w:pPr>
        <w:pStyle w:val="7"/>
        <w:spacing w:before="0" w:beforeAutospacing="0" w:after="0" w:afterAutospacing="0" w:line="360" w:lineRule="auto"/>
        <w:ind w:firstLine="422" w:firstLineChars="200"/>
        <w:rPr>
          <w:color w:val="auto"/>
          <w:sz w:val="21"/>
          <w:szCs w:val="21"/>
        </w:rPr>
      </w:pPr>
      <w:bookmarkStart w:id="1159" w:name="_Toc532377341"/>
      <w:r>
        <w:rPr>
          <w:rFonts w:hint="eastAsia"/>
          <w:color w:val="auto"/>
          <w:sz w:val="21"/>
          <w:szCs w:val="21"/>
        </w:rPr>
        <w:t>4.1 监理人的一般规定</w:t>
      </w:r>
      <w:bookmarkEnd w:id="1159"/>
    </w:p>
    <w:p w14:paraId="7D351688">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关于监理人的监理内容：</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522A996B">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关于监理人的监理权限：</w:t>
      </w:r>
      <w:r>
        <w:rPr>
          <w:rFonts w:hint="eastAsia" w:ascii="宋体" w:hAnsi="宋体"/>
          <w:color w:val="auto"/>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rPr>
        <w:t>。</w:t>
      </w:r>
    </w:p>
    <w:p w14:paraId="5AFD9794">
      <w:pPr>
        <w:spacing w:line="360" w:lineRule="auto"/>
        <w:ind w:firstLine="420" w:firstLineChars="200"/>
        <w:jc w:val="left"/>
        <w:rPr>
          <w:rFonts w:ascii="宋体" w:hAnsi="宋体"/>
          <w:color w:val="auto"/>
          <w:szCs w:val="21"/>
        </w:rPr>
      </w:pPr>
      <w:r>
        <w:rPr>
          <w:rFonts w:hint="eastAsia"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                    </w:t>
      </w:r>
      <w:r>
        <w:rPr>
          <w:rFonts w:hint="eastAsia" w:ascii="宋体" w:hAnsi="宋体"/>
          <w:color w:val="auto"/>
          <w:szCs w:val="21"/>
        </w:rPr>
        <w:t>。</w:t>
      </w:r>
    </w:p>
    <w:p w14:paraId="77A2095F">
      <w:pPr>
        <w:pStyle w:val="7"/>
        <w:spacing w:before="0" w:beforeAutospacing="0" w:after="0" w:afterAutospacing="0" w:line="360" w:lineRule="auto"/>
        <w:ind w:firstLine="422" w:firstLineChars="200"/>
        <w:rPr>
          <w:color w:val="auto"/>
          <w:sz w:val="21"/>
          <w:szCs w:val="21"/>
        </w:rPr>
      </w:pPr>
      <w:bookmarkStart w:id="1160" w:name="_Toc532377342"/>
      <w:r>
        <w:rPr>
          <w:rFonts w:hint="eastAsia"/>
          <w:color w:val="auto"/>
          <w:sz w:val="21"/>
          <w:szCs w:val="21"/>
        </w:rPr>
        <w:t>4.2 监理人员</w:t>
      </w:r>
      <w:bookmarkEnd w:id="1160"/>
    </w:p>
    <w:p w14:paraId="198D8A97">
      <w:pPr>
        <w:spacing w:line="360" w:lineRule="auto"/>
        <w:ind w:firstLine="420" w:firstLineChars="200"/>
        <w:jc w:val="left"/>
        <w:rPr>
          <w:rFonts w:ascii="宋体" w:hAnsi="宋体"/>
          <w:color w:val="auto"/>
          <w:szCs w:val="21"/>
        </w:rPr>
      </w:pPr>
      <w:r>
        <w:rPr>
          <w:rFonts w:hint="eastAsia" w:ascii="宋体" w:hAnsi="宋体"/>
          <w:color w:val="auto"/>
          <w:szCs w:val="21"/>
        </w:rPr>
        <w:t>总监理工程师：</w:t>
      </w:r>
    </w:p>
    <w:p w14:paraId="3CBE91CA">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0D344D4A">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 </w:t>
      </w:r>
      <w:r>
        <w:rPr>
          <w:rFonts w:hint="eastAsia" w:ascii="宋体" w:hAnsi="宋体"/>
          <w:color w:val="auto"/>
          <w:szCs w:val="21"/>
        </w:rPr>
        <w:t>；</w:t>
      </w:r>
    </w:p>
    <w:p w14:paraId="689DB1D7">
      <w:pPr>
        <w:spacing w:line="360" w:lineRule="auto"/>
        <w:ind w:firstLine="420" w:firstLineChars="200"/>
        <w:jc w:val="left"/>
        <w:rPr>
          <w:rFonts w:ascii="宋体" w:hAnsi="宋体"/>
          <w:color w:val="auto"/>
          <w:szCs w:val="21"/>
        </w:rPr>
      </w:pPr>
      <w:r>
        <w:rPr>
          <w:rFonts w:hint="eastAsia" w:ascii="宋体" w:hAnsi="宋体"/>
          <w:color w:val="auto"/>
          <w:szCs w:val="21"/>
        </w:rPr>
        <w:t>监理工程师执业资格证书号：</w:t>
      </w:r>
      <w:r>
        <w:rPr>
          <w:rFonts w:ascii="宋体" w:hAnsi="宋体"/>
          <w:color w:val="auto"/>
          <w:szCs w:val="21"/>
          <w:u w:val="single"/>
        </w:rPr>
        <w:t xml:space="preserve">              </w:t>
      </w:r>
      <w:r>
        <w:rPr>
          <w:rFonts w:hint="eastAsia" w:ascii="宋体" w:hAnsi="宋体"/>
          <w:color w:val="auto"/>
          <w:szCs w:val="21"/>
        </w:rPr>
        <w:t>；</w:t>
      </w:r>
    </w:p>
    <w:p w14:paraId="69C0F137">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692045A3">
      <w:pPr>
        <w:spacing w:line="360" w:lineRule="auto"/>
        <w:ind w:firstLine="420" w:firstLineChars="200"/>
        <w:jc w:val="left"/>
        <w:rPr>
          <w:rFonts w:ascii="宋体" w:hAnsi="宋体"/>
          <w:color w:val="auto"/>
          <w:szCs w:val="21"/>
        </w:rPr>
      </w:pPr>
      <w:r>
        <w:rPr>
          <w:rFonts w:hint="eastAsia" w:ascii="宋体" w:hAnsi="宋体"/>
          <w:color w:val="auto"/>
          <w:szCs w:val="21"/>
        </w:rPr>
        <w:t>关于监理人的其他约定：</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668BCCFE">
      <w:pPr>
        <w:pStyle w:val="7"/>
        <w:spacing w:before="0" w:beforeAutospacing="0" w:after="0" w:afterAutospacing="0" w:line="360" w:lineRule="auto"/>
        <w:ind w:firstLine="420" w:firstLineChars="200"/>
        <w:rPr>
          <w:b w:val="0"/>
          <w:color w:val="auto"/>
          <w:sz w:val="21"/>
          <w:szCs w:val="21"/>
        </w:rPr>
      </w:pPr>
      <w:bookmarkStart w:id="1161" w:name="_Toc532377343"/>
      <w:r>
        <w:rPr>
          <w:rFonts w:hint="eastAsia"/>
          <w:b w:val="0"/>
          <w:color w:val="auto"/>
          <w:sz w:val="21"/>
          <w:szCs w:val="21"/>
        </w:rPr>
        <w:t>4.4 商定或确定</w:t>
      </w:r>
      <w:bookmarkEnd w:id="1161"/>
    </w:p>
    <w:p w14:paraId="70D6C350">
      <w:pPr>
        <w:spacing w:line="360" w:lineRule="auto"/>
        <w:ind w:firstLine="420" w:firstLineChars="200"/>
        <w:jc w:val="left"/>
        <w:rPr>
          <w:rFonts w:ascii="宋体" w:hAnsi="宋体"/>
          <w:color w:val="auto"/>
          <w:szCs w:val="21"/>
        </w:rPr>
      </w:pPr>
      <w:bookmarkStart w:id="1162" w:name="_Toc267251418"/>
      <w:r>
        <w:rPr>
          <w:rFonts w:hint="eastAsia" w:ascii="宋体" w:hAnsi="宋体"/>
          <w:color w:val="auto"/>
          <w:szCs w:val="21"/>
        </w:rPr>
        <w:t>在发包人和承包人不能通过协商达成一致意见时，发包人授权监理人对以下事项进行确定：</w:t>
      </w:r>
    </w:p>
    <w:p w14:paraId="59B28BD5">
      <w:pPr>
        <w:spacing w:line="360" w:lineRule="auto"/>
        <w:ind w:firstLine="420" w:firstLineChars="200"/>
        <w:jc w:val="left"/>
        <w:rPr>
          <w:rFonts w:ascii="宋体" w:hAnsi="宋体"/>
          <w:color w:val="auto"/>
          <w:szCs w:val="21"/>
        </w:rPr>
      </w:pPr>
      <w:r>
        <w:rPr>
          <w:rFonts w:hint="eastAsia" w:ascii="宋体" w:hAnsi="宋体"/>
          <w:color w:val="auto"/>
          <w:szCs w:val="21"/>
          <w:u w:val="single"/>
        </w:rPr>
        <w:t xml:space="preserve">                          </w:t>
      </w:r>
      <w:r>
        <w:rPr>
          <w:rFonts w:hint="eastAsia" w:ascii="宋体" w:hAnsi="宋体"/>
          <w:color w:val="auto"/>
          <w:szCs w:val="21"/>
        </w:rPr>
        <w:t>。</w:t>
      </w:r>
    </w:p>
    <w:p w14:paraId="720EC05B">
      <w:pPr>
        <w:pStyle w:val="6"/>
        <w:keepNext/>
        <w:keepLines/>
        <w:spacing w:beforeLines="50" w:beforeAutospacing="0" w:afterLines="50" w:afterAutospacing="0" w:line="360" w:lineRule="auto"/>
        <w:jc w:val="both"/>
        <w:rPr>
          <w:bCs w:val="0"/>
          <w:color w:val="auto"/>
          <w:kern w:val="2"/>
          <w:sz w:val="21"/>
          <w:szCs w:val="21"/>
        </w:rPr>
      </w:pPr>
      <w:bookmarkStart w:id="1163" w:name="_Toc532375612"/>
      <w:bookmarkStart w:id="1164" w:name="_Toc351203637"/>
      <w:bookmarkStart w:id="1165" w:name="_Toc532377344"/>
      <w:r>
        <w:rPr>
          <w:rFonts w:hint="eastAsia"/>
          <w:color w:val="auto"/>
          <w:kern w:val="2"/>
          <w:sz w:val="21"/>
          <w:szCs w:val="21"/>
        </w:rPr>
        <w:t>5</w:t>
      </w:r>
      <w:bookmarkEnd w:id="1162"/>
      <w:bookmarkStart w:id="1166" w:name="_Toc296347162"/>
      <w:bookmarkStart w:id="1167" w:name="_Toc296890991"/>
      <w:bookmarkStart w:id="1168" w:name="_Toc297048349"/>
      <w:bookmarkStart w:id="1169" w:name="_Toc296503163"/>
      <w:bookmarkStart w:id="1170" w:name="_Toc296891203"/>
      <w:bookmarkStart w:id="1171" w:name="_Toc296944502"/>
      <w:bookmarkStart w:id="1172" w:name="_Toc296346664"/>
      <w:bookmarkStart w:id="1173" w:name="_Toc297120463"/>
      <w:bookmarkStart w:id="1174" w:name="_Toc292559367"/>
      <w:bookmarkStart w:id="1175" w:name="_Toc292559872"/>
      <w:r>
        <w:rPr>
          <w:rFonts w:hint="eastAsia"/>
          <w:color w:val="auto"/>
          <w:kern w:val="2"/>
          <w:sz w:val="21"/>
          <w:szCs w:val="21"/>
        </w:rPr>
        <w:t>. 工程质量</w:t>
      </w:r>
      <w:bookmarkEnd w:id="1163"/>
      <w:bookmarkEnd w:id="1164"/>
      <w:bookmarkEnd w:id="1165"/>
    </w:p>
    <w:p w14:paraId="2EC5922F">
      <w:pPr>
        <w:pStyle w:val="7"/>
        <w:spacing w:before="0" w:beforeAutospacing="0" w:after="0" w:afterAutospacing="0" w:line="360" w:lineRule="auto"/>
        <w:ind w:firstLine="422" w:firstLineChars="200"/>
        <w:rPr>
          <w:color w:val="auto"/>
          <w:sz w:val="21"/>
          <w:szCs w:val="21"/>
        </w:rPr>
      </w:pPr>
      <w:bookmarkStart w:id="1176" w:name="_Toc532377345"/>
      <w:r>
        <w:rPr>
          <w:rFonts w:hint="eastAsia"/>
          <w:color w:val="auto"/>
          <w:sz w:val="21"/>
          <w:szCs w:val="21"/>
        </w:rPr>
        <w:t>5.1 质量要求</w:t>
      </w:r>
      <w:bookmarkEnd w:id="1176"/>
      <w:bookmarkStart w:id="1177" w:name="_Hlk528909888"/>
      <w:bookmarkStart w:id="1178" w:name="_Toc303539106"/>
      <w:bookmarkStart w:id="1179" w:name="_Toc300934949"/>
      <w:bookmarkStart w:id="1180" w:name="_Toc304295527"/>
      <w:bookmarkStart w:id="1181" w:name="_Toc312677997"/>
      <w:bookmarkStart w:id="1182" w:name="_Toc297216155"/>
      <w:bookmarkStart w:id="1183" w:name="_Toc297123496"/>
      <w:bookmarkStart w:id="1184" w:name="_Toc318581164"/>
    </w:p>
    <w:p w14:paraId="64367B1A">
      <w:pPr>
        <w:spacing w:line="360" w:lineRule="auto"/>
        <w:ind w:firstLine="420" w:firstLineChars="200"/>
        <w:jc w:val="left"/>
        <w:rPr>
          <w:rFonts w:ascii="宋体" w:hAnsi="宋体"/>
          <w:color w:val="auto"/>
          <w:szCs w:val="21"/>
          <w:u w:val="single"/>
        </w:rPr>
      </w:pPr>
      <w:r>
        <w:rPr>
          <w:rFonts w:hint="eastAsia" w:ascii="宋体" w:hAnsi="宋体"/>
          <w:color w:val="auto"/>
          <w:szCs w:val="21"/>
        </w:rPr>
        <w:t>工程质量符合强制性质量标准，</w:t>
      </w:r>
      <w:r>
        <w:rPr>
          <w:rFonts w:hint="eastAsia" w:ascii="宋体" w:hAnsi="宋体"/>
          <w:color w:val="auto"/>
          <w:szCs w:val="21"/>
          <w:u w:val="single"/>
        </w:rPr>
        <w:t>符合国家和重庆市现行有关施工质量验收规范要求，并达到合格标准</w:t>
      </w:r>
      <w:r>
        <w:rPr>
          <w:rFonts w:hint="eastAsia" w:ascii="宋体" w:hAnsi="宋体"/>
          <w:color w:val="auto"/>
          <w:szCs w:val="21"/>
        </w:rPr>
        <w:t>。强制性质量标准有（包括但不限于）：</w:t>
      </w:r>
      <w:r>
        <w:rPr>
          <w:rFonts w:hint="eastAsia" w:ascii="宋体" w:hAnsi="宋体"/>
          <w:color w:val="auto"/>
          <w:szCs w:val="21"/>
          <w:u w:val="single"/>
        </w:rPr>
        <w:t xml:space="preserve">            </w:t>
      </w:r>
      <w:r>
        <w:rPr>
          <w:rFonts w:hint="eastAsia" w:ascii="宋体" w:hAnsi="宋体"/>
          <w:color w:val="auto"/>
          <w:szCs w:val="21"/>
        </w:rPr>
        <w:t>。</w:t>
      </w:r>
    </w:p>
    <w:bookmarkEnd w:id="1177"/>
    <w:p w14:paraId="10F6AE84">
      <w:pPr>
        <w:pStyle w:val="7"/>
        <w:spacing w:before="0" w:beforeAutospacing="0" w:after="0" w:afterAutospacing="0" w:line="360" w:lineRule="auto"/>
        <w:ind w:firstLine="422" w:firstLineChars="200"/>
        <w:rPr>
          <w:color w:val="auto"/>
          <w:sz w:val="21"/>
          <w:szCs w:val="21"/>
        </w:rPr>
      </w:pPr>
      <w:bookmarkStart w:id="1185" w:name="_Toc532377346"/>
      <w:r>
        <w:rPr>
          <w:rFonts w:hint="eastAsia"/>
          <w:color w:val="auto"/>
          <w:sz w:val="21"/>
          <w:szCs w:val="21"/>
        </w:rPr>
        <w:t>5.2 质量保证措施</w:t>
      </w:r>
      <w:bookmarkEnd w:id="1185"/>
    </w:p>
    <w:p w14:paraId="151F2332">
      <w:pPr>
        <w:spacing w:line="360" w:lineRule="auto"/>
        <w:ind w:firstLine="420" w:firstLineChars="200"/>
        <w:jc w:val="left"/>
        <w:rPr>
          <w:rFonts w:ascii="宋体" w:hAnsi="宋体"/>
          <w:color w:val="auto"/>
          <w:szCs w:val="21"/>
        </w:rPr>
      </w:pPr>
      <w:r>
        <w:rPr>
          <w:rFonts w:hint="eastAsia" w:ascii="宋体" w:hAnsi="宋体"/>
          <w:color w:val="auto"/>
          <w:szCs w:val="21"/>
        </w:rPr>
        <w:t>本款补充5.2.4项：</w:t>
      </w:r>
    </w:p>
    <w:p w14:paraId="3701025C">
      <w:pPr>
        <w:spacing w:line="360" w:lineRule="auto"/>
        <w:ind w:firstLine="420" w:firstLineChars="200"/>
        <w:jc w:val="left"/>
        <w:rPr>
          <w:rFonts w:ascii="宋体" w:hAnsi="宋体"/>
          <w:color w:val="auto"/>
          <w:szCs w:val="21"/>
        </w:rPr>
      </w:pPr>
      <w:r>
        <w:rPr>
          <w:rFonts w:hint="eastAsia" w:ascii="宋体" w:hAnsi="宋体"/>
          <w:color w:val="auto"/>
          <w:szCs w:val="21"/>
        </w:rPr>
        <w:t>5.2.4 在工程建设中，参建各方应严格执行以下规定（包括但不限于）：</w:t>
      </w:r>
    </w:p>
    <w:p w14:paraId="101F94F7">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《建筑工程施工质量验收统一标准》（GB50300-2013）</w:t>
      </w:r>
      <w:r>
        <w:rPr>
          <w:rFonts w:hint="eastAsia" w:ascii="宋体" w:hAnsi="宋体"/>
          <w:color w:val="auto"/>
          <w:szCs w:val="21"/>
        </w:rPr>
        <w:t>；</w:t>
      </w:r>
    </w:p>
    <w:p w14:paraId="56ADC4F2">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《住房城乡建设部关于印发工程质量安全提升行动方案的通知》（建质〔2017〕57号）</w:t>
      </w:r>
      <w:r>
        <w:rPr>
          <w:rFonts w:hint="eastAsia" w:ascii="宋体" w:hAnsi="宋体"/>
          <w:color w:val="auto"/>
          <w:szCs w:val="21"/>
        </w:rPr>
        <w:t>；</w:t>
      </w:r>
    </w:p>
    <w:p w14:paraId="6DBAB3B6">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《房屋建筑和市政基础设施工程竣工验收规定》（建质〔2013〕171号）</w:t>
      </w:r>
      <w:r>
        <w:rPr>
          <w:rFonts w:hint="eastAsia" w:ascii="宋体" w:hAnsi="宋体"/>
          <w:color w:val="auto"/>
          <w:szCs w:val="21"/>
        </w:rPr>
        <w:t>；</w:t>
      </w:r>
    </w:p>
    <w:p w14:paraId="206BD839">
      <w:pPr>
        <w:spacing w:line="360" w:lineRule="auto"/>
        <w:ind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《建设部关于贯彻执行建筑工程勘察设计及施工质量验收规范若干问题的通知》（建标〔2002〕212号）</w:t>
      </w:r>
      <w:r>
        <w:rPr>
          <w:rFonts w:hint="eastAsia" w:ascii="宋体" w:hAnsi="宋体"/>
          <w:color w:val="auto"/>
          <w:szCs w:val="21"/>
        </w:rPr>
        <w:t>；</w:t>
      </w:r>
    </w:p>
    <w:p w14:paraId="4455D7E6">
      <w:pPr>
        <w:spacing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rPr>
        <w:t>；</w:t>
      </w:r>
    </w:p>
    <w:p w14:paraId="7F53AD12">
      <w:pPr>
        <w:spacing w:line="360" w:lineRule="auto"/>
        <w:ind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《关于印发&lt;重庆市房屋建筑和市政基础设施工程预拌商品砂浆应用推进工作方案&gt;的通知》（渝建〔2018〕375号）</w:t>
      </w:r>
      <w:r>
        <w:rPr>
          <w:rFonts w:hint="eastAsia" w:ascii="宋体" w:hAnsi="宋体"/>
          <w:color w:val="auto"/>
          <w:szCs w:val="21"/>
        </w:rPr>
        <w:t>；</w:t>
      </w:r>
    </w:p>
    <w:p w14:paraId="5F1A6DC9">
      <w:pPr>
        <w:spacing w:line="360" w:lineRule="auto"/>
        <w:ind w:firstLine="420" w:firstLineChars="200"/>
        <w:jc w:val="left"/>
        <w:rPr>
          <w:rFonts w:ascii="宋体" w:hAnsi="宋体"/>
          <w:color w:val="auto"/>
          <w:szCs w:val="21"/>
        </w:rPr>
      </w:pPr>
      <w:r>
        <w:rPr>
          <w:rFonts w:hint="eastAsia" w:ascii="宋体" w:hAnsi="宋体"/>
          <w:color w:val="auto"/>
          <w:szCs w:val="21"/>
        </w:rPr>
        <w:t>（7）</w:t>
      </w:r>
      <w:r>
        <w:rPr>
          <w:rFonts w:hint="eastAsia" w:ascii="宋体" w:hAnsi="宋体"/>
          <w:color w:val="auto"/>
          <w:szCs w:val="21"/>
          <w:u w:val="single"/>
        </w:rPr>
        <w:t>《重庆市城乡建设委员会关于印发2018年房屋建筑和市政基础设施工程质量要点的通知》（渝建〔2018〕94号）</w:t>
      </w:r>
      <w:r>
        <w:rPr>
          <w:rFonts w:hint="eastAsia" w:ascii="宋体" w:hAnsi="宋体"/>
          <w:color w:val="auto"/>
          <w:szCs w:val="21"/>
        </w:rPr>
        <w:t>；</w:t>
      </w:r>
    </w:p>
    <w:p w14:paraId="2CD89DC6">
      <w:pPr>
        <w:spacing w:line="360" w:lineRule="auto"/>
        <w:ind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《重庆市城乡建设委员会关于进一步推广应用预拌商品砂浆的通知》（渝建〔2016〕318号）</w:t>
      </w:r>
      <w:r>
        <w:rPr>
          <w:rFonts w:hint="eastAsia" w:ascii="宋体" w:hAnsi="宋体"/>
          <w:color w:val="auto"/>
          <w:szCs w:val="21"/>
        </w:rPr>
        <w:t>；</w:t>
      </w:r>
    </w:p>
    <w:p w14:paraId="2740050C">
      <w:pPr>
        <w:spacing w:line="360" w:lineRule="auto"/>
        <w:ind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rPr>
        <w:t>；</w:t>
      </w:r>
    </w:p>
    <w:p w14:paraId="6C1ACD87">
      <w:pPr>
        <w:spacing w:line="360" w:lineRule="auto"/>
        <w:ind w:firstLine="420" w:firstLineChars="200"/>
        <w:jc w:val="left"/>
        <w:rPr>
          <w:rFonts w:ascii="宋体" w:hAnsi="宋体"/>
          <w:color w:val="auto"/>
          <w:szCs w:val="21"/>
        </w:rPr>
      </w:pPr>
      <w:r>
        <w:rPr>
          <w:rFonts w:hint="eastAsia" w:ascii="宋体" w:hAnsi="宋体"/>
          <w:color w:val="auto"/>
          <w:szCs w:val="21"/>
        </w:rPr>
        <w:t>（10）</w:t>
      </w:r>
      <w:r>
        <w:rPr>
          <w:rFonts w:hint="eastAsia" w:ascii="宋体" w:hAnsi="宋体"/>
          <w:color w:val="auto"/>
          <w:szCs w:val="21"/>
          <w:u w:val="single"/>
        </w:rPr>
        <w:t>国家和本市现行有关建设工程质量验收标准、规范和要求</w:t>
      </w:r>
      <w:r>
        <w:rPr>
          <w:rFonts w:hint="eastAsia" w:ascii="宋体" w:hAnsi="宋体"/>
          <w:color w:val="auto"/>
          <w:szCs w:val="21"/>
        </w:rPr>
        <w:t>；</w:t>
      </w:r>
    </w:p>
    <w:p w14:paraId="64A8C568">
      <w:pPr>
        <w:pStyle w:val="2"/>
        <w:spacing w:after="0"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     </w:t>
      </w:r>
      <w:r>
        <w:rPr>
          <w:rFonts w:hint="eastAsia" w:ascii="宋体" w:hAnsi="宋体"/>
          <w:color w:val="auto"/>
          <w:szCs w:val="21"/>
        </w:rPr>
        <w:t>。</w:t>
      </w:r>
    </w:p>
    <w:p w14:paraId="6D3D58DF">
      <w:pPr>
        <w:spacing w:line="360" w:lineRule="auto"/>
        <w:ind w:firstLine="420" w:firstLineChars="200"/>
        <w:jc w:val="left"/>
        <w:rPr>
          <w:rFonts w:ascii="宋体" w:hAnsi="宋体"/>
          <w:color w:val="auto"/>
          <w:szCs w:val="21"/>
        </w:rPr>
      </w:pPr>
      <w:r>
        <w:rPr>
          <w:rFonts w:hint="eastAsia" w:ascii="宋体" w:hAnsi="宋体"/>
          <w:color w:val="auto"/>
          <w:szCs w:val="21"/>
        </w:rPr>
        <w:t>承包人、监理人和发包人在工程建设中，应严格执行国家及重庆市现行标准，如上述标准及规范要求有出入则以较严格者为准。</w:t>
      </w:r>
    </w:p>
    <w:p w14:paraId="277F01CF">
      <w:pPr>
        <w:pStyle w:val="7"/>
        <w:spacing w:before="0" w:beforeAutospacing="0" w:after="0" w:afterAutospacing="0" w:line="360" w:lineRule="auto"/>
        <w:ind w:firstLine="422" w:firstLineChars="200"/>
        <w:rPr>
          <w:color w:val="auto"/>
          <w:sz w:val="21"/>
          <w:szCs w:val="21"/>
        </w:rPr>
      </w:pPr>
      <w:bookmarkStart w:id="1186" w:name="_Toc351203536"/>
      <w:bookmarkStart w:id="1187" w:name="_Toc532377347"/>
      <w:bookmarkStart w:id="1188" w:name="_Hlk528927873"/>
      <w:r>
        <w:rPr>
          <w:rFonts w:hint="eastAsia"/>
          <w:color w:val="auto"/>
          <w:sz w:val="21"/>
          <w:szCs w:val="21"/>
        </w:rPr>
        <w:t>5.3隐蔽工程检查</w:t>
      </w:r>
    </w:p>
    <w:p w14:paraId="0BB8DA11">
      <w:pPr>
        <w:spacing w:line="360" w:lineRule="auto"/>
        <w:ind w:firstLine="420" w:firstLineChars="200"/>
        <w:jc w:val="left"/>
        <w:rPr>
          <w:rFonts w:ascii="宋体" w:hAnsi="宋体"/>
          <w:color w:val="auto"/>
          <w:szCs w:val="21"/>
        </w:rPr>
      </w:pPr>
      <w:r>
        <w:rPr>
          <w:rFonts w:hint="eastAsia" w:ascii="宋体" w:hAnsi="宋体"/>
          <w:color w:val="auto"/>
          <w:szCs w:val="21"/>
        </w:rPr>
        <w:t>5.3.2检查程序</w:t>
      </w:r>
    </w:p>
    <w:p w14:paraId="74DEE103">
      <w:pPr>
        <w:spacing w:line="360" w:lineRule="auto"/>
        <w:ind w:firstLine="420" w:firstLineChars="200"/>
        <w:jc w:val="left"/>
        <w:rPr>
          <w:rFonts w:ascii="宋体" w:hAnsi="宋体"/>
          <w:color w:val="auto"/>
          <w:szCs w:val="21"/>
        </w:rPr>
      </w:pPr>
      <w:r>
        <w:rPr>
          <w:rFonts w:hint="eastAsia" w:ascii="宋体" w:hAnsi="宋体"/>
          <w:color w:val="auto"/>
          <w:szCs w:val="21"/>
        </w:rPr>
        <w:t>工程隐蔽部位经承包人自检确认具备覆盖条件的，承包人应在共同检查前</w:t>
      </w:r>
      <w:r>
        <w:rPr>
          <w:rFonts w:hint="eastAsia" w:ascii="宋体" w:hAnsi="宋体"/>
          <w:color w:val="auto"/>
          <w:szCs w:val="21"/>
          <w:u w:val="single"/>
        </w:rPr>
        <w:t xml:space="preserve">  4  </w:t>
      </w:r>
      <w:r>
        <w:rPr>
          <w:rFonts w:hint="eastAsia" w:ascii="宋体" w:hAnsi="宋体"/>
          <w:color w:val="auto"/>
          <w:szCs w:val="21"/>
        </w:rPr>
        <w:t>小时书面通知监理人检查，通知中应载明隐蔽检查的内容、时间和地点，并应附有自检记录和必要的检查资料。</w:t>
      </w:r>
    </w:p>
    <w:p w14:paraId="74F9829F">
      <w:pPr>
        <w:pStyle w:val="7"/>
        <w:spacing w:before="0" w:beforeAutospacing="0" w:after="0" w:afterAutospacing="0" w:line="360" w:lineRule="auto"/>
        <w:ind w:firstLine="422" w:firstLineChars="200"/>
        <w:rPr>
          <w:color w:val="auto"/>
          <w:sz w:val="21"/>
          <w:szCs w:val="21"/>
        </w:rPr>
      </w:pPr>
      <w:r>
        <w:rPr>
          <w:rFonts w:hint="eastAsia"/>
          <w:color w:val="auto"/>
          <w:sz w:val="21"/>
          <w:szCs w:val="21"/>
        </w:rPr>
        <w:t>5</w:t>
      </w:r>
      <w:bookmarkStart w:id="1189" w:name="_Toc337558762"/>
      <w:r>
        <w:rPr>
          <w:rFonts w:hint="eastAsia"/>
          <w:color w:val="auto"/>
          <w:sz w:val="21"/>
          <w:szCs w:val="21"/>
        </w:rPr>
        <w:t>.4 不合格工程的处理</w:t>
      </w:r>
      <w:bookmarkEnd w:id="1186"/>
      <w:bookmarkEnd w:id="1187"/>
    </w:p>
    <w:bookmarkEnd w:id="1189"/>
    <w:p w14:paraId="05EFF0A0">
      <w:pPr>
        <w:spacing w:line="360" w:lineRule="auto"/>
        <w:ind w:firstLine="420" w:firstLineChars="200"/>
        <w:jc w:val="left"/>
        <w:rPr>
          <w:rFonts w:ascii="宋体" w:hAnsi="宋体"/>
          <w:color w:val="auto"/>
          <w:szCs w:val="21"/>
        </w:rPr>
      </w:pPr>
      <w:r>
        <w:rPr>
          <w:rFonts w:hint="eastAsia" w:ascii="宋体" w:hAnsi="宋体"/>
          <w:color w:val="auto"/>
          <w:szCs w:val="21"/>
        </w:rPr>
        <w:t>本款补充5.4.3项：</w:t>
      </w:r>
    </w:p>
    <w:p w14:paraId="492363C9">
      <w:pPr>
        <w:spacing w:line="360" w:lineRule="auto"/>
        <w:ind w:firstLine="420" w:firstLineChars="200"/>
        <w:jc w:val="left"/>
        <w:rPr>
          <w:rFonts w:ascii="宋体" w:hAnsi="宋体"/>
          <w:color w:val="auto"/>
          <w:szCs w:val="21"/>
        </w:rPr>
      </w:pPr>
      <w:r>
        <w:rPr>
          <w:rFonts w:hint="eastAsia" w:ascii="宋体" w:hAnsi="宋体"/>
          <w:color w:val="auto"/>
          <w:szCs w:val="21"/>
        </w:rPr>
        <w:t>5.4.3 承包人在收到监理人发出的《不合格分项报告》或监理通知单后，必须在监理人规定时间内按要求完成整改，未能在限定时间内完成整改的，须承担相应违约责任。</w:t>
      </w:r>
    </w:p>
    <w:p w14:paraId="5C369CF4">
      <w:pPr>
        <w:spacing w:line="360" w:lineRule="auto"/>
        <w:ind w:firstLine="420" w:firstLineChars="200"/>
        <w:jc w:val="left"/>
        <w:rPr>
          <w:rFonts w:ascii="宋体" w:hAnsi="宋体"/>
          <w:color w:val="auto"/>
          <w:szCs w:val="21"/>
        </w:rPr>
      </w:pPr>
      <w:r>
        <w:rPr>
          <w:rFonts w:hint="eastAsia" w:ascii="宋体" w:hAnsi="宋体"/>
          <w:color w:val="auto"/>
          <w:szCs w:val="21"/>
        </w:rPr>
        <w:t>本条补充5.6款：</w:t>
      </w:r>
    </w:p>
    <w:bookmarkEnd w:id="1188"/>
    <w:p w14:paraId="5BD2A3B2">
      <w:pPr>
        <w:pStyle w:val="7"/>
        <w:spacing w:before="0" w:beforeAutospacing="0" w:after="0" w:afterAutospacing="0" w:line="360" w:lineRule="auto"/>
        <w:ind w:firstLine="422" w:firstLineChars="200"/>
        <w:rPr>
          <w:color w:val="auto"/>
          <w:sz w:val="21"/>
          <w:szCs w:val="21"/>
        </w:rPr>
      </w:pPr>
      <w:bookmarkStart w:id="1190" w:name="_Toc532377348"/>
      <w:r>
        <w:rPr>
          <w:rFonts w:hint="eastAsia"/>
          <w:color w:val="auto"/>
          <w:sz w:val="21"/>
          <w:szCs w:val="21"/>
        </w:rPr>
        <w:t>5.6 质量事故的处理</w:t>
      </w:r>
      <w:bookmarkEnd w:id="1190"/>
    </w:p>
    <w:p w14:paraId="5E92E9B6">
      <w:pPr>
        <w:spacing w:line="360" w:lineRule="auto"/>
        <w:ind w:firstLine="420" w:firstLineChars="200"/>
        <w:jc w:val="left"/>
        <w:rPr>
          <w:rFonts w:ascii="宋体" w:hAnsi="宋体"/>
          <w:color w:val="auto"/>
          <w:szCs w:val="21"/>
        </w:rPr>
      </w:pPr>
      <w:r>
        <w:rPr>
          <w:rFonts w:hint="eastAsia" w:ascii="宋体" w:hAnsi="宋体"/>
          <w:color w:val="auto"/>
          <w:szCs w:val="21"/>
        </w:rPr>
        <w:t>5.6.1 合同履行过程中，发生工程质量事故的调查处理按照国家及重庆市现行规定处理。</w:t>
      </w:r>
    </w:p>
    <w:p w14:paraId="34FEE07B">
      <w:pPr>
        <w:spacing w:line="360" w:lineRule="auto"/>
        <w:ind w:firstLine="420" w:firstLineChars="200"/>
        <w:jc w:val="left"/>
        <w:rPr>
          <w:rFonts w:ascii="宋体" w:hAnsi="宋体"/>
          <w:color w:val="auto"/>
          <w:szCs w:val="21"/>
        </w:rPr>
      </w:pPr>
      <w:r>
        <w:rPr>
          <w:rFonts w:hint="eastAsia" w:ascii="宋体" w:hAnsi="宋体"/>
          <w:color w:val="auto"/>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166"/>
    <w:bookmarkEnd w:id="1167"/>
    <w:bookmarkEnd w:id="1168"/>
    <w:bookmarkEnd w:id="1169"/>
    <w:bookmarkEnd w:id="1170"/>
    <w:bookmarkEnd w:id="1171"/>
    <w:bookmarkEnd w:id="1172"/>
    <w:bookmarkEnd w:id="1173"/>
    <w:bookmarkEnd w:id="1174"/>
    <w:bookmarkEnd w:id="1175"/>
    <w:bookmarkEnd w:id="1178"/>
    <w:bookmarkEnd w:id="1179"/>
    <w:bookmarkEnd w:id="1180"/>
    <w:bookmarkEnd w:id="1181"/>
    <w:bookmarkEnd w:id="1182"/>
    <w:bookmarkEnd w:id="1183"/>
    <w:bookmarkEnd w:id="1184"/>
    <w:p w14:paraId="788C47AF">
      <w:pPr>
        <w:pStyle w:val="6"/>
        <w:keepNext/>
        <w:keepLines/>
        <w:spacing w:beforeLines="50" w:beforeAutospacing="0" w:afterLines="50" w:afterAutospacing="0" w:line="360" w:lineRule="auto"/>
        <w:jc w:val="both"/>
        <w:rPr>
          <w:bCs w:val="0"/>
          <w:color w:val="auto"/>
          <w:kern w:val="2"/>
          <w:sz w:val="21"/>
          <w:szCs w:val="21"/>
        </w:rPr>
      </w:pPr>
      <w:bookmarkStart w:id="1191" w:name="_Toc351203638"/>
      <w:bookmarkStart w:id="1192" w:name="_Toc532377349"/>
      <w:bookmarkStart w:id="1193" w:name="_Toc532375613"/>
      <w:bookmarkStart w:id="1194" w:name="_Toc297120473"/>
      <w:bookmarkStart w:id="1195" w:name="_Toc296347172"/>
      <w:bookmarkStart w:id="1196" w:name="_Toc267251428"/>
      <w:bookmarkStart w:id="1197" w:name="_Toc296891001"/>
      <w:bookmarkStart w:id="1198" w:name="_Toc296891213"/>
      <w:bookmarkStart w:id="1199" w:name="_Toc296944512"/>
      <w:bookmarkStart w:id="1200" w:name="_Toc267251427"/>
      <w:bookmarkStart w:id="1201" w:name="_Toc351203642"/>
      <w:bookmarkStart w:id="1202" w:name="_Toc292559378"/>
      <w:bookmarkStart w:id="1203" w:name="_Toc297048359"/>
      <w:bookmarkStart w:id="1204" w:name="_Toc296503173"/>
      <w:bookmarkStart w:id="1205" w:name="_Toc296346674"/>
      <w:bookmarkStart w:id="1206" w:name="_Toc292559883"/>
      <w:r>
        <w:rPr>
          <w:rFonts w:hint="eastAsia"/>
          <w:color w:val="auto"/>
          <w:kern w:val="2"/>
          <w:sz w:val="21"/>
          <w:szCs w:val="21"/>
        </w:rPr>
        <w:t>6. 安全文明施工与环境保护</w:t>
      </w:r>
      <w:bookmarkEnd w:id="1191"/>
      <w:bookmarkEnd w:id="1192"/>
      <w:bookmarkEnd w:id="1193"/>
    </w:p>
    <w:p w14:paraId="10E270A3">
      <w:pPr>
        <w:pStyle w:val="7"/>
        <w:spacing w:before="0" w:beforeAutospacing="0" w:after="0" w:afterAutospacing="0" w:line="360" w:lineRule="auto"/>
        <w:ind w:firstLine="422" w:firstLineChars="200"/>
        <w:rPr>
          <w:color w:val="auto"/>
          <w:sz w:val="21"/>
          <w:szCs w:val="21"/>
        </w:rPr>
      </w:pPr>
      <w:bookmarkStart w:id="1207" w:name="_Toc532375614"/>
      <w:bookmarkStart w:id="1208" w:name="_Toc532377350"/>
      <w:r>
        <w:rPr>
          <w:rFonts w:hint="eastAsia"/>
          <w:color w:val="auto"/>
          <w:sz w:val="21"/>
          <w:szCs w:val="21"/>
        </w:rPr>
        <w:t>6.1 安全文明施工</w:t>
      </w:r>
      <w:bookmarkEnd w:id="1207"/>
      <w:bookmarkEnd w:id="1208"/>
    </w:p>
    <w:p w14:paraId="2B8230C7">
      <w:pPr>
        <w:spacing w:line="360" w:lineRule="auto"/>
        <w:ind w:firstLine="420" w:firstLineChars="200"/>
        <w:jc w:val="left"/>
        <w:rPr>
          <w:rFonts w:ascii="宋体" w:hAnsi="宋体"/>
          <w:color w:val="auto"/>
          <w:szCs w:val="21"/>
        </w:rPr>
      </w:pPr>
      <w:r>
        <w:rPr>
          <w:rFonts w:hint="eastAsia" w:ascii="宋体" w:hAnsi="宋体"/>
          <w:color w:val="auto"/>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6F6A42AE">
      <w:pPr>
        <w:spacing w:line="360" w:lineRule="auto"/>
        <w:ind w:firstLine="420" w:firstLineChars="200"/>
        <w:jc w:val="left"/>
        <w:rPr>
          <w:rFonts w:ascii="宋体" w:hAnsi="宋体"/>
          <w:color w:val="auto"/>
          <w:szCs w:val="21"/>
        </w:rPr>
      </w:pPr>
      <w:r>
        <w:rPr>
          <w:rFonts w:hint="eastAsia" w:ascii="宋体" w:hAnsi="宋体"/>
          <w:color w:val="auto"/>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4546A943">
      <w:pPr>
        <w:spacing w:line="360" w:lineRule="auto"/>
        <w:ind w:firstLine="420" w:firstLineChars="200"/>
        <w:jc w:val="left"/>
        <w:rPr>
          <w:rFonts w:ascii="宋体" w:hAnsi="宋体"/>
          <w:color w:val="auto"/>
          <w:szCs w:val="21"/>
          <w:u w:val="single"/>
        </w:rPr>
      </w:pPr>
      <w:r>
        <w:rPr>
          <w:rFonts w:hint="eastAsia" w:ascii="宋体" w:hAnsi="宋体"/>
          <w:color w:val="auto"/>
          <w:szCs w:val="21"/>
        </w:rPr>
        <w:t>6.1.1 项目安全生产的达标目标及相应事项的约定：</w:t>
      </w:r>
      <w:r>
        <w:rPr>
          <w:rFonts w:hint="eastAsia" w:ascii="宋体" w:hAnsi="宋体"/>
          <w:color w:val="auto"/>
          <w:szCs w:val="21"/>
          <w:u w:val="single"/>
        </w:rPr>
        <w:t>达到《建筑施工安全检查标准》（JGJ59-2011）的要求</w:t>
      </w:r>
      <w:r>
        <w:rPr>
          <w:rFonts w:hint="eastAsia" w:ascii="宋体" w:hAnsi="宋体"/>
          <w:color w:val="auto"/>
          <w:szCs w:val="21"/>
        </w:rPr>
        <w:t>。</w:t>
      </w:r>
    </w:p>
    <w:p w14:paraId="0EA2A876">
      <w:pPr>
        <w:spacing w:line="360" w:lineRule="auto"/>
        <w:ind w:firstLine="420" w:firstLineChars="200"/>
        <w:jc w:val="left"/>
        <w:rPr>
          <w:rFonts w:ascii="宋体" w:hAnsi="宋体"/>
          <w:color w:val="auto"/>
          <w:szCs w:val="21"/>
        </w:rPr>
      </w:pPr>
      <w:r>
        <w:rPr>
          <w:rFonts w:hint="eastAsia" w:ascii="宋体" w:hAnsi="宋体"/>
          <w:color w:val="auto"/>
          <w:szCs w:val="21"/>
          <w:u w:val="single"/>
        </w:rPr>
        <w:t>（1）按现行安全文明施工费计取及使用管理的政策文件规定及发包人制订的安全管理制度执行</w:t>
      </w:r>
      <w:r>
        <w:rPr>
          <w:rFonts w:hint="eastAsia" w:ascii="宋体" w:hAnsi="宋体"/>
          <w:color w:val="auto"/>
          <w:szCs w:val="21"/>
        </w:rPr>
        <w:t>。</w:t>
      </w:r>
    </w:p>
    <w:p w14:paraId="1B25BA3F">
      <w:pPr>
        <w:spacing w:line="360" w:lineRule="auto"/>
        <w:ind w:firstLine="420" w:firstLineChars="200"/>
        <w:jc w:val="left"/>
        <w:rPr>
          <w:rFonts w:ascii="宋体" w:hAnsi="宋体"/>
          <w:color w:val="auto"/>
          <w:szCs w:val="21"/>
        </w:rPr>
      </w:pPr>
      <w:r>
        <w:rPr>
          <w:rFonts w:hint="eastAsia" w:ascii="宋体" w:hAnsi="宋体"/>
          <w:color w:val="auto"/>
          <w:szCs w:val="21"/>
          <w:u w:val="single"/>
        </w:rPr>
        <w:t>（2）承包人的原因造成事故，由此产生的法律责任和事故责任及费用由承包人全部承担</w:t>
      </w:r>
      <w:r>
        <w:rPr>
          <w:rFonts w:hint="eastAsia" w:ascii="宋体" w:hAnsi="宋体"/>
          <w:color w:val="auto"/>
          <w:szCs w:val="21"/>
        </w:rPr>
        <w:t>。</w:t>
      </w:r>
    </w:p>
    <w:p w14:paraId="58AD6BA2">
      <w:pPr>
        <w:spacing w:line="360" w:lineRule="auto"/>
        <w:ind w:firstLine="420" w:firstLineChars="200"/>
        <w:jc w:val="left"/>
        <w:rPr>
          <w:rFonts w:ascii="宋体" w:hAnsi="宋体"/>
          <w:color w:val="auto"/>
          <w:szCs w:val="21"/>
        </w:rPr>
      </w:pPr>
      <w:r>
        <w:rPr>
          <w:rFonts w:hint="eastAsia" w:ascii="宋体" w:hAnsi="宋体"/>
          <w:color w:val="auto"/>
          <w:szCs w:val="21"/>
          <w:u w:val="single"/>
        </w:rPr>
        <w:t>（3）承包人向发包人做出安全承诺，并签订《安全生产目标责任书》和《安全承诺书》</w:t>
      </w:r>
      <w:r>
        <w:rPr>
          <w:rFonts w:hint="eastAsia" w:ascii="宋体" w:hAnsi="宋体"/>
          <w:color w:val="auto"/>
          <w:szCs w:val="21"/>
        </w:rPr>
        <w:t>。</w:t>
      </w:r>
    </w:p>
    <w:p w14:paraId="142F719F">
      <w:pPr>
        <w:spacing w:line="360" w:lineRule="auto"/>
        <w:ind w:firstLine="420" w:firstLineChars="200"/>
        <w:jc w:val="left"/>
        <w:rPr>
          <w:rFonts w:ascii="宋体" w:hAnsi="宋体"/>
          <w:color w:val="auto"/>
          <w:szCs w:val="21"/>
        </w:rPr>
      </w:pPr>
      <w:r>
        <w:rPr>
          <w:rFonts w:hint="eastAsia" w:ascii="宋体" w:hAnsi="宋体"/>
          <w:color w:val="auto"/>
          <w:szCs w:val="21"/>
          <w:u w:val="single"/>
        </w:rPr>
        <w:t>（4）承包人在施工过程中，必须严格执行安全生产法的相关规定，制定切实可靠的安全技术措施</w:t>
      </w:r>
      <w:r>
        <w:rPr>
          <w:rFonts w:hint="eastAsia" w:ascii="宋体" w:hAnsi="宋体"/>
          <w:color w:val="auto"/>
          <w:szCs w:val="21"/>
        </w:rPr>
        <w:t>。</w:t>
      </w:r>
    </w:p>
    <w:p w14:paraId="204B951F">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（5）接受发包人安全监督和管理，在施工中违反安全管理规定和操作规程、违章作业的，承担违约责任</w:t>
      </w:r>
      <w:r>
        <w:rPr>
          <w:rFonts w:hint="eastAsia" w:ascii="宋体" w:hAnsi="宋体"/>
          <w:color w:val="auto"/>
          <w:szCs w:val="21"/>
        </w:rPr>
        <w:t>。</w:t>
      </w:r>
    </w:p>
    <w:p w14:paraId="089B1184">
      <w:pPr>
        <w:spacing w:line="360" w:lineRule="auto"/>
        <w:ind w:firstLine="420" w:firstLineChars="200"/>
        <w:jc w:val="left"/>
        <w:rPr>
          <w:rFonts w:ascii="宋体" w:hAnsi="宋体"/>
          <w:color w:val="auto"/>
          <w:szCs w:val="21"/>
        </w:rPr>
      </w:pPr>
      <w:r>
        <w:rPr>
          <w:rFonts w:hint="eastAsia" w:ascii="宋体" w:hAnsi="宋体"/>
          <w:color w:val="auto"/>
          <w:szCs w:val="21"/>
        </w:rPr>
        <w:t>6.1.4 关于治安保卫的特别约定：</w:t>
      </w:r>
      <w:r>
        <w:rPr>
          <w:rFonts w:hint="eastAsia" w:ascii="宋体" w:hAnsi="宋体"/>
          <w:color w:val="auto"/>
          <w:szCs w:val="21"/>
          <w:u w:val="single"/>
        </w:rPr>
        <w:t>承包人负责组建施工现场治安管理机构或联防组织；承包人负责编制施工场地治安管理计划和突发治安事件紧急预案</w:t>
      </w:r>
      <w:r>
        <w:rPr>
          <w:rFonts w:hint="eastAsia" w:ascii="宋体" w:hAnsi="宋体"/>
          <w:color w:val="auto"/>
          <w:szCs w:val="21"/>
        </w:rPr>
        <w:t>。</w:t>
      </w:r>
    </w:p>
    <w:p w14:paraId="2CF63F5A">
      <w:pPr>
        <w:spacing w:line="360" w:lineRule="auto"/>
        <w:ind w:firstLine="420" w:firstLineChars="200"/>
        <w:jc w:val="left"/>
        <w:rPr>
          <w:rFonts w:ascii="宋体" w:hAnsi="宋体"/>
          <w:color w:val="auto"/>
          <w:szCs w:val="21"/>
          <w:u w:val="single"/>
        </w:rPr>
      </w:pPr>
      <w:r>
        <w:rPr>
          <w:rFonts w:hint="eastAsia" w:ascii="宋体" w:hAnsi="宋体"/>
          <w:color w:val="auto"/>
          <w:szCs w:val="21"/>
        </w:rPr>
        <w:t>关于编制施工场地治安管理计划的约定：</w:t>
      </w:r>
      <w:r>
        <w:rPr>
          <w:rFonts w:hint="eastAsia" w:ascii="宋体" w:hAnsi="宋体"/>
          <w:color w:val="auto"/>
          <w:szCs w:val="21"/>
          <w:u w:val="single"/>
        </w:rPr>
        <w:t>由承包人负责</w:t>
      </w:r>
      <w:r>
        <w:rPr>
          <w:rFonts w:hint="eastAsia" w:ascii="宋体" w:hAnsi="宋体"/>
          <w:color w:val="auto"/>
          <w:szCs w:val="21"/>
        </w:rPr>
        <w:t>。</w:t>
      </w:r>
    </w:p>
    <w:p w14:paraId="7D8DB013">
      <w:pPr>
        <w:spacing w:line="360" w:lineRule="auto"/>
        <w:ind w:firstLine="420" w:firstLineChars="200"/>
        <w:jc w:val="left"/>
        <w:rPr>
          <w:rFonts w:ascii="宋体" w:hAnsi="宋体"/>
          <w:color w:val="auto"/>
          <w:szCs w:val="21"/>
        </w:rPr>
      </w:pPr>
      <w:r>
        <w:rPr>
          <w:rFonts w:hint="eastAsia" w:ascii="宋体" w:hAnsi="宋体"/>
          <w:color w:val="auto"/>
          <w:szCs w:val="21"/>
        </w:rPr>
        <w:t>6.1.5 文明施工</w:t>
      </w:r>
    </w:p>
    <w:p w14:paraId="56A2EF57">
      <w:pPr>
        <w:spacing w:line="360" w:lineRule="auto"/>
        <w:ind w:firstLine="420" w:firstLineChars="200"/>
        <w:jc w:val="left"/>
        <w:rPr>
          <w:rFonts w:ascii="宋体" w:hAnsi="宋体"/>
          <w:color w:val="auto"/>
          <w:szCs w:val="21"/>
          <w:u w:val="single"/>
        </w:rPr>
      </w:pPr>
      <w:r>
        <w:rPr>
          <w:rFonts w:hint="eastAsia" w:ascii="宋体" w:hAnsi="宋体"/>
          <w:color w:val="auto"/>
          <w:szCs w:val="21"/>
        </w:rPr>
        <w:t>合同当事人对文明施工的要求：</w:t>
      </w:r>
      <w:r>
        <w:rPr>
          <w:rFonts w:hint="eastAsia" w:ascii="宋体" w:hAnsi="宋体"/>
          <w:color w:val="auto"/>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rPr>
        <w:t>。</w:t>
      </w:r>
    </w:p>
    <w:p w14:paraId="3F605D5E">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rPr>
        <w:t>。</w:t>
      </w:r>
    </w:p>
    <w:p w14:paraId="65F84442">
      <w:pPr>
        <w:spacing w:line="360" w:lineRule="auto"/>
        <w:ind w:firstLine="420" w:firstLineChars="200"/>
        <w:jc w:val="left"/>
        <w:rPr>
          <w:rFonts w:ascii="宋体" w:hAnsi="宋体"/>
          <w:color w:val="auto"/>
          <w:szCs w:val="21"/>
          <w:u w:val="single"/>
        </w:rPr>
      </w:pPr>
      <w:r>
        <w:rPr>
          <w:rFonts w:hint="eastAsia" w:ascii="宋体" w:hAnsi="宋体"/>
          <w:color w:val="auto"/>
          <w:szCs w:val="21"/>
        </w:rPr>
        <w:t>6.1.6 关于安全文明施工费支付比例和支付期限的约定：按照行业主管部门相关规定执行。</w:t>
      </w:r>
    </w:p>
    <w:p w14:paraId="73CC97C5">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安全文明施工费的要求与内容、提取支付方法以及违反约定造成损失的赔偿等条款，按照现行规范要求执行，做到专款专用</w:t>
      </w:r>
      <w:r>
        <w:rPr>
          <w:rFonts w:hint="eastAsia" w:ascii="宋体" w:hAnsi="宋体"/>
          <w:color w:val="auto"/>
          <w:szCs w:val="21"/>
        </w:rPr>
        <w:t>。</w:t>
      </w:r>
    </w:p>
    <w:p w14:paraId="0C8A56E6">
      <w:pPr>
        <w:pStyle w:val="7"/>
        <w:spacing w:before="0" w:beforeAutospacing="0" w:after="0" w:afterAutospacing="0" w:line="360" w:lineRule="auto"/>
        <w:ind w:firstLine="422" w:firstLineChars="200"/>
        <w:rPr>
          <w:color w:val="auto"/>
          <w:sz w:val="21"/>
          <w:szCs w:val="21"/>
        </w:rPr>
      </w:pPr>
      <w:bookmarkStart w:id="1209" w:name="_Toc532377351"/>
      <w:bookmarkStart w:id="1210" w:name="_Toc532375615"/>
      <w:r>
        <w:rPr>
          <w:rFonts w:hint="eastAsia"/>
          <w:color w:val="auto"/>
          <w:sz w:val="21"/>
          <w:szCs w:val="21"/>
        </w:rPr>
        <w:t>6.3 环境保护</w:t>
      </w:r>
      <w:bookmarkEnd w:id="1209"/>
      <w:bookmarkEnd w:id="1210"/>
    </w:p>
    <w:p w14:paraId="5C4C15EB">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本款补充6.3.1～6.3.8项：</w:t>
      </w:r>
    </w:p>
    <w:p w14:paraId="2429D474">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4E400FB3">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536E58EC">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6.3.3 承包人应加强生态环境保护工作。施工期间，采取边坡防护，挡渣坝、排水沟、沉淀池、表土剥离和绿化恢复等水土保持措施减少水土流失量，绿化恢复宜采用适于当地生长的植物。</w:t>
      </w:r>
    </w:p>
    <w:p w14:paraId="103F45D8">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7C2C8A60">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6.3.5 承包人应重视大气污染物污染防治措施。施工期间，严格执行市政府“蓝天行动”方案等有关规定，通过洒水防尘，严格控制施工场地扬尘和运输扬尘污染。</w:t>
      </w:r>
    </w:p>
    <w:p w14:paraId="3A736093">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6.3.6 承包人应落实固体废物污染防治措施。施工期间，项目产生的弃方不可合理</w:t>
      </w:r>
      <w:r>
        <w:rPr>
          <w:rFonts w:ascii="宋体" w:hAnsi="宋体"/>
          <w:color w:val="auto"/>
          <w:szCs w:val="21"/>
        </w:rPr>
        <w:t>利用的</w:t>
      </w:r>
      <w:r>
        <w:rPr>
          <w:rFonts w:hint="eastAsia" w:ascii="宋体" w:hAnsi="宋体"/>
          <w:color w:val="auto"/>
          <w:szCs w:val="21"/>
        </w:rPr>
        <w:t>，应运往指定的弃渣场内堆存；建筑垃圾运至指定的建筑垃圾消纳场处置；生活垃圾由当地环卫部门统一处置。</w:t>
      </w:r>
    </w:p>
    <w:p w14:paraId="005A0DD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6.3.7 承包人应认真落实噪声污染防治措施。施工期间，优选低噪声设备，合理安排施工时间，严格控制夜间施工，昼、夜施工场界需满足《建筑施工场界环境噪声排放标准》（GB12523-2011）。</w:t>
      </w:r>
    </w:p>
    <w:p w14:paraId="200092C0">
      <w:pPr>
        <w:spacing w:line="360" w:lineRule="auto"/>
        <w:ind w:firstLine="420" w:firstLineChars="200"/>
        <w:jc w:val="left"/>
        <w:rPr>
          <w:rFonts w:ascii="宋体" w:hAnsi="宋体"/>
          <w:color w:val="auto"/>
          <w:szCs w:val="21"/>
        </w:rPr>
      </w:pPr>
      <w:r>
        <w:rPr>
          <w:rFonts w:hint="eastAsia" w:ascii="宋体" w:hAnsi="宋体"/>
          <w:color w:val="auto"/>
          <w:szCs w:val="21"/>
        </w:rPr>
        <w:t>6.3.8 承包人自行负责办理有关施工场地交通、环卫和施工噪音管理等手续，并应按要求结合自身实际和重庆市相关规定，考虑不低于以上标准的此类工作。</w:t>
      </w:r>
    </w:p>
    <w:p w14:paraId="7BEC2A7C">
      <w:pPr>
        <w:spacing w:line="360" w:lineRule="auto"/>
        <w:ind w:firstLine="420" w:firstLineChars="200"/>
        <w:jc w:val="left"/>
        <w:rPr>
          <w:rFonts w:ascii="宋体" w:hAnsi="宋体"/>
          <w:color w:val="auto"/>
          <w:szCs w:val="21"/>
        </w:rPr>
      </w:pPr>
      <w:r>
        <w:rPr>
          <w:rFonts w:hint="eastAsia" w:ascii="宋体" w:hAnsi="宋体"/>
          <w:color w:val="auto"/>
          <w:szCs w:val="21"/>
        </w:rPr>
        <w:t xml:space="preserve">6.3.9 </w:t>
      </w:r>
      <w:r>
        <w:rPr>
          <w:rFonts w:hint="eastAsia" w:ascii="宋体" w:hAnsi="宋体"/>
          <w:color w:val="auto"/>
          <w:szCs w:val="21"/>
          <w:u w:val="single"/>
        </w:rPr>
        <w:t xml:space="preserve">        </w:t>
      </w:r>
      <w:r>
        <w:rPr>
          <w:rFonts w:hint="eastAsia" w:ascii="宋体" w:hAnsi="宋体"/>
          <w:color w:val="auto"/>
          <w:szCs w:val="21"/>
        </w:rPr>
        <w:t>。</w:t>
      </w:r>
    </w:p>
    <w:p w14:paraId="71132A55">
      <w:pPr>
        <w:pStyle w:val="6"/>
        <w:keepNext/>
        <w:keepLines/>
        <w:spacing w:beforeLines="50" w:beforeAutospacing="0" w:afterLines="50" w:afterAutospacing="0" w:line="360" w:lineRule="auto"/>
        <w:jc w:val="both"/>
        <w:rPr>
          <w:bCs w:val="0"/>
          <w:color w:val="auto"/>
          <w:kern w:val="2"/>
          <w:sz w:val="21"/>
          <w:szCs w:val="21"/>
        </w:rPr>
      </w:pPr>
      <w:bookmarkStart w:id="1211" w:name="_Toc532375616"/>
      <w:bookmarkStart w:id="1212" w:name="_Toc532377352"/>
      <w:bookmarkStart w:id="1213" w:name="_Toc351203639"/>
      <w:r>
        <w:rPr>
          <w:rFonts w:hint="eastAsia"/>
          <w:color w:val="auto"/>
          <w:kern w:val="2"/>
          <w:sz w:val="21"/>
          <w:szCs w:val="21"/>
        </w:rPr>
        <w:t>7. 工期和进度</w:t>
      </w:r>
      <w:bookmarkEnd w:id="1211"/>
      <w:bookmarkEnd w:id="1212"/>
      <w:bookmarkEnd w:id="1213"/>
    </w:p>
    <w:p w14:paraId="74FB35C1">
      <w:pPr>
        <w:pStyle w:val="7"/>
        <w:spacing w:before="0" w:beforeAutospacing="0" w:after="0" w:afterAutospacing="0" w:line="360" w:lineRule="auto"/>
        <w:ind w:firstLine="422" w:firstLineChars="200"/>
        <w:rPr>
          <w:color w:val="auto"/>
          <w:sz w:val="21"/>
          <w:szCs w:val="21"/>
        </w:rPr>
      </w:pPr>
      <w:bookmarkStart w:id="1214" w:name="_Toc532377353"/>
      <w:bookmarkStart w:id="1215" w:name="_Toc532375617"/>
      <w:r>
        <w:rPr>
          <w:rFonts w:hint="eastAsia"/>
          <w:color w:val="auto"/>
          <w:sz w:val="21"/>
          <w:szCs w:val="21"/>
        </w:rPr>
        <w:t>7.1 施工组织设计</w:t>
      </w:r>
      <w:bookmarkEnd w:id="1214"/>
      <w:bookmarkEnd w:id="1215"/>
    </w:p>
    <w:p w14:paraId="34086CA5">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7.1.1 合同当事人约定的施工组织设计应包括的其他内容：</w:t>
      </w:r>
      <w:r>
        <w:rPr>
          <w:rFonts w:hint="eastAsia" w:ascii="宋体" w:hAnsi="宋体"/>
          <w:color w:val="auto"/>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rPr>
        <w:t>。</w:t>
      </w:r>
    </w:p>
    <w:p w14:paraId="12D3195E">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7.1.2 施工组织设计的提交和修改</w:t>
      </w:r>
    </w:p>
    <w:p w14:paraId="55A0781B">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承包人提交详细施工组织设计的期限的约定：</w:t>
      </w:r>
      <w:r>
        <w:rPr>
          <w:rFonts w:hint="eastAsia" w:ascii="宋体" w:hAnsi="宋体"/>
          <w:color w:val="auto"/>
          <w:szCs w:val="21"/>
          <w:u w:val="single"/>
        </w:rPr>
        <w:t>合同签订后7天内，但最迟不得晚于开工通知载明的开工日期前7天</w:t>
      </w:r>
      <w:r>
        <w:rPr>
          <w:rFonts w:hint="eastAsia" w:ascii="宋体" w:hAnsi="宋体"/>
          <w:color w:val="auto"/>
          <w:szCs w:val="21"/>
        </w:rPr>
        <w:t>。</w:t>
      </w:r>
    </w:p>
    <w:p w14:paraId="121AFF2C">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发包人和监理人在收到详细的施工组织设计后确认或提出修改意见的期限：</w:t>
      </w:r>
      <w:r>
        <w:rPr>
          <w:rFonts w:hint="eastAsia" w:ascii="宋体" w:hAnsi="宋体"/>
          <w:color w:val="auto"/>
          <w:szCs w:val="21"/>
          <w:u w:val="single"/>
        </w:rPr>
        <w:t>收到施工组织设计后5 天内</w:t>
      </w:r>
      <w:r>
        <w:rPr>
          <w:rFonts w:hint="eastAsia" w:ascii="宋体" w:hAnsi="宋体"/>
          <w:color w:val="auto"/>
          <w:szCs w:val="21"/>
        </w:rPr>
        <w:t>。</w:t>
      </w:r>
    </w:p>
    <w:p w14:paraId="246C8404">
      <w:pPr>
        <w:pStyle w:val="7"/>
        <w:spacing w:before="0" w:beforeAutospacing="0" w:after="0" w:afterAutospacing="0" w:line="360" w:lineRule="auto"/>
        <w:ind w:firstLine="422" w:firstLineChars="200"/>
        <w:rPr>
          <w:color w:val="auto"/>
          <w:sz w:val="21"/>
          <w:szCs w:val="21"/>
        </w:rPr>
      </w:pPr>
      <w:bookmarkStart w:id="1216" w:name="_Toc532375618"/>
      <w:bookmarkStart w:id="1217" w:name="_Toc532377354"/>
      <w:r>
        <w:rPr>
          <w:rFonts w:hint="eastAsia"/>
          <w:color w:val="auto"/>
          <w:sz w:val="21"/>
          <w:szCs w:val="21"/>
        </w:rPr>
        <w:t>7.2 施工进度计划</w:t>
      </w:r>
      <w:bookmarkEnd w:id="1216"/>
      <w:bookmarkEnd w:id="1217"/>
    </w:p>
    <w:p w14:paraId="10E1DF9B">
      <w:pPr>
        <w:spacing w:line="360" w:lineRule="auto"/>
        <w:ind w:firstLine="420" w:firstLineChars="200"/>
        <w:jc w:val="left"/>
        <w:rPr>
          <w:rFonts w:ascii="宋体" w:hAnsi="宋体"/>
          <w:color w:val="auto"/>
          <w:szCs w:val="21"/>
        </w:rPr>
      </w:pPr>
      <w:r>
        <w:rPr>
          <w:rFonts w:hint="eastAsia" w:ascii="宋体" w:hAnsi="宋体"/>
          <w:color w:val="auto"/>
          <w:szCs w:val="21"/>
        </w:rPr>
        <w:t>7.2.2 施工进度计划的修订</w:t>
      </w:r>
    </w:p>
    <w:p w14:paraId="67A63DE2">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发包人和监理人在收到修订的施工进度计划后确认或提出修改意见的期限：</w:t>
      </w:r>
      <w:r>
        <w:rPr>
          <w:rFonts w:hint="eastAsia" w:ascii="宋体" w:hAnsi="宋体"/>
          <w:color w:val="auto"/>
          <w:szCs w:val="21"/>
          <w:u w:val="single"/>
        </w:rPr>
        <w:t>收到修订的施工进度计划后  天内</w:t>
      </w:r>
      <w:r>
        <w:rPr>
          <w:rFonts w:hint="eastAsia" w:ascii="宋体" w:hAnsi="宋体"/>
          <w:color w:val="auto"/>
          <w:szCs w:val="21"/>
        </w:rPr>
        <w:t>。</w:t>
      </w:r>
    </w:p>
    <w:p w14:paraId="094D7C68">
      <w:pPr>
        <w:pStyle w:val="7"/>
        <w:spacing w:before="0" w:beforeAutospacing="0" w:after="0" w:afterAutospacing="0" w:line="360" w:lineRule="auto"/>
        <w:ind w:firstLine="422" w:firstLineChars="200"/>
        <w:rPr>
          <w:color w:val="auto"/>
          <w:sz w:val="21"/>
          <w:szCs w:val="21"/>
        </w:rPr>
      </w:pPr>
      <w:bookmarkStart w:id="1218" w:name="_Toc532377355"/>
      <w:bookmarkStart w:id="1219" w:name="_Toc532375619"/>
      <w:bookmarkStart w:id="1220" w:name="_Toc297123514"/>
      <w:bookmarkStart w:id="1221" w:name="_Toc312678005"/>
      <w:bookmarkStart w:id="1222" w:name="_Toc304295541"/>
      <w:bookmarkStart w:id="1223" w:name="_Toc300934966"/>
      <w:bookmarkStart w:id="1224" w:name="_Toc312677479"/>
      <w:bookmarkStart w:id="1225" w:name="_Toc297216173"/>
      <w:bookmarkStart w:id="1226" w:name="_Toc303539123"/>
      <w:r>
        <w:rPr>
          <w:rFonts w:hint="eastAsia"/>
          <w:color w:val="auto"/>
          <w:sz w:val="21"/>
          <w:szCs w:val="21"/>
        </w:rPr>
        <w:t>7.3 开工</w:t>
      </w:r>
      <w:bookmarkEnd w:id="1218"/>
      <w:bookmarkEnd w:id="1219"/>
    </w:p>
    <w:p w14:paraId="609A113A">
      <w:pPr>
        <w:spacing w:line="360" w:lineRule="auto"/>
        <w:ind w:firstLine="420" w:firstLineChars="200"/>
        <w:jc w:val="left"/>
        <w:rPr>
          <w:rFonts w:ascii="宋体" w:hAnsi="宋体"/>
          <w:color w:val="auto"/>
          <w:szCs w:val="21"/>
        </w:rPr>
      </w:pPr>
      <w:r>
        <w:rPr>
          <w:rFonts w:hint="eastAsia" w:ascii="宋体" w:hAnsi="宋体"/>
          <w:color w:val="auto"/>
          <w:szCs w:val="21"/>
        </w:rPr>
        <w:t>7.3.1 开工准备</w:t>
      </w:r>
    </w:p>
    <w:p w14:paraId="7DE62C16">
      <w:pPr>
        <w:spacing w:line="360" w:lineRule="auto"/>
        <w:ind w:firstLine="420" w:firstLineChars="200"/>
        <w:jc w:val="left"/>
        <w:rPr>
          <w:rFonts w:ascii="宋体" w:hAnsi="宋体"/>
          <w:color w:val="auto"/>
          <w:szCs w:val="21"/>
        </w:rPr>
      </w:pPr>
      <w:r>
        <w:rPr>
          <w:rFonts w:hint="eastAsia" w:ascii="宋体" w:hAnsi="宋体"/>
          <w:color w:val="auto"/>
          <w:szCs w:val="21"/>
        </w:rPr>
        <w:t>关于承包人提交工程开工报审表的期限：</w:t>
      </w:r>
      <w:r>
        <w:rPr>
          <w:rFonts w:hint="eastAsia" w:ascii="宋体" w:hAnsi="宋体"/>
          <w:color w:val="auto"/>
          <w:szCs w:val="21"/>
          <w:u w:val="single"/>
        </w:rPr>
        <w:t>不晚于开工前2天</w:t>
      </w:r>
      <w:r>
        <w:rPr>
          <w:rFonts w:hint="eastAsia" w:ascii="宋体" w:hAnsi="宋体"/>
          <w:color w:val="auto"/>
          <w:szCs w:val="21"/>
        </w:rPr>
        <w:t>。</w:t>
      </w:r>
    </w:p>
    <w:p w14:paraId="33B2DC78">
      <w:pPr>
        <w:spacing w:line="360" w:lineRule="auto"/>
        <w:ind w:firstLine="420" w:firstLineChars="200"/>
        <w:jc w:val="left"/>
        <w:rPr>
          <w:rFonts w:ascii="宋体" w:hAnsi="宋体"/>
          <w:color w:val="auto"/>
          <w:szCs w:val="21"/>
        </w:rPr>
      </w:pPr>
      <w:r>
        <w:rPr>
          <w:rFonts w:hint="eastAsia" w:ascii="宋体" w:hAnsi="宋体"/>
          <w:color w:val="auto"/>
          <w:szCs w:val="21"/>
        </w:rPr>
        <w:t>关于发包人应完成的其他开工准备工作及期限：</w:t>
      </w:r>
      <w:r>
        <w:rPr>
          <w:rFonts w:hint="eastAsia" w:ascii="宋体" w:hAnsi="宋体"/>
          <w:color w:val="auto"/>
          <w:szCs w:val="21"/>
          <w:u w:val="single"/>
        </w:rPr>
        <w:t>不晚于开工前10天</w:t>
      </w:r>
      <w:r>
        <w:rPr>
          <w:rFonts w:hint="eastAsia" w:ascii="宋体" w:hAnsi="宋体"/>
          <w:color w:val="auto"/>
          <w:szCs w:val="21"/>
        </w:rPr>
        <w:t>。</w:t>
      </w:r>
    </w:p>
    <w:p w14:paraId="796ABBAD">
      <w:pPr>
        <w:spacing w:line="360" w:lineRule="auto"/>
        <w:ind w:firstLine="420" w:firstLineChars="200"/>
        <w:jc w:val="left"/>
        <w:rPr>
          <w:rFonts w:ascii="宋体" w:hAnsi="宋体"/>
          <w:color w:val="auto"/>
          <w:szCs w:val="21"/>
        </w:rPr>
      </w:pPr>
      <w:r>
        <w:rPr>
          <w:rFonts w:hint="eastAsia" w:ascii="宋体" w:hAnsi="宋体"/>
          <w:color w:val="auto"/>
          <w:szCs w:val="21"/>
        </w:rPr>
        <w:t>关于承包人应完成的其他开工准备工作及期限：</w:t>
      </w:r>
      <w:r>
        <w:rPr>
          <w:rFonts w:hint="eastAsia" w:ascii="宋体" w:hAnsi="宋体"/>
          <w:color w:val="auto"/>
          <w:szCs w:val="21"/>
          <w:u w:val="single"/>
        </w:rPr>
        <w:t>不晚于开工前10天</w:t>
      </w:r>
      <w:r>
        <w:rPr>
          <w:rFonts w:hint="eastAsia" w:ascii="宋体" w:hAnsi="宋体"/>
          <w:color w:val="auto"/>
          <w:szCs w:val="21"/>
        </w:rPr>
        <w:t>。</w:t>
      </w:r>
    </w:p>
    <w:bookmarkEnd w:id="1220"/>
    <w:bookmarkEnd w:id="1221"/>
    <w:bookmarkEnd w:id="1222"/>
    <w:bookmarkEnd w:id="1223"/>
    <w:bookmarkEnd w:id="1224"/>
    <w:bookmarkEnd w:id="1225"/>
    <w:bookmarkEnd w:id="1226"/>
    <w:p w14:paraId="60F448AF">
      <w:pPr>
        <w:pStyle w:val="7"/>
        <w:spacing w:before="0" w:beforeAutospacing="0" w:after="0" w:afterAutospacing="0" w:line="360" w:lineRule="auto"/>
        <w:ind w:firstLine="422" w:firstLineChars="200"/>
        <w:rPr>
          <w:color w:val="auto"/>
          <w:sz w:val="21"/>
          <w:szCs w:val="21"/>
        </w:rPr>
      </w:pPr>
      <w:bookmarkStart w:id="1227" w:name="_Toc532377356"/>
      <w:bookmarkStart w:id="1228" w:name="_Toc532375620"/>
      <w:r>
        <w:rPr>
          <w:rFonts w:hint="eastAsia"/>
          <w:color w:val="auto"/>
          <w:sz w:val="21"/>
          <w:szCs w:val="21"/>
        </w:rPr>
        <w:t>7.4 测量放线</w:t>
      </w:r>
      <w:bookmarkEnd w:id="1227"/>
      <w:bookmarkEnd w:id="1228"/>
    </w:p>
    <w:p w14:paraId="6AB364A4">
      <w:pPr>
        <w:spacing w:line="360" w:lineRule="auto"/>
        <w:ind w:firstLine="420" w:firstLineChars="200"/>
        <w:jc w:val="left"/>
        <w:rPr>
          <w:rFonts w:ascii="宋体" w:hAnsi="宋体"/>
          <w:color w:val="auto"/>
          <w:szCs w:val="21"/>
        </w:rPr>
      </w:pPr>
      <w:r>
        <w:rPr>
          <w:rFonts w:hint="eastAsia" w:ascii="宋体" w:hAnsi="宋体"/>
          <w:color w:val="auto"/>
          <w:szCs w:val="21"/>
        </w:rPr>
        <w:t>7.4.1 发包人通过监理人向承包人提供测量基准点、基准线和水准点及其书面资料的期限：</w:t>
      </w:r>
      <w:r>
        <w:rPr>
          <w:rFonts w:hint="eastAsia" w:ascii="宋体" w:hAnsi="宋体"/>
          <w:color w:val="auto"/>
          <w:szCs w:val="21"/>
          <w:u w:val="single"/>
        </w:rPr>
        <w:t>不晚于开工前2天</w:t>
      </w:r>
      <w:r>
        <w:rPr>
          <w:rFonts w:hint="eastAsia" w:ascii="宋体" w:hAnsi="宋体"/>
          <w:color w:val="auto"/>
          <w:szCs w:val="21"/>
        </w:rPr>
        <w:t>。</w:t>
      </w:r>
    </w:p>
    <w:p w14:paraId="0B6C372C">
      <w:pPr>
        <w:spacing w:line="360" w:lineRule="auto"/>
        <w:ind w:firstLine="420" w:firstLineChars="200"/>
        <w:jc w:val="left"/>
        <w:rPr>
          <w:rFonts w:ascii="宋体" w:hAnsi="宋体"/>
          <w:color w:val="auto"/>
          <w:szCs w:val="21"/>
        </w:rPr>
      </w:pPr>
      <w:r>
        <w:rPr>
          <w:rFonts w:hint="eastAsia" w:ascii="宋体" w:hAnsi="宋体"/>
          <w:color w:val="auto"/>
          <w:szCs w:val="21"/>
        </w:rPr>
        <w:t>承包人报监理人审批施工控制网资料的期限：</w:t>
      </w:r>
      <w:r>
        <w:rPr>
          <w:rFonts w:hint="eastAsia" w:ascii="宋体" w:hAnsi="宋体"/>
          <w:color w:val="auto"/>
          <w:szCs w:val="21"/>
          <w:u w:val="single"/>
        </w:rPr>
        <w:t>发出开工通知后5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rPr>
        <w:t>。</w:t>
      </w:r>
    </w:p>
    <w:p w14:paraId="5B829915">
      <w:pPr>
        <w:pStyle w:val="7"/>
        <w:spacing w:before="0" w:beforeAutospacing="0" w:after="0" w:afterAutospacing="0" w:line="360" w:lineRule="auto"/>
        <w:ind w:firstLine="422" w:firstLineChars="200"/>
        <w:rPr>
          <w:color w:val="auto"/>
          <w:sz w:val="21"/>
          <w:szCs w:val="21"/>
        </w:rPr>
      </w:pPr>
      <w:bookmarkStart w:id="1229" w:name="_Toc532375621"/>
      <w:bookmarkStart w:id="1230" w:name="_Toc532377357"/>
      <w:r>
        <w:rPr>
          <w:rFonts w:hint="eastAsia"/>
          <w:color w:val="auto"/>
          <w:sz w:val="21"/>
          <w:szCs w:val="21"/>
        </w:rPr>
        <w:t>7</w:t>
      </w:r>
      <w:bookmarkStart w:id="1231" w:name="_Toc312678010"/>
      <w:bookmarkStart w:id="1232" w:name="_Toc297216175"/>
      <w:bookmarkStart w:id="1233" w:name="_Toc312677484"/>
      <w:bookmarkStart w:id="1234" w:name="_Toc303539125"/>
      <w:bookmarkStart w:id="1235" w:name="_Toc300934968"/>
      <w:bookmarkStart w:id="1236" w:name="_Toc297123516"/>
      <w:bookmarkStart w:id="1237" w:name="_Toc304295546"/>
      <w:r>
        <w:rPr>
          <w:rFonts w:hint="eastAsia"/>
          <w:color w:val="auto"/>
          <w:sz w:val="21"/>
          <w:szCs w:val="21"/>
        </w:rPr>
        <w:t>.5 工期延误</w:t>
      </w:r>
      <w:bookmarkEnd w:id="1229"/>
      <w:bookmarkEnd w:id="1230"/>
    </w:p>
    <w:bookmarkEnd w:id="1231"/>
    <w:bookmarkEnd w:id="1232"/>
    <w:bookmarkEnd w:id="1233"/>
    <w:bookmarkEnd w:id="1234"/>
    <w:bookmarkEnd w:id="1235"/>
    <w:bookmarkEnd w:id="1236"/>
    <w:bookmarkEnd w:id="1237"/>
    <w:p w14:paraId="5206EA64">
      <w:pPr>
        <w:spacing w:line="360" w:lineRule="auto"/>
        <w:ind w:firstLine="420" w:firstLineChars="200"/>
        <w:jc w:val="left"/>
        <w:rPr>
          <w:rFonts w:ascii="宋体" w:hAnsi="宋体"/>
          <w:color w:val="auto"/>
          <w:szCs w:val="21"/>
        </w:rPr>
      </w:pPr>
      <w:bookmarkStart w:id="1238" w:name="_Hlk528927940"/>
      <w:r>
        <w:rPr>
          <w:rFonts w:hint="eastAsia" w:ascii="宋体" w:hAnsi="宋体"/>
          <w:color w:val="auto"/>
          <w:szCs w:val="21"/>
        </w:rPr>
        <w:t>7.5.1 因发包人原因导致工期延误：</w:t>
      </w:r>
    </w:p>
    <w:p w14:paraId="6542A93C">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在合同履行过程中，除通用条款约定外，因下列情况导致工期延误和（或）费用增加的，由发包人承担由此延误的工期和（或）增加的费用：</w:t>
      </w:r>
    </w:p>
    <w:p w14:paraId="728C0C85">
      <w:pPr>
        <w:spacing w:line="360" w:lineRule="auto"/>
        <w:ind w:firstLine="420" w:firstLineChars="200"/>
        <w:jc w:val="left"/>
        <w:rPr>
          <w:rFonts w:ascii="宋体" w:hAnsi="宋体"/>
          <w:color w:val="auto"/>
          <w:szCs w:val="21"/>
        </w:rPr>
      </w:pPr>
      <w:r>
        <w:rPr>
          <w:rFonts w:hint="eastAsia" w:ascii="宋体" w:hAnsi="宋体"/>
          <w:color w:val="auto"/>
          <w:szCs w:val="21"/>
        </w:rPr>
        <w:t>（1）发包人未能按合同约定提供施工场地，且该未提供开工条件直接影响项目关键线路的；</w:t>
      </w:r>
    </w:p>
    <w:p w14:paraId="42CE5962">
      <w:pPr>
        <w:spacing w:line="360" w:lineRule="auto"/>
        <w:ind w:firstLine="420" w:firstLineChars="200"/>
        <w:jc w:val="left"/>
        <w:rPr>
          <w:rFonts w:ascii="宋体" w:hAnsi="宋体"/>
          <w:color w:val="auto"/>
          <w:szCs w:val="21"/>
        </w:rPr>
      </w:pPr>
      <w:r>
        <w:rPr>
          <w:rFonts w:hint="eastAsia" w:ascii="宋体" w:hAnsi="宋体"/>
          <w:color w:val="auto"/>
          <w:szCs w:val="21"/>
        </w:rPr>
        <w:t>（2）发包人提供的测量基准点、基准线和水准点及其书面资料存在错误或疏漏，且该错误或疏漏直接影响项目关键线路的；</w:t>
      </w:r>
    </w:p>
    <w:p w14:paraId="2556B065">
      <w:pPr>
        <w:spacing w:line="360" w:lineRule="auto"/>
        <w:ind w:firstLine="420" w:firstLineChars="200"/>
        <w:jc w:val="left"/>
        <w:rPr>
          <w:rFonts w:ascii="宋体" w:hAnsi="宋体"/>
          <w:color w:val="auto"/>
          <w:szCs w:val="21"/>
        </w:rPr>
      </w:pPr>
      <w:r>
        <w:rPr>
          <w:rFonts w:hint="eastAsia" w:ascii="宋体" w:hAnsi="宋体"/>
          <w:color w:val="auto"/>
          <w:szCs w:val="21"/>
        </w:rPr>
        <w:t>（3）监理人未按合同约定发出指示、批准等文件，且该未按合同约定发出指示、批准直接影响项目关键线路的；</w:t>
      </w:r>
    </w:p>
    <w:p w14:paraId="5873735A">
      <w:pPr>
        <w:spacing w:line="360" w:lineRule="auto"/>
        <w:ind w:firstLine="420" w:firstLineChars="200"/>
        <w:jc w:val="left"/>
        <w:rPr>
          <w:rFonts w:ascii="宋体" w:hAnsi="宋体"/>
          <w:color w:val="auto"/>
          <w:szCs w:val="21"/>
        </w:rPr>
      </w:pPr>
      <w:r>
        <w:rPr>
          <w:rFonts w:hint="eastAsia" w:ascii="宋体" w:hAnsi="宋体"/>
          <w:color w:val="auto"/>
          <w:szCs w:val="21"/>
        </w:rPr>
        <w:t>（4）变更未及时审批，直接影响项目关键线路的；</w:t>
      </w:r>
    </w:p>
    <w:p w14:paraId="7347A062">
      <w:pPr>
        <w:spacing w:line="360" w:lineRule="auto"/>
        <w:ind w:firstLine="420" w:firstLineChars="200"/>
        <w:jc w:val="left"/>
        <w:rPr>
          <w:rFonts w:ascii="宋体" w:hAnsi="宋体"/>
          <w:color w:val="auto"/>
          <w:szCs w:val="21"/>
        </w:rPr>
      </w:pPr>
      <w:r>
        <w:rPr>
          <w:rFonts w:hint="eastAsia" w:ascii="宋体" w:hAnsi="宋体"/>
          <w:color w:val="auto"/>
          <w:szCs w:val="21"/>
        </w:rPr>
        <w:t>（5）实施变更直接影响项目关键线路的；</w:t>
      </w:r>
    </w:p>
    <w:p w14:paraId="379CFC94">
      <w:pPr>
        <w:spacing w:line="360" w:lineRule="auto"/>
        <w:ind w:firstLine="420" w:firstLineChars="200"/>
        <w:jc w:val="left"/>
        <w:rPr>
          <w:rFonts w:ascii="宋体" w:hAnsi="宋体"/>
          <w:color w:val="auto"/>
          <w:szCs w:val="21"/>
        </w:rPr>
      </w:pPr>
      <w:r>
        <w:rPr>
          <w:rFonts w:hint="eastAsia" w:ascii="宋体" w:hAnsi="宋体"/>
          <w:color w:val="auto"/>
          <w:szCs w:val="21"/>
        </w:rPr>
        <w:t>（6）因发包人原因导致工程暂停施工、停建、缓建的；</w:t>
      </w:r>
    </w:p>
    <w:p w14:paraId="35CBF41D">
      <w:pPr>
        <w:spacing w:line="360" w:lineRule="auto"/>
        <w:ind w:firstLine="420" w:firstLineChars="200"/>
        <w:jc w:val="left"/>
        <w:rPr>
          <w:rFonts w:ascii="宋体" w:hAnsi="宋体"/>
          <w:color w:val="auto"/>
          <w:szCs w:val="21"/>
        </w:rPr>
      </w:pPr>
      <w:r>
        <w:rPr>
          <w:rFonts w:hint="eastAsia" w:ascii="宋体" w:hAnsi="宋体"/>
          <w:color w:val="auto"/>
          <w:szCs w:val="21"/>
        </w:rPr>
        <w:t>（7）因征地拆迁、当地群众阻工等情形的；</w:t>
      </w:r>
    </w:p>
    <w:p w14:paraId="4F20BAD7">
      <w:pPr>
        <w:spacing w:line="360" w:lineRule="auto"/>
        <w:ind w:firstLine="420" w:firstLineChars="200"/>
        <w:jc w:val="left"/>
        <w:rPr>
          <w:rFonts w:ascii="宋体" w:hAnsi="宋体"/>
          <w:color w:val="auto"/>
          <w:szCs w:val="21"/>
          <w:u w:val="single"/>
        </w:rPr>
      </w:pPr>
      <w:r>
        <w:rPr>
          <w:rFonts w:hint="eastAsia" w:ascii="宋体" w:hAnsi="宋体"/>
          <w:color w:val="auto"/>
          <w:szCs w:val="21"/>
        </w:rPr>
        <w:t>（8）</w:t>
      </w:r>
      <w:r>
        <w:rPr>
          <w:rFonts w:hint="eastAsia" w:ascii="宋体" w:hAnsi="宋体"/>
          <w:color w:val="auto"/>
          <w:szCs w:val="21"/>
          <w:u w:val="single"/>
        </w:rPr>
        <w:t>合同约定的其他情形</w:t>
      </w:r>
      <w:r>
        <w:rPr>
          <w:rFonts w:hint="eastAsia" w:ascii="宋体" w:hAnsi="宋体"/>
          <w:color w:val="auto"/>
          <w:szCs w:val="21"/>
        </w:rPr>
        <w:t>。</w:t>
      </w:r>
    </w:p>
    <w:p w14:paraId="11AC3DFC">
      <w:pPr>
        <w:spacing w:line="360" w:lineRule="auto"/>
        <w:ind w:firstLine="420" w:firstLineChars="200"/>
        <w:jc w:val="left"/>
        <w:rPr>
          <w:rFonts w:ascii="宋体" w:hAnsi="宋体"/>
          <w:color w:val="auto"/>
          <w:szCs w:val="21"/>
        </w:rPr>
      </w:pPr>
      <w:r>
        <w:rPr>
          <w:rFonts w:hint="eastAsia" w:ascii="宋体" w:hAnsi="宋体"/>
          <w:color w:val="auto"/>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rPr>
        <w:t>。</w:t>
      </w:r>
    </w:p>
    <w:p w14:paraId="5985A948">
      <w:pPr>
        <w:spacing w:line="360" w:lineRule="auto"/>
        <w:ind w:firstLine="420" w:firstLineChars="200"/>
        <w:jc w:val="left"/>
        <w:rPr>
          <w:rFonts w:ascii="宋体" w:hAnsi="宋体"/>
          <w:color w:val="auto"/>
          <w:szCs w:val="21"/>
        </w:rPr>
      </w:pPr>
      <w:r>
        <w:rPr>
          <w:rFonts w:hint="eastAsia" w:ascii="宋体" w:hAnsi="宋体"/>
          <w:color w:val="auto"/>
          <w:szCs w:val="21"/>
        </w:rPr>
        <w:t>7.5.2 因承包人原因导致工期延误</w:t>
      </w:r>
    </w:p>
    <w:p w14:paraId="251BCDBE">
      <w:pPr>
        <w:spacing w:line="360" w:lineRule="auto"/>
        <w:ind w:firstLine="420" w:firstLineChars="200"/>
        <w:jc w:val="left"/>
        <w:rPr>
          <w:rFonts w:ascii="宋体" w:hAnsi="宋体"/>
          <w:color w:val="auto"/>
          <w:szCs w:val="21"/>
        </w:rPr>
      </w:pPr>
      <w:r>
        <w:rPr>
          <w:rFonts w:hint="eastAsia" w:ascii="宋体" w:hAnsi="宋体"/>
          <w:color w:val="auto"/>
          <w:szCs w:val="21"/>
          <w:u w:val="single"/>
        </w:rPr>
        <w:t>因承包人原因造成工期延误，逾期竣工按16.2.2（6）目执行。</w:t>
      </w:r>
    </w:p>
    <w:bookmarkEnd w:id="1238"/>
    <w:p w14:paraId="1F3DB71B">
      <w:pPr>
        <w:pStyle w:val="7"/>
        <w:spacing w:before="0" w:beforeAutospacing="0" w:after="0" w:afterAutospacing="0" w:line="360" w:lineRule="auto"/>
        <w:ind w:firstLine="422" w:firstLineChars="200"/>
        <w:rPr>
          <w:color w:val="auto"/>
          <w:sz w:val="21"/>
          <w:szCs w:val="21"/>
        </w:rPr>
      </w:pPr>
      <w:bookmarkStart w:id="1239" w:name="_Toc532375622"/>
      <w:bookmarkStart w:id="1240" w:name="_Toc532377358"/>
      <w:bookmarkStart w:id="1241" w:name="_Hlk528927997"/>
      <w:r>
        <w:rPr>
          <w:rFonts w:hint="eastAsia"/>
          <w:color w:val="auto"/>
          <w:sz w:val="21"/>
          <w:szCs w:val="21"/>
        </w:rPr>
        <w:t>7</w:t>
      </w:r>
      <w:bookmarkStart w:id="1242" w:name="_Toc297123519"/>
      <w:bookmarkStart w:id="1243" w:name="_Toc312678015"/>
      <w:bookmarkStart w:id="1244" w:name="_Toc300934971"/>
      <w:bookmarkStart w:id="1245" w:name="_Toc304295549"/>
      <w:bookmarkStart w:id="1246" w:name="_Toc297216178"/>
      <w:bookmarkStart w:id="1247" w:name="_Toc303539128"/>
      <w:r>
        <w:rPr>
          <w:rFonts w:hint="eastAsia"/>
          <w:color w:val="auto"/>
          <w:sz w:val="21"/>
          <w:szCs w:val="21"/>
        </w:rPr>
        <w:t>.6 不</w:t>
      </w:r>
      <w:bookmarkEnd w:id="1242"/>
      <w:bookmarkEnd w:id="1243"/>
      <w:bookmarkEnd w:id="1244"/>
      <w:bookmarkEnd w:id="1245"/>
      <w:bookmarkEnd w:id="1246"/>
      <w:bookmarkEnd w:id="1247"/>
      <w:r>
        <w:rPr>
          <w:rFonts w:hint="eastAsia"/>
          <w:color w:val="auto"/>
          <w:sz w:val="21"/>
          <w:szCs w:val="21"/>
        </w:rPr>
        <w:t>利物质条件</w:t>
      </w:r>
      <w:bookmarkEnd w:id="1239"/>
      <w:bookmarkEnd w:id="1240"/>
    </w:p>
    <w:bookmarkEnd w:id="1241"/>
    <w:p w14:paraId="7806306C">
      <w:pPr>
        <w:spacing w:line="360" w:lineRule="auto"/>
        <w:ind w:firstLine="420" w:firstLineChars="200"/>
        <w:jc w:val="left"/>
        <w:rPr>
          <w:rFonts w:ascii="宋体" w:hAnsi="宋体"/>
          <w:bCs/>
          <w:color w:val="auto"/>
          <w:szCs w:val="21"/>
        </w:rPr>
      </w:pPr>
      <w:bookmarkStart w:id="1248" w:name="_Toc300934972"/>
      <w:bookmarkStart w:id="1249" w:name="_Toc297216179"/>
      <w:bookmarkStart w:id="1250" w:name="_Toc297123520"/>
      <w:bookmarkStart w:id="1251" w:name="_Toc312678016"/>
      <w:bookmarkStart w:id="1252" w:name="_Toc304295550"/>
      <w:bookmarkStart w:id="1253" w:name="_Toc303539129"/>
      <w:bookmarkStart w:id="1254" w:name="_Toc318581172"/>
      <w:r>
        <w:rPr>
          <w:rFonts w:hint="eastAsia" w:ascii="宋体" w:hAnsi="宋体"/>
          <w:color w:val="auto"/>
          <w:szCs w:val="21"/>
        </w:rPr>
        <w:t>不利物质条件的其他情形和有关约定：</w:t>
      </w:r>
      <w:bookmarkStart w:id="1255" w:name="_Hlk528910274"/>
      <w:r>
        <w:rPr>
          <w:rFonts w:hint="eastAsia" w:ascii="宋体" w:hAnsi="宋体"/>
          <w:color w:val="auto"/>
          <w:szCs w:val="21"/>
          <w:u w:val="single"/>
        </w:rPr>
        <w:t xml:space="preserve">    </w:t>
      </w:r>
      <w:r>
        <w:rPr>
          <w:rFonts w:hint="eastAsia" w:ascii="宋体" w:hAnsi="宋体"/>
          <w:color w:val="auto"/>
          <w:szCs w:val="21"/>
        </w:rPr>
        <w:t>。</w:t>
      </w:r>
    </w:p>
    <w:bookmarkEnd w:id="1248"/>
    <w:bookmarkEnd w:id="1249"/>
    <w:bookmarkEnd w:id="1250"/>
    <w:bookmarkEnd w:id="1251"/>
    <w:bookmarkEnd w:id="1252"/>
    <w:bookmarkEnd w:id="1253"/>
    <w:bookmarkEnd w:id="1254"/>
    <w:bookmarkEnd w:id="1255"/>
    <w:p w14:paraId="44B5ABA1">
      <w:pPr>
        <w:pStyle w:val="7"/>
        <w:spacing w:before="0" w:beforeAutospacing="0" w:after="0" w:afterAutospacing="0" w:line="360" w:lineRule="auto"/>
        <w:ind w:firstLine="422" w:firstLineChars="200"/>
        <w:rPr>
          <w:color w:val="auto"/>
          <w:sz w:val="21"/>
          <w:szCs w:val="21"/>
        </w:rPr>
      </w:pPr>
      <w:bookmarkStart w:id="1256" w:name="_Toc532375623"/>
      <w:bookmarkStart w:id="1257" w:name="_Toc532377359"/>
      <w:r>
        <w:rPr>
          <w:rFonts w:hint="eastAsia"/>
          <w:color w:val="auto"/>
          <w:sz w:val="21"/>
          <w:szCs w:val="21"/>
        </w:rPr>
        <w:t>7</w:t>
      </w:r>
      <w:bookmarkStart w:id="1258" w:name="_Toc304295551"/>
      <w:bookmarkStart w:id="1259" w:name="_Toc297216180"/>
      <w:bookmarkStart w:id="1260" w:name="_Toc303539130"/>
      <w:bookmarkStart w:id="1261" w:name="_Toc300934973"/>
      <w:bookmarkStart w:id="1262" w:name="_Toc312678017"/>
      <w:bookmarkStart w:id="1263" w:name="_Toc297123521"/>
      <w:r>
        <w:rPr>
          <w:rFonts w:hint="eastAsia"/>
          <w:color w:val="auto"/>
          <w:sz w:val="21"/>
          <w:szCs w:val="21"/>
        </w:rPr>
        <w:t>.7异常恶劣的气候条件</w:t>
      </w:r>
      <w:bookmarkEnd w:id="1256"/>
      <w:bookmarkEnd w:id="1257"/>
    </w:p>
    <w:bookmarkEnd w:id="1258"/>
    <w:bookmarkEnd w:id="1259"/>
    <w:bookmarkEnd w:id="1260"/>
    <w:bookmarkEnd w:id="1261"/>
    <w:bookmarkEnd w:id="1262"/>
    <w:bookmarkEnd w:id="1263"/>
    <w:p w14:paraId="00356A65">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发包人和承包人同意以下情形视为异常恶劣的气候条件：</w:t>
      </w:r>
      <w:r>
        <w:rPr>
          <w:rFonts w:hint="eastAsia" w:ascii="宋体" w:hAnsi="宋体"/>
          <w:color w:val="auto"/>
          <w:szCs w:val="21"/>
          <w:u w:val="single"/>
        </w:rPr>
        <w:t xml:space="preserve">    （异常气候是指项目所在地50年以上一遇的罕见气候现象）</w:t>
      </w:r>
      <w:r>
        <w:rPr>
          <w:rFonts w:hint="eastAsia" w:ascii="宋体" w:hAnsi="宋体"/>
          <w:color w:val="auto"/>
          <w:szCs w:val="21"/>
        </w:rPr>
        <w:t>。</w:t>
      </w:r>
    </w:p>
    <w:p w14:paraId="13A79E05">
      <w:pPr>
        <w:pStyle w:val="7"/>
        <w:spacing w:before="0" w:beforeAutospacing="0" w:after="0" w:afterAutospacing="0" w:line="360" w:lineRule="auto"/>
        <w:ind w:firstLine="422" w:firstLineChars="200"/>
        <w:rPr>
          <w:color w:val="auto"/>
          <w:sz w:val="21"/>
          <w:szCs w:val="21"/>
        </w:rPr>
      </w:pPr>
      <w:bookmarkStart w:id="1264" w:name="_Toc532375624"/>
      <w:bookmarkStart w:id="1265" w:name="_Toc532377360"/>
      <w:r>
        <w:rPr>
          <w:rFonts w:hint="eastAsia"/>
          <w:color w:val="auto"/>
          <w:sz w:val="21"/>
          <w:szCs w:val="21"/>
        </w:rPr>
        <w:t>7.9 提前竣工</w:t>
      </w:r>
      <w:bookmarkEnd w:id="1264"/>
      <w:bookmarkEnd w:id="1265"/>
    </w:p>
    <w:p w14:paraId="7A7A03B6">
      <w:pPr>
        <w:spacing w:line="360" w:lineRule="auto"/>
        <w:ind w:firstLine="420" w:firstLineChars="200"/>
        <w:jc w:val="left"/>
        <w:rPr>
          <w:rFonts w:ascii="宋体" w:hAnsi="宋体"/>
          <w:color w:val="auto"/>
          <w:szCs w:val="21"/>
        </w:rPr>
      </w:pPr>
      <w:r>
        <w:rPr>
          <w:rFonts w:hint="eastAsia" w:ascii="宋体" w:hAnsi="宋体"/>
          <w:color w:val="auto"/>
          <w:szCs w:val="21"/>
        </w:rPr>
        <w:t>7.9.1项细化为：</w:t>
      </w:r>
    </w:p>
    <w:p w14:paraId="4BB1792A">
      <w:pPr>
        <w:spacing w:line="360" w:lineRule="auto"/>
        <w:ind w:firstLine="420" w:firstLineChars="200"/>
        <w:jc w:val="left"/>
        <w:rPr>
          <w:rFonts w:ascii="宋体" w:hAnsi="宋体"/>
          <w:color w:val="auto"/>
          <w:szCs w:val="21"/>
        </w:rPr>
      </w:pPr>
      <w:r>
        <w:rPr>
          <w:rFonts w:hint="eastAsia" w:ascii="宋体" w:hAnsi="宋体"/>
          <w:color w:val="auto"/>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15996B48">
      <w:pPr>
        <w:spacing w:line="360" w:lineRule="auto"/>
        <w:ind w:firstLine="420" w:firstLineChars="200"/>
        <w:jc w:val="left"/>
        <w:rPr>
          <w:rFonts w:ascii="宋体" w:hAnsi="宋体"/>
          <w:color w:val="auto"/>
          <w:szCs w:val="21"/>
        </w:rPr>
      </w:pPr>
      <w:r>
        <w:rPr>
          <w:rFonts w:hint="eastAsia" w:ascii="宋体" w:hAnsi="宋体"/>
          <w:color w:val="auto"/>
          <w:szCs w:val="21"/>
        </w:rPr>
        <w:t>（2）发包人不得随意要求承包人提前竣工，承包人也不得随意提出提前竣工的建议。如遇特殊情况，确需将工期提前的，发包人和承包人必须采取有效措施，确保工程质量。</w:t>
      </w:r>
    </w:p>
    <w:p w14:paraId="19ABFA5C">
      <w:pPr>
        <w:spacing w:line="360" w:lineRule="auto"/>
        <w:ind w:firstLine="420" w:firstLineChars="200"/>
        <w:jc w:val="left"/>
        <w:rPr>
          <w:rFonts w:ascii="宋体" w:hAnsi="宋体"/>
          <w:color w:val="auto"/>
          <w:szCs w:val="21"/>
        </w:rPr>
      </w:pPr>
      <w:r>
        <w:rPr>
          <w:rFonts w:hint="eastAsia" w:ascii="宋体" w:hAnsi="宋体"/>
          <w:color w:val="auto"/>
          <w:szCs w:val="21"/>
        </w:rPr>
        <w:t>7.9.2 提前竣工的奖励：</w:t>
      </w:r>
      <w:r>
        <w:rPr>
          <w:rFonts w:hint="eastAsia" w:ascii="宋体" w:hAnsi="宋体"/>
          <w:color w:val="auto"/>
          <w:szCs w:val="21"/>
          <w:u w:val="single"/>
        </w:rPr>
        <w:t>无。</w:t>
      </w:r>
    </w:p>
    <w:p w14:paraId="665D7883">
      <w:pPr>
        <w:pStyle w:val="6"/>
        <w:keepNext/>
        <w:keepLines/>
        <w:spacing w:beforeLines="50" w:beforeAutospacing="0" w:afterLines="50" w:afterAutospacing="0" w:line="360" w:lineRule="auto"/>
        <w:jc w:val="both"/>
        <w:rPr>
          <w:bCs w:val="0"/>
          <w:color w:val="auto"/>
          <w:kern w:val="2"/>
          <w:sz w:val="21"/>
          <w:szCs w:val="21"/>
        </w:rPr>
      </w:pPr>
      <w:bookmarkStart w:id="1266" w:name="_Toc532375625"/>
      <w:bookmarkStart w:id="1267" w:name="_Toc532377361"/>
      <w:bookmarkStart w:id="1268" w:name="_Toc351203640"/>
      <w:r>
        <w:rPr>
          <w:rFonts w:hint="eastAsia"/>
          <w:color w:val="auto"/>
          <w:kern w:val="2"/>
          <w:sz w:val="21"/>
          <w:szCs w:val="21"/>
        </w:rPr>
        <w:t>8. 材料与设备</w:t>
      </w:r>
      <w:bookmarkEnd w:id="1266"/>
      <w:bookmarkEnd w:id="1267"/>
      <w:bookmarkEnd w:id="1268"/>
    </w:p>
    <w:p w14:paraId="4E0F1AF9">
      <w:pPr>
        <w:pStyle w:val="7"/>
        <w:spacing w:before="0" w:beforeAutospacing="0" w:after="0" w:afterAutospacing="0" w:line="360" w:lineRule="auto"/>
        <w:ind w:firstLine="422" w:firstLineChars="200"/>
        <w:rPr>
          <w:color w:val="auto"/>
          <w:sz w:val="21"/>
          <w:szCs w:val="21"/>
        </w:rPr>
      </w:pPr>
      <w:bookmarkStart w:id="1269" w:name="_Toc532375626"/>
      <w:bookmarkStart w:id="1270" w:name="_Toc532377362"/>
      <w:r>
        <w:rPr>
          <w:rFonts w:hint="eastAsia"/>
          <w:color w:val="auto"/>
          <w:sz w:val="21"/>
          <w:szCs w:val="21"/>
        </w:rPr>
        <w:t>8.1发包人供应材料与工程设备</w:t>
      </w:r>
      <w:bookmarkEnd w:id="1269"/>
      <w:bookmarkEnd w:id="1270"/>
    </w:p>
    <w:p w14:paraId="33CC69C1">
      <w:pPr>
        <w:spacing w:line="360" w:lineRule="auto"/>
        <w:ind w:firstLine="420" w:firstLineChars="200"/>
        <w:jc w:val="left"/>
        <w:rPr>
          <w:rFonts w:ascii="宋体" w:hAnsi="宋体"/>
          <w:color w:val="auto"/>
          <w:szCs w:val="21"/>
        </w:rPr>
      </w:pPr>
      <w:r>
        <w:rPr>
          <w:rFonts w:hint="eastAsia" w:ascii="宋体" w:hAnsi="宋体"/>
          <w:color w:val="auto"/>
          <w:szCs w:val="21"/>
        </w:rPr>
        <w:t>材料的名称、规格、数量和价格：</w:t>
      </w:r>
      <w:r>
        <w:rPr>
          <w:rFonts w:hint="eastAsia" w:ascii="宋体" w:hAnsi="宋体"/>
          <w:color w:val="auto"/>
          <w:szCs w:val="21"/>
          <w:u w:val="single"/>
        </w:rPr>
        <w:t>发包人应提供甲供材料的明细表，结算时按经监理人、承包人共同确认的供应数量乘以采购时甲供材料暂定价格，在支付工程款时扣除</w:t>
      </w:r>
      <w:r>
        <w:rPr>
          <w:rFonts w:hint="eastAsia" w:ascii="宋体" w:hAnsi="宋体"/>
          <w:color w:val="auto"/>
          <w:szCs w:val="21"/>
        </w:rPr>
        <w:t>。</w:t>
      </w:r>
    </w:p>
    <w:p w14:paraId="14A8CBCF">
      <w:pPr>
        <w:spacing w:line="360" w:lineRule="auto"/>
        <w:ind w:firstLine="420" w:firstLineChars="200"/>
        <w:jc w:val="left"/>
        <w:rPr>
          <w:rFonts w:ascii="宋体" w:hAnsi="宋体"/>
          <w:color w:val="auto"/>
          <w:szCs w:val="21"/>
        </w:rPr>
      </w:pPr>
      <w:r>
        <w:rPr>
          <w:rFonts w:hint="eastAsia" w:ascii="宋体" w:hAnsi="宋体"/>
          <w:color w:val="auto"/>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rPr>
        <w:t>。</w:t>
      </w:r>
    </w:p>
    <w:p w14:paraId="1CC96211">
      <w:pPr>
        <w:pStyle w:val="7"/>
        <w:spacing w:before="0" w:beforeAutospacing="0" w:after="0" w:afterAutospacing="0" w:line="360" w:lineRule="auto"/>
        <w:ind w:firstLine="422" w:firstLineChars="200"/>
        <w:rPr>
          <w:color w:val="auto"/>
          <w:sz w:val="21"/>
          <w:szCs w:val="21"/>
        </w:rPr>
      </w:pPr>
      <w:bookmarkStart w:id="1271" w:name="_Toc351203554"/>
      <w:bookmarkStart w:id="1272" w:name="_Toc532375627"/>
      <w:bookmarkStart w:id="1273" w:name="_Toc532377363"/>
      <w:r>
        <w:rPr>
          <w:rFonts w:hint="eastAsia"/>
          <w:color w:val="auto"/>
          <w:sz w:val="21"/>
          <w:szCs w:val="21"/>
        </w:rPr>
        <w:t>8</w:t>
      </w:r>
      <w:bookmarkStart w:id="1274" w:name="_Toc296346561"/>
      <w:bookmarkStart w:id="1275" w:name="_Toc337558778"/>
      <w:bookmarkStart w:id="1276" w:name="_Toc296503060"/>
      <w:r>
        <w:rPr>
          <w:rFonts w:hint="eastAsia"/>
          <w:color w:val="auto"/>
          <w:sz w:val="21"/>
          <w:szCs w:val="21"/>
        </w:rPr>
        <w:t>.2 承包人采购材料与工程设备</w:t>
      </w:r>
      <w:bookmarkEnd w:id="1271"/>
      <w:bookmarkEnd w:id="1272"/>
      <w:bookmarkEnd w:id="1273"/>
    </w:p>
    <w:bookmarkEnd w:id="1274"/>
    <w:bookmarkEnd w:id="1275"/>
    <w:bookmarkEnd w:id="1276"/>
    <w:p w14:paraId="12A41EDB">
      <w:pPr>
        <w:spacing w:line="360" w:lineRule="auto"/>
        <w:ind w:firstLine="420" w:firstLineChars="200"/>
        <w:jc w:val="left"/>
        <w:rPr>
          <w:rFonts w:ascii="宋体" w:hAnsi="宋体"/>
          <w:color w:val="auto"/>
          <w:szCs w:val="21"/>
        </w:rPr>
      </w:pPr>
      <w:r>
        <w:rPr>
          <w:rFonts w:hint="eastAsia" w:ascii="宋体" w:hAnsi="宋体"/>
          <w:color w:val="auto"/>
          <w:szCs w:val="21"/>
        </w:rPr>
        <w:t>8.2.1承包人负责采购、运输和保管的材料、工程设备：</w:t>
      </w:r>
      <w:r>
        <w:rPr>
          <w:rFonts w:hint="eastAsia" w:ascii="宋体" w:hAnsi="宋体"/>
          <w:color w:val="auto"/>
          <w:szCs w:val="21"/>
          <w:u w:val="single"/>
        </w:rPr>
        <w:t>由承包人自行采购。承包人采购材料设备必须经监理人和发包人批准，结算时由监理人和发包人按采购文件规定审核的数量和合同约定</w:t>
      </w:r>
      <w:r>
        <w:rPr>
          <w:rFonts w:ascii="宋体" w:hAnsi="宋体"/>
          <w:color w:val="auto"/>
          <w:szCs w:val="21"/>
          <w:u w:val="single"/>
        </w:rPr>
        <w:t>价格</w:t>
      </w:r>
      <w:r>
        <w:rPr>
          <w:rFonts w:hint="eastAsia" w:ascii="宋体" w:hAnsi="宋体"/>
          <w:color w:val="auto"/>
          <w:szCs w:val="21"/>
          <w:u w:val="single"/>
        </w:rPr>
        <w:t>计算</w:t>
      </w:r>
      <w:r>
        <w:rPr>
          <w:rFonts w:hint="eastAsia" w:ascii="宋体" w:hAnsi="宋体"/>
          <w:color w:val="auto"/>
          <w:szCs w:val="21"/>
        </w:rPr>
        <w:t>。</w:t>
      </w:r>
    </w:p>
    <w:p w14:paraId="0F3BAEC1">
      <w:pPr>
        <w:spacing w:line="360" w:lineRule="auto"/>
        <w:ind w:firstLine="420" w:firstLineChars="200"/>
        <w:jc w:val="left"/>
        <w:rPr>
          <w:rFonts w:ascii="宋体" w:hAnsi="宋体"/>
          <w:color w:val="auto"/>
          <w:szCs w:val="21"/>
        </w:rPr>
      </w:pPr>
      <w:r>
        <w:rPr>
          <w:rFonts w:hint="eastAsia" w:ascii="宋体" w:hAnsi="宋体"/>
          <w:color w:val="auto"/>
          <w:szCs w:val="21"/>
        </w:rPr>
        <w:t>8.2.2承包人报送监理人审批的时间：</w:t>
      </w:r>
      <w:r>
        <w:rPr>
          <w:rFonts w:hint="eastAsia" w:ascii="宋体" w:hAnsi="宋体"/>
          <w:color w:val="auto"/>
          <w:szCs w:val="21"/>
          <w:u w:val="single"/>
        </w:rPr>
        <w:t>按发包人及监理单位的相关规定执行</w:t>
      </w:r>
      <w:r>
        <w:rPr>
          <w:rFonts w:hint="eastAsia" w:ascii="宋体" w:hAnsi="宋体"/>
          <w:color w:val="auto"/>
          <w:szCs w:val="21"/>
        </w:rPr>
        <w:t>。</w:t>
      </w:r>
    </w:p>
    <w:p w14:paraId="323208C6">
      <w:pPr>
        <w:spacing w:line="360" w:lineRule="auto"/>
        <w:ind w:firstLine="420" w:firstLineChars="200"/>
        <w:jc w:val="left"/>
        <w:rPr>
          <w:rFonts w:ascii="宋体" w:hAnsi="宋体"/>
          <w:color w:val="auto"/>
          <w:szCs w:val="21"/>
        </w:rPr>
      </w:pPr>
      <w:r>
        <w:rPr>
          <w:rFonts w:hint="eastAsia" w:ascii="宋体" w:hAnsi="宋体"/>
          <w:color w:val="auto"/>
          <w:szCs w:val="21"/>
        </w:rPr>
        <w:t>8.2.3承包人选择的生产厂家或供应商满足下列条件：</w:t>
      </w:r>
    </w:p>
    <w:p w14:paraId="6F755C0B">
      <w:pPr>
        <w:spacing w:line="360" w:lineRule="auto"/>
        <w:ind w:firstLine="420" w:firstLineChars="200"/>
        <w:jc w:val="left"/>
        <w:rPr>
          <w:rFonts w:ascii="宋体" w:hAnsi="宋体"/>
          <w:color w:val="auto"/>
          <w:szCs w:val="21"/>
        </w:rPr>
      </w:pPr>
      <w:r>
        <w:rPr>
          <w:rFonts w:hint="eastAsia" w:ascii="宋体" w:hAnsi="宋体"/>
          <w:color w:val="auto"/>
          <w:szCs w:val="21"/>
        </w:rPr>
        <w:t>A.承包人选择的混凝土供应商应满足下列条件：</w:t>
      </w:r>
      <w:r>
        <w:rPr>
          <w:rFonts w:hint="eastAsia" w:ascii="宋体" w:hAnsi="宋体"/>
          <w:color w:val="auto"/>
          <w:szCs w:val="21"/>
          <w:u w:val="single"/>
        </w:rPr>
        <w:t xml:space="preserve">        </w:t>
      </w:r>
      <w:r>
        <w:rPr>
          <w:rFonts w:hint="eastAsia" w:ascii="宋体" w:hAnsi="宋体"/>
          <w:color w:val="auto"/>
          <w:szCs w:val="21"/>
        </w:rPr>
        <w:t>；</w:t>
      </w:r>
    </w:p>
    <w:p w14:paraId="7263EB83">
      <w:pPr>
        <w:spacing w:line="360" w:lineRule="auto"/>
        <w:ind w:firstLine="420" w:firstLineChars="200"/>
        <w:jc w:val="left"/>
        <w:rPr>
          <w:rFonts w:ascii="宋体" w:hAnsi="宋体"/>
          <w:color w:val="auto"/>
          <w:szCs w:val="21"/>
        </w:rPr>
      </w:pPr>
      <w:r>
        <w:rPr>
          <w:rFonts w:hint="eastAsia" w:ascii="宋体" w:hAnsi="宋体"/>
          <w:color w:val="auto"/>
          <w:szCs w:val="21"/>
        </w:rPr>
        <w:t>B.承包人选择的钢材供应商应满足下列条件：</w:t>
      </w:r>
      <w:r>
        <w:rPr>
          <w:rFonts w:hint="eastAsia" w:ascii="宋体" w:hAnsi="宋体"/>
          <w:color w:val="auto"/>
          <w:szCs w:val="21"/>
          <w:u w:val="single"/>
        </w:rPr>
        <w:t xml:space="preserve">        </w:t>
      </w:r>
      <w:r>
        <w:rPr>
          <w:rFonts w:hint="eastAsia" w:ascii="宋体" w:hAnsi="宋体"/>
          <w:color w:val="auto"/>
          <w:szCs w:val="21"/>
        </w:rPr>
        <w:t>；</w:t>
      </w:r>
    </w:p>
    <w:p w14:paraId="0E473275">
      <w:pPr>
        <w:spacing w:line="360" w:lineRule="auto"/>
        <w:ind w:firstLine="420" w:firstLineChars="200"/>
        <w:jc w:val="left"/>
        <w:rPr>
          <w:rFonts w:ascii="宋体" w:hAnsi="宋体"/>
          <w:color w:val="auto"/>
          <w:szCs w:val="21"/>
        </w:rPr>
      </w:pPr>
      <w:r>
        <w:rPr>
          <w:rFonts w:hint="eastAsia" w:ascii="宋体" w:hAnsi="宋体"/>
          <w:color w:val="auto"/>
          <w:szCs w:val="21"/>
        </w:rPr>
        <w:t>C.承包人选择的水泥供应商应满足下列条件：</w:t>
      </w:r>
      <w:r>
        <w:rPr>
          <w:rFonts w:hint="eastAsia" w:ascii="宋体" w:hAnsi="宋体"/>
          <w:color w:val="auto"/>
          <w:szCs w:val="21"/>
          <w:u w:val="single"/>
        </w:rPr>
        <w:t xml:space="preserve">        </w:t>
      </w:r>
      <w:r>
        <w:rPr>
          <w:rFonts w:hint="eastAsia" w:ascii="宋体" w:hAnsi="宋体"/>
          <w:color w:val="auto"/>
          <w:szCs w:val="21"/>
        </w:rPr>
        <w:t>；</w:t>
      </w:r>
    </w:p>
    <w:p w14:paraId="3694706E">
      <w:pPr>
        <w:spacing w:line="360" w:lineRule="auto"/>
        <w:ind w:firstLine="420" w:firstLineChars="200"/>
        <w:jc w:val="left"/>
        <w:rPr>
          <w:rFonts w:ascii="宋体" w:hAnsi="宋体"/>
          <w:color w:val="auto"/>
          <w:szCs w:val="21"/>
        </w:rPr>
      </w:pPr>
      <w:r>
        <w:rPr>
          <w:rFonts w:hint="eastAsia" w:ascii="宋体" w:hAnsi="宋体"/>
          <w:color w:val="auto"/>
          <w:szCs w:val="21"/>
        </w:rPr>
        <w:t>D.承包人采购的材料与设计或标准要求不符时，承包人应按发包人和监理人要求的时间运出施工场地，并重新采购符合要求的产品，并承担由此发生的费用，因此延误的工期不予顺延。</w:t>
      </w:r>
    </w:p>
    <w:p w14:paraId="5AFBDBC6">
      <w:pPr>
        <w:spacing w:line="360" w:lineRule="auto"/>
        <w:ind w:firstLine="420" w:firstLineChars="200"/>
        <w:jc w:val="left"/>
        <w:rPr>
          <w:rFonts w:ascii="宋体" w:hAnsi="宋体"/>
          <w:color w:val="auto"/>
          <w:szCs w:val="21"/>
        </w:rPr>
      </w:pPr>
      <w:r>
        <w:rPr>
          <w:rFonts w:hint="eastAsia" w:ascii="宋体" w:hAnsi="宋体"/>
          <w:color w:val="auto"/>
          <w:szCs w:val="21"/>
        </w:rPr>
        <w:t>E.承包人采购的材料在使用前，应按发包人和监理人的要求进行检验或试验，不合格的不得使用。</w:t>
      </w:r>
    </w:p>
    <w:p w14:paraId="6832C412">
      <w:pPr>
        <w:spacing w:line="360" w:lineRule="auto"/>
        <w:ind w:firstLine="420" w:firstLineChars="200"/>
        <w:jc w:val="left"/>
        <w:rPr>
          <w:rFonts w:ascii="宋体" w:hAnsi="宋体"/>
          <w:color w:val="auto"/>
          <w:szCs w:val="21"/>
        </w:rPr>
      </w:pPr>
      <w:r>
        <w:rPr>
          <w:rFonts w:hint="eastAsia" w:ascii="宋体" w:hAnsi="宋体"/>
          <w:color w:val="auto"/>
          <w:szCs w:val="21"/>
        </w:rPr>
        <w:t>F.</w:t>
      </w:r>
      <w:r>
        <w:rPr>
          <w:rFonts w:hint="eastAsia" w:ascii="宋体" w:hAnsi="宋体"/>
          <w:color w:val="auto"/>
          <w:szCs w:val="21"/>
          <w:u w:val="single"/>
        </w:rPr>
        <w:t xml:space="preserve">        </w:t>
      </w:r>
      <w:r>
        <w:rPr>
          <w:rFonts w:hint="eastAsia" w:ascii="宋体" w:hAnsi="宋体"/>
          <w:color w:val="auto"/>
          <w:szCs w:val="21"/>
        </w:rPr>
        <w:t>。</w:t>
      </w:r>
    </w:p>
    <w:p w14:paraId="77C1E243">
      <w:pPr>
        <w:pStyle w:val="7"/>
        <w:spacing w:before="0" w:beforeAutospacing="0" w:after="0" w:afterAutospacing="0" w:line="360" w:lineRule="auto"/>
        <w:ind w:firstLine="422" w:firstLineChars="200"/>
        <w:rPr>
          <w:color w:val="auto"/>
          <w:sz w:val="21"/>
          <w:szCs w:val="21"/>
        </w:rPr>
      </w:pPr>
      <w:bookmarkStart w:id="1277" w:name="_Toc532377364"/>
      <w:bookmarkStart w:id="1278" w:name="_Toc532375628"/>
      <w:r>
        <w:rPr>
          <w:rFonts w:hint="eastAsia"/>
          <w:color w:val="auto"/>
          <w:sz w:val="21"/>
          <w:szCs w:val="21"/>
        </w:rPr>
        <w:t>8</w:t>
      </w:r>
      <w:bookmarkStart w:id="1279" w:name="_Toc312677493"/>
      <w:bookmarkStart w:id="1280" w:name="_Toc296891207"/>
      <w:bookmarkStart w:id="1281" w:name="_Toc297123527"/>
      <w:bookmarkStart w:id="1282" w:name="_Toc297120467"/>
      <w:bookmarkStart w:id="1283" w:name="_Toc292559372"/>
      <w:bookmarkStart w:id="1284" w:name="_Toc312678019"/>
      <w:bookmarkStart w:id="1285" w:name="_Toc297048353"/>
      <w:bookmarkStart w:id="1286" w:name="_Toc296346668"/>
      <w:bookmarkStart w:id="1287" w:name="_Toc296890995"/>
      <w:bookmarkStart w:id="1288" w:name="_Toc300934979"/>
      <w:bookmarkStart w:id="1289" w:name="_Toc296347166"/>
      <w:bookmarkStart w:id="1290" w:name="_Toc304295556"/>
      <w:bookmarkStart w:id="1291" w:name="_Toc280868654"/>
      <w:bookmarkStart w:id="1292" w:name="_Toc292559877"/>
      <w:bookmarkStart w:id="1293" w:name="_Toc297216186"/>
      <w:bookmarkStart w:id="1294" w:name="_Toc303539136"/>
      <w:bookmarkStart w:id="1295" w:name="_Toc296944506"/>
      <w:bookmarkStart w:id="1296" w:name="_Toc296503167"/>
      <w:bookmarkStart w:id="1297" w:name="_Toc267251424"/>
      <w:bookmarkStart w:id="1298" w:name="_Toc280868655"/>
      <w:bookmarkStart w:id="1299" w:name="_Toc280868656"/>
      <w:r>
        <w:rPr>
          <w:rFonts w:hint="eastAsia"/>
          <w:color w:val="auto"/>
          <w:sz w:val="21"/>
          <w:szCs w:val="21"/>
        </w:rPr>
        <w:t>.4 材料与工程设备的保管与使用</w:t>
      </w:r>
      <w:bookmarkEnd w:id="1277"/>
      <w:bookmarkEnd w:id="1278"/>
    </w:p>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14:paraId="617047F2">
      <w:pPr>
        <w:spacing w:line="360" w:lineRule="auto"/>
        <w:ind w:firstLine="420" w:firstLineChars="200"/>
        <w:jc w:val="left"/>
        <w:rPr>
          <w:rFonts w:ascii="宋体" w:hAnsi="宋体"/>
          <w:color w:val="auto"/>
          <w:szCs w:val="21"/>
        </w:rPr>
      </w:pPr>
      <w:r>
        <w:rPr>
          <w:rFonts w:hint="eastAsia" w:ascii="宋体" w:hAnsi="宋体"/>
          <w:color w:val="auto"/>
          <w:szCs w:val="21"/>
        </w:rPr>
        <w:t>8</w:t>
      </w:r>
      <w:bookmarkStart w:id="1300" w:name="_Toc292559878"/>
      <w:bookmarkStart w:id="1301" w:name="_Toc292559373"/>
      <w:bookmarkStart w:id="1302" w:name="_Toc297120468"/>
      <w:bookmarkStart w:id="1303" w:name="_Toc318581173"/>
      <w:bookmarkStart w:id="1304" w:name="_Toc296503168"/>
      <w:bookmarkStart w:id="1305" w:name="_Toc296891208"/>
      <w:bookmarkStart w:id="1306" w:name="_Toc297048354"/>
      <w:bookmarkStart w:id="1307" w:name="_Toc304295557"/>
      <w:bookmarkStart w:id="1308" w:name="_Toc303539137"/>
      <w:bookmarkStart w:id="1309" w:name="_Toc297216187"/>
      <w:bookmarkStart w:id="1310" w:name="_Toc296890996"/>
      <w:bookmarkStart w:id="1311" w:name="_Toc297123528"/>
      <w:bookmarkStart w:id="1312" w:name="_Toc296346669"/>
      <w:bookmarkStart w:id="1313" w:name="_Toc300934980"/>
      <w:bookmarkStart w:id="1314" w:name="_Toc312677494"/>
      <w:bookmarkStart w:id="1315" w:name="_Toc296347167"/>
      <w:bookmarkStart w:id="1316" w:name="_Toc296944507"/>
      <w:bookmarkStart w:id="1317" w:name="_Toc312678020"/>
      <w:r>
        <w:rPr>
          <w:rFonts w:hint="eastAsia" w:ascii="宋体" w:hAnsi="宋体"/>
          <w:color w:val="auto"/>
          <w:szCs w:val="21"/>
        </w:rPr>
        <w:t>.4.1 发包人供应的材料设备的保管费用的承担：</w:t>
      </w:r>
      <w:r>
        <w:rPr>
          <w:rFonts w:hint="eastAsia" w:ascii="宋体" w:hAnsi="宋体"/>
          <w:color w:val="auto"/>
          <w:szCs w:val="21"/>
          <w:u w:val="single"/>
        </w:rPr>
        <w:t xml:space="preserve">           </w:t>
      </w:r>
      <w:r>
        <w:rPr>
          <w:rFonts w:hint="eastAsia" w:ascii="宋体" w:hAnsi="宋体"/>
          <w:color w:val="auto"/>
          <w:szCs w:val="21"/>
        </w:rPr>
        <w:t>。</w:t>
      </w:r>
      <w:bookmarkEnd w:id="1300"/>
      <w:bookmarkEnd w:id="1301"/>
    </w:p>
    <w:p w14:paraId="6D4E33BA">
      <w:pPr>
        <w:pStyle w:val="7"/>
        <w:spacing w:before="0" w:beforeAutospacing="0" w:after="0" w:afterAutospacing="0" w:line="360" w:lineRule="auto"/>
        <w:ind w:firstLine="422" w:firstLineChars="200"/>
        <w:rPr>
          <w:color w:val="auto"/>
          <w:sz w:val="21"/>
          <w:szCs w:val="21"/>
        </w:rPr>
      </w:pPr>
      <w:bookmarkStart w:id="1318" w:name="_Toc532375629"/>
      <w:bookmarkStart w:id="1319" w:name="_Toc532377365"/>
      <w:r>
        <w:rPr>
          <w:rFonts w:hint="eastAsia"/>
          <w:color w:val="auto"/>
          <w:sz w:val="21"/>
          <w:szCs w:val="21"/>
        </w:rPr>
        <w:t>8.6 样品</w:t>
      </w:r>
      <w:bookmarkEnd w:id="1318"/>
      <w:bookmarkEnd w:id="1319"/>
    </w:p>
    <w:p w14:paraId="45944F22">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8.6.1 样品的报送与封存</w:t>
      </w:r>
    </w:p>
    <w:p w14:paraId="33ADE4B6">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需要承包人报送样品的材料或工程设备，样品的种类、名称、规格、数量要求：</w:t>
      </w:r>
      <w:r>
        <w:rPr>
          <w:rFonts w:hint="eastAsia" w:ascii="宋体" w:hAnsi="宋体"/>
          <w:color w:val="auto"/>
          <w:szCs w:val="21"/>
          <w:u w:val="single"/>
        </w:rPr>
        <w:t xml:space="preserve">        </w:t>
      </w:r>
      <w:r>
        <w:rPr>
          <w:rFonts w:hint="eastAsia" w:ascii="宋体" w:hAnsi="宋体"/>
          <w:color w:val="auto"/>
          <w:szCs w:val="21"/>
        </w:rPr>
        <w:t>。</w:t>
      </w:r>
    </w:p>
    <w:p w14:paraId="5A334D10">
      <w:pPr>
        <w:pStyle w:val="7"/>
        <w:spacing w:before="0" w:beforeAutospacing="0" w:after="0" w:afterAutospacing="0" w:line="360" w:lineRule="auto"/>
        <w:ind w:firstLine="422" w:firstLineChars="200"/>
        <w:rPr>
          <w:color w:val="auto"/>
          <w:sz w:val="21"/>
          <w:szCs w:val="21"/>
        </w:rPr>
      </w:pPr>
      <w:bookmarkStart w:id="1320" w:name="_Toc532375630"/>
      <w:bookmarkStart w:id="1321" w:name="_Toc532377366"/>
      <w:r>
        <w:rPr>
          <w:rFonts w:hint="eastAsia"/>
          <w:color w:val="auto"/>
          <w:sz w:val="21"/>
          <w:szCs w:val="21"/>
        </w:rPr>
        <w:t>8.8 施工设备和临时设施</w:t>
      </w:r>
      <w:bookmarkEnd w:id="1320"/>
      <w:bookmarkEnd w:id="1321"/>
    </w:p>
    <w:p w14:paraId="6684E7A0">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8.8.1 承包人提供的施工设备和临时设施</w:t>
      </w:r>
    </w:p>
    <w:p w14:paraId="7AE9F8E4">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关于修建临时设施费用承担的约定：</w:t>
      </w:r>
      <w:r>
        <w:rPr>
          <w:rFonts w:hint="eastAsia" w:ascii="宋体" w:hAnsi="宋体"/>
          <w:color w:val="auto"/>
          <w:szCs w:val="21"/>
          <w:u w:val="single"/>
        </w:rPr>
        <w:t>由承包人承担</w:t>
      </w:r>
      <w:r>
        <w:rPr>
          <w:rFonts w:hint="eastAsia" w:ascii="宋体" w:hAnsi="宋体"/>
          <w:color w:val="auto"/>
          <w:szCs w:val="21"/>
        </w:rPr>
        <w:t>。</w:t>
      </w:r>
    </w:p>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14:paraId="085ADCFC">
      <w:pPr>
        <w:pStyle w:val="6"/>
        <w:keepNext/>
        <w:keepLines/>
        <w:spacing w:beforeLines="50" w:beforeAutospacing="0" w:afterLines="50" w:afterAutospacing="0" w:line="360" w:lineRule="auto"/>
        <w:jc w:val="both"/>
        <w:rPr>
          <w:bCs w:val="0"/>
          <w:color w:val="auto"/>
          <w:kern w:val="2"/>
          <w:sz w:val="21"/>
          <w:szCs w:val="21"/>
        </w:rPr>
      </w:pPr>
      <w:bookmarkStart w:id="1322" w:name="_Toc532375631"/>
      <w:bookmarkStart w:id="1323" w:name="_Toc351203641"/>
      <w:bookmarkStart w:id="1324" w:name="_Toc532377367"/>
      <w:r>
        <w:rPr>
          <w:rFonts w:hint="eastAsia"/>
          <w:color w:val="auto"/>
          <w:kern w:val="2"/>
          <w:sz w:val="21"/>
          <w:szCs w:val="21"/>
        </w:rPr>
        <w:t>9</w:t>
      </w:r>
      <w:bookmarkEnd w:id="1297"/>
      <w:bookmarkEnd w:id="1298"/>
      <w:bookmarkEnd w:id="1299"/>
      <w:bookmarkStart w:id="1325" w:name="_Toc297216192"/>
      <w:bookmarkStart w:id="1326" w:name="_Toc304295559"/>
      <w:bookmarkStart w:id="1327" w:name="_Toc303539139"/>
      <w:bookmarkStart w:id="1328" w:name="_Toc297123533"/>
      <w:bookmarkStart w:id="1329" w:name="_Toc312677495"/>
      <w:bookmarkStart w:id="1330" w:name="_Toc300934982"/>
      <w:bookmarkStart w:id="1331" w:name="_Toc312678021"/>
      <w:r>
        <w:rPr>
          <w:rFonts w:hint="eastAsia"/>
          <w:color w:val="auto"/>
          <w:kern w:val="2"/>
          <w:sz w:val="21"/>
          <w:szCs w:val="21"/>
        </w:rPr>
        <w:t>. 试验与检验</w:t>
      </w:r>
      <w:bookmarkEnd w:id="1322"/>
      <w:bookmarkEnd w:id="1323"/>
      <w:bookmarkEnd w:id="1324"/>
    </w:p>
    <w:bookmarkEnd w:id="1325"/>
    <w:bookmarkEnd w:id="1326"/>
    <w:bookmarkEnd w:id="1327"/>
    <w:bookmarkEnd w:id="1328"/>
    <w:bookmarkEnd w:id="1329"/>
    <w:bookmarkEnd w:id="1330"/>
    <w:bookmarkEnd w:id="1331"/>
    <w:p w14:paraId="0DF2D401">
      <w:pPr>
        <w:pStyle w:val="7"/>
        <w:spacing w:before="0" w:beforeAutospacing="0" w:after="0" w:afterAutospacing="0" w:line="360" w:lineRule="auto"/>
        <w:ind w:firstLine="422" w:firstLineChars="200"/>
        <w:rPr>
          <w:color w:val="auto"/>
          <w:sz w:val="21"/>
          <w:szCs w:val="21"/>
        </w:rPr>
      </w:pPr>
      <w:bookmarkStart w:id="1332" w:name="_Toc532377368"/>
      <w:bookmarkStart w:id="1333" w:name="_Toc532375632"/>
      <w:r>
        <w:rPr>
          <w:rFonts w:hint="eastAsia"/>
          <w:color w:val="auto"/>
          <w:sz w:val="21"/>
          <w:szCs w:val="21"/>
        </w:rPr>
        <w:t>9</w:t>
      </w:r>
      <w:bookmarkStart w:id="1334" w:name="_Toc300934983"/>
      <w:bookmarkStart w:id="1335" w:name="_Toc312677496"/>
      <w:bookmarkStart w:id="1336" w:name="_Toc312678022"/>
      <w:bookmarkStart w:id="1337" w:name="_Toc297216193"/>
      <w:bookmarkStart w:id="1338" w:name="_Toc304295560"/>
      <w:bookmarkStart w:id="1339" w:name="_Toc303539140"/>
      <w:bookmarkStart w:id="1340" w:name="_Toc297123534"/>
      <w:r>
        <w:rPr>
          <w:rFonts w:hint="eastAsia"/>
          <w:color w:val="auto"/>
          <w:sz w:val="21"/>
          <w:szCs w:val="21"/>
        </w:rPr>
        <w:t>.1 试验设备与试验人员</w:t>
      </w:r>
      <w:bookmarkEnd w:id="1332"/>
      <w:bookmarkEnd w:id="1333"/>
    </w:p>
    <w:bookmarkEnd w:id="1334"/>
    <w:bookmarkEnd w:id="1335"/>
    <w:bookmarkEnd w:id="1336"/>
    <w:bookmarkEnd w:id="1337"/>
    <w:bookmarkEnd w:id="1338"/>
    <w:bookmarkEnd w:id="1339"/>
    <w:bookmarkEnd w:id="1340"/>
    <w:p w14:paraId="4C5FF43B">
      <w:pPr>
        <w:spacing w:line="360" w:lineRule="auto"/>
        <w:ind w:firstLine="420" w:firstLineChars="200"/>
        <w:jc w:val="left"/>
        <w:rPr>
          <w:rFonts w:ascii="宋体" w:hAnsi="宋体"/>
          <w:color w:val="auto"/>
          <w:szCs w:val="21"/>
        </w:rPr>
      </w:pPr>
      <w:r>
        <w:rPr>
          <w:rFonts w:hint="eastAsia" w:ascii="宋体" w:hAnsi="宋体"/>
          <w:color w:val="auto"/>
          <w:szCs w:val="21"/>
        </w:rPr>
        <w:t>9</w:t>
      </w:r>
      <w:bookmarkStart w:id="1341" w:name="_Toc300934984"/>
      <w:bookmarkStart w:id="1342" w:name="_Toc303539141"/>
      <w:bookmarkStart w:id="1343" w:name="_Toc304295561"/>
      <w:bookmarkStart w:id="1344" w:name="_Toc312678023"/>
      <w:bookmarkStart w:id="1345" w:name="_Toc297216194"/>
      <w:bookmarkStart w:id="1346" w:name="_Toc297123535"/>
      <w:bookmarkStart w:id="1347" w:name="_Toc312677497"/>
      <w:bookmarkStart w:id="1348" w:name="_Toc318581174"/>
      <w:r>
        <w:rPr>
          <w:rFonts w:hint="eastAsia" w:ascii="宋体" w:hAnsi="宋体"/>
          <w:color w:val="auto"/>
          <w:szCs w:val="21"/>
        </w:rPr>
        <w:t>.1.2 试验设备</w:t>
      </w:r>
    </w:p>
    <w:p w14:paraId="3D487817">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施工现场需要配置的试验场所：</w:t>
      </w:r>
      <w:bookmarkEnd w:id="1341"/>
      <w:bookmarkEnd w:id="1342"/>
      <w:bookmarkEnd w:id="1343"/>
      <w:bookmarkEnd w:id="1344"/>
      <w:bookmarkEnd w:id="1345"/>
      <w:bookmarkEnd w:id="1346"/>
      <w:bookmarkEnd w:id="1347"/>
      <w:bookmarkStart w:id="1349" w:name="_Toc303539142"/>
      <w:bookmarkStart w:id="1350" w:name="_Toc297123536"/>
      <w:bookmarkStart w:id="1351" w:name="_Toc304295562"/>
      <w:bookmarkStart w:id="1352" w:name="_Toc297216195"/>
      <w:bookmarkStart w:id="1353" w:name="_Toc312677498"/>
      <w:bookmarkStart w:id="1354" w:name="_Toc300934985"/>
      <w:bookmarkStart w:id="1355" w:name="_Toc312678024"/>
      <w:r>
        <w:rPr>
          <w:rFonts w:hint="eastAsia" w:ascii="宋体" w:hAnsi="宋体"/>
          <w:color w:val="auto"/>
          <w:szCs w:val="21"/>
          <w:u w:val="single"/>
        </w:rPr>
        <w:t>满足工程施工的需要</w:t>
      </w:r>
      <w:r>
        <w:rPr>
          <w:rFonts w:hint="eastAsia" w:ascii="宋体" w:hAnsi="宋体"/>
          <w:color w:val="auto"/>
          <w:szCs w:val="21"/>
        </w:rPr>
        <w:t>。</w:t>
      </w:r>
    </w:p>
    <w:p w14:paraId="44D929A1">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施工现场需要配备的试验设备：</w:t>
      </w:r>
      <w:r>
        <w:rPr>
          <w:rFonts w:hint="eastAsia" w:ascii="宋体" w:hAnsi="宋体"/>
          <w:color w:val="auto"/>
          <w:szCs w:val="21"/>
          <w:u w:val="single"/>
        </w:rPr>
        <w:t>满足工程施工的需要</w:t>
      </w:r>
      <w:r>
        <w:rPr>
          <w:rFonts w:hint="eastAsia" w:ascii="宋体" w:hAnsi="宋体"/>
          <w:color w:val="auto"/>
          <w:szCs w:val="21"/>
        </w:rPr>
        <w:t>。</w:t>
      </w:r>
    </w:p>
    <w:p w14:paraId="46A58198">
      <w:pPr>
        <w:spacing w:line="360" w:lineRule="auto"/>
        <w:ind w:firstLine="420" w:firstLineChars="200"/>
        <w:jc w:val="left"/>
        <w:rPr>
          <w:rFonts w:ascii="宋体" w:hAnsi="宋体"/>
          <w:color w:val="auto"/>
          <w:szCs w:val="21"/>
        </w:rPr>
      </w:pPr>
      <w:r>
        <w:rPr>
          <w:rFonts w:hint="eastAsia" w:ascii="宋体" w:hAnsi="宋体"/>
          <w:color w:val="auto"/>
          <w:szCs w:val="21"/>
        </w:rPr>
        <w:t>施工现场需要具备的其他试验条件：</w:t>
      </w:r>
      <w:r>
        <w:rPr>
          <w:rFonts w:hint="eastAsia" w:ascii="宋体" w:hAnsi="宋体"/>
          <w:color w:val="auto"/>
          <w:szCs w:val="21"/>
          <w:u w:val="single"/>
        </w:rPr>
        <w:t xml:space="preserve">        </w:t>
      </w:r>
      <w:r>
        <w:rPr>
          <w:rFonts w:hint="eastAsia" w:ascii="宋体" w:hAnsi="宋体"/>
          <w:color w:val="auto"/>
          <w:szCs w:val="21"/>
        </w:rPr>
        <w:t>。</w:t>
      </w:r>
    </w:p>
    <w:p w14:paraId="28F7F2D3">
      <w:pPr>
        <w:pStyle w:val="7"/>
        <w:spacing w:before="0" w:beforeAutospacing="0" w:after="0" w:afterAutospacing="0" w:line="360" w:lineRule="auto"/>
        <w:ind w:firstLine="422" w:firstLineChars="200"/>
        <w:rPr>
          <w:color w:val="auto"/>
          <w:sz w:val="21"/>
          <w:szCs w:val="21"/>
        </w:rPr>
      </w:pPr>
      <w:bookmarkStart w:id="1356" w:name="_Toc532375633"/>
      <w:bookmarkStart w:id="1357" w:name="_Toc532377369"/>
      <w:r>
        <w:rPr>
          <w:rFonts w:hint="eastAsia"/>
          <w:color w:val="auto"/>
          <w:sz w:val="21"/>
          <w:szCs w:val="21"/>
        </w:rPr>
        <w:t>9.4 现场工艺试验</w:t>
      </w:r>
      <w:bookmarkEnd w:id="1356"/>
      <w:bookmarkEnd w:id="1357"/>
    </w:p>
    <w:p w14:paraId="7041BABB">
      <w:pPr>
        <w:spacing w:line="360" w:lineRule="auto"/>
        <w:ind w:firstLine="420" w:firstLineChars="200"/>
        <w:jc w:val="left"/>
        <w:rPr>
          <w:rFonts w:ascii="宋体" w:hAnsi="宋体"/>
          <w:color w:val="auto"/>
          <w:szCs w:val="21"/>
        </w:rPr>
      </w:pPr>
      <w:r>
        <w:rPr>
          <w:rFonts w:hint="eastAsia" w:ascii="宋体" w:hAnsi="宋体"/>
          <w:color w:val="auto"/>
          <w:szCs w:val="21"/>
        </w:rPr>
        <w:t>本款补充9.4.1～9.4.5项：</w:t>
      </w:r>
    </w:p>
    <w:bookmarkEnd w:id="1348"/>
    <w:bookmarkEnd w:id="1349"/>
    <w:bookmarkEnd w:id="1350"/>
    <w:bookmarkEnd w:id="1351"/>
    <w:bookmarkEnd w:id="1352"/>
    <w:bookmarkEnd w:id="1353"/>
    <w:bookmarkEnd w:id="1354"/>
    <w:bookmarkEnd w:id="1355"/>
    <w:p w14:paraId="7273C047">
      <w:pPr>
        <w:spacing w:line="360" w:lineRule="auto"/>
        <w:ind w:firstLine="420" w:firstLineChars="200"/>
        <w:jc w:val="left"/>
        <w:rPr>
          <w:rFonts w:ascii="宋体" w:hAnsi="宋体"/>
          <w:color w:val="auto"/>
          <w:szCs w:val="21"/>
        </w:rPr>
      </w:pPr>
      <w:r>
        <w:rPr>
          <w:rFonts w:hint="eastAsia" w:ascii="宋体" w:hAnsi="宋体"/>
          <w:color w:val="auto"/>
          <w:szCs w:val="21"/>
        </w:rPr>
        <w:t>9.4.1一般检验试验：</w:t>
      </w:r>
    </w:p>
    <w:p w14:paraId="2F0BCD1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根据《建设工程质量检测管理办法》（住房和城乡建设部令第57号）、《住房城乡建设部办公厅关于实施&lt;建设工程质量检测管理办法&gt;&lt;建设工程质量检测机构资质标准&gt;有关问题的通知》（建办质〔2024〕36号）、《重庆市建设工程质量检测管理规定》（渝建发〔2024〕71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4EC065AB">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54733FCF">
      <w:pPr>
        <w:spacing w:line="360" w:lineRule="auto"/>
        <w:ind w:firstLine="420" w:firstLineChars="200"/>
        <w:jc w:val="left"/>
        <w:rPr>
          <w:rFonts w:ascii="宋体" w:hAnsi="宋体"/>
          <w:color w:val="auto"/>
          <w:szCs w:val="21"/>
        </w:rPr>
      </w:pPr>
      <w:r>
        <w:rPr>
          <w:rFonts w:hint="eastAsia" w:ascii="宋体" w:hAnsi="宋体"/>
          <w:color w:val="auto"/>
          <w:szCs w:val="21"/>
        </w:rPr>
        <w:t>9.4.2特殊检验试验：</w:t>
      </w:r>
    </w:p>
    <w:p w14:paraId="47601E34">
      <w:pPr>
        <w:spacing w:line="360" w:lineRule="auto"/>
        <w:ind w:firstLine="420" w:firstLineChars="200"/>
        <w:jc w:val="left"/>
        <w:rPr>
          <w:rFonts w:ascii="宋体" w:hAnsi="宋体"/>
          <w:color w:val="auto"/>
          <w:szCs w:val="21"/>
        </w:rPr>
      </w:pPr>
      <w:r>
        <w:rPr>
          <w:rFonts w:hint="eastAsia" w:ascii="宋体" w:hAnsi="宋体"/>
          <w:color w:val="auto"/>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53E877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发包人委托的第三方检测试验机构检测试验的试件所需的材料、取样、送检及相关配合工作由承包人负责完成并承担由此产生的所有相关费用。</w:t>
      </w:r>
    </w:p>
    <w:p w14:paraId="0CD43F73">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（2）施工措施的检测、试验：因施工措施需要而做的相关检测、试验由承包人负责实施，其费用由承包人承担。</w:t>
      </w:r>
    </w:p>
    <w:p w14:paraId="7C1035F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9.4.3专项检测：</w:t>
      </w:r>
      <w:r>
        <w:rPr>
          <w:rFonts w:hint="eastAsia" w:ascii="宋体" w:hAnsi="宋体"/>
          <w:color w:val="auto"/>
          <w:szCs w:val="21"/>
          <w:u w:val="single"/>
        </w:rPr>
        <w:t xml:space="preserve">       </w:t>
      </w:r>
      <w:r>
        <w:rPr>
          <w:rFonts w:hint="eastAsia" w:ascii="宋体" w:hAnsi="宋体"/>
          <w:color w:val="auto"/>
          <w:szCs w:val="21"/>
        </w:rPr>
        <w:t>。</w:t>
      </w:r>
    </w:p>
    <w:p w14:paraId="3B2A2D98">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9.4.4若因承包人取样、制样、送检及相关配合不及时而导致工程的工期和费用增加，影响的工期不予延长，增加费用由承包人承担。</w:t>
      </w:r>
    </w:p>
    <w:p w14:paraId="1D37077D">
      <w:pPr>
        <w:tabs>
          <w:tab w:val="left" w:pos="711"/>
          <w:tab w:val="left" w:pos="2580"/>
        </w:tabs>
        <w:spacing w:line="360" w:lineRule="auto"/>
        <w:ind w:firstLine="420" w:firstLineChars="200"/>
        <w:jc w:val="left"/>
        <w:textAlignment w:val="baseline"/>
        <w:rPr>
          <w:rFonts w:ascii="宋体" w:hAnsi="宋体"/>
          <w:color w:val="auto"/>
          <w:szCs w:val="21"/>
          <w:u w:val="single"/>
        </w:rPr>
      </w:pPr>
      <w:r>
        <w:rPr>
          <w:rFonts w:hint="eastAsia" w:ascii="宋体" w:hAnsi="宋体"/>
          <w:color w:val="auto"/>
          <w:szCs w:val="21"/>
        </w:rPr>
        <w:t>9.4.5检测试验不合格的项目，其缺陷处理和复测费用由承包人承担，工期不予延长。</w:t>
      </w:r>
    </w:p>
    <w:bookmarkEnd w:id="1194"/>
    <w:bookmarkEnd w:id="1195"/>
    <w:bookmarkEnd w:id="1196"/>
    <w:bookmarkEnd w:id="1197"/>
    <w:bookmarkEnd w:id="1198"/>
    <w:bookmarkEnd w:id="1199"/>
    <w:bookmarkEnd w:id="1200"/>
    <w:bookmarkEnd w:id="1201"/>
    <w:bookmarkEnd w:id="1202"/>
    <w:bookmarkEnd w:id="1203"/>
    <w:bookmarkEnd w:id="1204"/>
    <w:bookmarkEnd w:id="1205"/>
    <w:bookmarkEnd w:id="1206"/>
    <w:p w14:paraId="5F7044A4">
      <w:pPr>
        <w:pStyle w:val="6"/>
        <w:keepNext/>
        <w:keepLines/>
        <w:spacing w:beforeLines="50" w:beforeAutospacing="0" w:afterLines="50" w:afterAutospacing="0" w:line="360" w:lineRule="auto"/>
        <w:jc w:val="both"/>
        <w:rPr>
          <w:bCs w:val="0"/>
          <w:color w:val="auto"/>
          <w:kern w:val="2"/>
          <w:sz w:val="21"/>
          <w:szCs w:val="21"/>
        </w:rPr>
      </w:pPr>
      <w:bookmarkStart w:id="1358" w:name="_Toc532375634"/>
      <w:bookmarkStart w:id="1359" w:name="_Toc532377370"/>
      <w:bookmarkStart w:id="1360" w:name="_Toc267251488"/>
      <w:bookmarkStart w:id="1361" w:name="_Toc267251484"/>
      <w:bookmarkStart w:id="1362" w:name="_Toc267251489"/>
      <w:bookmarkStart w:id="1363" w:name="_Toc267251485"/>
      <w:bookmarkStart w:id="1364" w:name="_Toc267251482"/>
      <w:bookmarkStart w:id="1365" w:name="_Toc267251486"/>
      <w:bookmarkStart w:id="1366" w:name="_Hlk524298112"/>
      <w:bookmarkStart w:id="1367" w:name="_Toc267251490"/>
      <w:bookmarkStart w:id="1368" w:name="_Toc267251506"/>
      <w:bookmarkStart w:id="1369" w:name="_Toc267251511"/>
      <w:bookmarkStart w:id="1370" w:name="_Toc267251513"/>
      <w:bookmarkStart w:id="1371" w:name="_Toc267251503"/>
      <w:bookmarkStart w:id="1372" w:name="_Toc267251508"/>
      <w:bookmarkStart w:id="1373" w:name="_Toc267251499"/>
      <w:bookmarkStart w:id="1374" w:name="_Toc267251496"/>
      <w:bookmarkStart w:id="1375" w:name="_Toc267251515"/>
      <w:bookmarkStart w:id="1376" w:name="_Toc267251501"/>
      <w:bookmarkStart w:id="1377" w:name="_Toc267251504"/>
      <w:bookmarkStart w:id="1378" w:name="_Toc267251493"/>
      <w:bookmarkStart w:id="1379" w:name="_Toc267251510"/>
      <w:bookmarkStart w:id="1380" w:name="_Toc267251497"/>
      <w:bookmarkStart w:id="1381" w:name="_Toc267251509"/>
      <w:bookmarkStart w:id="1382" w:name="_Toc267251494"/>
      <w:bookmarkStart w:id="1383" w:name="_Toc267251492"/>
      <w:bookmarkStart w:id="1384" w:name="_Toc267251495"/>
      <w:bookmarkStart w:id="1385" w:name="_Toc267251491"/>
      <w:bookmarkStart w:id="1386" w:name="_Toc267251514"/>
      <w:bookmarkStart w:id="1387" w:name="_Toc267251498"/>
      <w:bookmarkStart w:id="1388" w:name="_Toc267251507"/>
      <w:bookmarkStart w:id="1389" w:name="_Toc267251502"/>
      <w:r>
        <w:rPr>
          <w:rFonts w:hint="eastAsia"/>
          <w:color w:val="auto"/>
          <w:kern w:val="2"/>
          <w:sz w:val="21"/>
          <w:szCs w:val="21"/>
        </w:rPr>
        <w:t>1</w:t>
      </w:r>
      <w:bookmarkStart w:id="1390" w:name="_Toc297120493"/>
      <w:bookmarkStart w:id="1391" w:name="_Toc296944532"/>
      <w:bookmarkStart w:id="1392" w:name="_Toc303539146"/>
      <w:bookmarkStart w:id="1393" w:name="_Toc300934989"/>
      <w:bookmarkStart w:id="1394" w:name="_Toc297216199"/>
      <w:bookmarkStart w:id="1395" w:name="_Toc296346694"/>
      <w:bookmarkStart w:id="1396" w:name="_Toc296503193"/>
      <w:bookmarkStart w:id="1397" w:name="_Toc297048379"/>
      <w:bookmarkStart w:id="1398" w:name="_Toc296347192"/>
      <w:bookmarkStart w:id="1399" w:name="_Toc296891233"/>
      <w:bookmarkStart w:id="1400" w:name="_Toc297123540"/>
      <w:bookmarkStart w:id="1401" w:name="_Toc296891021"/>
      <w:bookmarkStart w:id="1402" w:name="_Toc292559903"/>
      <w:bookmarkStart w:id="1403" w:name="_Toc304295566"/>
      <w:bookmarkStart w:id="1404" w:name="_Toc292559398"/>
      <w:bookmarkStart w:id="1405" w:name="_Toc312677499"/>
      <w:bookmarkStart w:id="1406" w:name="_Toc312678025"/>
      <w:bookmarkStart w:id="1407" w:name="_Toc267251439"/>
      <w:bookmarkStart w:id="1408" w:name="_Toc267251437"/>
      <w:bookmarkStart w:id="1409" w:name="_Toc267251433"/>
      <w:bookmarkStart w:id="1410" w:name="_Toc267251435"/>
      <w:bookmarkStart w:id="1411" w:name="_Toc267251440"/>
      <w:bookmarkStart w:id="1412" w:name="_Toc267251441"/>
      <w:r>
        <w:rPr>
          <w:rFonts w:hint="eastAsia"/>
          <w:color w:val="auto"/>
          <w:kern w:val="2"/>
          <w:sz w:val="21"/>
          <w:szCs w:val="21"/>
        </w:rPr>
        <w:t>0. 变更</w:t>
      </w:r>
      <w:bookmarkEnd w:id="1358"/>
      <w:bookmarkEnd w:id="135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bookmarkEnd w:id="1405"/>
    <w:bookmarkEnd w:id="1406"/>
    <w:p w14:paraId="3492CF6F">
      <w:pPr>
        <w:pStyle w:val="7"/>
        <w:spacing w:before="0" w:beforeAutospacing="0" w:after="0" w:afterAutospacing="0" w:line="360" w:lineRule="auto"/>
        <w:ind w:firstLine="422" w:firstLineChars="200"/>
        <w:rPr>
          <w:color w:val="auto"/>
          <w:sz w:val="21"/>
          <w:szCs w:val="21"/>
        </w:rPr>
      </w:pPr>
      <w:bookmarkStart w:id="1413" w:name="_Toc532375635"/>
      <w:bookmarkStart w:id="1414" w:name="_Toc532377371"/>
      <w:r>
        <w:rPr>
          <w:rFonts w:hint="eastAsia"/>
          <w:color w:val="auto"/>
          <w:sz w:val="21"/>
          <w:szCs w:val="21"/>
        </w:rPr>
        <w:t>1</w:t>
      </w:r>
      <w:bookmarkStart w:id="1415" w:name="_Toc296503194"/>
      <w:bookmarkStart w:id="1416" w:name="_Toc297216200"/>
      <w:bookmarkStart w:id="1417" w:name="_Toc296346695"/>
      <w:bookmarkStart w:id="1418" w:name="_Toc296944533"/>
      <w:bookmarkStart w:id="1419" w:name="_Toc304295567"/>
      <w:bookmarkStart w:id="1420" w:name="_Toc312678026"/>
      <w:bookmarkStart w:id="1421" w:name="_Toc300934990"/>
      <w:bookmarkStart w:id="1422" w:name="_Toc296891022"/>
      <w:bookmarkStart w:id="1423" w:name="_Toc296891234"/>
      <w:bookmarkStart w:id="1424" w:name="_Toc292559904"/>
      <w:bookmarkStart w:id="1425" w:name="_Toc292559399"/>
      <w:bookmarkStart w:id="1426" w:name="_Toc303539147"/>
      <w:bookmarkStart w:id="1427" w:name="_Toc296347193"/>
      <w:bookmarkStart w:id="1428" w:name="_Toc297123541"/>
      <w:bookmarkStart w:id="1429" w:name="_Toc297048380"/>
      <w:bookmarkStart w:id="1430" w:name="_Toc312677500"/>
      <w:bookmarkStart w:id="1431" w:name="_Toc297120494"/>
      <w:r>
        <w:rPr>
          <w:rFonts w:hint="eastAsia"/>
          <w:color w:val="auto"/>
          <w:sz w:val="21"/>
          <w:szCs w:val="21"/>
        </w:rPr>
        <w:t>0.1变更的范围</w:t>
      </w:r>
      <w:bookmarkEnd w:id="1413"/>
      <w:bookmarkEnd w:id="1414"/>
    </w:p>
    <w:p w14:paraId="37F11DA0">
      <w:pPr>
        <w:spacing w:line="360" w:lineRule="auto"/>
        <w:ind w:firstLine="420" w:firstLineChars="200"/>
        <w:jc w:val="left"/>
        <w:rPr>
          <w:rFonts w:ascii="宋体" w:hAnsi="宋体"/>
          <w:color w:val="auto"/>
          <w:szCs w:val="21"/>
        </w:rPr>
      </w:pPr>
      <w:r>
        <w:rPr>
          <w:rFonts w:hint="eastAsia" w:ascii="宋体" w:hAnsi="宋体"/>
          <w:color w:val="auto"/>
          <w:szCs w:val="21"/>
        </w:rPr>
        <w:t>关于变更范围的约定：</w:t>
      </w:r>
    </w:p>
    <w:p w14:paraId="387D3938">
      <w:pPr>
        <w:spacing w:line="360" w:lineRule="auto"/>
        <w:ind w:firstLine="420" w:firstLineChars="200"/>
        <w:jc w:val="left"/>
        <w:rPr>
          <w:rFonts w:ascii="宋体" w:hAnsi="宋体"/>
          <w:color w:val="auto"/>
          <w:szCs w:val="21"/>
        </w:rPr>
      </w:pPr>
      <w:r>
        <w:rPr>
          <w:rFonts w:hint="eastAsia" w:ascii="宋体" w:hAnsi="宋体"/>
          <w:color w:val="auto"/>
          <w:szCs w:val="21"/>
        </w:rPr>
        <w:t>（1）增加或减少合同中任何工作，或追加额外的工作；</w:t>
      </w:r>
    </w:p>
    <w:p w14:paraId="0B7D2115">
      <w:pPr>
        <w:spacing w:line="360" w:lineRule="auto"/>
        <w:ind w:firstLine="420" w:firstLineChars="200"/>
        <w:jc w:val="left"/>
        <w:rPr>
          <w:rFonts w:ascii="宋体" w:hAnsi="宋体"/>
          <w:color w:val="auto"/>
          <w:szCs w:val="21"/>
        </w:rPr>
      </w:pPr>
      <w:r>
        <w:rPr>
          <w:rFonts w:hint="eastAsia" w:ascii="宋体" w:hAnsi="宋体"/>
          <w:color w:val="auto"/>
          <w:szCs w:val="21"/>
        </w:rPr>
        <w:t>（2）取消合同中任何工作；</w:t>
      </w:r>
    </w:p>
    <w:p w14:paraId="4F0D41D2">
      <w:pPr>
        <w:spacing w:line="360" w:lineRule="auto"/>
        <w:ind w:firstLine="420" w:firstLineChars="200"/>
        <w:jc w:val="left"/>
        <w:rPr>
          <w:rFonts w:ascii="宋体" w:hAnsi="宋体"/>
          <w:color w:val="auto"/>
          <w:szCs w:val="21"/>
        </w:rPr>
      </w:pPr>
      <w:r>
        <w:rPr>
          <w:rFonts w:hint="eastAsia" w:ascii="宋体" w:hAnsi="宋体"/>
          <w:color w:val="auto"/>
          <w:szCs w:val="21"/>
        </w:rPr>
        <w:t>（3）改变合同中任何工作的质量标准或其他特性；</w:t>
      </w:r>
    </w:p>
    <w:p w14:paraId="5D3995BB">
      <w:pPr>
        <w:spacing w:line="360" w:lineRule="auto"/>
        <w:ind w:firstLine="420" w:firstLineChars="200"/>
        <w:jc w:val="left"/>
        <w:rPr>
          <w:rFonts w:ascii="宋体" w:hAnsi="宋体"/>
          <w:color w:val="auto"/>
          <w:szCs w:val="21"/>
        </w:rPr>
      </w:pPr>
      <w:r>
        <w:rPr>
          <w:rFonts w:hint="eastAsia" w:ascii="宋体" w:hAnsi="宋体"/>
          <w:color w:val="auto"/>
          <w:szCs w:val="21"/>
        </w:rPr>
        <w:t>（4）改变工程的基线、标高、位置和尺寸；</w:t>
      </w:r>
    </w:p>
    <w:p w14:paraId="71D3F4C9">
      <w:pPr>
        <w:spacing w:line="360" w:lineRule="auto"/>
        <w:ind w:firstLine="420" w:firstLineChars="200"/>
        <w:jc w:val="left"/>
        <w:rPr>
          <w:rFonts w:ascii="宋体" w:hAnsi="宋体"/>
          <w:color w:val="auto"/>
          <w:szCs w:val="21"/>
        </w:rPr>
      </w:pPr>
      <w:r>
        <w:rPr>
          <w:rFonts w:hint="eastAsia" w:ascii="宋体" w:hAnsi="宋体"/>
          <w:color w:val="auto"/>
          <w:szCs w:val="21"/>
        </w:rPr>
        <w:t>（5）适用于工程的标准和（或）规范变化导致需要对工程进行改变，且该改变导致工期和（或）费用变化的；</w:t>
      </w:r>
    </w:p>
    <w:p w14:paraId="7AB93BB4">
      <w:pPr>
        <w:spacing w:line="360" w:lineRule="auto"/>
        <w:ind w:firstLine="420" w:firstLineChars="200"/>
        <w:jc w:val="left"/>
        <w:rPr>
          <w:rFonts w:ascii="宋体" w:hAnsi="宋体"/>
          <w:color w:val="auto"/>
          <w:szCs w:val="21"/>
        </w:rPr>
      </w:pPr>
      <w:r>
        <w:rPr>
          <w:rFonts w:hint="eastAsia" w:ascii="宋体" w:hAnsi="宋体"/>
          <w:color w:val="auto"/>
          <w:szCs w:val="21"/>
        </w:rPr>
        <w:t>（6）勘察设计变更；</w:t>
      </w:r>
    </w:p>
    <w:p w14:paraId="67658428">
      <w:pPr>
        <w:spacing w:line="360" w:lineRule="auto"/>
        <w:ind w:firstLine="420" w:firstLineChars="200"/>
        <w:jc w:val="left"/>
        <w:rPr>
          <w:rFonts w:ascii="宋体" w:hAnsi="宋体"/>
          <w:color w:val="auto"/>
          <w:szCs w:val="21"/>
        </w:rPr>
      </w:pPr>
      <w:r>
        <w:rPr>
          <w:rFonts w:hint="eastAsia" w:ascii="宋体" w:hAnsi="宋体"/>
          <w:color w:val="auto"/>
          <w:szCs w:val="21"/>
        </w:rPr>
        <w:t>（7）实施内容变更，包括因设计变更和非设计变更引起的实施地点、投资规模、结构型式、采购数量、服务内容等进行的调整，以及因此导致的合同价格、工期变更；</w:t>
      </w:r>
    </w:p>
    <w:p w14:paraId="04827EE5">
      <w:pPr>
        <w:spacing w:line="360" w:lineRule="auto"/>
        <w:ind w:firstLine="420" w:firstLineChars="200"/>
        <w:jc w:val="left"/>
        <w:rPr>
          <w:rFonts w:ascii="宋体" w:hAnsi="宋体"/>
          <w:color w:val="auto"/>
          <w:szCs w:val="21"/>
        </w:rPr>
      </w:pPr>
      <w:r>
        <w:rPr>
          <w:rFonts w:hint="eastAsia" w:ascii="宋体" w:hAnsi="宋体"/>
          <w:color w:val="auto"/>
          <w:szCs w:val="21"/>
        </w:rPr>
        <w:t>（8）项目管理人员变更；</w:t>
      </w:r>
    </w:p>
    <w:p w14:paraId="203657B5">
      <w:pPr>
        <w:spacing w:line="360" w:lineRule="auto"/>
        <w:ind w:firstLine="420" w:firstLineChars="200"/>
        <w:jc w:val="left"/>
        <w:rPr>
          <w:rFonts w:ascii="宋体" w:hAnsi="宋体"/>
          <w:color w:val="auto"/>
          <w:szCs w:val="21"/>
        </w:rPr>
      </w:pPr>
      <w:r>
        <w:rPr>
          <w:rFonts w:hint="eastAsia" w:ascii="宋体" w:hAnsi="宋体"/>
          <w:color w:val="auto"/>
          <w:szCs w:val="21"/>
        </w:rPr>
        <w:t>（9）因人工、原材料等价格变化导致的合同总价变更；</w:t>
      </w:r>
    </w:p>
    <w:p w14:paraId="5894F0CD">
      <w:pPr>
        <w:spacing w:line="360" w:lineRule="auto"/>
        <w:ind w:firstLine="420" w:firstLineChars="200"/>
        <w:jc w:val="left"/>
        <w:rPr>
          <w:rFonts w:ascii="宋体" w:hAnsi="宋体"/>
          <w:color w:val="auto"/>
          <w:szCs w:val="21"/>
        </w:rPr>
      </w:pPr>
      <w:r>
        <w:rPr>
          <w:rFonts w:hint="eastAsia" w:ascii="宋体" w:hAnsi="宋体"/>
          <w:color w:val="auto"/>
          <w:szCs w:val="21"/>
        </w:rPr>
        <w:t>（10）非实施内容变化导致的工期变更；</w:t>
      </w:r>
    </w:p>
    <w:p w14:paraId="731FD935">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14:paraId="49C7D164">
      <w:pPr>
        <w:spacing w:line="360" w:lineRule="auto"/>
        <w:ind w:firstLine="420" w:firstLineChars="200"/>
        <w:jc w:val="left"/>
        <w:rPr>
          <w:rFonts w:ascii="宋体" w:hAnsi="宋体"/>
          <w:color w:val="auto"/>
          <w:szCs w:val="21"/>
        </w:rPr>
      </w:pPr>
      <w:r>
        <w:rPr>
          <w:rFonts w:hint="eastAsia" w:ascii="宋体" w:hAnsi="宋体"/>
          <w:color w:val="auto"/>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4BA7B52">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承包人对其提供的材料、工程设备、施工、无负荷试车、热负荷试车及图纸参数存在的缺陷，自费修正、调整和完善，不属于变更。</w:t>
      </w:r>
    </w:p>
    <w:p w14:paraId="7BDC82E9">
      <w:pPr>
        <w:pStyle w:val="7"/>
        <w:spacing w:before="0" w:beforeAutospacing="0" w:after="0" w:afterAutospacing="0" w:line="360" w:lineRule="auto"/>
        <w:ind w:firstLine="422" w:firstLineChars="200"/>
        <w:rPr>
          <w:color w:val="auto"/>
          <w:sz w:val="21"/>
          <w:szCs w:val="21"/>
        </w:rPr>
      </w:pPr>
      <w:bookmarkStart w:id="1432" w:name="_Toc351203569"/>
      <w:bookmarkStart w:id="1433" w:name="_Toc532377372"/>
      <w:bookmarkStart w:id="1434" w:name="_Toc532375636"/>
      <w:r>
        <w:rPr>
          <w:rFonts w:hint="eastAsia"/>
          <w:color w:val="auto"/>
          <w:sz w:val="21"/>
          <w:szCs w:val="21"/>
        </w:rPr>
        <w:t>1</w:t>
      </w:r>
      <w:bookmarkStart w:id="1435" w:name="_Toc337558789"/>
      <w:bookmarkStart w:id="1436" w:name="_Toc296346586"/>
      <w:bookmarkStart w:id="1437" w:name="_Toc296503085"/>
      <w:r>
        <w:rPr>
          <w:rFonts w:hint="eastAsia"/>
          <w:color w:val="auto"/>
          <w:sz w:val="21"/>
          <w:szCs w:val="21"/>
        </w:rPr>
        <w:t>0.2变更权</w:t>
      </w:r>
      <w:bookmarkEnd w:id="1432"/>
      <w:bookmarkEnd w:id="1433"/>
      <w:bookmarkEnd w:id="1434"/>
    </w:p>
    <w:bookmarkEnd w:id="1435"/>
    <w:bookmarkEnd w:id="1436"/>
    <w:bookmarkEnd w:id="1437"/>
    <w:p w14:paraId="213E62A2">
      <w:pPr>
        <w:spacing w:line="360" w:lineRule="auto"/>
        <w:ind w:firstLine="420" w:firstLineChars="200"/>
        <w:jc w:val="left"/>
        <w:rPr>
          <w:rFonts w:ascii="宋体" w:hAnsi="宋体"/>
          <w:color w:val="auto"/>
          <w:szCs w:val="21"/>
        </w:rPr>
      </w:pPr>
      <w:r>
        <w:rPr>
          <w:rFonts w:hint="eastAsia" w:ascii="宋体" w:hAnsi="宋体"/>
          <w:color w:val="auto"/>
          <w:szCs w:val="21"/>
        </w:rPr>
        <w:t>10.2.1发包人和监理人提出变更</w:t>
      </w:r>
    </w:p>
    <w:p w14:paraId="56E55EBC">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31F4DEC">
      <w:pPr>
        <w:spacing w:line="360" w:lineRule="auto"/>
        <w:ind w:firstLine="420" w:firstLineChars="200"/>
        <w:jc w:val="left"/>
        <w:rPr>
          <w:rFonts w:ascii="宋体" w:hAnsi="宋体"/>
          <w:color w:val="auto"/>
          <w:szCs w:val="21"/>
          <w:u w:val="single"/>
        </w:rPr>
      </w:pPr>
      <w:r>
        <w:rPr>
          <w:rFonts w:hint="eastAsia" w:ascii="宋体" w:hAnsi="宋体"/>
          <w:color w:val="auto"/>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60EE04B3">
      <w:pPr>
        <w:spacing w:line="360" w:lineRule="auto"/>
        <w:ind w:firstLine="420" w:firstLineChars="200"/>
        <w:jc w:val="left"/>
        <w:rPr>
          <w:rFonts w:ascii="宋体" w:hAnsi="宋体"/>
          <w:color w:val="auto"/>
          <w:szCs w:val="21"/>
        </w:rPr>
      </w:pPr>
      <w:r>
        <w:rPr>
          <w:rFonts w:hint="eastAsia" w:ascii="宋体" w:hAnsi="宋体"/>
          <w:color w:val="auto"/>
          <w:szCs w:val="21"/>
        </w:rPr>
        <w:t>若出现重大设计变更，变更后的内容超出承包人资质或能力范围的，发包人将另行依法采购选择承包单位，无需征得承包人同意。</w:t>
      </w:r>
    </w:p>
    <w:p w14:paraId="3CEE84F2">
      <w:pPr>
        <w:spacing w:line="360" w:lineRule="auto"/>
        <w:ind w:firstLine="420" w:firstLineChars="200"/>
        <w:jc w:val="left"/>
        <w:rPr>
          <w:rFonts w:ascii="宋体" w:hAnsi="宋体"/>
          <w:color w:val="auto"/>
          <w:szCs w:val="21"/>
        </w:rPr>
      </w:pPr>
      <w:r>
        <w:rPr>
          <w:rFonts w:hint="eastAsia" w:ascii="宋体" w:hAnsi="宋体"/>
          <w:color w:val="auto"/>
          <w:szCs w:val="21"/>
        </w:rPr>
        <w:t>10.2.2 承包人提出变更建议</w:t>
      </w:r>
    </w:p>
    <w:p w14:paraId="293BBF1F">
      <w:pPr>
        <w:spacing w:line="360" w:lineRule="auto"/>
        <w:ind w:firstLine="420" w:firstLineChars="200"/>
        <w:jc w:val="left"/>
        <w:rPr>
          <w:rFonts w:ascii="宋体" w:hAnsi="宋体"/>
          <w:color w:val="auto"/>
          <w:szCs w:val="21"/>
        </w:rPr>
      </w:pPr>
      <w:r>
        <w:rPr>
          <w:rFonts w:hint="eastAsia" w:ascii="宋体" w:hAnsi="宋体"/>
          <w:color w:val="auto"/>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rPr>
        <w:t>。</w:t>
      </w:r>
    </w:p>
    <w:p w14:paraId="3098D801">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如果发包人对承包人已实施的施工项目在发出重大设计变更之前要求承包人提出一份建议，那么，承包人应尽快提出：</w:t>
      </w:r>
    </w:p>
    <w:p w14:paraId="5AFAA767">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（1）对所提方案和（或）待做工作及其实施计划的说明</w:t>
      </w:r>
      <w:r>
        <w:rPr>
          <w:rFonts w:hint="eastAsia" w:ascii="宋体" w:hAnsi="宋体"/>
          <w:color w:val="auto"/>
          <w:szCs w:val="21"/>
        </w:rPr>
        <w:t>；</w:t>
      </w:r>
    </w:p>
    <w:p w14:paraId="5EC8AACC">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（2）承包人按照对工程进度计划进行必要修改的建议</w:t>
      </w:r>
      <w:r>
        <w:rPr>
          <w:rFonts w:hint="eastAsia" w:ascii="宋体" w:hAnsi="宋体"/>
          <w:color w:val="auto"/>
          <w:szCs w:val="21"/>
        </w:rPr>
        <w:t>；</w:t>
      </w:r>
    </w:p>
    <w:p w14:paraId="46221AFA">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（3）承包人发生较大返工损失增加费用的建议</w:t>
      </w:r>
      <w:r>
        <w:rPr>
          <w:rFonts w:hint="eastAsia" w:ascii="宋体" w:hAnsi="宋体"/>
          <w:color w:val="auto"/>
          <w:szCs w:val="21"/>
        </w:rPr>
        <w:t>。</w:t>
      </w:r>
    </w:p>
    <w:p w14:paraId="5C2603C2">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发包人在收到上述建议书后，应尽快给予批准、否决或提出意见</w:t>
      </w:r>
      <w:r>
        <w:rPr>
          <w:rFonts w:hint="eastAsia" w:ascii="宋体" w:hAnsi="宋体"/>
          <w:color w:val="auto"/>
          <w:szCs w:val="21"/>
        </w:rPr>
        <w:t>。</w:t>
      </w:r>
    </w:p>
    <w:p w14:paraId="3B192E80">
      <w:pPr>
        <w:pStyle w:val="7"/>
        <w:spacing w:before="0" w:beforeAutospacing="0" w:after="0" w:afterAutospacing="0" w:line="360" w:lineRule="auto"/>
        <w:ind w:firstLine="422" w:firstLineChars="200"/>
        <w:rPr>
          <w:color w:val="auto"/>
          <w:sz w:val="21"/>
          <w:szCs w:val="21"/>
        </w:rPr>
      </w:pPr>
      <w:bookmarkStart w:id="1438" w:name="_Toc532375637"/>
      <w:bookmarkStart w:id="1439" w:name="_Toc532377373"/>
      <w:bookmarkStart w:id="1440" w:name="_Toc351203570"/>
      <w:bookmarkStart w:id="1441" w:name="_Hlk528928195"/>
      <w:r>
        <w:rPr>
          <w:rFonts w:hint="eastAsia"/>
          <w:color w:val="auto"/>
          <w:sz w:val="21"/>
          <w:szCs w:val="21"/>
        </w:rPr>
        <w:t>1</w:t>
      </w:r>
      <w:bookmarkStart w:id="1442" w:name="_Toc296503086"/>
      <w:bookmarkStart w:id="1443" w:name="_Toc296346587"/>
      <w:bookmarkStart w:id="1444" w:name="_Toc337558790"/>
      <w:r>
        <w:rPr>
          <w:rFonts w:hint="eastAsia"/>
          <w:color w:val="auto"/>
          <w:sz w:val="21"/>
          <w:szCs w:val="21"/>
        </w:rPr>
        <w:t>0.3变更程序</w:t>
      </w:r>
      <w:bookmarkEnd w:id="1438"/>
      <w:bookmarkEnd w:id="1439"/>
    </w:p>
    <w:bookmarkEnd w:id="1442"/>
    <w:bookmarkEnd w:id="1443"/>
    <w:bookmarkEnd w:id="1444"/>
    <w:p w14:paraId="1229AFEC">
      <w:pPr>
        <w:autoSpaceDE w:val="0"/>
        <w:autoSpaceDN w:val="0"/>
        <w:spacing w:line="360" w:lineRule="auto"/>
        <w:ind w:firstLine="420" w:firstLineChars="200"/>
        <w:jc w:val="left"/>
        <w:rPr>
          <w:rFonts w:ascii="宋体" w:hAnsi="宋体"/>
          <w:color w:val="auto"/>
          <w:szCs w:val="21"/>
        </w:rPr>
      </w:pPr>
      <w:bookmarkStart w:id="1445" w:name="_Hlk524353972"/>
      <w:r>
        <w:rPr>
          <w:rFonts w:hint="eastAsia" w:ascii="宋体" w:hAnsi="宋体"/>
          <w:color w:val="auto"/>
          <w:szCs w:val="21"/>
        </w:rPr>
        <w:t>10.3.3 变更执行</w:t>
      </w:r>
    </w:p>
    <w:p w14:paraId="547FAD43">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一般设计变更：承包人收到监理人下达的变更指示后，应按照监理人下达的变更指示执行，并书面说明实施该变更指示对合同价格和工期的影响，按照第10.4.1项〔变更估价原则〕约定执行。</w:t>
      </w:r>
    </w:p>
    <w:p w14:paraId="3DD188DC">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重大设计变更：需经设计人、监理人和发包人三方签字认可并报相关行业部门审查同意后实施。</w:t>
      </w:r>
    </w:p>
    <w:p w14:paraId="1FBF2FD5">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10.3.3 项增加以下内容：</w:t>
      </w:r>
    </w:p>
    <w:p w14:paraId="105F7818">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6FEA369F">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项目的勘察设计、实施内容等作较大变更的，应当按照规定的程序报原审批部门审批；变更导致总投资超概的，应当报原投资概算核定部门核定。</w:t>
      </w:r>
    </w:p>
    <w:p w14:paraId="512403F7">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项目管理人员变更的，应当经发包人领导班子集体决策同意，并将变更信息推送给行业主管部门。变更后的项目管理人员应当符合采购文件和行业主管部门的相关规定。</w:t>
      </w:r>
    </w:p>
    <w:p w14:paraId="5FB2800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因人工、原材料市场价格发生大幅度变化导致的合同总价变更，由发包人与承包人按照合同进行变更，并将变更信息推送给行业主管部门。</w:t>
      </w:r>
    </w:p>
    <w:p w14:paraId="5DE346F7">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277881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项目合同变更后，增加的实施内容达到依法必须采购的规模标准的，增加的部分应当依法通过采购选择承包单位。</w:t>
      </w:r>
    </w:p>
    <w:bookmarkEnd w:id="1440"/>
    <w:bookmarkEnd w:id="1441"/>
    <w:bookmarkEnd w:id="1445"/>
    <w:p w14:paraId="6F8B1E0E">
      <w:pPr>
        <w:pStyle w:val="7"/>
        <w:spacing w:before="0" w:beforeAutospacing="0" w:after="0" w:afterAutospacing="0" w:line="360" w:lineRule="auto"/>
        <w:ind w:firstLine="422" w:firstLineChars="200"/>
        <w:rPr>
          <w:color w:val="auto"/>
          <w:sz w:val="21"/>
          <w:szCs w:val="21"/>
        </w:rPr>
      </w:pPr>
      <w:bookmarkStart w:id="1446" w:name="_Toc532375638"/>
      <w:bookmarkStart w:id="1447" w:name="_Toc532377374"/>
      <w:r>
        <w:rPr>
          <w:rFonts w:hint="eastAsia"/>
          <w:color w:val="auto"/>
          <w:sz w:val="21"/>
          <w:szCs w:val="21"/>
        </w:rPr>
        <w:t>10.4 变更估价</w:t>
      </w:r>
      <w:bookmarkEnd w:id="1446"/>
      <w:bookmarkEnd w:id="1447"/>
    </w:p>
    <w:p w14:paraId="4DA4C7D1">
      <w:pPr>
        <w:spacing w:line="360" w:lineRule="auto"/>
        <w:ind w:firstLine="420" w:firstLineChars="200"/>
        <w:jc w:val="left"/>
        <w:rPr>
          <w:rFonts w:ascii="宋体" w:hAnsi="宋体"/>
          <w:color w:val="auto"/>
          <w:szCs w:val="21"/>
        </w:rPr>
      </w:pPr>
      <w:bookmarkStart w:id="1448" w:name="_Hlk524296629"/>
      <w:r>
        <w:rPr>
          <w:rFonts w:hint="eastAsia" w:ascii="宋体" w:hAnsi="宋体"/>
          <w:color w:val="auto"/>
          <w:szCs w:val="21"/>
        </w:rPr>
        <w:t>10.4.1 变更估价原则</w:t>
      </w:r>
    </w:p>
    <w:p w14:paraId="4571ACE5">
      <w:pPr>
        <w:pStyle w:val="2"/>
        <w:spacing w:after="0" w:line="360" w:lineRule="auto"/>
        <w:ind w:firstLine="420" w:firstLineChars="200"/>
        <w:jc w:val="left"/>
        <w:rPr>
          <w:rFonts w:ascii="宋体" w:hAnsi="宋体"/>
          <w:color w:val="auto"/>
          <w:szCs w:val="21"/>
          <w:u w:val="single"/>
        </w:rPr>
      </w:pPr>
      <w:r>
        <w:rPr>
          <w:rFonts w:hint="eastAsia" w:ascii="宋体" w:hAnsi="宋体"/>
          <w:color w:val="auto"/>
          <w:szCs w:val="21"/>
        </w:rPr>
        <w:t>当发生工程变更时，工程量按</w:t>
      </w:r>
      <w:r>
        <w:rPr>
          <w:rFonts w:hint="eastAsia" w:ascii="宋体" w:hAnsi="宋体"/>
          <w:color w:val="auto"/>
          <w:szCs w:val="21"/>
          <w:u w:val="single"/>
        </w:rPr>
        <w:t xml:space="preserve">        </w:t>
      </w:r>
      <w:r>
        <w:rPr>
          <w:rFonts w:hint="eastAsia" w:ascii="宋体" w:hAnsi="宋体"/>
          <w:color w:val="auto"/>
          <w:szCs w:val="21"/>
        </w:rPr>
        <w:t>规定的计算规则及已标价工程量清单规定的工程量计算规则计量，按以下办法计价：</w:t>
      </w:r>
      <w:bookmarkStart w:id="1449" w:name="_Hlk524770102"/>
    </w:p>
    <w:bookmarkEnd w:id="1449"/>
    <w:p w14:paraId="6B8BB992">
      <w:pPr>
        <w:spacing w:line="360" w:lineRule="auto"/>
        <w:ind w:firstLine="420" w:firstLineChars="200"/>
        <w:jc w:val="left"/>
        <w:rPr>
          <w:rFonts w:ascii="宋体" w:hAnsi="宋体"/>
          <w:color w:val="auto"/>
          <w:szCs w:val="21"/>
        </w:rPr>
      </w:pPr>
      <w:r>
        <w:rPr>
          <w:rFonts w:hint="eastAsia" w:ascii="宋体" w:hAnsi="宋体"/>
          <w:color w:val="auto"/>
          <w:szCs w:val="21"/>
        </w:rPr>
        <w:t>10.4.1.1已标价工程量清单中有相同项目的，按照相同项目单价计算；</w:t>
      </w:r>
    </w:p>
    <w:p w14:paraId="4C15937F">
      <w:pPr>
        <w:spacing w:line="360" w:lineRule="auto"/>
        <w:ind w:firstLine="420" w:firstLineChars="200"/>
        <w:jc w:val="left"/>
        <w:rPr>
          <w:rFonts w:ascii="宋体" w:hAnsi="宋体"/>
          <w:color w:val="auto"/>
          <w:szCs w:val="21"/>
        </w:rPr>
      </w:pPr>
      <w:r>
        <w:rPr>
          <w:rFonts w:hint="eastAsia" w:ascii="宋体" w:hAnsi="宋体"/>
          <w:color w:val="auto"/>
          <w:szCs w:val="21"/>
        </w:rPr>
        <w:t>10.4.1.2已标价工程量清单中有类似项目的，参考类似项目单价计算；</w:t>
      </w:r>
    </w:p>
    <w:p w14:paraId="26FADAF5">
      <w:pPr>
        <w:spacing w:line="360" w:lineRule="auto"/>
        <w:ind w:firstLine="420" w:firstLineChars="200"/>
        <w:jc w:val="left"/>
        <w:rPr>
          <w:rFonts w:ascii="宋体" w:hAnsi="宋体"/>
          <w:color w:val="auto"/>
          <w:szCs w:val="21"/>
        </w:rPr>
      </w:pPr>
      <w:r>
        <w:rPr>
          <w:rFonts w:hint="eastAsia" w:ascii="宋体" w:hAnsi="宋体"/>
          <w:color w:val="auto"/>
          <w:szCs w:val="21"/>
        </w:rPr>
        <w:t>10.4.1.3已标价工程量清单中无相同项目亦无类似项目的，按照以下原则执行：</w:t>
      </w:r>
    </w:p>
    <w:p w14:paraId="057A280C">
      <w:pPr>
        <w:spacing w:line="360" w:lineRule="auto"/>
        <w:ind w:firstLine="420" w:firstLineChars="200"/>
        <w:jc w:val="left"/>
        <w:rPr>
          <w:rFonts w:ascii="宋体" w:hAnsi="宋体"/>
          <w:color w:val="auto"/>
          <w:szCs w:val="21"/>
        </w:rPr>
      </w:pPr>
      <w:r>
        <w:rPr>
          <w:rFonts w:hint="eastAsia" w:ascii="宋体" w:hAnsi="宋体"/>
          <w:color w:val="auto"/>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rPr>
        <w:t>。</w:t>
      </w:r>
    </w:p>
    <w:p w14:paraId="1EEE9409">
      <w:pPr>
        <w:spacing w:line="360" w:lineRule="auto"/>
        <w:ind w:firstLine="420" w:firstLineChars="200"/>
        <w:jc w:val="left"/>
        <w:rPr>
          <w:rFonts w:ascii="宋体" w:hAnsi="宋体"/>
          <w:color w:val="auto"/>
          <w:szCs w:val="21"/>
        </w:rPr>
      </w:pPr>
      <w:r>
        <w:rPr>
          <w:rFonts w:hint="eastAsia" w:ascii="宋体" w:hAnsi="宋体"/>
          <w:color w:val="auto"/>
          <w:szCs w:val="21"/>
        </w:rPr>
        <w:t>承包人报价浮动率按下列公式计算：承包人报价浮动率=（1-中标价/最高限价）×100%。</w:t>
      </w:r>
    </w:p>
    <w:p w14:paraId="5399BC66">
      <w:pPr>
        <w:spacing w:line="360" w:lineRule="auto"/>
        <w:ind w:firstLine="420" w:firstLineChars="200"/>
        <w:jc w:val="left"/>
        <w:rPr>
          <w:rFonts w:ascii="宋体" w:hAnsi="宋体"/>
          <w:color w:val="auto"/>
          <w:szCs w:val="21"/>
        </w:rPr>
      </w:pPr>
      <w:r>
        <w:rPr>
          <w:rFonts w:hint="eastAsia" w:ascii="宋体" w:hAnsi="宋体"/>
          <w:color w:val="auto"/>
          <w:szCs w:val="21"/>
        </w:rPr>
        <w:t>（1）人工单价：按开标当期《重庆工程造价信息》发布的项目所在地的人工单价执行。</w:t>
      </w:r>
    </w:p>
    <w:p w14:paraId="0FD007E3">
      <w:pPr>
        <w:spacing w:line="360" w:lineRule="auto"/>
        <w:ind w:firstLine="420" w:firstLineChars="200"/>
        <w:jc w:val="left"/>
        <w:rPr>
          <w:rFonts w:ascii="宋体" w:hAnsi="宋体"/>
          <w:color w:val="auto"/>
          <w:szCs w:val="21"/>
        </w:rPr>
      </w:pPr>
      <w:bookmarkStart w:id="1450" w:name="_Hlk529023896"/>
      <w:r>
        <w:rPr>
          <w:rFonts w:hint="eastAsia" w:ascii="宋体" w:hAnsi="宋体"/>
          <w:color w:val="auto"/>
          <w:szCs w:val="21"/>
        </w:rPr>
        <w:t>（2）材料单价：</w:t>
      </w:r>
    </w:p>
    <w:p w14:paraId="5CC3C407">
      <w:pPr>
        <w:spacing w:line="360" w:lineRule="auto"/>
        <w:ind w:firstLine="420" w:firstLineChars="200"/>
        <w:jc w:val="left"/>
        <w:rPr>
          <w:rFonts w:ascii="宋体" w:hAnsi="宋体"/>
          <w:color w:val="auto"/>
          <w:szCs w:val="21"/>
        </w:rPr>
      </w:pPr>
      <w:r>
        <w:rPr>
          <w:rFonts w:hint="eastAsia" w:ascii="宋体" w:hAnsi="宋体"/>
          <w:color w:val="auto"/>
          <w:szCs w:val="21"/>
        </w:rPr>
        <w:t>①按</w:t>
      </w:r>
      <w:bookmarkStart w:id="1451" w:name="_Hlk529023354"/>
      <w:r>
        <w:rPr>
          <w:rFonts w:hint="eastAsia" w:ascii="宋体" w:hAnsi="宋体"/>
          <w:color w:val="auto"/>
          <w:szCs w:val="21"/>
        </w:rPr>
        <w:t>开标当期《重庆工程造价信息》发布的项目所在地的信息价</w:t>
      </w:r>
      <w:bookmarkEnd w:id="1451"/>
      <w:r>
        <w:rPr>
          <w:rFonts w:hint="eastAsia" w:ascii="宋体" w:hAnsi="宋体"/>
          <w:color w:val="auto"/>
          <w:szCs w:val="21"/>
        </w:rPr>
        <w:t>执行；</w:t>
      </w:r>
    </w:p>
    <w:p w14:paraId="58A98B32">
      <w:pPr>
        <w:spacing w:line="360" w:lineRule="auto"/>
        <w:ind w:firstLine="420" w:firstLineChars="200"/>
        <w:jc w:val="left"/>
        <w:rPr>
          <w:rFonts w:ascii="宋体" w:hAnsi="宋体"/>
          <w:color w:val="auto"/>
          <w:szCs w:val="21"/>
        </w:rPr>
      </w:pPr>
      <w:r>
        <w:rPr>
          <w:rFonts w:hint="eastAsia" w:ascii="宋体" w:hAnsi="宋体"/>
          <w:color w:val="auto"/>
          <w:szCs w:val="21"/>
        </w:rPr>
        <w:t>②开标当期《重庆工程造价信息》中没有的，承包人投标报价中有的，按承包人投标报价中相同材料单价的最低值执行；</w:t>
      </w:r>
    </w:p>
    <w:p w14:paraId="40AA5731">
      <w:pPr>
        <w:spacing w:line="360" w:lineRule="auto"/>
        <w:ind w:firstLine="420" w:firstLineChars="200"/>
        <w:jc w:val="left"/>
        <w:rPr>
          <w:rFonts w:ascii="宋体" w:hAnsi="宋体"/>
          <w:color w:val="auto"/>
          <w:szCs w:val="21"/>
        </w:rPr>
      </w:pPr>
      <w:r>
        <w:rPr>
          <w:rFonts w:hint="eastAsia" w:ascii="宋体" w:hAnsi="宋体"/>
          <w:color w:val="auto"/>
          <w:szCs w:val="21"/>
        </w:rPr>
        <w:t>③开标当期《重庆工程造价信息》和承包人投标报价没有的，由承包人申报、监理人会同跟审单位、发包人根据市场行情认质核价确定。</w:t>
      </w:r>
    </w:p>
    <w:bookmarkEnd w:id="1450"/>
    <w:p w14:paraId="145B0C11">
      <w:pPr>
        <w:spacing w:line="360" w:lineRule="auto"/>
        <w:ind w:firstLine="420" w:firstLineChars="200"/>
        <w:jc w:val="left"/>
        <w:rPr>
          <w:rFonts w:ascii="宋体" w:hAnsi="宋体"/>
          <w:color w:val="auto"/>
          <w:szCs w:val="21"/>
        </w:rPr>
      </w:pPr>
      <w:r>
        <w:rPr>
          <w:rFonts w:hint="eastAsia" w:ascii="宋体" w:hAnsi="宋体"/>
          <w:color w:val="auto"/>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78AE0144">
      <w:pPr>
        <w:spacing w:line="360" w:lineRule="auto"/>
        <w:ind w:firstLine="420" w:firstLineChars="200"/>
        <w:jc w:val="left"/>
        <w:rPr>
          <w:rFonts w:ascii="宋体" w:hAnsi="宋体"/>
          <w:color w:val="auto"/>
          <w:szCs w:val="21"/>
        </w:rPr>
      </w:pPr>
      <w:r>
        <w:rPr>
          <w:rFonts w:hint="eastAsia" w:ascii="宋体" w:hAnsi="宋体"/>
          <w:color w:val="auto"/>
          <w:szCs w:val="21"/>
        </w:rPr>
        <w:t>（4）规费：按《重庆市建设工程费用定额》（CQFYDE-2018）费用标准进行计算。</w:t>
      </w:r>
    </w:p>
    <w:p w14:paraId="1120A9D6">
      <w:pPr>
        <w:spacing w:line="360" w:lineRule="auto"/>
        <w:ind w:firstLine="420" w:firstLineChars="200"/>
        <w:jc w:val="left"/>
        <w:rPr>
          <w:rFonts w:ascii="宋体" w:hAnsi="宋体"/>
          <w:color w:val="auto"/>
          <w:szCs w:val="21"/>
        </w:rPr>
      </w:pPr>
      <w:r>
        <w:rPr>
          <w:rFonts w:hint="eastAsia" w:ascii="宋体" w:hAnsi="宋体"/>
          <w:color w:val="auto"/>
          <w:szCs w:val="21"/>
        </w:rPr>
        <w:t>（5）税金：包含增值税、城市维护建设税、教育费附加、地方教育附加以及环境保护税。其中增值税按《重庆市建设工程费用定额》（CQFYDE-2018）规定及配套文件执行。</w:t>
      </w:r>
    </w:p>
    <w:p w14:paraId="251B4810">
      <w:pPr>
        <w:spacing w:line="360" w:lineRule="auto"/>
        <w:ind w:firstLine="420" w:firstLineChars="200"/>
        <w:jc w:val="left"/>
        <w:rPr>
          <w:rFonts w:ascii="宋体" w:hAnsi="宋体"/>
          <w:color w:val="auto"/>
          <w:szCs w:val="21"/>
          <w:u w:val="single"/>
        </w:rPr>
      </w:pPr>
      <w:r>
        <w:rPr>
          <w:rFonts w:hint="eastAsia" w:ascii="宋体" w:hAnsi="宋体"/>
          <w:color w:val="auto"/>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51B9538B">
      <w:pPr>
        <w:spacing w:line="360" w:lineRule="auto"/>
        <w:ind w:firstLine="420" w:firstLineChars="200"/>
        <w:jc w:val="left"/>
        <w:rPr>
          <w:rFonts w:ascii="宋体" w:hAnsi="宋体"/>
          <w:color w:val="auto"/>
          <w:szCs w:val="21"/>
        </w:rPr>
      </w:pPr>
      <w:r>
        <w:rPr>
          <w:rFonts w:hint="eastAsia" w:ascii="宋体" w:hAnsi="宋体"/>
          <w:color w:val="auto"/>
          <w:szCs w:val="21"/>
        </w:rPr>
        <w:t>本款补充10.4.3项：</w:t>
      </w:r>
    </w:p>
    <w:p w14:paraId="720E8EF7">
      <w:pPr>
        <w:spacing w:line="360" w:lineRule="auto"/>
        <w:ind w:firstLine="420" w:firstLineChars="200"/>
        <w:jc w:val="left"/>
        <w:rPr>
          <w:rFonts w:ascii="宋体" w:hAnsi="宋体"/>
          <w:color w:val="auto"/>
          <w:szCs w:val="21"/>
        </w:rPr>
      </w:pPr>
      <w:r>
        <w:rPr>
          <w:rFonts w:hint="eastAsia" w:ascii="宋体" w:hAnsi="宋体"/>
          <w:color w:val="auto"/>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9C58D2E">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安全文明施工费应根据《重庆城乡建设委员会关于印发&lt;重庆市建设工程安全文明施工费计取及使用管理规定&gt;的通知》（渝建发〔2014〕25号）规定，安全文明施工费由安全施工费、文明施工费、环境保护费及临时设施费组成；</w:t>
      </w:r>
    </w:p>
    <w:p w14:paraId="2EF75488">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按照单价计算的措施项目费，应按照实际发生变化的措施项目，按照第10.4.1项〔变更估价原则〕约定执行</w:t>
      </w:r>
      <w:r>
        <w:rPr>
          <w:rFonts w:hint="eastAsia" w:ascii="宋体" w:hAnsi="宋体"/>
          <w:color w:val="auto"/>
          <w:szCs w:val="21"/>
        </w:rPr>
        <w:t>；</w:t>
      </w:r>
    </w:p>
    <w:p w14:paraId="32418E27">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按总价（或系数）计算的措施项目费，应按照实际发生变化的措施项目费按承包人报价浮动率下浮后的金额计算</w:t>
      </w:r>
      <w:r>
        <w:rPr>
          <w:rFonts w:hint="eastAsia" w:ascii="宋体" w:hAnsi="宋体"/>
          <w:color w:val="auto"/>
          <w:szCs w:val="21"/>
        </w:rPr>
        <w:t>；</w:t>
      </w:r>
    </w:p>
    <w:p w14:paraId="17ABD309">
      <w:pPr>
        <w:spacing w:line="360" w:lineRule="auto"/>
        <w:ind w:firstLine="420" w:firstLineChars="200"/>
        <w:jc w:val="left"/>
        <w:rPr>
          <w:rFonts w:ascii="宋体" w:hAnsi="宋体"/>
          <w:color w:val="auto"/>
          <w:szCs w:val="21"/>
          <w:u w:val="single"/>
        </w:rPr>
      </w:pPr>
      <w:r>
        <w:rPr>
          <w:rFonts w:hint="eastAsia" w:ascii="宋体" w:hAnsi="宋体"/>
          <w:color w:val="auto"/>
          <w:szCs w:val="21"/>
        </w:rPr>
        <w:t>（4）</w:t>
      </w:r>
      <w:r>
        <w:rPr>
          <w:rFonts w:hint="eastAsia" w:ascii="宋体" w:hAnsi="宋体"/>
          <w:color w:val="auto"/>
          <w:szCs w:val="21"/>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rPr>
        <w:t>。</w:t>
      </w:r>
    </w:p>
    <w:bookmarkEnd w:id="1448"/>
    <w:p w14:paraId="0AC5E6E5">
      <w:pPr>
        <w:pStyle w:val="7"/>
        <w:spacing w:before="0" w:beforeAutospacing="0" w:after="0" w:afterAutospacing="0" w:line="360" w:lineRule="auto"/>
        <w:ind w:firstLine="422" w:firstLineChars="200"/>
        <w:rPr>
          <w:color w:val="auto"/>
          <w:sz w:val="21"/>
          <w:szCs w:val="21"/>
        </w:rPr>
      </w:pPr>
      <w:bookmarkStart w:id="1452" w:name="_Toc532375639"/>
      <w:bookmarkStart w:id="1453" w:name="_Toc532377375"/>
      <w:r>
        <w:rPr>
          <w:rFonts w:hint="eastAsia"/>
          <w:color w:val="auto"/>
          <w:sz w:val="21"/>
          <w:szCs w:val="21"/>
        </w:rPr>
        <w:t>1</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Start w:id="1454" w:name="_Toc296944536"/>
      <w:bookmarkStart w:id="1455" w:name="_Toc297120497"/>
      <w:bookmarkStart w:id="1456" w:name="_Toc296346698"/>
      <w:bookmarkStart w:id="1457" w:name="_Toc296347196"/>
      <w:bookmarkStart w:id="1458" w:name="_Toc292559402"/>
      <w:bookmarkStart w:id="1459" w:name="_Toc297123544"/>
      <w:bookmarkStart w:id="1460" w:name="_Toc300934993"/>
      <w:bookmarkStart w:id="1461" w:name="_Toc297216203"/>
      <w:bookmarkStart w:id="1462" w:name="_Toc292559907"/>
      <w:bookmarkStart w:id="1463" w:name="_Toc296503197"/>
      <w:bookmarkStart w:id="1464" w:name="_Toc296891237"/>
      <w:bookmarkStart w:id="1465" w:name="_Toc296891025"/>
      <w:bookmarkStart w:id="1466" w:name="_Toc297048383"/>
      <w:bookmarkStart w:id="1467" w:name="_Toc303539150"/>
      <w:bookmarkStart w:id="1468" w:name="_Toc312677503"/>
      <w:bookmarkStart w:id="1469" w:name="_Toc304295570"/>
      <w:bookmarkStart w:id="1470" w:name="_Toc312678029"/>
      <w:r>
        <w:rPr>
          <w:rFonts w:hint="eastAsia"/>
          <w:color w:val="auto"/>
          <w:sz w:val="21"/>
          <w:szCs w:val="21"/>
        </w:rPr>
        <w:t>0.5承</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Start w:id="1471" w:name="_Toc297216204"/>
      <w:bookmarkStart w:id="1472" w:name="_Toc296503203"/>
      <w:bookmarkStart w:id="1473" w:name="_Toc300934994"/>
      <w:bookmarkStart w:id="1474" w:name="_Toc296891243"/>
      <w:bookmarkStart w:id="1475" w:name="_Toc296944542"/>
      <w:bookmarkStart w:id="1476" w:name="_Toc303539151"/>
      <w:bookmarkStart w:id="1477" w:name="_Toc296346704"/>
      <w:bookmarkStart w:id="1478" w:name="_Toc297120503"/>
      <w:bookmarkStart w:id="1479" w:name="_Toc292559408"/>
      <w:bookmarkStart w:id="1480" w:name="_Toc297048389"/>
      <w:bookmarkStart w:id="1481" w:name="_Toc296347202"/>
      <w:bookmarkStart w:id="1482" w:name="_Toc292559913"/>
      <w:bookmarkStart w:id="1483" w:name="_Toc297123545"/>
      <w:bookmarkStart w:id="1484" w:name="_Toc296891031"/>
      <w:r>
        <w:rPr>
          <w:rFonts w:hint="eastAsia"/>
          <w:color w:val="auto"/>
          <w:sz w:val="21"/>
          <w:szCs w:val="21"/>
        </w:rPr>
        <w:t>包人的合理化建议</w:t>
      </w:r>
      <w:bookmarkEnd w:id="1452"/>
      <w:bookmarkEnd w:id="1453"/>
    </w:p>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14:paraId="1541E66B">
      <w:pPr>
        <w:spacing w:line="360" w:lineRule="auto"/>
        <w:ind w:firstLine="420" w:firstLineChars="200"/>
        <w:jc w:val="left"/>
        <w:rPr>
          <w:rFonts w:ascii="宋体" w:hAnsi="宋体"/>
          <w:color w:val="auto"/>
          <w:szCs w:val="21"/>
        </w:rPr>
      </w:pPr>
      <w:r>
        <w:rPr>
          <w:rFonts w:hint="eastAsia" w:ascii="宋体" w:hAnsi="宋体"/>
          <w:color w:val="auto"/>
          <w:szCs w:val="21"/>
        </w:rPr>
        <w:t>承包人提出合理化建议的，应向监理人提交合理化建议说明，说明建议的内容和理由，以及实施该建议对合同价格和（或）工期和（或）工程经济效益的影响。</w:t>
      </w:r>
    </w:p>
    <w:p w14:paraId="23FC3108">
      <w:pPr>
        <w:spacing w:line="360" w:lineRule="auto"/>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olor w:val="auto"/>
          <w:szCs w:val="21"/>
          <w:u w:val="single"/>
        </w:rPr>
        <w:t>不超过14天</w:t>
      </w:r>
      <w:r>
        <w:rPr>
          <w:rFonts w:hint="eastAsia" w:ascii="宋体" w:hAnsi="宋体"/>
          <w:color w:val="auto"/>
          <w:szCs w:val="21"/>
        </w:rPr>
        <w:t>。</w:t>
      </w:r>
    </w:p>
    <w:p w14:paraId="4B00EDE0">
      <w:pPr>
        <w:spacing w:line="360" w:lineRule="auto"/>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olor w:val="auto"/>
          <w:szCs w:val="21"/>
          <w:u w:val="single"/>
        </w:rPr>
        <w:t>不超过14天</w:t>
      </w:r>
      <w:r>
        <w:rPr>
          <w:rFonts w:hint="eastAsia" w:ascii="宋体" w:hAnsi="宋体"/>
          <w:color w:val="auto"/>
          <w:szCs w:val="21"/>
        </w:rPr>
        <w:t>。</w:t>
      </w:r>
    </w:p>
    <w:p w14:paraId="2FACBD58">
      <w:pPr>
        <w:spacing w:line="360" w:lineRule="auto"/>
        <w:ind w:firstLine="420" w:firstLineChars="200"/>
        <w:jc w:val="left"/>
        <w:rPr>
          <w:rFonts w:ascii="宋体" w:hAnsi="宋体"/>
          <w:color w:val="auto"/>
          <w:szCs w:val="21"/>
          <w:u w:val="single"/>
        </w:rPr>
      </w:pPr>
      <w:r>
        <w:rPr>
          <w:rFonts w:hint="eastAsia" w:ascii="宋体" w:hAnsi="宋体"/>
          <w:color w:val="auto"/>
          <w:szCs w:val="21"/>
        </w:rPr>
        <w:t>承</w:t>
      </w:r>
      <w:bookmarkStart w:id="1485" w:name="_Toc318581175"/>
      <w:bookmarkStart w:id="1486" w:name="_Toc292559409"/>
      <w:bookmarkStart w:id="1487" w:name="_Toc303539152"/>
      <w:bookmarkStart w:id="1488" w:name="_Toc292559914"/>
      <w:bookmarkStart w:id="1489" w:name="_Toc312677504"/>
      <w:bookmarkStart w:id="1490" w:name="_Toc296346705"/>
      <w:bookmarkStart w:id="1491" w:name="_Toc297120504"/>
      <w:bookmarkStart w:id="1492" w:name="_Toc296891244"/>
      <w:bookmarkStart w:id="1493" w:name="_Toc297048390"/>
      <w:bookmarkStart w:id="1494" w:name="_Toc297216205"/>
      <w:bookmarkStart w:id="1495" w:name="_Toc296347203"/>
      <w:bookmarkStart w:id="1496" w:name="_Toc296944543"/>
      <w:bookmarkStart w:id="1497" w:name="_Toc296891032"/>
      <w:bookmarkStart w:id="1498" w:name="_Toc304295571"/>
      <w:bookmarkStart w:id="1499" w:name="_Toc296503204"/>
      <w:bookmarkStart w:id="1500" w:name="_Toc312678030"/>
      <w:bookmarkStart w:id="1501" w:name="_Toc300934995"/>
      <w:bookmarkStart w:id="1502" w:name="_Toc297123546"/>
      <w:r>
        <w:rPr>
          <w:rFonts w:hint="eastAsia" w:ascii="宋体" w:hAnsi="宋体"/>
          <w:color w:val="auto"/>
          <w:szCs w:val="21"/>
        </w:rPr>
        <w:t>包人提出的合理化建议降低了合同价格或缩短了工期或者提高了工程经济效益的奖励的方法和金额为：无。</w:t>
      </w:r>
    </w:p>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14:paraId="4761EA50">
      <w:pPr>
        <w:pStyle w:val="7"/>
        <w:spacing w:before="0" w:beforeAutospacing="0" w:after="0" w:afterAutospacing="0" w:line="360" w:lineRule="auto"/>
        <w:ind w:firstLine="422" w:firstLineChars="200"/>
        <w:rPr>
          <w:color w:val="auto"/>
          <w:sz w:val="21"/>
          <w:szCs w:val="21"/>
        </w:rPr>
      </w:pPr>
      <w:bookmarkStart w:id="1503" w:name="_Toc532375640"/>
      <w:bookmarkStart w:id="1504" w:name="_Toc532377376"/>
      <w:r>
        <w:rPr>
          <w:rFonts w:hint="eastAsia"/>
          <w:color w:val="auto"/>
          <w:sz w:val="21"/>
          <w:szCs w:val="21"/>
        </w:rPr>
        <w:t>1</w:t>
      </w:r>
      <w:bookmarkStart w:id="1505" w:name="_Toc312678033"/>
      <w:bookmarkStart w:id="1506" w:name="_Toc296346700"/>
      <w:bookmarkStart w:id="1507" w:name="_Toc297216207"/>
      <w:bookmarkStart w:id="1508" w:name="_Toc296891027"/>
      <w:bookmarkStart w:id="1509" w:name="_Toc296347198"/>
      <w:bookmarkStart w:id="1510" w:name="_Toc296891239"/>
      <w:bookmarkStart w:id="1511" w:name="_Toc312677507"/>
      <w:bookmarkStart w:id="1512" w:name="_Toc292559909"/>
      <w:bookmarkStart w:id="1513" w:name="_Toc304295574"/>
      <w:bookmarkStart w:id="1514" w:name="_Toc297048385"/>
      <w:bookmarkStart w:id="1515" w:name="_Toc296503199"/>
      <w:bookmarkStart w:id="1516" w:name="_Toc300934997"/>
      <w:bookmarkStart w:id="1517" w:name="_Toc296944538"/>
      <w:bookmarkStart w:id="1518" w:name="_Toc297120499"/>
      <w:bookmarkStart w:id="1519" w:name="_Toc297123548"/>
      <w:bookmarkStart w:id="1520" w:name="_Toc292559404"/>
      <w:bookmarkStart w:id="1521" w:name="_Toc303539154"/>
      <w:r>
        <w:rPr>
          <w:rFonts w:hint="eastAsia"/>
          <w:color w:val="auto"/>
          <w:sz w:val="21"/>
          <w:szCs w:val="21"/>
        </w:rPr>
        <w:t>0.7 暂估价</w:t>
      </w:r>
      <w:bookmarkEnd w:id="1503"/>
      <w:bookmarkEnd w:id="1504"/>
    </w:p>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14:paraId="14F5A98F">
      <w:pPr>
        <w:spacing w:line="360" w:lineRule="auto"/>
        <w:ind w:firstLine="420" w:firstLineChars="200"/>
        <w:jc w:val="left"/>
        <w:rPr>
          <w:rFonts w:ascii="宋体" w:hAnsi="宋体"/>
          <w:color w:val="auto"/>
          <w:szCs w:val="21"/>
        </w:rPr>
      </w:pPr>
      <w:r>
        <w:rPr>
          <w:rFonts w:hint="eastAsia" w:ascii="宋体" w:hAnsi="宋体"/>
          <w:color w:val="auto"/>
          <w:szCs w:val="21"/>
        </w:rPr>
        <w:t>专业工程暂估价：</w:t>
      </w:r>
      <w:r>
        <w:rPr>
          <w:rFonts w:hint="eastAsia" w:ascii="宋体" w:hAnsi="宋体"/>
          <w:color w:val="auto"/>
          <w:szCs w:val="21"/>
          <w:u w:val="single"/>
        </w:rPr>
        <w:t xml:space="preserve">        </w:t>
      </w:r>
      <w:r>
        <w:rPr>
          <w:rFonts w:hint="eastAsia" w:ascii="宋体" w:hAnsi="宋体"/>
          <w:color w:val="auto"/>
          <w:szCs w:val="21"/>
        </w:rPr>
        <w:t>万元。</w:t>
      </w:r>
    </w:p>
    <w:p w14:paraId="6E5496D8">
      <w:pPr>
        <w:spacing w:line="360" w:lineRule="auto"/>
        <w:ind w:firstLine="420" w:firstLineChars="200"/>
        <w:jc w:val="left"/>
        <w:rPr>
          <w:rFonts w:ascii="宋体" w:hAnsi="宋体"/>
          <w:color w:val="auto"/>
          <w:szCs w:val="21"/>
        </w:rPr>
      </w:pPr>
      <w:r>
        <w:rPr>
          <w:rFonts w:hint="eastAsia" w:ascii="宋体" w:hAnsi="宋体"/>
          <w:color w:val="auto"/>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2536B6F7">
      <w:pPr>
        <w:spacing w:line="360" w:lineRule="auto"/>
        <w:ind w:firstLine="420" w:firstLineChars="200"/>
        <w:jc w:val="left"/>
        <w:rPr>
          <w:rFonts w:ascii="宋体" w:hAnsi="宋体"/>
          <w:color w:val="auto"/>
          <w:szCs w:val="21"/>
          <w:u w:val="single"/>
        </w:rPr>
      </w:pPr>
      <w:r>
        <w:rPr>
          <w:rFonts w:hint="eastAsia" w:ascii="宋体" w:hAnsi="宋体"/>
          <w:color w:val="auto"/>
          <w:szCs w:val="21"/>
        </w:rPr>
        <w:t>单项合同暂估价在国家相关法律法规规定必须采购规模以上的，需依法必须采购的，由承包人、发包人共同采购确定。</w:t>
      </w:r>
    </w:p>
    <w:p w14:paraId="4F2F6143">
      <w:pPr>
        <w:pStyle w:val="7"/>
        <w:spacing w:before="0" w:beforeAutospacing="0" w:after="0" w:afterAutospacing="0" w:line="360" w:lineRule="auto"/>
        <w:ind w:firstLine="422" w:firstLineChars="200"/>
        <w:rPr>
          <w:color w:val="auto"/>
          <w:sz w:val="21"/>
          <w:szCs w:val="21"/>
        </w:rPr>
      </w:pPr>
      <w:bookmarkStart w:id="1522" w:name="_Toc532377377"/>
      <w:bookmarkStart w:id="1523" w:name="_Toc532375641"/>
      <w:r>
        <w:rPr>
          <w:rFonts w:hint="eastAsia"/>
          <w:color w:val="auto"/>
          <w:sz w:val="21"/>
          <w:szCs w:val="21"/>
        </w:rPr>
        <w:t>10.8 暂列金额</w:t>
      </w:r>
      <w:bookmarkEnd w:id="1522"/>
      <w:bookmarkEnd w:id="1523"/>
    </w:p>
    <w:p w14:paraId="5804E969">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合同当事人关于暂列金额使用的约定：</w:t>
      </w:r>
      <w:r>
        <w:rPr>
          <w:rFonts w:hint="eastAsia" w:ascii="宋体" w:hAnsi="宋体"/>
          <w:color w:val="auto"/>
          <w:szCs w:val="21"/>
          <w:u w:val="single"/>
        </w:rPr>
        <w:t xml:space="preserve">        </w:t>
      </w:r>
      <w:r>
        <w:rPr>
          <w:rFonts w:hint="eastAsia" w:ascii="宋体" w:hAnsi="宋体"/>
          <w:color w:val="auto"/>
          <w:szCs w:val="21"/>
        </w:rPr>
        <w:t>。</w:t>
      </w:r>
    </w:p>
    <w:p w14:paraId="48FDF6AE">
      <w:pPr>
        <w:pStyle w:val="6"/>
        <w:keepNext/>
        <w:keepLines/>
        <w:spacing w:beforeLines="50" w:beforeAutospacing="0" w:afterLines="50" w:afterAutospacing="0" w:line="360" w:lineRule="auto"/>
        <w:jc w:val="both"/>
        <w:rPr>
          <w:bCs w:val="0"/>
          <w:color w:val="auto"/>
          <w:kern w:val="2"/>
          <w:sz w:val="21"/>
          <w:szCs w:val="21"/>
        </w:rPr>
      </w:pPr>
      <w:bookmarkStart w:id="1524" w:name="_Toc532377378"/>
      <w:bookmarkStart w:id="1525" w:name="_Toc532375642"/>
      <w:bookmarkStart w:id="1526" w:name="_Toc351203643"/>
      <w:r>
        <w:rPr>
          <w:rFonts w:hint="eastAsia"/>
          <w:color w:val="auto"/>
          <w:kern w:val="2"/>
          <w:sz w:val="21"/>
          <w:szCs w:val="21"/>
        </w:rPr>
        <w:t>11. 价格调整</w:t>
      </w:r>
      <w:bookmarkEnd w:id="1524"/>
      <w:bookmarkEnd w:id="1525"/>
      <w:bookmarkEnd w:id="1526"/>
    </w:p>
    <w:p w14:paraId="660AF634">
      <w:pPr>
        <w:pStyle w:val="7"/>
        <w:spacing w:before="0" w:beforeAutospacing="0" w:after="0" w:afterAutospacing="0" w:line="360" w:lineRule="auto"/>
        <w:ind w:firstLine="422" w:firstLineChars="200"/>
        <w:rPr>
          <w:color w:val="auto"/>
          <w:sz w:val="21"/>
          <w:szCs w:val="21"/>
        </w:rPr>
      </w:pPr>
      <w:bookmarkStart w:id="1527" w:name="_Toc532377379"/>
      <w:bookmarkStart w:id="1528" w:name="_Toc532375643"/>
      <w:bookmarkStart w:id="1529" w:name="_Toc300935000"/>
      <w:bookmarkStart w:id="1530" w:name="_Toc292559406"/>
      <w:bookmarkStart w:id="1531" w:name="_Toc296891029"/>
      <w:bookmarkStart w:id="1532" w:name="_Toc292559911"/>
      <w:bookmarkStart w:id="1533" w:name="_Toc312678039"/>
      <w:bookmarkStart w:id="1534" w:name="_Toc297123550"/>
      <w:bookmarkStart w:id="1535" w:name="_Toc303539157"/>
      <w:bookmarkStart w:id="1536" w:name="_Toc296503201"/>
      <w:bookmarkStart w:id="1537" w:name="_Toc297216209"/>
      <w:bookmarkStart w:id="1538" w:name="_Toc304295577"/>
      <w:bookmarkStart w:id="1539" w:name="_Toc297048387"/>
      <w:bookmarkStart w:id="1540" w:name="_Toc296891241"/>
      <w:bookmarkStart w:id="1541" w:name="_Toc297120501"/>
      <w:bookmarkStart w:id="1542" w:name="_Toc296944540"/>
      <w:bookmarkStart w:id="1543" w:name="_Toc296346702"/>
      <w:bookmarkStart w:id="1544" w:name="_Toc296347200"/>
      <w:r>
        <w:rPr>
          <w:rFonts w:hint="eastAsia"/>
          <w:color w:val="auto"/>
          <w:sz w:val="21"/>
          <w:szCs w:val="21"/>
        </w:rPr>
        <w:t>11.1 市场价格波动引起的调整</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14:paraId="518E4893">
      <w:pPr>
        <w:spacing w:line="360" w:lineRule="auto"/>
        <w:ind w:firstLine="420" w:firstLineChars="200"/>
        <w:jc w:val="left"/>
        <w:rPr>
          <w:rFonts w:ascii="宋体" w:hAnsi="宋体"/>
          <w:color w:val="auto"/>
          <w:szCs w:val="21"/>
          <w:u w:val="single"/>
        </w:rPr>
      </w:pPr>
      <w:bookmarkStart w:id="1545" w:name="_Toc466913963"/>
      <w:bookmarkStart w:id="1546" w:name="_Toc467689641"/>
      <w:bookmarkStart w:id="1547" w:name="_Toc466913513"/>
      <w:bookmarkStart w:id="1548" w:name="_Toc466911545"/>
      <w:r>
        <w:rPr>
          <w:rFonts w:hint="eastAsia" w:ascii="宋体" w:hAnsi="宋体"/>
          <w:color w:val="auto"/>
          <w:szCs w:val="21"/>
        </w:rPr>
        <w:t>市场价格波动是否调整合同价格的约定：</w:t>
      </w:r>
      <w:bookmarkEnd w:id="1407"/>
      <w:bookmarkEnd w:id="1408"/>
      <w:bookmarkEnd w:id="1409"/>
      <w:bookmarkEnd w:id="1410"/>
      <w:bookmarkEnd w:id="1411"/>
      <w:bookmarkEnd w:id="1412"/>
      <w:bookmarkEnd w:id="1545"/>
      <w:bookmarkEnd w:id="1546"/>
      <w:bookmarkEnd w:id="1547"/>
      <w:bookmarkEnd w:id="1548"/>
      <w:bookmarkStart w:id="1549" w:name="_Toc296346706"/>
      <w:bookmarkStart w:id="1550" w:name="_Toc292559410"/>
      <w:bookmarkStart w:id="1551" w:name="_Toc297048391"/>
      <w:bookmarkStart w:id="1552" w:name="_Toc296891033"/>
      <w:bookmarkStart w:id="1553" w:name="_Toc296944544"/>
      <w:bookmarkStart w:id="1554" w:name="_Toc296347204"/>
      <w:bookmarkStart w:id="1555" w:name="_Toc296891245"/>
      <w:bookmarkStart w:id="1556" w:name="_Toc292559915"/>
      <w:bookmarkStart w:id="1557" w:name="_Toc296503205"/>
      <w:bookmarkStart w:id="1558" w:name="_Toc297120505"/>
      <w:bookmarkStart w:id="1559" w:name="_Toc351203644"/>
      <w:bookmarkStart w:id="1560" w:name="_Toc304295579"/>
      <w:bookmarkStart w:id="1561" w:name="_Toc297123552"/>
      <w:bookmarkStart w:id="1562" w:name="_Toc312678040"/>
      <w:bookmarkStart w:id="1563" w:name="_Toc300935002"/>
      <w:bookmarkStart w:id="1564" w:name="_Toc303539159"/>
      <w:bookmarkStart w:id="1565" w:name="_Toc297216211"/>
      <w:r>
        <w:rPr>
          <w:rFonts w:hint="eastAsia" w:ascii="宋体" w:hAnsi="宋体" w:cs="宋体"/>
          <w:color w:val="auto"/>
          <w:kern w:val="0"/>
          <w:szCs w:val="21"/>
          <w:u w:val="single"/>
        </w:rPr>
        <w:t>本项目</w:t>
      </w:r>
      <w:r>
        <w:rPr>
          <w:rFonts w:hint="eastAsia" w:ascii="宋体" w:hAnsi="宋体" w:cs="宋体"/>
          <w:color w:val="auto"/>
          <w:szCs w:val="21"/>
          <w:u w:val="single"/>
        </w:rPr>
        <w:t>材料价格均不作调整</w:t>
      </w:r>
      <w:r>
        <w:rPr>
          <w:rFonts w:hint="eastAsia" w:ascii="宋体" w:hAnsi="宋体" w:cs="宋体"/>
          <w:color w:val="auto"/>
          <w:szCs w:val="21"/>
        </w:rPr>
        <w:t>。</w:t>
      </w:r>
    </w:p>
    <w:p w14:paraId="61283708">
      <w:pPr>
        <w:pStyle w:val="6"/>
        <w:keepNext/>
        <w:keepLines/>
        <w:spacing w:beforeLines="50" w:beforeAutospacing="0" w:afterLines="50" w:afterAutospacing="0" w:line="360" w:lineRule="auto"/>
        <w:jc w:val="both"/>
        <w:rPr>
          <w:bCs w:val="0"/>
          <w:color w:val="auto"/>
          <w:kern w:val="2"/>
          <w:sz w:val="21"/>
          <w:szCs w:val="21"/>
        </w:rPr>
      </w:pPr>
      <w:bookmarkStart w:id="1566" w:name="_Toc532375646"/>
      <w:bookmarkStart w:id="1567" w:name="_Toc532377382"/>
      <w:r>
        <w:rPr>
          <w:rFonts w:hint="eastAsia"/>
          <w:color w:val="auto"/>
          <w:kern w:val="2"/>
          <w:sz w:val="21"/>
          <w:szCs w:val="21"/>
        </w:rPr>
        <w:t xml:space="preserve">12. </w:t>
      </w:r>
      <w:bookmarkEnd w:id="1549"/>
      <w:bookmarkEnd w:id="1550"/>
      <w:bookmarkEnd w:id="1551"/>
      <w:bookmarkEnd w:id="1552"/>
      <w:bookmarkEnd w:id="1553"/>
      <w:bookmarkEnd w:id="1554"/>
      <w:bookmarkEnd w:id="1555"/>
      <w:bookmarkEnd w:id="1556"/>
      <w:bookmarkEnd w:id="1557"/>
      <w:bookmarkEnd w:id="1558"/>
      <w:r>
        <w:rPr>
          <w:rFonts w:hint="eastAsia"/>
          <w:color w:val="auto"/>
          <w:kern w:val="2"/>
          <w:sz w:val="21"/>
          <w:szCs w:val="21"/>
        </w:rPr>
        <w:t>合同价格、计量与支付</w:t>
      </w:r>
      <w:bookmarkEnd w:id="1559"/>
      <w:bookmarkEnd w:id="1566"/>
      <w:bookmarkEnd w:id="1567"/>
    </w:p>
    <w:bookmarkEnd w:id="1560"/>
    <w:bookmarkEnd w:id="1561"/>
    <w:bookmarkEnd w:id="1562"/>
    <w:bookmarkEnd w:id="1563"/>
    <w:bookmarkEnd w:id="1564"/>
    <w:bookmarkEnd w:id="1565"/>
    <w:p w14:paraId="0DE86A46">
      <w:pPr>
        <w:pStyle w:val="7"/>
        <w:spacing w:before="0" w:beforeAutospacing="0" w:after="0" w:afterAutospacing="0" w:line="360" w:lineRule="auto"/>
        <w:ind w:firstLine="422" w:firstLineChars="200"/>
        <w:rPr>
          <w:color w:val="auto"/>
          <w:sz w:val="21"/>
          <w:szCs w:val="21"/>
        </w:rPr>
      </w:pPr>
      <w:bookmarkStart w:id="1568" w:name="_Toc267251461"/>
      <w:bookmarkStart w:id="1569" w:name="_Toc292559916"/>
      <w:bookmarkStart w:id="1570" w:name="_Toc292559411"/>
      <w:bookmarkStart w:id="1571" w:name="_Toc296347205"/>
      <w:bookmarkStart w:id="1572" w:name="_Toc296944545"/>
      <w:bookmarkStart w:id="1573" w:name="_Toc296346707"/>
      <w:bookmarkStart w:id="1574" w:name="_Toc297048392"/>
      <w:bookmarkStart w:id="1575" w:name="_Toc297120506"/>
      <w:bookmarkStart w:id="1576" w:name="_Toc296891034"/>
      <w:bookmarkStart w:id="1577" w:name="_Toc296891246"/>
      <w:bookmarkStart w:id="1578" w:name="_Toc296503206"/>
      <w:bookmarkStart w:id="1579" w:name="_Toc532377383"/>
      <w:bookmarkStart w:id="1580" w:name="_Toc532375647"/>
      <w:bookmarkStart w:id="1581" w:name="_Toc303539160"/>
      <w:bookmarkStart w:id="1582" w:name="_Toc304295580"/>
      <w:bookmarkStart w:id="1583" w:name="_Toc312678041"/>
      <w:bookmarkStart w:id="1584" w:name="_Toc297216212"/>
      <w:bookmarkStart w:id="1585" w:name="_Toc297123553"/>
      <w:bookmarkStart w:id="1586" w:name="_Toc300935003"/>
      <w:r>
        <w:rPr>
          <w:rFonts w:hint="eastAsia"/>
          <w:color w:val="auto"/>
          <w:sz w:val="21"/>
          <w:szCs w:val="21"/>
        </w:rPr>
        <w:t>12.1 合</w:t>
      </w:r>
      <w:bookmarkEnd w:id="1568"/>
      <w:bookmarkEnd w:id="1569"/>
      <w:bookmarkEnd w:id="1570"/>
      <w:r>
        <w:rPr>
          <w:rFonts w:hint="eastAsia"/>
          <w:color w:val="auto"/>
          <w:sz w:val="21"/>
          <w:szCs w:val="21"/>
        </w:rPr>
        <w:t>同价</w:t>
      </w:r>
      <w:bookmarkEnd w:id="1571"/>
      <w:bookmarkEnd w:id="1572"/>
      <w:bookmarkEnd w:id="1573"/>
      <w:bookmarkEnd w:id="1574"/>
      <w:bookmarkEnd w:id="1575"/>
      <w:bookmarkEnd w:id="1576"/>
      <w:bookmarkEnd w:id="1577"/>
      <w:bookmarkEnd w:id="1578"/>
      <w:r>
        <w:rPr>
          <w:rFonts w:hint="eastAsia"/>
          <w:color w:val="auto"/>
          <w:sz w:val="21"/>
          <w:szCs w:val="21"/>
        </w:rPr>
        <w:t>格形式</w:t>
      </w:r>
      <w:bookmarkEnd w:id="1579"/>
      <w:bookmarkEnd w:id="1580"/>
    </w:p>
    <w:bookmarkEnd w:id="1581"/>
    <w:bookmarkEnd w:id="1582"/>
    <w:bookmarkEnd w:id="1583"/>
    <w:bookmarkEnd w:id="1584"/>
    <w:bookmarkEnd w:id="1585"/>
    <w:bookmarkEnd w:id="1586"/>
    <w:p w14:paraId="6B64716C">
      <w:pPr>
        <w:spacing w:line="360" w:lineRule="auto"/>
        <w:ind w:firstLine="420" w:firstLineChars="200"/>
        <w:jc w:val="left"/>
        <w:rPr>
          <w:rFonts w:ascii="宋体" w:hAnsi="宋体"/>
          <w:color w:val="auto"/>
          <w:szCs w:val="21"/>
        </w:rPr>
      </w:pPr>
      <w:r>
        <w:rPr>
          <w:rFonts w:hint="eastAsia" w:ascii="宋体" w:hAnsi="宋体"/>
          <w:color w:val="auto"/>
          <w:szCs w:val="21"/>
        </w:rPr>
        <w:t>1、单价合同。</w:t>
      </w:r>
    </w:p>
    <w:p w14:paraId="3031EF72">
      <w:pPr>
        <w:spacing w:line="360" w:lineRule="auto"/>
        <w:ind w:firstLine="420" w:firstLineChars="200"/>
        <w:jc w:val="left"/>
        <w:rPr>
          <w:rFonts w:ascii="宋体" w:hAnsi="宋体"/>
          <w:color w:val="auto"/>
          <w:szCs w:val="21"/>
          <w:u w:val="single"/>
        </w:rPr>
      </w:pPr>
      <w:r>
        <w:rPr>
          <w:rFonts w:hint="eastAsia" w:ascii="宋体" w:hAnsi="宋体"/>
          <w:color w:val="auto"/>
          <w:szCs w:val="21"/>
        </w:rPr>
        <w:t>综合单价包含的风险范围：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包括但不限于为实施和完成合同工程所需的人工费、材料费、施工机具使用费、企业管理费、利润、风险费、施工技术措施项目费、施工组织措施项目费及缺陷修复等费用，以及</w:t>
      </w:r>
      <w:bookmarkStart w:id="1587" w:name="_Hlk528508096"/>
      <w:r>
        <w:rPr>
          <w:rFonts w:hint="eastAsia" w:ascii="宋体" w:hAnsi="宋体"/>
          <w:color w:val="auto"/>
          <w:szCs w:val="21"/>
          <w:u w:val="single"/>
        </w:rPr>
        <w:t>第11.1款〔市场价格波动引起的调整〕约定范围内的市场价格波动风险、政策性文件规定的各项应有费用、</w:t>
      </w:r>
      <w:bookmarkEnd w:id="1587"/>
      <w:r>
        <w:rPr>
          <w:rFonts w:hint="eastAsia" w:ascii="宋体" w:hAnsi="宋体"/>
          <w:color w:val="auto"/>
          <w:szCs w:val="21"/>
          <w:u w:val="single"/>
        </w:rPr>
        <w:t>采购文件和合同明示或暗示的应由承包人承担的所有责任、义务和风险等所需的费用</w:t>
      </w:r>
      <w:r>
        <w:rPr>
          <w:rFonts w:hint="eastAsia" w:ascii="宋体" w:hAnsi="宋体"/>
          <w:color w:val="auto"/>
          <w:szCs w:val="21"/>
        </w:rPr>
        <w:t>。</w:t>
      </w:r>
    </w:p>
    <w:p w14:paraId="7FE66624">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14:paraId="7FECA778">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14:paraId="4C6E1784">
      <w:pPr>
        <w:spacing w:line="360" w:lineRule="auto"/>
        <w:ind w:firstLine="420" w:firstLineChars="200"/>
        <w:jc w:val="left"/>
        <w:rPr>
          <w:rFonts w:ascii="宋体" w:hAnsi="宋体"/>
          <w:color w:val="auto"/>
          <w:szCs w:val="21"/>
        </w:rPr>
      </w:pPr>
      <w:r>
        <w:rPr>
          <w:rFonts w:hint="eastAsia" w:ascii="宋体" w:hAnsi="宋体"/>
          <w:color w:val="auto"/>
          <w:szCs w:val="21"/>
        </w:rPr>
        <w:t>2、总价合同。</w:t>
      </w:r>
    </w:p>
    <w:p w14:paraId="730F51BF">
      <w:pPr>
        <w:spacing w:line="360" w:lineRule="auto"/>
        <w:ind w:firstLine="420" w:firstLineChars="200"/>
        <w:jc w:val="left"/>
        <w:rPr>
          <w:rFonts w:ascii="宋体" w:hAnsi="宋体"/>
          <w:color w:val="auto"/>
          <w:szCs w:val="21"/>
          <w:u w:val="single"/>
        </w:rPr>
      </w:pPr>
      <w:r>
        <w:rPr>
          <w:rFonts w:hint="eastAsia" w:ascii="宋体" w:hAnsi="宋体"/>
          <w:color w:val="auto"/>
          <w:szCs w:val="21"/>
        </w:rPr>
        <w:t>总价包含的风险范围：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hint="eastAsia" w:ascii="宋体" w:hAnsi="宋体"/>
          <w:color w:val="auto"/>
          <w:szCs w:val="21"/>
        </w:rPr>
        <w:t>。</w:t>
      </w:r>
    </w:p>
    <w:p w14:paraId="57491C89">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14:paraId="2F8FAC7B">
      <w:pPr>
        <w:spacing w:line="360" w:lineRule="auto"/>
        <w:ind w:firstLine="420" w:firstLineChars="200"/>
        <w:jc w:val="left"/>
        <w:rPr>
          <w:rFonts w:ascii="宋体" w:hAnsi="宋体"/>
          <w:color w:val="auto"/>
          <w:szCs w:val="21"/>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14:paraId="78CFE99E">
      <w:pPr>
        <w:spacing w:line="360" w:lineRule="auto"/>
        <w:ind w:firstLine="420" w:firstLineChars="200"/>
        <w:jc w:val="left"/>
        <w:rPr>
          <w:rFonts w:ascii="宋体" w:hAnsi="宋体"/>
          <w:color w:val="auto"/>
          <w:szCs w:val="21"/>
        </w:rPr>
      </w:pPr>
      <w:r>
        <w:rPr>
          <w:rFonts w:hint="eastAsia" w:ascii="宋体" w:hAnsi="宋体"/>
          <w:color w:val="auto"/>
          <w:szCs w:val="21"/>
        </w:rPr>
        <w:t>3、其他价格方式：</w:t>
      </w:r>
      <w:r>
        <w:rPr>
          <w:rFonts w:hint="eastAsia" w:ascii="宋体" w:hAnsi="宋体"/>
          <w:color w:val="auto"/>
          <w:szCs w:val="21"/>
          <w:u w:val="single"/>
        </w:rPr>
        <w:t>不采用</w:t>
      </w:r>
      <w:r>
        <w:rPr>
          <w:rFonts w:hint="eastAsia" w:ascii="宋体" w:hAnsi="宋体"/>
          <w:color w:val="auto"/>
          <w:szCs w:val="21"/>
        </w:rPr>
        <w:t>。</w:t>
      </w:r>
    </w:p>
    <w:p w14:paraId="50DE2252">
      <w:pPr>
        <w:pStyle w:val="7"/>
        <w:spacing w:before="0" w:beforeAutospacing="0" w:after="0" w:afterAutospacing="0" w:line="360" w:lineRule="auto"/>
        <w:ind w:firstLine="422" w:firstLineChars="200"/>
        <w:rPr>
          <w:color w:val="auto"/>
          <w:sz w:val="21"/>
          <w:szCs w:val="21"/>
        </w:rPr>
      </w:pPr>
      <w:bookmarkStart w:id="1588" w:name="_Toc532375648"/>
      <w:bookmarkStart w:id="1589" w:name="_Toc532377384"/>
      <w:bookmarkStart w:id="1590" w:name="_Toc297123554"/>
      <w:bookmarkStart w:id="1591" w:name="_Toc304295581"/>
      <w:bookmarkStart w:id="1592" w:name="_Toc297216213"/>
      <w:bookmarkStart w:id="1593" w:name="_Toc300935004"/>
      <w:bookmarkStart w:id="1594" w:name="_Toc312678042"/>
      <w:bookmarkStart w:id="1595" w:name="_Toc303539161"/>
      <w:bookmarkStart w:id="1596" w:name="_Toc292559917"/>
      <w:bookmarkStart w:id="1597" w:name="_Toc296503207"/>
      <w:bookmarkStart w:id="1598" w:name="_Toc296891247"/>
      <w:bookmarkStart w:id="1599" w:name="_Toc297048393"/>
      <w:bookmarkStart w:id="1600" w:name="_Toc296346708"/>
      <w:bookmarkStart w:id="1601" w:name="_Toc297120507"/>
      <w:bookmarkStart w:id="1602" w:name="_Toc296944546"/>
      <w:bookmarkStart w:id="1603" w:name="_Toc296891035"/>
      <w:bookmarkStart w:id="1604" w:name="_Toc292559412"/>
      <w:bookmarkStart w:id="1605" w:name="_Toc296347206"/>
      <w:r>
        <w:rPr>
          <w:rFonts w:hint="eastAsia"/>
          <w:color w:val="auto"/>
          <w:sz w:val="21"/>
          <w:szCs w:val="21"/>
        </w:rPr>
        <w:t>12.2 预付款</w:t>
      </w:r>
      <w:bookmarkEnd w:id="1588"/>
      <w:bookmarkEnd w:id="1589"/>
    </w:p>
    <w:bookmarkEnd w:id="1590"/>
    <w:bookmarkEnd w:id="1591"/>
    <w:bookmarkEnd w:id="1592"/>
    <w:bookmarkEnd w:id="1593"/>
    <w:bookmarkEnd w:id="1594"/>
    <w:bookmarkEnd w:id="1595"/>
    <w:p w14:paraId="3FC19173">
      <w:pPr>
        <w:spacing w:line="360" w:lineRule="auto"/>
        <w:ind w:firstLine="420" w:firstLineChars="200"/>
        <w:jc w:val="left"/>
        <w:rPr>
          <w:rFonts w:ascii="宋体" w:hAnsi="宋体"/>
          <w:color w:val="auto"/>
          <w:szCs w:val="21"/>
        </w:rPr>
      </w:pPr>
      <w:r>
        <w:rPr>
          <w:rFonts w:hint="eastAsia" w:ascii="宋体" w:hAnsi="宋体"/>
          <w:color w:val="auto"/>
          <w:szCs w:val="21"/>
        </w:rPr>
        <w:t>12.2.1 预付款的支付：无。</w:t>
      </w:r>
    </w:p>
    <w:bookmarkEnd w:id="1596"/>
    <w:bookmarkEnd w:id="1597"/>
    <w:bookmarkEnd w:id="1598"/>
    <w:bookmarkEnd w:id="1599"/>
    <w:bookmarkEnd w:id="1600"/>
    <w:bookmarkEnd w:id="1601"/>
    <w:bookmarkEnd w:id="1602"/>
    <w:bookmarkEnd w:id="1603"/>
    <w:bookmarkEnd w:id="1604"/>
    <w:bookmarkEnd w:id="1605"/>
    <w:p w14:paraId="0EF0244E">
      <w:pPr>
        <w:pStyle w:val="7"/>
        <w:spacing w:before="0" w:beforeAutospacing="0" w:after="0" w:afterAutospacing="0" w:line="360" w:lineRule="auto"/>
        <w:ind w:firstLine="422" w:firstLineChars="200"/>
        <w:rPr>
          <w:color w:val="auto"/>
          <w:sz w:val="21"/>
          <w:szCs w:val="21"/>
        </w:rPr>
      </w:pPr>
      <w:bookmarkStart w:id="1606" w:name="_Toc532377385"/>
      <w:bookmarkStart w:id="1607" w:name="_Toc532375649"/>
      <w:r>
        <w:rPr>
          <w:rFonts w:hint="eastAsia"/>
          <w:color w:val="auto"/>
          <w:sz w:val="21"/>
          <w:szCs w:val="21"/>
        </w:rPr>
        <w:t>12.3 计量</w:t>
      </w:r>
      <w:bookmarkEnd w:id="1606"/>
      <w:bookmarkEnd w:id="1607"/>
    </w:p>
    <w:p w14:paraId="35795700">
      <w:pPr>
        <w:spacing w:line="360" w:lineRule="auto"/>
        <w:ind w:firstLine="420" w:firstLineChars="200"/>
        <w:jc w:val="left"/>
        <w:rPr>
          <w:rFonts w:ascii="宋体" w:hAnsi="宋体"/>
          <w:color w:val="auto"/>
          <w:szCs w:val="21"/>
        </w:rPr>
      </w:pPr>
      <w:bookmarkStart w:id="1608" w:name="_Hlk528928260"/>
      <w:r>
        <w:rPr>
          <w:rFonts w:hint="eastAsia" w:ascii="宋体" w:hAnsi="宋体"/>
          <w:color w:val="auto"/>
          <w:szCs w:val="21"/>
        </w:rPr>
        <w:t>12.3.1 计量原则</w:t>
      </w:r>
    </w:p>
    <w:p w14:paraId="08AD5F45">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608"/>
    <w:p w14:paraId="7AFFEEEC">
      <w:pPr>
        <w:spacing w:line="360" w:lineRule="auto"/>
        <w:ind w:firstLine="420" w:firstLineChars="200"/>
        <w:jc w:val="left"/>
        <w:rPr>
          <w:rFonts w:ascii="宋体" w:hAnsi="宋体"/>
          <w:color w:val="auto"/>
          <w:szCs w:val="21"/>
        </w:rPr>
      </w:pPr>
      <w:r>
        <w:rPr>
          <w:rFonts w:hint="eastAsia" w:ascii="宋体" w:hAnsi="宋体"/>
          <w:color w:val="auto"/>
          <w:szCs w:val="21"/>
        </w:rPr>
        <w:t>12.3.2 计量周期</w:t>
      </w:r>
    </w:p>
    <w:p w14:paraId="4E9ECE09">
      <w:pPr>
        <w:spacing w:line="360" w:lineRule="auto"/>
        <w:ind w:firstLine="420" w:firstLineChars="200"/>
        <w:jc w:val="left"/>
        <w:rPr>
          <w:rFonts w:ascii="宋体" w:hAnsi="宋体"/>
          <w:color w:val="auto"/>
          <w:szCs w:val="21"/>
        </w:rPr>
      </w:pPr>
      <w:r>
        <w:rPr>
          <w:rFonts w:hint="eastAsia" w:ascii="宋体" w:hAnsi="宋体"/>
          <w:color w:val="auto"/>
          <w:szCs w:val="21"/>
        </w:rPr>
        <w:t>关于计量周期的约定：</w:t>
      </w:r>
      <w:r>
        <w:rPr>
          <w:rFonts w:hint="eastAsia" w:ascii="宋体" w:hAnsi="宋体"/>
          <w:color w:val="auto"/>
          <w:szCs w:val="21"/>
          <w:u w:val="single"/>
        </w:rPr>
        <w:t>按月计量根据具体项目实际情况可以按月、按进度、按节点等形式计量，按进度、按节点计量的参考按月计量原则执行）</w:t>
      </w:r>
      <w:r>
        <w:rPr>
          <w:rFonts w:hint="eastAsia" w:ascii="宋体" w:hAnsi="宋体"/>
          <w:color w:val="auto"/>
          <w:szCs w:val="21"/>
        </w:rPr>
        <w:t>。</w:t>
      </w:r>
    </w:p>
    <w:p w14:paraId="66B32F12">
      <w:pPr>
        <w:spacing w:line="360" w:lineRule="auto"/>
        <w:ind w:firstLine="420" w:firstLineChars="200"/>
        <w:jc w:val="left"/>
        <w:rPr>
          <w:rFonts w:ascii="宋体" w:hAnsi="宋体"/>
          <w:color w:val="auto"/>
          <w:szCs w:val="21"/>
        </w:rPr>
      </w:pPr>
      <w:r>
        <w:rPr>
          <w:rFonts w:hint="eastAsia" w:ascii="宋体" w:hAnsi="宋体"/>
          <w:color w:val="auto"/>
          <w:szCs w:val="21"/>
        </w:rPr>
        <w:t>12.3.3 单价合同的计量</w:t>
      </w:r>
    </w:p>
    <w:p w14:paraId="5B46EE80">
      <w:pPr>
        <w:spacing w:line="360" w:lineRule="auto"/>
        <w:ind w:firstLine="420" w:firstLineChars="200"/>
        <w:jc w:val="left"/>
        <w:rPr>
          <w:rFonts w:ascii="宋体" w:hAnsi="宋体"/>
          <w:color w:val="auto"/>
          <w:szCs w:val="21"/>
        </w:rPr>
      </w:pPr>
      <w:r>
        <w:rPr>
          <w:rFonts w:hint="eastAsia" w:ascii="宋体" w:hAnsi="宋体"/>
          <w:color w:val="auto"/>
          <w:szCs w:val="21"/>
        </w:rPr>
        <w:t>关于单价合同计量的约定：</w:t>
      </w:r>
    </w:p>
    <w:p w14:paraId="39C680FE">
      <w:pPr>
        <w:spacing w:line="360" w:lineRule="auto"/>
        <w:ind w:firstLine="420" w:firstLineChars="200"/>
        <w:jc w:val="left"/>
        <w:rPr>
          <w:rFonts w:ascii="宋体" w:hAnsi="宋体"/>
          <w:color w:val="auto"/>
          <w:szCs w:val="21"/>
          <w:u w:val="single"/>
        </w:rPr>
      </w:pPr>
      <w:bookmarkStart w:id="1609" w:name="_Hlk528926162"/>
      <w:r>
        <w:rPr>
          <w:rFonts w:hint="eastAsia" w:ascii="宋体" w:hAnsi="宋体"/>
          <w:color w:val="auto"/>
          <w:szCs w:val="21"/>
          <w:u w:val="single"/>
        </w:rPr>
        <w:t>（1）承包人应于当月25日前向监理人报送上月已完成的工程量，并附进度付款申请单、已完成工程量报表和其他有关资料</w:t>
      </w:r>
      <w:r>
        <w:rPr>
          <w:rFonts w:hint="eastAsia" w:ascii="宋体" w:hAnsi="宋体"/>
          <w:color w:val="auto"/>
          <w:szCs w:val="21"/>
        </w:rPr>
        <w:t>。</w:t>
      </w:r>
    </w:p>
    <w:bookmarkEnd w:id="1609"/>
    <w:p w14:paraId="01E069D3">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rPr>
        <w:t>。</w:t>
      </w:r>
    </w:p>
    <w:p w14:paraId="1356AC0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rPr>
        <w:t>。</w:t>
      </w:r>
    </w:p>
    <w:p w14:paraId="0050D656">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rPr>
        <w:t>。</w:t>
      </w:r>
    </w:p>
    <w:p w14:paraId="11AA742E">
      <w:pPr>
        <w:spacing w:line="360" w:lineRule="auto"/>
        <w:ind w:firstLine="420" w:firstLineChars="200"/>
        <w:jc w:val="left"/>
        <w:rPr>
          <w:rFonts w:ascii="宋体" w:hAnsi="宋体"/>
          <w:color w:val="auto"/>
          <w:szCs w:val="21"/>
        </w:rPr>
      </w:pPr>
      <w:r>
        <w:rPr>
          <w:rFonts w:hint="eastAsia" w:ascii="宋体" w:hAnsi="宋体"/>
          <w:color w:val="auto"/>
          <w:szCs w:val="21"/>
        </w:rPr>
        <w:t>12.3.4 总价合同的计量</w:t>
      </w:r>
    </w:p>
    <w:p w14:paraId="20918D22">
      <w:pPr>
        <w:spacing w:line="360" w:lineRule="auto"/>
        <w:ind w:firstLine="420" w:firstLineChars="200"/>
        <w:jc w:val="left"/>
        <w:rPr>
          <w:rFonts w:ascii="宋体" w:hAnsi="宋体"/>
          <w:color w:val="auto"/>
          <w:szCs w:val="21"/>
        </w:rPr>
      </w:pPr>
      <w:r>
        <w:rPr>
          <w:rFonts w:hint="eastAsia" w:ascii="宋体" w:hAnsi="宋体"/>
          <w:color w:val="auto"/>
          <w:szCs w:val="21"/>
        </w:rPr>
        <w:t>关于总价合同计量的约定：</w:t>
      </w:r>
      <w:r>
        <w:rPr>
          <w:rFonts w:hint="eastAsia" w:ascii="宋体" w:hAnsi="宋体"/>
          <w:color w:val="auto"/>
          <w:szCs w:val="21"/>
          <w:u w:val="single"/>
        </w:rPr>
        <w:t>按形象进度比例支付</w:t>
      </w:r>
      <w:r>
        <w:rPr>
          <w:rFonts w:hint="eastAsia" w:ascii="宋体" w:hAnsi="宋体"/>
          <w:color w:val="auto"/>
          <w:szCs w:val="21"/>
        </w:rPr>
        <w:t>。</w:t>
      </w:r>
    </w:p>
    <w:p w14:paraId="0087449B">
      <w:pPr>
        <w:spacing w:line="360" w:lineRule="auto"/>
        <w:ind w:firstLine="420" w:firstLineChars="200"/>
        <w:jc w:val="left"/>
        <w:rPr>
          <w:rFonts w:ascii="宋体" w:hAnsi="宋体"/>
          <w:color w:val="auto"/>
          <w:szCs w:val="21"/>
        </w:rPr>
      </w:pPr>
      <w:r>
        <w:rPr>
          <w:rFonts w:hint="eastAsia" w:ascii="宋体" w:hAnsi="宋体"/>
          <w:color w:val="auto"/>
          <w:szCs w:val="21"/>
        </w:rPr>
        <w:t>12.3.5总价合同采用支付分解表计量支付的，是否适用第12.3.4项〔总价合同的计量〕约定进行计量：</w:t>
      </w:r>
      <w:r>
        <w:rPr>
          <w:rFonts w:hint="eastAsia" w:ascii="宋体" w:hAnsi="宋体"/>
          <w:color w:val="auto"/>
          <w:szCs w:val="21"/>
          <w:u w:val="single"/>
        </w:rPr>
        <w:t>适用</w:t>
      </w:r>
      <w:r>
        <w:rPr>
          <w:rFonts w:hint="eastAsia" w:ascii="宋体" w:hAnsi="宋体"/>
          <w:color w:val="auto"/>
          <w:szCs w:val="21"/>
        </w:rPr>
        <w:t>。</w:t>
      </w:r>
    </w:p>
    <w:p w14:paraId="440623BF">
      <w:pPr>
        <w:spacing w:line="360" w:lineRule="auto"/>
        <w:ind w:firstLine="420" w:firstLineChars="200"/>
        <w:jc w:val="left"/>
        <w:rPr>
          <w:rFonts w:ascii="宋体" w:hAnsi="宋体"/>
          <w:color w:val="auto"/>
          <w:szCs w:val="21"/>
        </w:rPr>
      </w:pPr>
      <w:r>
        <w:rPr>
          <w:rFonts w:hint="eastAsia" w:ascii="宋体" w:hAnsi="宋体"/>
          <w:color w:val="auto"/>
          <w:szCs w:val="21"/>
        </w:rPr>
        <w:t>12.3.6 其他价格形式合同的计量</w:t>
      </w:r>
    </w:p>
    <w:p w14:paraId="14FD9546">
      <w:pPr>
        <w:spacing w:line="360" w:lineRule="auto"/>
        <w:ind w:firstLine="420" w:firstLineChars="200"/>
        <w:jc w:val="left"/>
        <w:rPr>
          <w:rFonts w:ascii="宋体" w:hAnsi="宋体"/>
          <w:color w:val="auto"/>
          <w:szCs w:val="21"/>
        </w:rPr>
      </w:pPr>
      <w:r>
        <w:rPr>
          <w:rFonts w:hint="eastAsia" w:ascii="宋体" w:hAnsi="宋体"/>
          <w:color w:val="auto"/>
          <w:szCs w:val="21"/>
        </w:rPr>
        <w:t>其他价格形式的计量方式和程序：</w:t>
      </w:r>
      <w:r>
        <w:rPr>
          <w:rFonts w:hint="eastAsia" w:ascii="宋体" w:hAnsi="宋体"/>
          <w:color w:val="auto"/>
          <w:szCs w:val="21"/>
          <w:u w:val="single"/>
        </w:rPr>
        <w:t>不采用</w:t>
      </w:r>
      <w:r>
        <w:rPr>
          <w:rFonts w:hint="eastAsia" w:ascii="宋体" w:hAnsi="宋体"/>
          <w:color w:val="auto"/>
          <w:szCs w:val="21"/>
        </w:rPr>
        <w:t>。</w:t>
      </w:r>
    </w:p>
    <w:p w14:paraId="10695029">
      <w:pPr>
        <w:pStyle w:val="7"/>
        <w:spacing w:before="0" w:beforeAutospacing="0" w:after="0" w:afterAutospacing="0" w:line="360" w:lineRule="auto"/>
        <w:ind w:firstLine="422" w:firstLineChars="200"/>
        <w:rPr>
          <w:color w:val="auto"/>
          <w:sz w:val="21"/>
          <w:szCs w:val="21"/>
        </w:rPr>
      </w:pPr>
      <w:bookmarkStart w:id="1610" w:name="_Toc532377386"/>
      <w:bookmarkStart w:id="1611" w:name="_Toc532375650"/>
      <w:bookmarkStart w:id="1612" w:name="_Hlk528928289"/>
      <w:r>
        <w:rPr>
          <w:rFonts w:hint="eastAsia"/>
          <w:color w:val="auto"/>
          <w:sz w:val="21"/>
          <w:szCs w:val="21"/>
        </w:rPr>
        <w:t>12.4 工程进度款支付</w:t>
      </w:r>
      <w:bookmarkEnd w:id="1610"/>
      <w:bookmarkEnd w:id="1611"/>
    </w:p>
    <w:bookmarkEnd w:id="1612"/>
    <w:p w14:paraId="7A50D0D1">
      <w:pPr>
        <w:spacing w:line="360" w:lineRule="auto"/>
        <w:ind w:firstLine="420" w:firstLineChars="200"/>
        <w:jc w:val="left"/>
        <w:rPr>
          <w:rFonts w:ascii="宋体" w:hAnsi="宋体"/>
          <w:color w:val="auto"/>
          <w:szCs w:val="21"/>
        </w:rPr>
      </w:pPr>
      <w:r>
        <w:rPr>
          <w:rFonts w:hint="eastAsia" w:ascii="宋体" w:hAnsi="宋体"/>
          <w:color w:val="auto"/>
          <w:szCs w:val="21"/>
        </w:rPr>
        <w:t>12.4.1 付款周期</w:t>
      </w:r>
    </w:p>
    <w:p w14:paraId="5A5F759C">
      <w:pPr>
        <w:spacing w:line="360" w:lineRule="auto"/>
        <w:ind w:firstLine="420" w:firstLineChars="200"/>
        <w:jc w:val="left"/>
        <w:rPr>
          <w:rFonts w:ascii="宋体" w:hAnsi="宋体"/>
          <w:color w:val="auto"/>
          <w:szCs w:val="21"/>
        </w:rPr>
      </w:pPr>
      <w:r>
        <w:rPr>
          <w:rFonts w:hint="eastAsia" w:ascii="宋体" w:hAnsi="宋体"/>
          <w:color w:val="auto"/>
          <w:szCs w:val="21"/>
        </w:rPr>
        <w:t>关于付款周期的约定：</w:t>
      </w:r>
      <w:r>
        <w:rPr>
          <w:rFonts w:hint="eastAsia" w:ascii="宋体" w:hAnsi="宋体"/>
          <w:color w:val="auto"/>
          <w:szCs w:val="21"/>
          <w:u w:val="single"/>
        </w:rPr>
        <w:t>按月计量支付进度款（按进度、按节点计量支付进度款的参考按月计量支付进度款原则执行）</w:t>
      </w:r>
      <w:r>
        <w:rPr>
          <w:rFonts w:hint="eastAsia" w:ascii="宋体" w:hAnsi="宋体"/>
          <w:color w:val="auto"/>
          <w:szCs w:val="21"/>
        </w:rPr>
        <w:t>。</w:t>
      </w:r>
    </w:p>
    <w:p w14:paraId="3DB49DFC">
      <w:pPr>
        <w:spacing w:line="360" w:lineRule="auto"/>
        <w:ind w:firstLine="420" w:firstLineChars="200"/>
        <w:jc w:val="left"/>
        <w:rPr>
          <w:rFonts w:ascii="宋体" w:hAnsi="宋体"/>
          <w:color w:val="auto"/>
          <w:szCs w:val="21"/>
        </w:rPr>
      </w:pPr>
      <w:r>
        <w:rPr>
          <w:rFonts w:hint="eastAsia" w:ascii="宋体" w:hAnsi="宋体"/>
          <w:color w:val="auto"/>
          <w:szCs w:val="21"/>
        </w:rPr>
        <w:t>12.4.2 进度付款申请单的编制</w:t>
      </w:r>
    </w:p>
    <w:p w14:paraId="17650A5E">
      <w:pPr>
        <w:spacing w:line="360" w:lineRule="auto"/>
        <w:ind w:firstLine="420" w:firstLineChars="200"/>
        <w:jc w:val="left"/>
        <w:rPr>
          <w:rFonts w:ascii="宋体" w:hAnsi="宋体"/>
          <w:color w:val="auto"/>
          <w:szCs w:val="21"/>
        </w:rPr>
      </w:pPr>
      <w:r>
        <w:rPr>
          <w:rFonts w:hint="eastAsia" w:ascii="宋体" w:hAnsi="宋体"/>
          <w:color w:val="auto"/>
          <w:szCs w:val="21"/>
        </w:rPr>
        <w:t>进度付款申请单应包括下列内容：</w:t>
      </w:r>
    </w:p>
    <w:p w14:paraId="7478C9C7">
      <w:pPr>
        <w:spacing w:line="360" w:lineRule="auto"/>
        <w:ind w:firstLine="420" w:firstLineChars="200"/>
        <w:jc w:val="left"/>
        <w:rPr>
          <w:rFonts w:ascii="宋体" w:hAnsi="宋体"/>
          <w:color w:val="auto"/>
          <w:szCs w:val="21"/>
        </w:rPr>
      </w:pPr>
      <w:r>
        <w:rPr>
          <w:rFonts w:hint="eastAsia" w:ascii="宋体" w:hAnsi="宋体"/>
          <w:color w:val="auto"/>
          <w:szCs w:val="21"/>
          <w:u w:val="single"/>
        </w:rPr>
        <w:t>（1）截至本次付款周期已完成工作对应的金额</w:t>
      </w:r>
      <w:r>
        <w:rPr>
          <w:rFonts w:hint="eastAsia" w:ascii="宋体" w:hAnsi="宋体"/>
          <w:color w:val="auto"/>
          <w:szCs w:val="21"/>
        </w:rPr>
        <w:t>；</w:t>
      </w:r>
    </w:p>
    <w:p w14:paraId="6CD3434F">
      <w:pPr>
        <w:spacing w:line="360" w:lineRule="auto"/>
        <w:ind w:firstLine="420" w:firstLineChars="200"/>
        <w:jc w:val="left"/>
        <w:rPr>
          <w:rFonts w:ascii="宋体" w:hAnsi="宋体"/>
          <w:color w:val="auto"/>
          <w:szCs w:val="21"/>
        </w:rPr>
      </w:pPr>
      <w:r>
        <w:rPr>
          <w:rFonts w:hint="eastAsia" w:ascii="宋体" w:hAnsi="宋体"/>
          <w:color w:val="auto"/>
          <w:szCs w:val="21"/>
          <w:u w:val="single"/>
        </w:rPr>
        <w:t>（2）根据第10条〔变更〕应增加和扣减的已审定变更金额</w:t>
      </w:r>
      <w:r>
        <w:rPr>
          <w:rFonts w:hint="eastAsia" w:ascii="宋体" w:hAnsi="宋体"/>
          <w:color w:val="auto"/>
          <w:szCs w:val="21"/>
        </w:rPr>
        <w:t>；</w:t>
      </w:r>
    </w:p>
    <w:p w14:paraId="763F783F">
      <w:pPr>
        <w:spacing w:line="360" w:lineRule="auto"/>
        <w:ind w:firstLine="420" w:firstLineChars="200"/>
        <w:jc w:val="left"/>
        <w:rPr>
          <w:rFonts w:ascii="宋体" w:hAnsi="宋体"/>
          <w:color w:val="auto"/>
          <w:szCs w:val="21"/>
        </w:rPr>
      </w:pPr>
      <w:r>
        <w:rPr>
          <w:rFonts w:hint="eastAsia" w:ascii="宋体" w:hAnsi="宋体"/>
          <w:color w:val="auto"/>
          <w:szCs w:val="21"/>
          <w:u w:val="single"/>
        </w:rPr>
        <w:t>（3）根据第12.2款〔预付款〕约定应支付的预付款和扣减的返还预付款</w:t>
      </w:r>
      <w:r>
        <w:rPr>
          <w:rFonts w:hint="eastAsia" w:ascii="宋体" w:hAnsi="宋体"/>
          <w:color w:val="auto"/>
          <w:szCs w:val="21"/>
        </w:rPr>
        <w:t>；</w:t>
      </w:r>
    </w:p>
    <w:p w14:paraId="68BDFB27">
      <w:pPr>
        <w:spacing w:line="360" w:lineRule="auto"/>
        <w:ind w:firstLine="420" w:firstLineChars="200"/>
        <w:jc w:val="left"/>
        <w:rPr>
          <w:rFonts w:ascii="宋体" w:hAnsi="宋体"/>
          <w:color w:val="auto"/>
          <w:szCs w:val="21"/>
        </w:rPr>
      </w:pPr>
      <w:r>
        <w:rPr>
          <w:rFonts w:hint="eastAsia" w:ascii="宋体" w:hAnsi="宋体"/>
          <w:color w:val="auto"/>
          <w:szCs w:val="21"/>
          <w:u w:val="single"/>
        </w:rPr>
        <w:t>（4）根据第15.3款〔质量保证金〕约定应扣减的质量保证金</w:t>
      </w:r>
      <w:r>
        <w:rPr>
          <w:rFonts w:hint="eastAsia" w:ascii="宋体" w:hAnsi="宋体"/>
          <w:color w:val="auto"/>
          <w:szCs w:val="21"/>
        </w:rPr>
        <w:t>；</w:t>
      </w:r>
    </w:p>
    <w:p w14:paraId="707D2885">
      <w:pPr>
        <w:spacing w:line="360" w:lineRule="auto"/>
        <w:ind w:firstLine="420" w:firstLineChars="200"/>
        <w:jc w:val="left"/>
        <w:rPr>
          <w:rFonts w:ascii="宋体" w:hAnsi="宋体"/>
          <w:color w:val="auto"/>
          <w:szCs w:val="21"/>
        </w:rPr>
      </w:pPr>
      <w:r>
        <w:rPr>
          <w:rFonts w:hint="eastAsia" w:ascii="宋体" w:hAnsi="宋体"/>
          <w:color w:val="auto"/>
          <w:szCs w:val="21"/>
          <w:u w:val="single"/>
        </w:rPr>
        <w:t>（5）根据第19条〔索赔〕应增加和扣减的已审定索赔金额</w:t>
      </w:r>
      <w:r>
        <w:rPr>
          <w:rFonts w:hint="eastAsia" w:ascii="宋体" w:hAnsi="宋体"/>
          <w:color w:val="auto"/>
          <w:szCs w:val="21"/>
        </w:rPr>
        <w:t>；</w:t>
      </w:r>
    </w:p>
    <w:p w14:paraId="310F606B">
      <w:pPr>
        <w:spacing w:line="360" w:lineRule="auto"/>
        <w:ind w:firstLine="420" w:firstLineChars="200"/>
        <w:jc w:val="left"/>
        <w:rPr>
          <w:rFonts w:ascii="宋体" w:hAnsi="宋体"/>
          <w:color w:val="auto"/>
          <w:szCs w:val="21"/>
        </w:rPr>
      </w:pPr>
      <w:r>
        <w:rPr>
          <w:rFonts w:hint="eastAsia" w:ascii="宋体" w:hAnsi="宋体"/>
          <w:color w:val="auto"/>
          <w:szCs w:val="21"/>
          <w:u w:val="single"/>
        </w:rPr>
        <w:t>（6）根据第11条〔价格调整〕应增加和扣减的价格调整金额</w:t>
      </w:r>
      <w:r>
        <w:rPr>
          <w:rFonts w:hint="eastAsia" w:ascii="宋体" w:hAnsi="宋体"/>
          <w:color w:val="auto"/>
          <w:szCs w:val="21"/>
        </w:rPr>
        <w:t>；</w:t>
      </w:r>
    </w:p>
    <w:p w14:paraId="437E7B21">
      <w:pPr>
        <w:spacing w:line="360" w:lineRule="auto"/>
        <w:ind w:firstLine="420" w:firstLineChars="200"/>
        <w:jc w:val="left"/>
        <w:rPr>
          <w:rFonts w:ascii="宋体" w:hAnsi="宋体"/>
          <w:color w:val="auto"/>
          <w:szCs w:val="21"/>
        </w:rPr>
      </w:pPr>
      <w:r>
        <w:rPr>
          <w:rFonts w:hint="eastAsia" w:ascii="宋体" w:hAnsi="宋体"/>
          <w:color w:val="auto"/>
          <w:szCs w:val="21"/>
          <w:u w:val="single"/>
        </w:rPr>
        <w:t>（7）对已签发的进度款支付证书中出现错误的修正，应在本次进度付款中支付或扣除的金额</w:t>
      </w:r>
      <w:r>
        <w:rPr>
          <w:rFonts w:hint="eastAsia" w:ascii="宋体" w:hAnsi="宋体"/>
          <w:color w:val="auto"/>
          <w:szCs w:val="21"/>
        </w:rPr>
        <w:t>；</w:t>
      </w:r>
    </w:p>
    <w:p w14:paraId="2BB363A7">
      <w:pPr>
        <w:spacing w:line="360" w:lineRule="auto"/>
        <w:ind w:firstLine="420" w:firstLineChars="200"/>
        <w:jc w:val="left"/>
        <w:rPr>
          <w:rFonts w:ascii="宋体" w:hAnsi="宋体"/>
          <w:color w:val="auto"/>
          <w:szCs w:val="21"/>
        </w:rPr>
      </w:pPr>
      <w:r>
        <w:rPr>
          <w:rFonts w:hint="eastAsia" w:ascii="宋体" w:hAnsi="宋体"/>
          <w:color w:val="auto"/>
          <w:szCs w:val="21"/>
          <w:u w:val="single"/>
        </w:rPr>
        <w:t>（8）根据合同约定承包人应向发包人支付的违约金</w:t>
      </w:r>
      <w:r>
        <w:rPr>
          <w:rFonts w:hint="eastAsia" w:ascii="宋体" w:hAnsi="宋体"/>
          <w:color w:val="auto"/>
          <w:szCs w:val="21"/>
        </w:rPr>
        <w:t>；</w:t>
      </w:r>
    </w:p>
    <w:p w14:paraId="0B42A8F7">
      <w:pPr>
        <w:spacing w:line="360" w:lineRule="auto"/>
        <w:ind w:firstLine="420" w:firstLineChars="200"/>
        <w:jc w:val="left"/>
        <w:rPr>
          <w:rFonts w:ascii="宋体" w:hAnsi="宋体"/>
          <w:color w:val="auto"/>
          <w:szCs w:val="21"/>
        </w:rPr>
      </w:pPr>
      <w:r>
        <w:rPr>
          <w:rFonts w:hint="eastAsia" w:ascii="宋体" w:hAnsi="宋体"/>
          <w:color w:val="auto"/>
          <w:szCs w:val="21"/>
          <w:u w:val="single"/>
        </w:rPr>
        <w:t>（9）根据合同约定发包人应向承包人支付的违约金和（或）奖励</w:t>
      </w:r>
      <w:r>
        <w:rPr>
          <w:rFonts w:hint="eastAsia" w:ascii="宋体" w:hAnsi="宋体"/>
          <w:color w:val="auto"/>
          <w:szCs w:val="21"/>
        </w:rPr>
        <w:t>；</w:t>
      </w:r>
    </w:p>
    <w:p w14:paraId="39DB5F48">
      <w:pPr>
        <w:spacing w:line="360" w:lineRule="auto"/>
        <w:ind w:firstLine="420" w:firstLineChars="200"/>
        <w:jc w:val="left"/>
        <w:rPr>
          <w:rFonts w:ascii="宋体" w:hAnsi="宋体"/>
          <w:color w:val="auto"/>
          <w:szCs w:val="21"/>
        </w:rPr>
      </w:pPr>
      <w:r>
        <w:rPr>
          <w:rFonts w:hint="eastAsia" w:ascii="宋体" w:hAnsi="宋体"/>
          <w:color w:val="auto"/>
          <w:szCs w:val="21"/>
          <w:u w:val="single"/>
        </w:rPr>
        <w:t>（10）根据合同约定应增加和扣减的其他金额</w:t>
      </w:r>
      <w:r>
        <w:rPr>
          <w:rFonts w:hint="eastAsia" w:ascii="宋体" w:hAnsi="宋体"/>
          <w:color w:val="auto"/>
          <w:szCs w:val="21"/>
        </w:rPr>
        <w:t>；</w:t>
      </w:r>
    </w:p>
    <w:p w14:paraId="22A8DA5D">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（11）当月应支付的人工费（工资款）金额</w:t>
      </w:r>
      <w:r>
        <w:rPr>
          <w:rFonts w:hint="eastAsia" w:ascii="宋体" w:hAnsi="宋体"/>
          <w:color w:val="auto"/>
          <w:szCs w:val="21"/>
        </w:rPr>
        <w:t>。</w:t>
      </w:r>
    </w:p>
    <w:p w14:paraId="0AED5725">
      <w:pPr>
        <w:spacing w:line="360" w:lineRule="auto"/>
        <w:ind w:firstLine="420" w:firstLineChars="200"/>
        <w:jc w:val="left"/>
        <w:rPr>
          <w:rFonts w:ascii="宋体" w:hAnsi="宋体"/>
          <w:color w:val="auto"/>
          <w:szCs w:val="21"/>
        </w:rPr>
      </w:pPr>
      <w:r>
        <w:rPr>
          <w:rFonts w:hint="eastAsia" w:ascii="宋体" w:hAnsi="宋体"/>
          <w:color w:val="auto"/>
          <w:szCs w:val="21"/>
        </w:rPr>
        <w:t>12.4.3 进度付款申请单的提交</w:t>
      </w:r>
    </w:p>
    <w:p w14:paraId="1664594A">
      <w:pPr>
        <w:spacing w:line="360" w:lineRule="auto"/>
        <w:ind w:firstLine="420" w:firstLineChars="200"/>
        <w:jc w:val="left"/>
        <w:rPr>
          <w:rFonts w:ascii="宋体" w:hAnsi="宋体"/>
          <w:color w:val="auto"/>
          <w:szCs w:val="21"/>
          <w:u w:val="single"/>
        </w:rPr>
      </w:pPr>
      <w:r>
        <w:rPr>
          <w:rFonts w:hint="eastAsia" w:ascii="宋体" w:hAnsi="宋体"/>
          <w:color w:val="auto"/>
          <w:szCs w:val="21"/>
        </w:rPr>
        <w:t>（1）单价合同进度付款申请单提交的约定：</w:t>
      </w:r>
      <w:r>
        <w:rPr>
          <w:rFonts w:hint="eastAsia" w:ascii="宋体" w:hAnsi="宋体"/>
          <w:color w:val="auto"/>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rPr>
        <w:t>。</w:t>
      </w:r>
    </w:p>
    <w:p w14:paraId="6ED50252">
      <w:pPr>
        <w:spacing w:line="360" w:lineRule="auto"/>
        <w:ind w:firstLine="420" w:firstLineChars="200"/>
        <w:jc w:val="left"/>
        <w:rPr>
          <w:rFonts w:ascii="宋体" w:hAnsi="宋体"/>
          <w:color w:val="auto"/>
          <w:szCs w:val="21"/>
          <w:u w:val="single"/>
        </w:rPr>
      </w:pPr>
      <w:r>
        <w:rPr>
          <w:rFonts w:hint="eastAsia" w:ascii="宋体" w:hAnsi="宋体"/>
          <w:color w:val="auto"/>
          <w:szCs w:val="21"/>
        </w:rPr>
        <w:t>（2）总价合同进度付款申请单提交的约定：</w:t>
      </w:r>
      <w:r>
        <w:rPr>
          <w:rFonts w:hint="eastAsia" w:ascii="宋体" w:hAnsi="宋体"/>
          <w:color w:val="auto"/>
          <w:szCs w:val="21"/>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rPr>
        <w:t>。</w:t>
      </w:r>
    </w:p>
    <w:p w14:paraId="57757399">
      <w:pPr>
        <w:spacing w:line="360" w:lineRule="auto"/>
        <w:ind w:firstLine="420" w:firstLineChars="200"/>
        <w:jc w:val="left"/>
        <w:rPr>
          <w:rFonts w:ascii="宋体" w:hAnsi="宋体"/>
          <w:color w:val="auto"/>
          <w:szCs w:val="21"/>
          <w:u w:val="single"/>
        </w:rPr>
      </w:pPr>
      <w:r>
        <w:rPr>
          <w:rFonts w:hint="eastAsia" w:ascii="宋体" w:hAnsi="宋体"/>
          <w:color w:val="auto"/>
          <w:szCs w:val="21"/>
        </w:rPr>
        <w:t>（3）其他价格形式合同进度付款申请单提交的约定：</w:t>
      </w:r>
      <w:r>
        <w:rPr>
          <w:rFonts w:hint="eastAsia" w:ascii="宋体" w:hAnsi="宋体"/>
          <w:color w:val="auto"/>
          <w:szCs w:val="21"/>
          <w:u w:val="single"/>
        </w:rPr>
        <w:t>不采用</w:t>
      </w:r>
      <w:r>
        <w:rPr>
          <w:rFonts w:hint="eastAsia" w:ascii="宋体" w:hAnsi="宋体"/>
          <w:color w:val="auto"/>
          <w:szCs w:val="21"/>
        </w:rPr>
        <w:t>。</w:t>
      </w:r>
    </w:p>
    <w:p w14:paraId="691A692D">
      <w:pPr>
        <w:spacing w:line="360" w:lineRule="auto"/>
        <w:ind w:firstLine="420" w:firstLineChars="200"/>
        <w:jc w:val="left"/>
        <w:rPr>
          <w:rFonts w:ascii="宋体" w:hAnsi="宋体"/>
          <w:color w:val="auto"/>
          <w:szCs w:val="21"/>
        </w:rPr>
      </w:pPr>
      <w:r>
        <w:rPr>
          <w:rFonts w:hint="eastAsia" w:ascii="宋体" w:hAnsi="宋体"/>
          <w:color w:val="auto"/>
          <w:szCs w:val="21"/>
        </w:rPr>
        <w:t>12.4.4 进度款审核和支付</w:t>
      </w:r>
    </w:p>
    <w:p w14:paraId="27C464A0">
      <w:pPr>
        <w:spacing w:line="360" w:lineRule="auto"/>
        <w:ind w:firstLine="420" w:firstLineChars="200"/>
        <w:jc w:val="left"/>
        <w:rPr>
          <w:rFonts w:ascii="宋体" w:hAnsi="宋体"/>
          <w:color w:val="auto"/>
          <w:szCs w:val="21"/>
          <w:u w:val="single"/>
        </w:rPr>
      </w:pPr>
      <w:r>
        <w:rPr>
          <w:rFonts w:hint="eastAsia" w:ascii="宋体" w:hAnsi="宋体"/>
          <w:color w:val="auto"/>
          <w:szCs w:val="21"/>
        </w:rPr>
        <w:t>（1）监理人审查并报送发包人的期限：</w:t>
      </w:r>
      <w:r>
        <w:rPr>
          <w:rFonts w:hint="eastAsia" w:ascii="宋体" w:hAnsi="宋体"/>
          <w:color w:val="auto"/>
          <w:szCs w:val="21"/>
          <w:u w:val="single"/>
        </w:rPr>
        <w:t>收到完整资料后7天内</w:t>
      </w:r>
      <w:r>
        <w:rPr>
          <w:rFonts w:hint="eastAsia" w:ascii="宋体" w:hAnsi="宋体"/>
          <w:color w:val="auto"/>
          <w:szCs w:val="21"/>
        </w:rPr>
        <w:t>。</w:t>
      </w:r>
    </w:p>
    <w:p w14:paraId="2FFE22D4">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发包人完成审批并签发进度款支付证书的期限：</w:t>
      </w:r>
      <w:r>
        <w:rPr>
          <w:rFonts w:hint="eastAsia" w:ascii="宋体" w:hAnsi="宋体"/>
          <w:color w:val="auto"/>
          <w:szCs w:val="21"/>
          <w:u w:val="single"/>
        </w:rPr>
        <w:t>发包人收到监理人报送资料后7天内完成审批并签发进度款支付证书</w:t>
      </w:r>
      <w:r>
        <w:rPr>
          <w:rFonts w:hint="eastAsia" w:ascii="宋体" w:hAnsi="宋体"/>
          <w:color w:val="auto"/>
          <w:szCs w:val="21"/>
        </w:rPr>
        <w:t>。</w:t>
      </w:r>
    </w:p>
    <w:p w14:paraId="34AED7EB">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537BB0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发包人签发进度款支付证书或临时进度款支付证书，不表明发包人已同意、批准或接受了承包人完成的相应部分的工作。</w:t>
      </w:r>
    </w:p>
    <w:p w14:paraId="3A067916">
      <w:pPr>
        <w:spacing w:line="360" w:lineRule="auto"/>
        <w:ind w:firstLine="420" w:firstLineChars="200"/>
        <w:jc w:val="left"/>
        <w:rPr>
          <w:rFonts w:ascii="宋体" w:hAnsi="宋体"/>
          <w:color w:val="auto"/>
          <w:szCs w:val="21"/>
        </w:rPr>
      </w:pPr>
      <w:r>
        <w:rPr>
          <w:rFonts w:hint="eastAsia" w:ascii="宋体" w:hAnsi="宋体"/>
          <w:color w:val="auto"/>
          <w:szCs w:val="21"/>
        </w:rPr>
        <w:t>（2）进度款支付：</w:t>
      </w:r>
    </w:p>
    <w:p w14:paraId="43F58025">
      <w:pPr>
        <w:spacing w:line="360" w:lineRule="auto"/>
        <w:ind w:firstLine="420" w:firstLineChars="200"/>
        <w:jc w:val="left"/>
        <w:rPr>
          <w:color w:val="auto"/>
        </w:rPr>
      </w:pPr>
      <w:r>
        <w:rPr>
          <w:rFonts w:hint="eastAsia"/>
          <w:color w:val="auto"/>
        </w:rPr>
        <w:t xml:space="preserve">①安全文明施工费：安全文明施工费的拨付仍按《重庆市建设工程安全文明施工费计取及使用管理规定》(渝建发〔2014〕25号）执行。 </w:t>
      </w:r>
    </w:p>
    <w:p w14:paraId="232FAA3D">
      <w:pPr>
        <w:spacing w:line="360" w:lineRule="auto"/>
        <w:ind w:firstLine="420" w:firstLineChars="200"/>
        <w:jc w:val="left"/>
        <w:rPr>
          <w:color w:val="auto"/>
        </w:rPr>
      </w:pPr>
      <w:r>
        <w:rPr>
          <w:rFonts w:hint="eastAsia"/>
          <w:color w:val="auto"/>
        </w:rPr>
        <w:t>②</w:t>
      </w:r>
      <w:r>
        <w:rPr>
          <w:rFonts w:hint="eastAsia" w:ascii="宋体" w:hAnsi="宋体"/>
          <w:iCs/>
          <w:color w:val="auto"/>
          <w:kern w:val="0"/>
          <w:szCs w:val="21"/>
        </w:rPr>
        <w:t>按月支付进度款，每月以发包人和全过程咨询单位审核的合格工程量的80%进行支付。工程竣工验收合格后，累计支付不超过合同建安工程费暂定总金额的80%；待工程竣工结算审计完成，并完成移交给相关管护单位后，支付至合同建安工程费结算金额的97%，其余3%为本工程质保金，工程质保金在缺陷责任期满后28日内无息付清。</w:t>
      </w:r>
      <w:r>
        <w:rPr>
          <w:rFonts w:hint="eastAsia"/>
          <w:color w:val="auto"/>
        </w:rPr>
        <w:t>（不计利息）</w:t>
      </w:r>
    </w:p>
    <w:p w14:paraId="2CBB2FCA">
      <w:pPr>
        <w:pStyle w:val="7"/>
        <w:spacing w:before="0" w:beforeAutospacing="0" w:after="0" w:afterAutospacing="0" w:line="360" w:lineRule="auto"/>
        <w:ind w:firstLine="422" w:firstLineChars="200"/>
        <w:rPr>
          <w:color w:val="auto"/>
          <w:sz w:val="21"/>
          <w:szCs w:val="21"/>
        </w:rPr>
      </w:pPr>
      <w:bookmarkStart w:id="1613" w:name="_Toc351203585"/>
      <w:bookmarkStart w:id="1614" w:name="_Toc532377387"/>
      <w:r>
        <w:rPr>
          <w:rFonts w:hint="eastAsia"/>
          <w:color w:val="auto"/>
          <w:sz w:val="21"/>
          <w:szCs w:val="21"/>
        </w:rPr>
        <w:t>12.5支付账户</w:t>
      </w:r>
      <w:bookmarkEnd w:id="1613"/>
      <w:bookmarkEnd w:id="1614"/>
    </w:p>
    <w:p w14:paraId="66FC2486">
      <w:pPr>
        <w:spacing w:line="360" w:lineRule="auto"/>
        <w:ind w:firstLine="420" w:firstLineChars="200"/>
        <w:jc w:val="left"/>
        <w:rPr>
          <w:rFonts w:ascii="宋体" w:hAnsi="宋体"/>
          <w:color w:val="auto"/>
          <w:szCs w:val="21"/>
        </w:rPr>
      </w:pPr>
      <w:r>
        <w:rPr>
          <w:rFonts w:hint="eastAsia" w:ascii="宋体" w:hAnsi="宋体"/>
          <w:color w:val="auto"/>
          <w:szCs w:val="21"/>
        </w:rPr>
        <w:t>发包人应将合同价款支付至如下承包人指定的开户银行及银行账户：</w:t>
      </w:r>
    </w:p>
    <w:p w14:paraId="6A5A882B">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收款单位名称：</w:t>
      </w:r>
      <w:r>
        <w:rPr>
          <w:rFonts w:ascii="宋体" w:hAnsi="宋体"/>
          <w:color w:val="auto"/>
          <w:kern w:val="0"/>
          <w:szCs w:val="21"/>
          <w:u w:val="single"/>
        </w:rPr>
        <w:t xml:space="preserve">                              </w:t>
      </w:r>
      <w:r>
        <w:rPr>
          <w:rFonts w:hint="eastAsia" w:ascii="宋体" w:hAnsi="宋体"/>
          <w:color w:val="auto"/>
          <w:kern w:val="0"/>
          <w:szCs w:val="21"/>
        </w:rPr>
        <w:t>；</w:t>
      </w:r>
    </w:p>
    <w:p w14:paraId="324D196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收款账号：</w:t>
      </w:r>
      <w:r>
        <w:rPr>
          <w:rFonts w:ascii="宋体" w:hAnsi="宋体"/>
          <w:color w:val="auto"/>
          <w:kern w:val="0"/>
          <w:szCs w:val="21"/>
          <w:u w:val="single"/>
        </w:rPr>
        <w:t xml:space="preserve">                                  </w:t>
      </w:r>
      <w:r>
        <w:rPr>
          <w:rFonts w:hint="eastAsia" w:ascii="宋体" w:hAnsi="宋体"/>
          <w:color w:val="auto"/>
          <w:kern w:val="0"/>
          <w:szCs w:val="21"/>
        </w:rPr>
        <w:t>；</w:t>
      </w:r>
    </w:p>
    <w:p w14:paraId="53D67F8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收款开户银行：</w:t>
      </w:r>
      <w:r>
        <w:rPr>
          <w:rFonts w:ascii="宋体" w:hAnsi="宋体"/>
          <w:color w:val="auto"/>
          <w:kern w:val="0"/>
          <w:szCs w:val="21"/>
          <w:u w:val="single"/>
        </w:rPr>
        <w:t xml:space="preserve">                              </w:t>
      </w:r>
      <w:r>
        <w:rPr>
          <w:rFonts w:hint="eastAsia" w:ascii="宋体" w:hAnsi="宋体"/>
          <w:color w:val="auto"/>
          <w:kern w:val="0"/>
          <w:szCs w:val="21"/>
        </w:rPr>
        <w:t>。</w:t>
      </w:r>
    </w:p>
    <w:p w14:paraId="4AFF50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发包人应将人工费（工资款）支付至如下承包人指定的农民工工资专用账户：</w:t>
      </w:r>
    </w:p>
    <w:p w14:paraId="45C1C9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开户银行：</w:t>
      </w:r>
      <w:r>
        <w:rPr>
          <w:rFonts w:hint="eastAsia" w:ascii="宋体" w:hAnsi="宋体"/>
          <w:color w:val="auto"/>
          <w:kern w:val="0"/>
          <w:szCs w:val="21"/>
          <w:u w:val="single"/>
        </w:rPr>
        <w:t xml:space="preserve">                              </w:t>
      </w:r>
      <w:r>
        <w:rPr>
          <w:rFonts w:hint="eastAsia" w:ascii="宋体" w:hAnsi="宋体"/>
          <w:color w:val="auto"/>
          <w:kern w:val="0"/>
          <w:szCs w:val="21"/>
        </w:rPr>
        <w:t>；</w:t>
      </w:r>
    </w:p>
    <w:p w14:paraId="4069C8E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农民工工资专用账户名称：</w:t>
      </w:r>
      <w:r>
        <w:rPr>
          <w:rFonts w:hint="eastAsia" w:ascii="宋体" w:hAnsi="宋体"/>
          <w:color w:val="auto"/>
          <w:kern w:val="0"/>
          <w:szCs w:val="21"/>
          <w:u w:val="single"/>
        </w:rPr>
        <w:t xml:space="preserve">                              </w:t>
      </w:r>
      <w:r>
        <w:rPr>
          <w:rFonts w:hint="eastAsia" w:ascii="宋体" w:hAnsi="宋体"/>
          <w:color w:val="auto"/>
          <w:kern w:val="0"/>
          <w:szCs w:val="21"/>
        </w:rPr>
        <w:t>；</w:t>
      </w:r>
    </w:p>
    <w:p w14:paraId="1348A3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农民工工资专用账户账号：</w:t>
      </w:r>
      <w:r>
        <w:rPr>
          <w:rFonts w:hint="eastAsia" w:ascii="宋体" w:hAnsi="宋体"/>
          <w:color w:val="auto"/>
          <w:kern w:val="0"/>
          <w:szCs w:val="21"/>
          <w:u w:val="single"/>
        </w:rPr>
        <w:t xml:space="preserve">                              </w:t>
      </w:r>
      <w:r>
        <w:rPr>
          <w:rFonts w:hint="eastAsia" w:ascii="宋体" w:hAnsi="宋体"/>
          <w:color w:val="auto"/>
          <w:kern w:val="0"/>
          <w:szCs w:val="21"/>
        </w:rPr>
        <w:t>。</w:t>
      </w:r>
    </w:p>
    <w:p w14:paraId="0E61BC37">
      <w:pPr>
        <w:pStyle w:val="6"/>
        <w:keepNext/>
        <w:keepLines/>
        <w:spacing w:beforeLines="50" w:beforeAutospacing="0" w:afterLines="50" w:afterAutospacing="0" w:line="360" w:lineRule="auto"/>
        <w:jc w:val="both"/>
        <w:rPr>
          <w:bCs w:val="0"/>
          <w:color w:val="auto"/>
          <w:kern w:val="2"/>
          <w:sz w:val="21"/>
          <w:szCs w:val="21"/>
        </w:rPr>
      </w:pPr>
      <w:bookmarkStart w:id="1615" w:name="_Toc532375651"/>
      <w:bookmarkStart w:id="1616" w:name="_Toc351203645"/>
      <w:bookmarkStart w:id="1617" w:name="_Toc532377388"/>
      <w:bookmarkStart w:id="1618" w:name="_Toc296891047"/>
      <w:bookmarkStart w:id="1619" w:name="_Toc296346720"/>
      <w:bookmarkStart w:id="1620" w:name="_Toc304295593"/>
      <w:bookmarkStart w:id="1621" w:name="_Toc296503219"/>
      <w:bookmarkStart w:id="1622" w:name="_Toc296944558"/>
      <w:bookmarkStart w:id="1623" w:name="_Toc297216223"/>
      <w:bookmarkStart w:id="1624" w:name="_Toc296891259"/>
      <w:bookmarkStart w:id="1625" w:name="_Toc297123564"/>
      <w:bookmarkStart w:id="1626" w:name="_Toc300935015"/>
      <w:bookmarkStart w:id="1627" w:name="_Toc292559929"/>
      <w:bookmarkStart w:id="1628" w:name="_Toc296347218"/>
      <w:bookmarkStart w:id="1629" w:name="_Toc297120519"/>
      <w:bookmarkStart w:id="1630" w:name="_Toc312678053"/>
      <w:bookmarkStart w:id="1631" w:name="_Toc303539172"/>
      <w:bookmarkStart w:id="1632" w:name="_Toc292559424"/>
      <w:bookmarkStart w:id="1633" w:name="_Toc297048405"/>
      <w:r>
        <w:rPr>
          <w:rFonts w:hint="eastAsia"/>
          <w:color w:val="auto"/>
          <w:kern w:val="2"/>
          <w:sz w:val="21"/>
          <w:szCs w:val="21"/>
        </w:rPr>
        <w:t>13. 验收和工程试车</w:t>
      </w:r>
      <w:bookmarkEnd w:id="1615"/>
      <w:bookmarkEnd w:id="1616"/>
      <w:bookmarkEnd w:id="1617"/>
    </w:p>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14:paraId="10763978">
      <w:pPr>
        <w:pStyle w:val="7"/>
        <w:spacing w:before="0" w:beforeAutospacing="0" w:after="0" w:afterAutospacing="0" w:line="360" w:lineRule="auto"/>
        <w:ind w:firstLine="422" w:firstLineChars="200"/>
        <w:rPr>
          <w:color w:val="auto"/>
          <w:sz w:val="21"/>
          <w:szCs w:val="21"/>
        </w:rPr>
      </w:pPr>
      <w:bookmarkStart w:id="1634" w:name="_Toc532377389"/>
      <w:bookmarkStart w:id="1635" w:name="_Toc532375652"/>
      <w:bookmarkStart w:id="1636" w:name="_Toc280868704"/>
      <w:bookmarkStart w:id="1637" w:name="_Toc280868705"/>
      <w:bookmarkStart w:id="1638" w:name="_Toc280868706"/>
      <w:bookmarkStart w:id="1639" w:name="_Toc280868707"/>
      <w:bookmarkStart w:id="1640" w:name="_Toc280868708"/>
      <w:bookmarkStart w:id="1641" w:name="_Toc267251474"/>
      <w:bookmarkStart w:id="1642" w:name="_Toc267251472"/>
      <w:bookmarkStart w:id="1643" w:name="_Toc267251473"/>
      <w:bookmarkStart w:id="1644" w:name="_Toc267251475"/>
      <w:bookmarkStart w:id="1645" w:name="_Toc267251471"/>
      <w:bookmarkStart w:id="1646" w:name="_Toc267251476"/>
      <w:bookmarkStart w:id="1647" w:name="_Toc267251470"/>
      <w:bookmarkStart w:id="1648" w:name="_Toc280868709"/>
      <w:r>
        <w:rPr>
          <w:rFonts w:hint="eastAsia"/>
          <w:color w:val="auto"/>
          <w:sz w:val="21"/>
          <w:szCs w:val="21"/>
        </w:rPr>
        <w:t>13.1 分部分项工程验收</w:t>
      </w:r>
      <w:bookmarkEnd w:id="1634"/>
      <w:bookmarkEnd w:id="1635"/>
    </w:p>
    <w:p w14:paraId="6D76295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13.1.2 监理人不能按时进行验收时，应提前</w:t>
      </w:r>
      <w:r>
        <w:rPr>
          <w:rFonts w:hint="eastAsia" w:ascii="宋体" w:hAnsi="宋体"/>
          <w:color w:val="auto"/>
          <w:szCs w:val="21"/>
          <w:u w:val="single"/>
        </w:rPr>
        <w:t>24</w:t>
      </w:r>
      <w:r>
        <w:rPr>
          <w:rFonts w:hint="eastAsia" w:ascii="宋体" w:hAnsi="宋体"/>
          <w:color w:val="auto"/>
          <w:szCs w:val="21"/>
        </w:rPr>
        <w:t>小时提交书面延期要求。</w:t>
      </w:r>
    </w:p>
    <w:p w14:paraId="68A2F91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关于延期最长不得超过：</w:t>
      </w:r>
      <w:r>
        <w:rPr>
          <w:rFonts w:hint="eastAsia" w:ascii="宋体" w:hAnsi="宋体"/>
          <w:color w:val="auto"/>
          <w:szCs w:val="21"/>
          <w:u w:val="single"/>
        </w:rPr>
        <w:t>48</w:t>
      </w:r>
      <w:r>
        <w:rPr>
          <w:rFonts w:hint="eastAsia" w:ascii="宋体" w:hAnsi="宋体"/>
          <w:color w:val="auto"/>
          <w:szCs w:val="21"/>
        </w:rPr>
        <w:t>小时。</w:t>
      </w:r>
    </w:p>
    <w:p w14:paraId="2937581B">
      <w:pPr>
        <w:pStyle w:val="7"/>
        <w:spacing w:before="0" w:beforeAutospacing="0" w:after="0" w:afterAutospacing="0" w:line="360" w:lineRule="auto"/>
        <w:ind w:firstLine="422" w:firstLineChars="200"/>
        <w:rPr>
          <w:color w:val="auto"/>
          <w:sz w:val="21"/>
          <w:szCs w:val="21"/>
        </w:rPr>
      </w:pPr>
      <w:bookmarkStart w:id="1649" w:name="_Toc532377390"/>
      <w:bookmarkStart w:id="1650" w:name="_Toc532375653"/>
      <w:bookmarkStart w:id="1651" w:name="_Toc292559933"/>
      <w:bookmarkStart w:id="1652" w:name="_Toc303539173"/>
      <w:bookmarkStart w:id="1653" w:name="_Toc296503223"/>
      <w:bookmarkStart w:id="1654" w:name="_Toc296346724"/>
      <w:bookmarkStart w:id="1655" w:name="_Toc312678056"/>
      <w:bookmarkStart w:id="1656" w:name="_Toc296891263"/>
      <w:bookmarkStart w:id="1657" w:name="_Toc296347222"/>
      <w:bookmarkStart w:id="1658" w:name="_Toc297120523"/>
      <w:bookmarkStart w:id="1659" w:name="_Toc296944562"/>
      <w:bookmarkStart w:id="1660" w:name="_Toc300935016"/>
      <w:bookmarkStart w:id="1661" w:name="_Toc297048409"/>
      <w:bookmarkStart w:id="1662" w:name="_Toc292559428"/>
      <w:bookmarkStart w:id="1663" w:name="_Toc296891051"/>
      <w:bookmarkStart w:id="1664" w:name="_Toc297123565"/>
      <w:bookmarkStart w:id="1665" w:name="_Toc297216224"/>
      <w:bookmarkStart w:id="1666" w:name="_Toc304295596"/>
      <w:r>
        <w:rPr>
          <w:rFonts w:hint="eastAsia"/>
          <w:color w:val="auto"/>
          <w:sz w:val="21"/>
          <w:szCs w:val="21"/>
        </w:rPr>
        <w:t>13.2 竣工验收</w:t>
      </w:r>
      <w:bookmarkEnd w:id="1649"/>
      <w:bookmarkEnd w:id="1650"/>
    </w:p>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14:paraId="45BDB6F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13.2.2竣工验收程序</w:t>
      </w:r>
    </w:p>
    <w:bookmarkEnd w:id="1636"/>
    <w:p w14:paraId="05A56C8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关于竣工验收程序的约定：工程完工且符合下列条件时，承包人可向发包人提供竣工报告，并要求验收：</w:t>
      </w:r>
    </w:p>
    <w:p w14:paraId="44FE074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（1）除发包人同意的甩项工作和缺陷修补工作外，合同范围内的全部工程以及有关工作，包括合同要求的试验、试运行以及检验均已完成，并符合合同要求；</w:t>
      </w:r>
    </w:p>
    <w:p w14:paraId="4C8C673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（2）已按合同约定编制了甩项工作和缺陷修补工作清单以及相应的施工计划；</w:t>
      </w:r>
    </w:p>
    <w:p w14:paraId="7CC3F43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（3）已按合同约定的内容和份数备齐竣工资料。</w:t>
      </w:r>
    </w:p>
    <w:p w14:paraId="3396CFB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14:paraId="348BA06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工程竣工及竣工资料：</w:t>
      </w:r>
    </w:p>
    <w:p w14:paraId="51BE205F">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rPr>
        <w:t>。</w:t>
      </w:r>
    </w:p>
    <w:p w14:paraId="3BC5AD0C">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rPr>
        <w:t>。</w:t>
      </w:r>
    </w:p>
    <w:p w14:paraId="1F1BBCBD">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（3）承包人提供竣工资料的约定：</w:t>
      </w:r>
      <w:r>
        <w:rPr>
          <w:rFonts w:hint="eastAsia" w:ascii="宋体" w:hAnsi="宋体"/>
          <w:color w:val="auto"/>
          <w:szCs w:val="21"/>
          <w:u w:val="single"/>
        </w:rPr>
        <w:t>承包人提供纸质版竣工图三套，电子版竣工图二套（刻光盘）</w:t>
      </w:r>
      <w:r>
        <w:rPr>
          <w:rFonts w:hint="eastAsia" w:ascii="宋体" w:hAnsi="宋体"/>
          <w:color w:val="auto"/>
          <w:szCs w:val="21"/>
        </w:rPr>
        <w:t>。</w:t>
      </w:r>
    </w:p>
    <w:bookmarkEnd w:id="1637"/>
    <w:p w14:paraId="0D8275D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13.2.5 移交、接收全部与部分工程</w:t>
      </w:r>
    </w:p>
    <w:bookmarkEnd w:id="1638"/>
    <w:p w14:paraId="659779EF">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承包人向发包人移交工程的期限：</w:t>
      </w:r>
      <w:r>
        <w:rPr>
          <w:rFonts w:hint="eastAsia" w:ascii="宋体" w:hAnsi="宋体"/>
          <w:color w:val="auto"/>
          <w:szCs w:val="21"/>
          <w:u w:val="single"/>
        </w:rPr>
        <w:t>颁发工程接收证书后7天内完成工程的移交</w:t>
      </w:r>
      <w:r>
        <w:rPr>
          <w:rFonts w:hint="eastAsia" w:ascii="宋体" w:hAnsi="宋体"/>
          <w:color w:val="auto"/>
          <w:szCs w:val="21"/>
        </w:rPr>
        <w:t>。</w:t>
      </w:r>
    </w:p>
    <w:p w14:paraId="32017256">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发包人未按合同约定接收全部或部分工程的，违约金的计算方法为：发包人自应当接收工程之日起承担工程照管、成品保护、保管等与工程有关的各项费用。</w:t>
      </w:r>
    </w:p>
    <w:bookmarkEnd w:id="1639"/>
    <w:p w14:paraId="0D9C84D6">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因承包人自身原因未按时移交工程的，违约金的计算方法为：</w:t>
      </w:r>
      <w:r>
        <w:rPr>
          <w:rFonts w:hint="eastAsia" w:ascii="宋体" w:hAnsi="宋体"/>
          <w:color w:val="auto"/>
          <w:szCs w:val="21"/>
          <w:u w:val="single"/>
        </w:rPr>
        <w:t>承包人应承担工程照管、成品保护、保管等与工程有关的各项费用，并按经审定结算金额的0.5‰/天支付违约金</w:t>
      </w:r>
      <w:r>
        <w:rPr>
          <w:rFonts w:hint="eastAsia" w:ascii="宋体" w:hAnsi="宋体"/>
          <w:color w:val="auto"/>
          <w:szCs w:val="21"/>
        </w:rPr>
        <w:t>。</w:t>
      </w:r>
    </w:p>
    <w:p w14:paraId="67BD40A8">
      <w:pPr>
        <w:pStyle w:val="7"/>
        <w:spacing w:before="0" w:beforeAutospacing="0" w:after="0" w:afterAutospacing="0" w:line="360" w:lineRule="auto"/>
        <w:ind w:firstLine="422" w:firstLineChars="200"/>
        <w:rPr>
          <w:color w:val="auto"/>
          <w:sz w:val="21"/>
          <w:szCs w:val="21"/>
        </w:rPr>
      </w:pPr>
      <w:bookmarkStart w:id="1667" w:name="_Toc532377391"/>
      <w:bookmarkStart w:id="1668" w:name="_Toc532375654"/>
      <w:r>
        <w:rPr>
          <w:rFonts w:hint="eastAsia"/>
          <w:color w:val="auto"/>
          <w:sz w:val="21"/>
          <w:szCs w:val="21"/>
        </w:rPr>
        <w:t>13.3 工程试车</w:t>
      </w:r>
      <w:bookmarkEnd w:id="1667"/>
      <w:bookmarkEnd w:id="1668"/>
    </w:p>
    <w:p w14:paraId="2AD15BA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13.3.1 试车程序</w:t>
      </w:r>
    </w:p>
    <w:p w14:paraId="6D47B54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工程试车内容：</w:t>
      </w:r>
      <w:r>
        <w:rPr>
          <w:rFonts w:hint="eastAsia" w:ascii="宋体" w:hAnsi="宋体"/>
          <w:color w:val="auto"/>
          <w:szCs w:val="21"/>
          <w:u w:val="single"/>
        </w:rPr>
        <w:t>按通用合同条款执行</w:t>
      </w:r>
      <w:r>
        <w:rPr>
          <w:rFonts w:hint="eastAsia" w:ascii="宋体" w:hAnsi="宋体"/>
          <w:color w:val="auto"/>
          <w:szCs w:val="21"/>
        </w:rPr>
        <w:t>。</w:t>
      </w:r>
    </w:p>
    <w:p w14:paraId="07B01BD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（1）单机无负荷试车费用由</w:t>
      </w:r>
      <w:r>
        <w:rPr>
          <w:rFonts w:hint="eastAsia" w:ascii="宋体" w:hAnsi="宋体"/>
          <w:color w:val="auto"/>
          <w:szCs w:val="21"/>
          <w:u w:val="single"/>
        </w:rPr>
        <w:t>承包人</w:t>
      </w:r>
      <w:r>
        <w:rPr>
          <w:rFonts w:hint="eastAsia" w:ascii="宋体" w:hAnsi="宋体"/>
          <w:color w:val="auto"/>
          <w:szCs w:val="21"/>
        </w:rPr>
        <w:t>承担；</w:t>
      </w:r>
    </w:p>
    <w:p w14:paraId="4B527A1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（2）无负荷联动试车费用由</w:t>
      </w:r>
      <w:r>
        <w:rPr>
          <w:rFonts w:hint="eastAsia" w:ascii="宋体" w:hAnsi="宋体"/>
          <w:color w:val="auto"/>
          <w:szCs w:val="21"/>
          <w:u w:val="single"/>
        </w:rPr>
        <w:t>承包人</w:t>
      </w:r>
      <w:r>
        <w:rPr>
          <w:rFonts w:hint="eastAsia" w:ascii="宋体" w:hAnsi="宋体"/>
          <w:color w:val="auto"/>
          <w:szCs w:val="21"/>
        </w:rPr>
        <w:t>承担。</w:t>
      </w:r>
    </w:p>
    <w:p w14:paraId="5CBBA629">
      <w:pPr>
        <w:pStyle w:val="7"/>
        <w:spacing w:before="0" w:beforeAutospacing="0" w:after="0" w:afterAutospacing="0" w:line="360" w:lineRule="auto"/>
        <w:ind w:firstLine="422" w:firstLineChars="200"/>
        <w:rPr>
          <w:color w:val="auto"/>
          <w:sz w:val="21"/>
          <w:szCs w:val="21"/>
        </w:rPr>
      </w:pPr>
      <w:bookmarkStart w:id="1669" w:name="_Toc532375655"/>
      <w:bookmarkStart w:id="1670" w:name="_Toc532377392"/>
      <w:r>
        <w:rPr>
          <w:rFonts w:hint="eastAsia"/>
          <w:color w:val="auto"/>
          <w:sz w:val="21"/>
          <w:szCs w:val="21"/>
        </w:rPr>
        <w:t>13.6 竣工退场</w:t>
      </w:r>
      <w:bookmarkEnd w:id="1669"/>
      <w:bookmarkEnd w:id="1670"/>
    </w:p>
    <w:p w14:paraId="3019E01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13.6.1 竣工退场</w:t>
      </w:r>
    </w:p>
    <w:p w14:paraId="0326CCD3">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承包人完成竣工退场的期限：</w:t>
      </w:r>
      <w:r>
        <w:rPr>
          <w:rFonts w:hint="eastAsia" w:ascii="宋体" w:hAnsi="宋体"/>
          <w:color w:val="auto"/>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rPr>
        <w:t>。</w:t>
      </w:r>
    </w:p>
    <w:bookmarkEnd w:id="1640"/>
    <w:p w14:paraId="54D35994">
      <w:pPr>
        <w:pStyle w:val="6"/>
        <w:keepNext/>
        <w:keepLines/>
        <w:spacing w:beforeLines="50" w:beforeAutospacing="0" w:afterLines="50" w:afterAutospacing="0" w:line="360" w:lineRule="auto"/>
        <w:jc w:val="both"/>
        <w:rPr>
          <w:bCs w:val="0"/>
          <w:color w:val="auto"/>
          <w:kern w:val="2"/>
          <w:sz w:val="21"/>
          <w:szCs w:val="21"/>
        </w:rPr>
      </w:pPr>
      <w:bookmarkStart w:id="1671" w:name="_Toc532375656"/>
      <w:bookmarkStart w:id="1672" w:name="_Toc351203646"/>
      <w:bookmarkStart w:id="1673" w:name="_Toc532377393"/>
      <w:r>
        <w:rPr>
          <w:rFonts w:hint="eastAsia"/>
          <w:color w:val="auto"/>
          <w:kern w:val="2"/>
          <w:sz w:val="21"/>
          <w:szCs w:val="21"/>
        </w:rPr>
        <w:t>14. 竣工结算</w:t>
      </w:r>
      <w:bookmarkEnd w:id="1671"/>
      <w:bookmarkEnd w:id="1672"/>
      <w:bookmarkEnd w:id="1673"/>
    </w:p>
    <w:p w14:paraId="25F66402">
      <w:pPr>
        <w:pStyle w:val="7"/>
        <w:spacing w:before="0" w:beforeAutospacing="0" w:after="0" w:afterAutospacing="0" w:line="360" w:lineRule="auto"/>
        <w:ind w:firstLine="422" w:firstLineChars="200"/>
        <w:rPr>
          <w:color w:val="auto"/>
          <w:sz w:val="21"/>
          <w:szCs w:val="21"/>
        </w:rPr>
      </w:pPr>
      <w:bookmarkStart w:id="1674" w:name="_Toc532375657"/>
      <w:bookmarkStart w:id="1675" w:name="_Toc532377394"/>
      <w:r>
        <w:rPr>
          <w:rFonts w:hint="eastAsia"/>
          <w:color w:val="auto"/>
          <w:sz w:val="21"/>
          <w:szCs w:val="21"/>
        </w:rPr>
        <w:t>14.1 竣工结算申请</w:t>
      </w:r>
      <w:bookmarkEnd w:id="1674"/>
      <w:bookmarkEnd w:id="1675"/>
    </w:p>
    <w:p w14:paraId="427915AE">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承包人提交竣工结算申请单的期限：</w:t>
      </w:r>
      <w:r>
        <w:rPr>
          <w:rFonts w:hint="eastAsia" w:ascii="宋体" w:hAnsi="宋体"/>
          <w:color w:val="auto"/>
          <w:szCs w:val="21"/>
          <w:u w:val="single"/>
        </w:rPr>
        <w:t>承包人应在工程竣工验收合格且报送</w:t>
      </w:r>
      <w:r>
        <w:rPr>
          <w:rFonts w:ascii="宋体" w:hAnsi="宋体"/>
          <w:color w:val="auto"/>
          <w:szCs w:val="21"/>
          <w:u w:val="single"/>
        </w:rPr>
        <w:t>完整工程竣工资料</w:t>
      </w:r>
      <w:r>
        <w:rPr>
          <w:rFonts w:hint="eastAsia" w:ascii="宋体" w:hAnsi="宋体"/>
          <w:color w:val="auto"/>
          <w:szCs w:val="21"/>
          <w:u w:val="single"/>
        </w:rPr>
        <w:t>之日起28天内向监理人、发包人提交竣工结算申请单，并向发包人报送完整的工程竣工资料及经监理人初审确认的完整的竣工结算资料</w:t>
      </w:r>
      <w:bookmarkStart w:id="1676" w:name="_Hlk524297994"/>
      <w:r>
        <w:rPr>
          <w:rFonts w:hint="eastAsia" w:ascii="宋体" w:hAnsi="宋体"/>
          <w:color w:val="auto"/>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1B5BA4A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竣工结算申请单包括但不限于以下内容：</w:t>
      </w:r>
    </w:p>
    <w:p w14:paraId="258BF98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（1）竣工结算合同价格；</w:t>
      </w:r>
    </w:p>
    <w:p w14:paraId="3107F96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（2）变更增减金额；</w:t>
      </w:r>
    </w:p>
    <w:p w14:paraId="12A1141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（3）现场签证增减金额；</w:t>
      </w:r>
    </w:p>
    <w:p w14:paraId="6F037BB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（4）索赔增减金额；</w:t>
      </w:r>
    </w:p>
    <w:p w14:paraId="5AA0EFC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（5）奖励、罚金及违约金；</w:t>
      </w:r>
    </w:p>
    <w:p w14:paraId="0FAB29E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（6）发包人已支付承包人的款项；</w:t>
      </w:r>
    </w:p>
    <w:p w14:paraId="114F832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（7）应扣留的质量保证金；</w:t>
      </w:r>
    </w:p>
    <w:p w14:paraId="4B68746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（8）发包人应支付承包人的合同价款。</w:t>
      </w:r>
      <w:bookmarkEnd w:id="1676"/>
    </w:p>
    <w:p w14:paraId="41C5189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 xml:space="preserve">        </w:t>
      </w:r>
      <w:r>
        <w:rPr>
          <w:rFonts w:hint="eastAsia" w:ascii="宋体" w:hAnsi="宋体"/>
          <w:color w:val="auto"/>
          <w:szCs w:val="21"/>
        </w:rPr>
        <w:t>。</w:t>
      </w:r>
    </w:p>
    <w:p w14:paraId="08282444">
      <w:pPr>
        <w:pStyle w:val="7"/>
        <w:spacing w:before="0" w:beforeAutospacing="0" w:after="0" w:afterAutospacing="0" w:line="360" w:lineRule="auto"/>
        <w:ind w:firstLine="422" w:firstLineChars="200"/>
        <w:rPr>
          <w:color w:val="auto"/>
          <w:sz w:val="21"/>
          <w:szCs w:val="21"/>
        </w:rPr>
      </w:pPr>
      <w:bookmarkStart w:id="1677" w:name="_Toc532375658"/>
      <w:bookmarkStart w:id="1678" w:name="_Toc532377395"/>
      <w:r>
        <w:rPr>
          <w:rFonts w:hint="eastAsia"/>
          <w:color w:val="auto"/>
          <w:sz w:val="21"/>
          <w:szCs w:val="21"/>
        </w:rPr>
        <w:t>14.2 竣工结算审核</w:t>
      </w:r>
      <w:bookmarkEnd w:id="1677"/>
      <w:bookmarkEnd w:id="1678"/>
    </w:p>
    <w:p w14:paraId="06D908B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 竣工结算办法</w:t>
      </w:r>
    </w:p>
    <w:p w14:paraId="5A6811E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14.2.1.1计量原则</w:t>
      </w:r>
    </w:p>
    <w:p w14:paraId="7C2EF8D9">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按照第12.3.1项〔计量原则〕约定执行。</w:t>
      </w:r>
    </w:p>
    <w:p w14:paraId="00EB1DC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14.2.1.2计价原则</w:t>
      </w:r>
    </w:p>
    <w:p w14:paraId="09B7A97E">
      <w:pPr>
        <w:tabs>
          <w:tab w:val="left" w:pos="711"/>
          <w:tab w:val="left" w:pos="2580"/>
        </w:tabs>
        <w:spacing w:line="360" w:lineRule="auto"/>
        <w:ind w:right="105" w:rightChars="50" w:firstLine="420" w:firstLineChars="200"/>
        <w:jc w:val="left"/>
        <w:textAlignment w:val="baseline"/>
        <w:rPr>
          <w:color w:val="auto"/>
          <w:u w:val="single"/>
        </w:rPr>
      </w:pPr>
      <w:r>
        <w:rPr>
          <w:rFonts w:hint="eastAsia"/>
          <w:color w:val="auto"/>
          <w:u w:val="single"/>
        </w:rPr>
        <w:t xml:space="preserve">各部分的结算原则如下： </w:t>
      </w:r>
    </w:p>
    <w:p w14:paraId="5EAE0C8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结算价=已完工合格分部分项工程量清单结算价+措施费（安全文明施工费除外）+分部分项工程量清单新增或变更等引起的增（减）子项结算价+暂列金额确定价+安全文明施工费+规费+税金</w:t>
      </w:r>
    </w:p>
    <w:p w14:paraId="5D09D5F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各部分的结算原则如下： </w:t>
      </w:r>
    </w:p>
    <w:p w14:paraId="21B0ED9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3.1各分部分项工程量清单结算价：</w:t>
      </w:r>
    </w:p>
    <w:p w14:paraId="2464B73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以中标人投标报价时的分部分项工程量清单中子项综合单价×子项工程量。</w:t>
      </w:r>
    </w:p>
    <w:p w14:paraId="187CE20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5D16749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14:paraId="45E3BC7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3.2措施项目费。</w:t>
      </w:r>
    </w:p>
    <w:p w14:paraId="21ABAA0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64D2D94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14:paraId="7E8D205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3.3安全文明施工费：施工合同签订后10日内支付安全文明施工方费暂定金额的50%，剩余部分随工程进度支付，其余规定按渝建发〔2014〕25号文结合渝建发〔2016〕35号、渝建管〔2020〕97号文规定执行。</w:t>
      </w:r>
    </w:p>
    <w:p w14:paraId="32C9CD6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3.4规费：按规定费率结算。</w:t>
      </w:r>
    </w:p>
    <w:p w14:paraId="162E2A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3.5税金：按规定费率结算。若中标人的投标报价中税金费率高于规定费率，则以规定费率结算。投标报价中低于规定费率则以中标人的费率结算。</w:t>
      </w:r>
    </w:p>
    <w:p w14:paraId="638BE29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09227BA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C0997B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4D0BBA2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3.7本工程结算以审核结果为准，若需相关部门结（决）算审查的，采购人将对工程结算审核价款进行调整，最后价格以调整后的为准。审计依据包括本合同以及政府审计相关法律法规及规范性文件。</w:t>
      </w:r>
    </w:p>
    <w:p w14:paraId="0F99ED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3.8分部分项清单中相同项目名称、项目特征、工作内容、计量单位的清单投标报价必须一致，若不一致按最低报价进行结算。</w:t>
      </w:r>
    </w:p>
    <w:p w14:paraId="380F69CF">
      <w:pPr>
        <w:pStyle w:val="2"/>
        <w:ind w:firstLine="420" w:firstLineChars="200"/>
        <w:rPr>
          <w:color w:val="auto"/>
        </w:rPr>
      </w:pPr>
      <w:r>
        <w:rPr>
          <w:rFonts w:hint="eastAsia"/>
          <w:color w:val="auto"/>
        </w:rPr>
        <w:t>3.9本项目</w:t>
      </w:r>
      <w:r>
        <w:rPr>
          <w:color w:val="auto"/>
        </w:rPr>
        <w:t>不因市场价格的波动调整材料价格</w:t>
      </w:r>
      <w:r>
        <w:rPr>
          <w:rFonts w:hint="eastAsia"/>
          <w:color w:val="auto"/>
        </w:rPr>
        <w:t>。</w:t>
      </w:r>
    </w:p>
    <w:p w14:paraId="0671AC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w:t>
      </w:r>
      <w:r>
        <w:rPr>
          <w:rFonts w:ascii="宋体" w:hAnsi="宋体"/>
          <w:color w:val="auto"/>
          <w:kern w:val="0"/>
          <w:szCs w:val="21"/>
        </w:rPr>
        <w:t>10</w:t>
      </w:r>
      <w:r>
        <w:rPr>
          <w:rFonts w:hint="eastAsia" w:ascii="宋体" w:hAnsi="宋体"/>
          <w:color w:val="auto"/>
          <w:kern w:val="0"/>
          <w:szCs w:val="21"/>
        </w:rPr>
        <w:t>据实结算后不得超过概算批复</w:t>
      </w:r>
      <w:r>
        <w:rPr>
          <w:rFonts w:ascii="宋体" w:hAnsi="宋体"/>
          <w:color w:val="auto"/>
          <w:kern w:val="0"/>
          <w:szCs w:val="21"/>
        </w:rPr>
        <w:t>的建安工程费，超过部分不予结算</w:t>
      </w:r>
      <w:r>
        <w:rPr>
          <w:rFonts w:hint="eastAsia" w:ascii="宋体" w:hAnsi="宋体"/>
          <w:color w:val="auto"/>
          <w:kern w:val="0"/>
          <w:szCs w:val="21"/>
        </w:rPr>
        <w:t>。</w:t>
      </w:r>
    </w:p>
    <w:p w14:paraId="0030FEEF">
      <w:pPr>
        <w:spacing w:line="360" w:lineRule="auto"/>
        <w:ind w:firstLine="422" w:firstLineChars="200"/>
        <w:jc w:val="left"/>
        <w:rPr>
          <w:rFonts w:ascii="宋体" w:hAnsi="宋体"/>
          <w:b/>
          <w:bCs/>
          <w:color w:val="auto"/>
          <w:szCs w:val="21"/>
        </w:rPr>
      </w:pPr>
      <w:r>
        <w:rPr>
          <w:rFonts w:hint="eastAsia" w:ascii="宋体" w:hAnsi="宋体"/>
          <w:b/>
          <w:bCs/>
          <w:color w:val="auto"/>
          <w:szCs w:val="21"/>
        </w:rPr>
        <w:t>14.3审减效益费：</w:t>
      </w:r>
    </w:p>
    <w:p w14:paraId="0A2BFB0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委托方只支付基本审计费，所有审减金额的效益费由投标人支付；按规定应由施工单位支付审减效益费的，中标人须根据其审减金额按附表中相关规定计算。</w:t>
      </w:r>
    </w:p>
    <w:p w14:paraId="3A5B982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14:paraId="0B413B0E">
      <w:pPr>
        <w:pStyle w:val="2"/>
        <w:ind w:firstLine="422" w:firstLineChars="200"/>
        <w:rPr>
          <w:color w:val="auto"/>
        </w:rPr>
      </w:pPr>
      <w:r>
        <w:rPr>
          <w:rFonts w:hint="eastAsia" w:ascii="宋体" w:hAnsi="宋体"/>
          <w:b/>
          <w:bCs/>
          <w:color w:val="auto"/>
          <w:kern w:val="0"/>
          <w:szCs w:val="21"/>
        </w:rPr>
        <w:t>特别说明：渣场处置费必须按照工程量清单综合单价价格45元/m³填报，否则由评标委员会作否决投标处理。</w:t>
      </w:r>
    </w:p>
    <w:p w14:paraId="3D88530D">
      <w:pPr>
        <w:pStyle w:val="7"/>
        <w:spacing w:before="0" w:beforeAutospacing="0" w:after="0" w:afterAutospacing="0" w:line="360" w:lineRule="auto"/>
        <w:ind w:firstLine="422" w:firstLineChars="200"/>
        <w:rPr>
          <w:color w:val="auto"/>
          <w:sz w:val="21"/>
          <w:szCs w:val="21"/>
        </w:rPr>
      </w:pPr>
      <w:bookmarkStart w:id="1679" w:name="_Toc532377396"/>
      <w:bookmarkStart w:id="1680" w:name="_Toc532375659"/>
      <w:r>
        <w:rPr>
          <w:rFonts w:hint="eastAsia"/>
          <w:color w:val="auto"/>
          <w:sz w:val="21"/>
          <w:szCs w:val="21"/>
        </w:rPr>
        <w:t>14.4 最终结清</w:t>
      </w:r>
      <w:bookmarkEnd w:id="1679"/>
      <w:bookmarkEnd w:id="1680"/>
    </w:p>
    <w:p w14:paraId="01B66D0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14.4.1 最终结清申请单</w:t>
      </w:r>
    </w:p>
    <w:p w14:paraId="34E0936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承包人提交最终结清申请单的份数：</w:t>
      </w:r>
      <w:r>
        <w:rPr>
          <w:rFonts w:hint="eastAsia" w:ascii="宋体" w:hAnsi="宋体"/>
          <w:color w:val="auto"/>
          <w:szCs w:val="21"/>
          <w:u w:val="single"/>
        </w:rPr>
        <w:t>3份</w:t>
      </w:r>
      <w:r>
        <w:rPr>
          <w:rFonts w:hint="eastAsia" w:ascii="宋体" w:hAnsi="宋体"/>
          <w:color w:val="auto"/>
          <w:szCs w:val="21"/>
        </w:rPr>
        <w:t>。</w:t>
      </w:r>
    </w:p>
    <w:p w14:paraId="1AF2D86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承包人提交最终结算申请单的期限：</w:t>
      </w:r>
      <w:r>
        <w:rPr>
          <w:rFonts w:hint="eastAsia" w:ascii="宋体" w:hAnsi="宋体"/>
          <w:color w:val="auto"/>
          <w:szCs w:val="21"/>
          <w:u w:val="single"/>
        </w:rPr>
        <w:t>缺陷责任期终止证书颁发后14天内</w:t>
      </w:r>
      <w:r>
        <w:rPr>
          <w:rFonts w:hint="eastAsia" w:ascii="宋体" w:hAnsi="宋体"/>
          <w:color w:val="auto"/>
          <w:szCs w:val="21"/>
        </w:rPr>
        <w:t>。</w:t>
      </w:r>
    </w:p>
    <w:p w14:paraId="190F0DB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14.4.2 最终结清证书和支付</w:t>
      </w:r>
    </w:p>
    <w:p w14:paraId="3D08A6C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（1）发包人完成最终结清申请单的审批并颁发最终结清证书的期限：</w:t>
      </w:r>
      <w:r>
        <w:rPr>
          <w:rFonts w:hint="eastAsia" w:ascii="宋体" w:hAnsi="宋体"/>
          <w:color w:val="auto"/>
          <w:szCs w:val="21"/>
          <w:u w:val="single"/>
        </w:rPr>
        <w:t>发包人收到完整资料后14天内完成审批并颁发最终结清证书</w:t>
      </w:r>
      <w:r>
        <w:rPr>
          <w:rFonts w:hint="eastAsia" w:ascii="宋体" w:hAnsi="宋体"/>
          <w:color w:val="auto"/>
          <w:szCs w:val="21"/>
        </w:rPr>
        <w:t>。</w:t>
      </w:r>
    </w:p>
    <w:p w14:paraId="70D132C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（2）发包人完成支付的期限：</w:t>
      </w:r>
      <w:r>
        <w:rPr>
          <w:rFonts w:hint="eastAsia" w:ascii="宋体" w:hAnsi="宋体"/>
          <w:color w:val="auto"/>
          <w:szCs w:val="21"/>
          <w:u w:val="single"/>
        </w:rPr>
        <w:t>颁发最终结清证书的14天内</w:t>
      </w:r>
      <w:r>
        <w:rPr>
          <w:rFonts w:hint="eastAsia" w:ascii="宋体" w:hAnsi="宋体"/>
          <w:color w:val="auto"/>
          <w:szCs w:val="21"/>
        </w:rPr>
        <w:t>。</w:t>
      </w:r>
    </w:p>
    <w:p w14:paraId="59DE3E4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本条补充14.5款：</w:t>
      </w:r>
    </w:p>
    <w:bookmarkEnd w:id="1641"/>
    <w:bookmarkEnd w:id="1642"/>
    <w:bookmarkEnd w:id="1643"/>
    <w:bookmarkEnd w:id="1644"/>
    <w:bookmarkEnd w:id="1645"/>
    <w:bookmarkEnd w:id="1646"/>
    <w:bookmarkEnd w:id="1647"/>
    <w:bookmarkEnd w:id="1648"/>
    <w:p w14:paraId="1A9DBD84">
      <w:pPr>
        <w:pStyle w:val="7"/>
        <w:spacing w:before="0" w:beforeAutospacing="0" w:after="0" w:afterAutospacing="0" w:line="360" w:lineRule="auto"/>
        <w:ind w:firstLine="422" w:firstLineChars="200"/>
        <w:rPr>
          <w:color w:val="auto"/>
          <w:sz w:val="21"/>
          <w:szCs w:val="21"/>
        </w:rPr>
      </w:pPr>
      <w:bookmarkStart w:id="1681" w:name="_Toc532375660"/>
      <w:bookmarkStart w:id="1682" w:name="_Toc532377397"/>
      <w:r>
        <w:rPr>
          <w:rFonts w:hint="eastAsia"/>
          <w:color w:val="auto"/>
          <w:sz w:val="21"/>
          <w:szCs w:val="21"/>
        </w:rPr>
        <w:t>14.5 逾期办理或不配合办理竣工结算的处理</w:t>
      </w:r>
      <w:bookmarkEnd w:id="1681"/>
      <w:bookmarkEnd w:id="1682"/>
    </w:p>
    <w:p w14:paraId="287E5B6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有下列情形之一的，视为承包人放弃与发包人共同办理竣工结算的权利，发包人有权会同跟审单位、监理人根据有效资料共同确定竣工结算金额。</w:t>
      </w:r>
    </w:p>
    <w:p w14:paraId="2B78427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（1）承包人逾期未报送竣工结算资料，亦未获得发包人批准延期报送，经发包人两</w:t>
      </w:r>
      <w:bookmarkStart w:id="1683" w:name="_Hlk529133622"/>
      <w:r>
        <w:rPr>
          <w:rFonts w:hint="eastAsia" w:ascii="宋体" w:hAnsi="宋体"/>
          <w:color w:val="auto"/>
          <w:szCs w:val="21"/>
        </w:rPr>
        <w:t>次书面催告仍未在限期内报送的</w:t>
      </w:r>
      <w:bookmarkEnd w:id="1683"/>
      <w:r>
        <w:rPr>
          <w:rFonts w:hint="eastAsia" w:ascii="宋体" w:hAnsi="宋体"/>
          <w:color w:val="auto"/>
          <w:szCs w:val="21"/>
        </w:rPr>
        <w:t>；</w:t>
      </w:r>
    </w:p>
    <w:p w14:paraId="27DDE25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51C9811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（3）承包人不配合发包人、跟审单位、监理人、发包人委托的工程造价咨询服务单位办理竣工结算的，经发包人两次书面函告仍未改正的。</w:t>
      </w:r>
    </w:p>
    <w:p w14:paraId="4EBF502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    </w:t>
      </w:r>
      <w:r>
        <w:rPr>
          <w:rFonts w:hint="eastAsia" w:ascii="宋体" w:hAnsi="宋体"/>
          <w:color w:val="auto"/>
          <w:szCs w:val="21"/>
        </w:rPr>
        <w:t>。</w:t>
      </w:r>
    </w:p>
    <w:p w14:paraId="299B7D87">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rPr>
        <w:t>。</w:t>
      </w:r>
    </w:p>
    <w:bookmarkEnd w:id="1360"/>
    <w:bookmarkEnd w:id="1361"/>
    <w:bookmarkEnd w:id="1362"/>
    <w:bookmarkEnd w:id="1363"/>
    <w:bookmarkEnd w:id="1364"/>
    <w:bookmarkEnd w:id="1365"/>
    <w:bookmarkEnd w:id="1366"/>
    <w:bookmarkEnd w:id="1367"/>
    <w:p w14:paraId="601F26DF">
      <w:pPr>
        <w:pStyle w:val="6"/>
        <w:keepNext/>
        <w:keepLines/>
        <w:spacing w:beforeLines="50" w:beforeAutospacing="0" w:afterLines="50" w:afterAutospacing="0" w:line="360" w:lineRule="auto"/>
        <w:jc w:val="both"/>
        <w:rPr>
          <w:bCs w:val="0"/>
          <w:color w:val="auto"/>
          <w:kern w:val="2"/>
          <w:sz w:val="21"/>
          <w:szCs w:val="21"/>
        </w:rPr>
      </w:pPr>
      <w:bookmarkStart w:id="1684" w:name="_Toc532375661"/>
      <w:bookmarkStart w:id="1685" w:name="_Toc351203647"/>
      <w:bookmarkStart w:id="1686" w:name="_Toc532377398"/>
      <w:bookmarkStart w:id="1687" w:name="_Toc267251483"/>
      <w:bookmarkStart w:id="1688" w:name="_Toc280868718"/>
      <w:bookmarkStart w:id="1689" w:name="_Toc280868717"/>
      <w:r>
        <w:rPr>
          <w:rFonts w:hint="eastAsia"/>
          <w:color w:val="auto"/>
          <w:kern w:val="2"/>
          <w:sz w:val="21"/>
          <w:szCs w:val="21"/>
        </w:rPr>
        <w:t>15. 缺陷责任期与保修</w:t>
      </w:r>
      <w:bookmarkEnd w:id="1684"/>
      <w:bookmarkEnd w:id="1685"/>
      <w:bookmarkEnd w:id="1686"/>
    </w:p>
    <w:bookmarkEnd w:id="1687"/>
    <w:p w14:paraId="11FD75AE">
      <w:pPr>
        <w:pStyle w:val="7"/>
        <w:spacing w:before="0" w:beforeAutospacing="0" w:after="0" w:afterAutospacing="0" w:line="360" w:lineRule="auto"/>
        <w:ind w:firstLine="422" w:firstLineChars="200"/>
        <w:rPr>
          <w:color w:val="auto"/>
          <w:sz w:val="21"/>
          <w:szCs w:val="21"/>
        </w:rPr>
      </w:pPr>
      <w:bookmarkStart w:id="1690" w:name="_Toc532377399"/>
      <w:bookmarkStart w:id="1691" w:name="_Toc532375662"/>
      <w:r>
        <w:rPr>
          <w:rFonts w:hint="eastAsia"/>
          <w:color w:val="auto"/>
          <w:sz w:val="21"/>
          <w:szCs w:val="21"/>
        </w:rPr>
        <w:t>15.3 质量保证金</w:t>
      </w:r>
      <w:bookmarkEnd w:id="1690"/>
      <w:bookmarkEnd w:id="1691"/>
    </w:p>
    <w:p w14:paraId="420AE09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15.3.1 承包人提供质量保证金的方式</w:t>
      </w:r>
    </w:p>
    <w:p w14:paraId="6EB20AB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质量保证金采用以下第</w:t>
      </w:r>
      <w:r>
        <w:rPr>
          <w:rFonts w:hint="eastAsia" w:ascii="宋体" w:hAnsi="宋体"/>
          <w:color w:val="auto"/>
          <w:szCs w:val="21"/>
          <w:u w:val="single"/>
        </w:rPr>
        <w:t>（2）</w:t>
      </w:r>
      <w:r>
        <w:rPr>
          <w:rFonts w:hint="eastAsia" w:ascii="宋体" w:hAnsi="宋体"/>
          <w:color w:val="auto"/>
          <w:szCs w:val="21"/>
        </w:rPr>
        <w:t>种方式：</w:t>
      </w:r>
    </w:p>
    <w:p w14:paraId="386F9D9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（1）质量保证金保函</w:t>
      </w:r>
    </w:p>
    <w:p w14:paraId="31FC04AF">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1）按采购文件载明的格式或发包人认可的格式向发包人提交不可撤销的见索即付银行保函</w:t>
      </w:r>
      <w:r>
        <w:rPr>
          <w:rFonts w:hint="eastAsia" w:ascii="宋体" w:hAnsi="宋体"/>
          <w:color w:val="auto"/>
          <w:szCs w:val="21"/>
        </w:rPr>
        <w:t>；</w:t>
      </w:r>
    </w:p>
    <w:p w14:paraId="5CB3ACA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2）出具保函的银行级别：</w:t>
      </w:r>
      <w:r>
        <w:rPr>
          <w:rFonts w:hint="eastAsia" w:ascii="宋体" w:hAnsi="宋体"/>
          <w:color w:val="auto"/>
          <w:szCs w:val="21"/>
          <w:u w:val="single"/>
        </w:rPr>
        <w:t>地市级及以上国家政策性银行或股份制商业银行的支行或其上级银行</w:t>
      </w:r>
      <w:r>
        <w:rPr>
          <w:rFonts w:hint="eastAsia" w:ascii="宋体" w:hAnsi="宋体"/>
          <w:color w:val="auto"/>
          <w:szCs w:val="21"/>
        </w:rPr>
        <w:t>；</w:t>
      </w:r>
    </w:p>
    <w:p w14:paraId="3423EEF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3）保函金额为：</w:t>
      </w:r>
      <w:r>
        <w:rPr>
          <w:rFonts w:hint="eastAsia" w:ascii="宋体" w:hAnsi="宋体"/>
          <w:color w:val="auto"/>
          <w:szCs w:val="21"/>
          <w:u w:val="single"/>
        </w:rPr>
        <w:t xml:space="preserve">    </w:t>
      </w:r>
      <w:r>
        <w:rPr>
          <w:rFonts w:hint="eastAsia" w:ascii="宋体" w:hAnsi="宋体"/>
          <w:color w:val="auto"/>
          <w:szCs w:val="21"/>
        </w:rPr>
        <w:t>。</w:t>
      </w:r>
    </w:p>
    <w:p w14:paraId="6448B33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4）提交时间：</w:t>
      </w:r>
      <w:r>
        <w:rPr>
          <w:rFonts w:hint="eastAsia" w:ascii="宋体" w:hAnsi="宋体"/>
          <w:color w:val="auto"/>
          <w:szCs w:val="21"/>
          <w:u w:val="single"/>
        </w:rPr>
        <w:t>工程竣工验收合格后14天内</w:t>
      </w:r>
      <w:r>
        <w:rPr>
          <w:rFonts w:hint="eastAsia" w:ascii="宋体" w:hAnsi="宋体"/>
          <w:color w:val="auto"/>
          <w:szCs w:val="21"/>
        </w:rPr>
        <w:t>。</w:t>
      </w:r>
    </w:p>
    <w:p w14:paraId="0EFC35F5">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rPr>
        <w:t>。</w:t>
      </w:r>
    </w:p>
    <w:p w14:paraId="1214F4C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（2）竣工结算价的</w:t>
      </w:r>
      <w:r>
        <w:rPr>
          <w:rFonts w:hint="eastAsia" w:ascii="宋体" w:hAnsi="宋体"/>
          <w:color w:val="auto"/>
          <w:szCs w:val="21"/>
          <w:u w:val="single"/>
        </w:rPr>
        <w:t xml:space="preserve"> 3% </w:t>
      </w:r>
      <w:r>
        <w:rPr>
          <w:rFonts w:hint="eastAsia" w:ascii="宋体" w:hAnsi="宋体"/>
          <w:color w:val="auto"/>
          <w:szCs w:val="21"/>
        </w:rPr>
        <w:t>；</w:t>
      </w:r>
    </w:p>
    <w:p w14:paraId="2930E6E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（3）其他方式：</w:t>
      </w:r>
      <w:r>
        <w:rPr>
          <w:rFonts w:hint="eastAsia" w:ascii="宋体" w:hAnsi="宋体"/>
          <w:color w:val="auto"/>
          <w:szCs w:val="21"/>
          <w:u w:val="single"/>
        </w:rPr>
        <w:t xml:space="preserve"> / </w:t>
      </w:r>
      <w:r>
        <w:rPr>
          <w:rFonts w:hint="eastAsia" w:ascii="宋体" w:hAnsi="宋体"/>
          <w:color w:val="auto"/>
          <w:szCs w:val="21"/>
        </w:rPr>
        <w:t>。</w:t>
      </w:r>
    </w:p>
    <w:p w14:paraId="297C58E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15.3.2 质量保证金的扣留</w:t>
      </w:r>
    </w:p>
    <w:p w14:paraId="1D0DB24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质量保证金的扣留采取以下第</w:t>
      </w:r>
      <w:r>
        <w:rPr>
          <w:rFonts w:hint="eastAsia" w:ascii="宋体" w:hAnsi="宋体"/>
          <w:color w:val="auto"/>
          <w:szCs w:val="21"/>
          <w:u w:val="single"/>
        </w:rPr>
        <w:t xml:space="preserve"> （2） </w:t>
      </w:r>
      <w:r>
        <w:rPr>
          <w:rFonts w:hint="eastAsia" w:ascii="宋体" w:hAnsi="宋体"/>
          <w:color w:val="auto"/>
          <w:szCs w:val="21"/>
        </w:rPr>
        <w:t>种方式：</w:t>
      </w:r>
    </w:p>
    <w:p w14:paraId="5530AF5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（1）在支付工程进度款时逐次扣留，在此情形下，质量保证金的计算基数不包括预付款的支付、扣回以及价格调整的金额；</w:t>
      </w:r>
    </w:p>
    <w:p w14:paraId="3E6B096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（2）工程竣工结算时一次性扣留质量保证金；</w:t>
      </w:r>
    </w:p>
    <w:p w14:paraId="38380CC6">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w:t>
      </w:r>
      <w:r>
        <w:rPr>
          <w:rFonts w:hint="eastAsia" w:ascii="宋体" w:hAnsi="宋体"/>
          <w:color w:val="auto"/>
          <w:szCs w:val="21"/>
          <w:u w:val="single"/>
        </w:rPr>
        <w:t xml:space="preserve">其他扣留方式：        </w:t>
      </w:r>
      <w:r>
        <w:rPr>
          <w:rFonts w:hint="eastAsia" w:ascii="宋体" w:hAnsi="宋体"/>
          <w:color w:val="auto"/>
          <w:szCs w:val="21"/>
        </w:rPr>
        <w:t>。</w:t>
      </w:r>
    </w:p>
    <w:p w14:paraId="7428AE5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15.3.3质量保证金的退还</w:t>
      </w:r>
    </w:p>
    <w:p w14:paraId="4AF34F1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（1）在发包人颁发缺陷责任期终止证书之日起14天内退还。</w:t>
      </w:r>
    </w:p>
    <w:p w14:paraId="2FB202C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（2）缺陷责任期内，承包人认真履行合同约定的责任，到期后，承包人可向发包人申请返还质量保证金。</w:t>
      </w:r>
    </w:p>
    <w:p w14:paraId="54023D4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（3）质量保证金是否支付利息采取以下</w:t>
      </w:r>
      <w:r>
        <w:rPr>
          <w:rFonts w:hint="eastAsia" w:ascii="宋体" w:hAnsi="宋体"/>
          <w:color w:val="auto"/>
          <w:szCs w:val="21"/>
          <w:u w:val="single"/>
        </w:rPr>
        <w:t>第②种</w:t>
      </w:r>
      <w:r>
        <w:rPr>
          <w:rFonts w:hint="eastAsia" w:ascii="宋体" w:hAnsi="宋体"/>
          <w:color w:val="auto"/>
          <w:szCs w:val="21"/>
        </w:rPr>
        <w:t>方式：</w:t>
      </w:r>
    </w:p>
    <w:p w14:paraId="7E23AEB5">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①按照中国人民银行/年/月公布的5年期贷款市场报价利率支付利息</w:t>
      </w:r>
      <w:r>
        <w:rPr>
          <w:rFonts w:hint="eastAsia" w:ascii="宋体" w:hAnsi="宋体"/>
          <w:color w:val="auto"/>
          <w:szCs w:val="21"/>
        </w:rPr>
        <w:t>。</w:t>
      </w:r>
    </w:p>
    <w:p w14:paraId="7D4218C4">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②不采用</w:t>
      </w:r>
      <w:r>
        <w:rPr>
          <w:rFonts w:hint="eastAsia" w:ascii="宋体" w:hAnsi="宋体"/>
          <w:color w:val="auto"/>
          <w:szCs w:val="21"/>
        </w:rPr>
        <w:t>。</w:t>
      </w:r>
    </w:p>
    <w:p w14:paraId="57947FC9">
      <w:pPr>
        <w:pStyle w:val="7"/>
        <w:spacing w:before="0" w:beforeAutospacing="0" w:after="0" w:afterAutospacing="0" w:line="360" w:lineRule="auto"/>
        <w:ind w:firstLine="422" w:firstLineChars="200"/>
        <w:rPr>
          <w:color w:val="auto"/>
          <w:sz w:val="21"/>
          <w:szCs w:val="21"/>
        </w:rPr>
      </w:pPr>
      <w:bookmarkStart w:id="1692" w:name="_Toc532375663"/>
      <w:bookmarkStart w:id="1693" w:name="_Toc532377400"/>
      <w:r>
        <w:rPr>
          <w:rFonts w:hint="eastAsia"/>
          <w:color w:val="auto"/>
          <w:sz w:val="21"/>
          <w:szCs w:val="21"/>
        </w:rPr>
        <w:t>15.4 保修</w:t>
      </w:r>
      <w:bookmarkEnd w:id="1692"/>
      <w:bookmarkEnd w:id="1693"/>
    </w:p>
    <w:p w14:paraId="3DB31F4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15.4.1 保修责任</w:t>
      </w:r>
    </w:p>
    <w:p w14:paraId="16599F2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工程保修期为：</w:t>
      </w:r>
      <w:bookmarkStart w:id="1694" w:name="_Hlk524381274"/>
      <w:r>
        <w:rPr>
          <w:rFonts w:hint="eastAsia" w:ascii="宋体" w:hAnsi="宋体"/>
          <w:color w:val="auto"/>
          <w:szCs w:val="21"/>
        </w:rPr>
        <w:t>按照附件1《工程质量保修书》的规定执行。</w:t>
      </w:r>
      <w:bookmarkEnd w:id="1694"/>
    </w:p>
    <w:p w14:paraId="054575A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15.4.3 修复通知</w:t>
      </w:r>
    </w:p>
    <w:p w14:paraId="511279A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承包人收到保修通知并到达工程现场的合理时间：</w:t>
      </w:r>
      <w:r>
        <w:rPr>
          <w:rFonts w:hint="eastAsia" w:ascii="宋体" w:hAnsi="宋体"/>
          <w:color w:val="auto"/>
          <w:szCs w:val="21"/>
          <w:u w:val="single"/>
        </w:rPr>
        <w:t xml:space="preserve">  小时内，最长不能超过  小时</w:t>
      </w:r>
      <w:r>
        <w:rPr>
          <w:rFonts w:hint="eastAsia" w:ascii="宋体" w:hAnsi="宋体"/>
          <w:color w:val="auto"/>
          <w:szCs w:val="21"/>
        </w:rPr>
        <w:t>。</w:t>
      </w:r>
    </w:p>
    <w:p w14:paraId="1C41C26E">
      <w:pPr>
        <w:pStyle w:val="6"/>
        <w:keepNext/>
        <w:keepLines/>
        <w:spacing w:beforeLines="50" w:beforeAutospacing="0" w:afterLines="50" w:afterAutospacing="0" w:line="360" w:lineRule="auto"/>
        <w:jc w:val="both"/>
        <w:rPr>
          <w:bCs w:val="0"/>
          <w:color w:val="auto"/>
          <w:kern w:val="2"/>
          <w:sz w:val="21"/>
          <w:szCs w:val="21"/>
        </w:rPr>
      </w:pPr>
      <w:bookmarkStart w:id="1695" w:name="_Toc351203648"/>
      <w:bookmarkStart w:id="1696" w:name="_Toc532375664"/>
      <w:bookmarkStart w:id="1697" w:name="_Toc532377401"/>
      <w:r>
        <w:rPr>
          <w:rFonts w:hint="eastAsia"/>
          <w:color w:val="auto"/>
          <w:kern w:val="2"/>
          <w:sz w:val="21"/>
          <w:szCs w:val="21"/>
        </w:rPr>
        <w:t>16. 违约</w:t>
      </w:r>
      <w:bookmarkEnd w:id="1695"/>
      <w:bookmarkEnd w:id="1696"/>
      <w:bookmarkEnd w:id="1697"/>
    </w:p>
    <w:p w14:paraId="4B721FD0">
      <w:pPr>
        <w:pStyle w:val="7"/>
        <w:spacing w:before="0" w:beforeAutospacing="0" w:after="0" w:afterAutospacing="0" w:line="360" w:lineRule="auto"/>
        <w:ind w:firstLine="422" w:firstLineChars="200"/>
        <w:rPr>
          <w:color w:val="auto"/>
          <w:sz w:val="21"/>
          <w:szCs w:val="21"/>
        </w:rPr>
      </w:pPr>
      <w:bookmarkStart w:id="1698" w:name="_Toc532377402"/>
      <w:r>
        <w:rPr>
          <w:rFonts w:hint="eastAsia"/>
          <w:color w:val="auto"/>
          <w:sz w:val="21"/>
          <w:szCs w:val="21"/>
        </w:rPr>
        <w:t>16.1 发包人违约</w:t>
      </w:r>
      <w:bookmarkEnd w:id="1698"/>
    </w:p>
    <w:p w14:paraId="0FDE461B">
      <w:pPr>
        <w:spacing w:line="360" w:lineRule="auto"/>
        <w:ind w:firstLine="420" w:firstLineChars="200"/>
        <w:rPr>
          <w:rFonts w:ascii="宋体" w:hAnsi="宋体"/>
          <w:color w:val="auto"/>
          <w:szCs w:val="21"/>
        </w:rPr>
      </w:pPr>
      <w:r>
        <w:rPr>
          <w:rFonts w:hint="eastAsia" w:ascii="宋体" w:hAnsi="宋体"/>
          <w:color w:val="auto"/>
          <w:szCs w:val="21"/>
        </w:rPr>
        <w:t>16.1.1 发包人违约的情形</w:t>
      </w:r>
    </w:p>
    <w:p w14:paraId="71BB8111">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除通用合同条款约定外，发包人违约的其他情形：</w:t>
      </w:r>
    </w:p>
    <w:p w14:paraId="7DE3E8D4">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（1）根据专用合同条款7.5.1项因发包人原因导致工期延误的；</w:t>
      </w:r>
    </w:p>
    <w:p w14:paraId="48186E0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（2）因发包人原因未能及时办理完毕合同约定的许可、批准或备案的；</w:t>
      </w:r>
    </w:p>
    <w:p w14:paraId="31A3EAD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（3）因监理人未能按合同约定发出指示、指示延误或发出了错误指示而导致承包人费用增加和（或）工期延误的；</w:t>
      </w:r>
    </w:p>
    <w:p w14:paraId="0C3C20A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（4）根据5.3.3发包人或监理人要求重新检查的，经检查证明工程质量符合合同要求的，并由此产生增加的费用和（或）延误的工期的；</w:t>
      </w:r>
    </w:p>
    <w:p w14:paraId="0C814EE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（5）因发包人原因造成工程质量未达到合同约定标准的；</w:t>
      </w:r>
    </w:p>
    <w:p w14:paraId="74D465C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（6）由于发包人原因对承包人造成的人员人身伤亡和财产损失的；</w:t>
      </w:r>
    </w:p>
    <w:p w14:paraId="26078913">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（7）因发包人原因导致工程无法按期办理竣工验收或竣工结算的；</w:t>
      </w:r>
    </w:p>
    <w:p w14:paraId="59264AC0">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（8）发包人无正当理由未按约定退还履约担保、低价风险担保、预付款担保或质量保证金的；</w:t>
      </w:r>
    </w:p>
    <w:p w14:paraId="600233FF">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（9）发包人不当提取履约担保、低价风险担保或质量保证金的；</w:t>
      </w:r>
    </w:p>
    <w:p w14:paraId="710EA335">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（10）发包人未按合同约定接收全部或部分工作的；</w:t>
      </w:r>
    </w:p>
    <w:p w14:paraId="2691EE82">
      <w:pPr>
        <w:pStyle w:val="107"/>
        <w:spacing w:line="360" w:lineRule="auto"/>
        <w:jc w:val="left"/>
        <w:rPr>
          <w:rFonts w:ascii="宋体" w:hAnsi="宋体" w:cs="Microsoft Sans Serif"/>
          <w:color w:val="auto"/>
          <w:kern w:val="0"/>
          <w:sz w:val="21"/>
          <w:szCs w:val="21"/>
          <w:u w:val="single"/>
        </w:rPr>
      </w:pPr>
      <w:r>
        <w:rPr>
          <w:rFonts w:hint="eastAsia" w:ascii="宋体" w:hAnsi="宋体" w:cs="Microsoft Sans Serif"/>
          <w:color w:val="auto"/>
          <w:kern w:val="0"/>
          <w:sz w:val="21"/>
          <w:szCs w:val="21"/>
        </w:rPr>
        <w:t>（11）发包人未按合同约定办理保险的；</w:t>
      </w:r>
    </w:p>
    <w:p w14:paraId="0FDAD880">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u w:val="single"/>
        </w:rPr>
        <w:t xml:space="preserve">（12）其他：        </w:t>
      </w:r>
      <w:r>
        <w:rPr>
          <w:rFonts w:hint="eastAsia" w:ascii="宋体" w:hAnsi="宋体" w:cs="Microsoft Sans Serif"/>
          <w:color w:val="auto"/>
          <w:kern w:val="0"/>
          <w:szCs w:val="21"/>
        </w:rPr>
        <w:t>。</w:t>
      </w:r>
    </w:p>
    <w:p w14:paraId="689A98E9">
      <w:pPr>
        <w:pStyle w:val="107"/>
        <w:spacing w:line="360" w:lineRule="auto"/>
        <w:rPr>
          <w:rFonts w:ascii="宋体" w:hAnsi="宋体"/>
          <w:color w:val="auto"/>
          <w:sz w:val="21"/>
          <w:szCs w:val="21"/>
        </w:rPr>
      </w:pPr>
      <w:r>
        <w:rPr>
          <w:rFonts w:hint="eastAsia" w:ascii="宋体" w:hAnsi="宋体"/>
          <w:color w:val="auto"/>
          <w:sz w:val="21"/>
          <w:szCs w:val="21"/>
        </w:rPr>
        <w:t>16.1.2发包人违约的责任</w:t>
      </w:r>
    </w:p>
    <w:p w14:paraId="4D2A6E4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（1）因发包人原因未能及时办理完毕前述许可、批准或备案的违约责任：由发包人承担由此增加的费用和（或）顺延工期，并支付合理利润，具体索赔程序按照第19条〔索赔〕约定执行。</w:t>
      </w:r>
    </w:p>
    <w:p w14:paraId="3A85E30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6C2FC0E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（3）因发包人原因导致工期延误的违约责任：由发包人承担由此增加的费用和（或）顺延工期，并支付合理利润，具体索赔程序按照第19条〔索赔〕约定执行。</w:t>
      </w:r>
    </w:p>
    <w:p w14:paraId="5C87447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（4）因发包人原因未能在计划开工日期前7天内下达开工通知的违约责任：由发包人承担由此增加的费用和（或）顺延工期，并支付合理利润，具体索赔程序按照第19条〔索赔〕约定执行。</w:t>
      </w:r>
    </w:p>
    <w:p w14:paraId="5DF04E9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5DC87167">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u w:val="single"/>
        </w:rPr>
        <w:t>违约金=应付未付金额×中国人民银行2025年3月公布的5年期贷款市场报价利率/360天×逾期天数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u w:val="single"/>
        </w:rPr>
        <w:t>；逾期天数超过56天的，超过部分天数按上述利率的两倍计算并支付违约金</w:t>
      </w:r>
      <w:r>
        <w:rPr>
          <w:rFonts w:hint="eastAsia" w:ascii="宋体" w:hAnsi="宋体" w:cs="Microsoft Sans Serif"/>
          <w:color w:val="auto"/>
          <w:kern w:val="0"/>
          <w:szCs w:val="21"/>
          <w:u w:val="single"/>
        </w:rPr>
        <w:t>，但违约金总额不超过合同结算价款的5%</w:t>
      </w:r>
      <w:r>
        <w:rPr>
          <w:rFonts w:hint="eastAsia" w:ascii="宋体" w:hAnsi="宋体" w:cs="Microsoft Sans Serif"/>
          <w:color w:val="auto"/>
          <w:kern w:val="0"/>
          <w:szCs w:val="21"/>
        </w:rPr>
        <w:t>。</w:t>
      </w:r>
    </w:p>
    <w:p w14:paraId="38D5AE55">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（7）发包人违反合同约定，自行实施或转由他人实施被取消的合同工作内容的违约责任：由发包人承担由此给承包人造成的实际损失并支付合理利润。</w:t>
      </w:r>
    </w:p>
    <w:p w14:paraId="61B81675">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45A9F11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（9）因发包人原因造成工程质量未达到合同约定标准的，由发包人承担由此增加的费用和（或）延误的工期，并支付合理利润。</w:t>
      </w:r>
    </w:p>
    <w:p w14:paraId="2972F4F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（10）因发包人违反合同约定造成暂停施工的违约责任：由发包人承担由此增加的费用和（或）顺延工期，并支付合理利润，具体索赔程序按照第19条〔索赔〕约定执行。</w:t>
      </w:r>
    </w:p>
    <w:p w14:paraId="66F9E2E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0BCB274E">
      <w:pPr>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（12）因发包人原因导致工程无法按期办理竣工验收或竣工结算的违约责任：由发包人承担由此增加的费用和（或）顺延工期，并支付合理利润，具体索赔程序按照第19条〔索赔〕约定执行。</w:t>
      </w:r>
    </w:p>
    <w:p w14:paraId="436478B3">
      <w:pPr>
        <w:spacing w:line="360" w:lineRule="auto"/>
        <w:ind w:firstLine="420" w:firstLineChars="200"/>
        <w:jc w:val="left"/>
        <w:rPr>
          <w:rFonts w:ascii="宋体" w:hAnsi="宋体" w:cs="Microsoft Sans Serif"/>
          <w:color w:val="auto"/>
          <w:kern w:val="0"/>
          <w:szCs w:val="21"/>
          <w:u w:val="single"/>
        </w:rPr>
      </w:pPr>
      <w:r>
        <w:rPr>
          <w:rFonts w:hint="eastAsia" w:ascii="宋体" w:hAnsi="宋体"/>
          <w:color w:val="auto"/>
          <w:szCs w:val="21"/>
        </w:rPr>
        <w:t>（13）</w:t>
      </w:r>
      <w:r>
        <w:rPr>
          <w:rFonts w:hint="eastAsia" w:ascii="宋体" w:hAnsi="宋体" w:cs="Microsoft Sans Serif"/>
          <w:color w:val="auto"/>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u w:val="single"/>
        </w:rPr>
        <w:t>计算公式：违约金=应退未退担保金额×中国人民银行2025年3月公布的5年期贷款市场报价利率/360天×逾期天数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rPr>
        <w:t>。</w:t>
      </w:r>
    </w:p>
    <w:p w14:paraId="58EEC239">
      <w:pPr>
        <w:pStyle w:val="2"/>
        <w:spacing w:after="0"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olor w:val="auto"/>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u w:val="single"/>
        </w:rPr>
        <w:t>计算公式：违约金=不当提取的担保金额×中国人民银行</w:t>
      </w:r>
      <w:r>
        <w:rPr>
          <w:rFonts w:hint="eastAsia" w:ascii="宋体" w:hAnsi="宋体" w:cs="Microsoft Sans Serif"/>
          <w:color w:val="auto"/>
          <w:kern w:val="0"/>
          <w:szCs w:val="21"/>
          <w:u w:val="single"/>
        </w:rPr>
        <w:t>2025年3月</w:t>
      </w:r>
      <w:r>
        <w:rPr>
          <w:rFonts w:hint="eastAsia" w:ascii="宋体" w:hAnsi="宋体"/>
          <w:color w:val="auto"/>
          <w:szCs w:val="21"/>
          <w:u w:val="single"/>
        </w:rPr>
        <w:t>公布的5年期贷款市场报价利率/360天×逾期天数（自第29天起计算）</w:t>
      </w:r>
      <w:r>
        <w:rPr>
          <w:rFonts w:hint="eastAsia" w:ascii="宋体" w:hAnsi="宋体"/>
          <w:color w:val="auto"/>
          <w:szCs w:val="21"/>
        </w:rPr>
        <w:t>。</w:t>
      </w:r>
    </w:p>
    <w:p w14:paraId="6E65AA78">
      <w:pPr>
        <w:pStyle w:val="2"/>
        <w:spacing w:after="0" w:line="360" w:lineRule="auto"/>
        <w:ind w:firstLine="420" w:firstLineChars="200"/>
        <w:rPr>
          <w:rFonts w:ascii="宋体" w:hAnsi="宋体"/>
          <w:color w:val="auto"/>
          <w:szCs w:val="21"/>
        </w:rPr>
      </w:pPr>
      <w:r>
        <w:rPr>
          <w:rFonts w:hint="eastAsia" w:ascii="宋体" w:hAnsi="宋体" w:cs="Microsoft Sans Serif"/>
          <w:color w:val="auto"/>
          <w:kern w:val="0"/>
          <w:szCs w:val="21"/>
        </w:rPr>
        <w:t>（15）发包人未按合同约定接收全部或部分工作的违约责任：由发包人承担自应当接收工程之日起的工程照管、成品保护、保管等与工程有关的各项费用。</w:t>
      </w:r>
    </w:p>
    <w:p w14:paraId="3AF2776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（16）由于发包人原因对承包人造成的人员人身伤亡和财产损失的，由发包人负责赔偿，并承担由此增加的费用和（或）延误的工期，并支付合理利润。</w:t>
      </w:r>
    </w:p>
    <w:p w14:paraId="1D7F8139">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（17）发包人未按合同约定办理保险的违约责任：除按18.6.1项约定执行外，每延迟1天，按</w:t>
      </w:r>
      <w:r>
        <w:rPr>
          <w:rFonts w:hint="eastAsia" w:ascii="宋体" w:hAnsi="宋体" w:cs="Microsoft Sans Serif"/>
          <w:color w:val="auto"/>
          <w:kern w:val="0"/>
          <w:szCs w:val="21"/>
          <w:u w:val="single"/>
        </w:rPr>
        <w:t>500元/天</w:t>
      </w:r>
      <w:r>
        <w:rPr>
          <w:rFonts w:hint="eastAsia" w:ascii="宋体" w:hAnsi="宋体" w:cs="Microsoft Sans Serif"/>
          <w:color w:val="auto"/>
          <w:kern w:val="0"/>
          <w:szCs w:val="21"/>
        </w:rPr>
        <w:t>支付违约金。</w:t>
      </w:r>
    </w:p>
    <w:p w14:paraId="5F8624B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（18）其他：</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63CA86EA">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7FBD53D6">
      <w:pPr>
        <w:spacing w:line="360" w:lineRule="auto"/>
        <w:ind w:firstLine="420" w:firstLineChars="200"/>
        <w:rPr>
          <w:rFonts w:ascii="宋体" w:hAnsi="宋体"/>
          <w:color w:val="auto"/>
          <w:szCs w:val="21"/>
        </w:rPr>
      </w:pPr>
      <w:r>
        <w:rPr>
          <w:rFonts w:hint="eastAsia" w:ascii="宋体" w:hAnsi="宋体"/>
          <w:color w:val="auto"/>
          <w:szCs w:val="21"/>
        </w:rPr>
        <w:t>16.1.3 因发包人违约解除合同</w:t>
      </w:r>
    </w:p>
    <w:p w14:paraId="50554FDD">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因发包人违约并致使合同目的不能实现的，承包人有权解除合同：</w:t>
      </w:r>
    </w:p>
    <w:p w14:paraId="477C91A9">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（1）因发包人原因延迟支付合同价款超过180天的；</w:t>
      </w:r>
    </w:p>
    <w:p w14:paraId="7FCCFF7E">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（2）因发包人原因导致工期延误超过90天的；</w:t>
      </w:r>
    </w:p>
    <w:p w14:paraId="7983EFF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（3）因发包人第16.1.2（5）违约情形导致暂停施工满56天，且发包人仍未纠正其违约行为的；</w:t>
      </w:r>
    </w:p>
    <w:p w14:paraId="0A7F5C2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（4）其他未履行合同项下的义务构成对合同的实质性违约，并且在收到承包人要求说明其违约并予以补救的通知后56天内仍未补救该实质性违约的；</w:t>
      </w:r>
    </w:p>
    <w:p w14:paraId="4DB9EAD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合同约定的承包人有权解除合同的其他情形</w:t>
      </w:r>
      <w:r>
        <w:rPr>
          <w:rFonts w:hint="eastAsia" w:ascii="宋体" w:hAnsi="宋体" w:cs="Microsoft Sans Serif"/>
          <w:color w:val="auto"/>
          <w:kern w:val="0"/>
          <w:szCs w:val="21"/>
        </w:rPr>
        <w:t>。</w:t>
      </w:r>
    </w:p>
    <w:p w14:paraId="10D8DEC4">
      <w:pPr>
        <w:spacing w:line="360" w:lineRule="auto"/>
        <w:ind w:firstLine="420" w:firstLineChars="200"/>
        <w:rPr>
          <w:rFonts w:ascii="宋体" w:hAnsi="宋体"/>
          <w:color w:val="auto"/>
          <w:szCs w:val="21"/>
        </w:rPr>
      </w:pPr>
      <w:r>
        <w:rPr>
          <w:rFonts w:hint="eastAsia" w:ascii="宋体" w:hAnsi="宋体"/>
          <w:color w:val="auto"/>
          <w:szCs w:val="21"/>
        </w:rPr>
        <w:t>16.1.4 因发包人违约解除合同后的付款</w:t>
      </w:r>
    </w:p>
    <w:p w14:paraId="5A99309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承包人按照本款约定解除合同的，发包人应在解除合同后28天内支付下列款项，并解除履约担保、低价风险担保、预付款担保：</w:t>
      </w:r>
    </w:p>
    <w:p w14:paraId="023165E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（1）合同解除前所完成工作的价款；</w:t>
      </w:r>
    </w:p>
    <w:p w14:paraId="1EC51FF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（2）承包人为工程施工订购并已付款的材料、工程设备和其他物品的价款；</w:t>
      </w:r>
    </w:p>
    <w:p w14:paraId="3DCCBE2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（3）承包人撤离施工现场以及遣散承包人人员的款项；</w:t>
      </w:r>
    </w:p>
    <w:p w14:paraId="6AF5522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（4）按照合同约定在合同解除前应支付的违约金；</w:t>
      </w:r>
    </w:p>
    <w:p w14:paraId="40D7045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（5）按照合同约定应当支付给承包人的其他款项；</w:t>
      </w:r>
    </w:p>
    <w:p w14:paraId="785D365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（6）按照合同约定应退还的质量保证金；</w:t>
      </w:r>
    </w:p>
    <w:p w14:paraId="1591CFE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（7）因解除合同给承包人造成的损失；</w:t>
      </w:r>
    </w:p>
    <w:p w14:paraId="61B926C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w:t>
      </w:r>
      <w:r>
        <w:rPr>
          <w:rFonts w:hint="eastAsia" w:ascii="宋体" w:hAnsi="宋体" w:cs="Microsoft Sans Serif"/>
          <w:color w:val="auto"/>
          <w:kern w:val="0"/>
          <w:szCs w:val="21"/>
          <w:u w:val="single"/>
        </w:rPr>
        <w:t xml:space="preserve">    /    。</w:t>
      </w:r>
    </w:p>
    <w:p w14:paraId="4A85CB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合同当事人未能就解除合同后的结清达成一致的，按照第20条〔争议解决〕的约定处理。</w:t>
      </w:r>
    </w:p>
    <w:p w14:paraId="7CB93C8C">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承包人应妥善做好已完工程和与工程有关的已购材料、工程设备的保护和移交工作，并将施工设备和人员撤出施工现场，发包人应为承包人撤出提供必要条件。</w:t>
      </w:r>
    </w:p>
    <w:p w14:paraId="7EDC6990">
      <w:pPr>
        <w:pStyle w:val="7"/>
        <w:spacing w:before="0" w:beforeAutospacing="0" w:after="0" w:afterAutospacing="0" w:line="360" w:lineRule="auto"/>
        <w:ind w:firstLine="422" w:firstLineChars="200"/>
        <w:rPr>
          <w:color w:val="auto"/>
          <w:sz w:val="21"/>
          <w:szCs w:val="21"/>
        </w:rPr>
      </w:pPr>
      <w:bookmarkStart w:id="1699" w:name="_Toc532377403"/>
      <w:r>
        <w:rPr>
          <w:rFonts w:hint="eastAsia"/>
          <w:color w:val="auto"/>
          <w:sz w:val="21"/>
          <w:szCs w:val="21"/>
        </w:rPr>
        <w:t>16.2 承包人违约</w:t>
      </w:r>
      <w:bookmarkEnd w:id="1699"/>
    </w:p>
    <w:p w14:paraId="5285A5A5">
      <w:pPr>
        <w:snapToGrid w:val="0"/>
        <w:spacing w:line="360" w:lineRule="auto"/>
        <w:ind w:firstLine="420" w:firstLineChars="200"/>
        <w:jc w:val="left"/>
        <w:rPr>
          <w:rFonts w:ascii="宋体" w:hAnsi="宋体" w:cs="Microsoft Sans Serif"/>
          <w:color w:val="auto"/>
          <w:kern w:val="0"/>
          <w:szCs w:val="21"/>
        </w:rPr>
      </w:pPr>
      <w:bookmarkStart w:id="1700" w:name="_Hlk524380579"/>
      <w:r>
        <w:rPr>
          <w:rFonts w:hint="eastAsia" w:ascii="宋体" w:hAnsi="宋体" w:cs="Microsoft Sans Serif"/>
          <w:color w:val="auto"/>
          <w:kern w:val="0"/>
          <w:szCs w:val="21"/>
        </w:rPr>
        <w:t>16.2.1 承包人违约的情形</w:t>
      </w:r>
    </w:p>
    <w:p w14:paraId="6DCEE129">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除通用合同条款约定外，承包人违约的其他情形：</w:t>
      </w:r>
    </w:p>
    <w:p w14:paraId="5E1E173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（1）承包人未按合同约定提交履约担保或质量保证金的；</w:t>
      </w:r>
    </w:p>
    <w:p w14:paraId="17AB732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（2）承包人未能按期开工的；</w:t>
      </w:r>
    </w:p>
    <w:p w14:paraId="48E108E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（3）承包人未按投标文件或监理人的要求及时配备称职的主要管理人员，或承包人未按经审定的施工组织设计配备或更换关键施工设备的；</w:t>
      </w:r>
    </w:p>
    <w:p w14:paraId="111A259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（4）承包人有安全问题或有违反安全管理规章制度情况的；</w:t>
      </w:r>
    </w:p>
    <w:p w14:paraId="1B6D775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（5）承包人在缺陷责任期及保修期内，未能在合理期限对工程缺陷进行修复，或拒绝按发包人要求进行修复的；</w:t>
      </w:r>
    </w:p>
    <w:p w14:paraId="6B3DAC3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（6）承包人拖欠其工人或所雇人员工资或报酬，导致其工人或所雇人员向有关部门投诉、控告、检举或以聚集等方式讨要工资或报酬的；</w:t>
      </w:r>
    </w:p>
    <w:p w14:paraId="78745A3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（7）承包人不配合发包人、监理人及发包人委托的工程造价咨询服务单位结算审核或承包人其他原因导致未按期完成工程竣工结算的；</w:t>
      </w:r>
    </w:p>
    <w:p w14:paraId="1E7FCFC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（8）承包人违反合同约定进行转包或违法分包的；</w:t>
      </w:r>
    </w:p>
    <w:p w14:paraId="07B199C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（9）承包人未按合同约定移交全部或部分工作的；</w:t>
      </w:r>
    </w:p>
    <w:p w14:paraId="1B563A3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（10）承包人未按合同约定购买保险的；</w:t>
      </w:r>
    </w:p>
    <w:p w14:paraId="6D0784A1">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（11）项目经理若有以下情形，属于承包人违约：</w:t>
      </w:r>
    </w:p>
    <w:p w14:paraId="272D9B4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1）项目经理不按承诺到岗的；</w:t>
      </w:r>
    </w:p>
    <w:p w14:paraId="7014A86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2）每月在施工现场的天数少于约定天数的；</w:t>
      </w:r>
    </w:p>
    <w:p w14:paraId="5961AFA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3）承包人未提交项目经理劳动合同和社会保险证明的；</w:t>
      </w:r>
    </w:p>
    <w:p w14:paraId="06A4F7C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4）未经批准，擅自离开施工现场（超过约定时间）的；</w:t>
      </w:r>
    </w:p>
    <w:p w14:paraId="1BE7024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5）未经批准，擅自变更项目经理的；</w:t>
      </w:r>
    </w:p>
    <w:p w14:paraId="737CD93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6）按照渝建发〔2015〕35号文的要求，施工期间，项目经理因在一个记分周期内累计记分达到12分，被建设行政主管部门依法责令停止执业的；</w:t>
      </w:r>
    </w:p>
    <w:p w14:paraId="78BA6AA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7）发包人有正当理由认为项目经理不称职/不履职，且承包人在约定时间内不予更换的；</w:t>
      </w:r>
    </w:p>
    <w:p w14:paraId="2A301CB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8）其他双方约定的情形：</w:t>
      </w:r>
      <w:r>
        <w:rPr>
          <w:rFonts w:hint="eastAsia" w:ascii="宋体" w:hAnsi="宋体" w:cs="Microsoft Sans Serif"/>
          <w:color w:val="auto"/>
          <w:kern w:val="0"/>
          <w:szCs w:val="21"/>
          <w:u w:val="single"/>
        </w:rPr>
        <w:t xml:space="preserve">    /    </w:t>
      </w:r>
      <w:r>
        <w:rPr>
          <w:rFonts w:hint="eastAsia" w:ascii="宋体" w:hAnsi="宋体" w:cs="Microsoft Sans Serif"/>
          <w:color w:val="auto"/>
          <w:kern w:val="0"/>
          <w:szCs w:val="21"/>
        </w:rPr>
        <w:t>。</w:t>
      </w:r>
    </w:p>
    <w:p w14:paraId="20D9661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（12）技术负责人若有以下情形，属于承包人违约：</w:t>
      </w:r>
    </w:p>
    <w:p w14:paraId="3A1F506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1）每月在施工现场的天数少于约定天数的；</w:t>
      </w:r>
    </w:p>
    <w:p w14:paraId="5DD21FA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2）承包人未提交技术负责人劳动合同和社会保险证明的；</w:t>
      </w:r>
    </w:p>
    <w:p w14:paraId="4AFD1B5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3）未经批准，擅自离开施工现场（超过约定时间）的；</w:t>
      </w:r>
    </w:p>
    <w:p w14:paraId="631C78D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4）未经批准，擅自变更技术负责人的；</w:t>
      </w:r>
    </w:p>
    <w:p w14:paraId="1FD3A6F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5）发包人有正当理由认为技术负责人不称职/不履职，且承包人在约定时间内不予更换的；</w:t>
      </w:r>
    </w:p>
    <w:p w14:paraId="6EF515A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6）其他双方约定的情形：</w:t>
      </w:r>
      <w:r>
        <w:rPr>
          <w:rFonts w:hint="eastAsia" w:ascii="宋体" w:hAnsi="宋体" w:cs="Microsoft Sans Serif"/>
          <w:color w:val="auto"/>
          <w:kern w:val="0"/>
          <w:szCs w:val="21"/>
          <w:u w:val="single"/>
        </w:rPr>
        <w:t xml:space="preserve">   /     </w:t>
      </w:r>
      <w:r>
        <w:rPr>
          <w:rFonts w:hint="eastAsia" w:ascii="宋体" w:hAnsi="宋体" w:cs="Microsoft Sans Serif"/>
          <w:color w:val="auto"/>
          <w:kern w:val="0"/>
          <w:szCs w:val="21"/>
        </w:rPr>
        <w:t>。</w:t>
      </w:r>
    </w:p>
    <w:p w14:paraId="41EF1F2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（13）主要施工管理人员若有以下情形，属于承包人违约：</w:t>
      </w:r>
    </w:p>
    <w:p w14:paraId="0D85515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1）承包人未提交主要管理人员劳动合同和社会保险证明的；</w:t>
      </w:r>
    </w:p>
    <w:p w14:paraId="16D36C3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2）未经批准，擅自离开施工现场（超过约定时间）的；</w:t>
      </w:r>
    </w:p>
    <w:p w14:paraId="2A77699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3）未经批准，擅自变更主要施工管理人员的；</w:t>
      </w:r>
    </w:p>
    <w:p w14:paraId="2C2DDBB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4）发包人有正当理由认为主要施工管理人员不称职/不履职，且承包人在约定时间内不予更换的；</w:t>
      </w:r>
    </w:p>
    <w:p w14:paraId="4C7CDC0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5）其他双方约定的情形：</w:t>
      </w:r>
      <w:r>
        <w:rPr>
          <w:rFonts w:hint="eastAsia" w:ascii="宋体" w:hAnsi="宋体" w:cs="Microsoft Sans Serif"/>
          <w:color w:val="auto"/>
          <w:kern w:val="0"/>
          <w:szCs w:val="21"/>
          <w:u w:val="single"/>
        </w:rPr>
        <w:t xml:space="preserve">   /     </w:t>
      </w:r>
      <w:r>
        <w:rPr>
          <w:rFonts w:hint="eastAsia" w:ascii="宋体" w:hAnsi="宋体" w:cs="Microsoft Sans Serif"/>
          <w:color w:val="auto"/>
          <w:kern w:val="0"/>
          <w:szCs w:val="21"/>
        </w:rPr>
        <w:t>。</w:t>
      </w:r>
    </w:p>
    <w:p w14:paraId="1AF8F60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（14）严禁私自接收外来渣土。若经发现违者罚款10万元每车每次。累计3次业主有权解除合同并追究相关责任。</w:t>
      </w:r>
    </w:p>
    <w:bookmarkEnd w:id="1700"/>
    <w:p w14:paraId="1EFB5CE9">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16.2.2 承包人违约的责任</w:t>
      </w:r>
    </w:p>
    <w:p w14:paraId="543F3900">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承包人违约责任的承担方式和计算方法：</w:t>
      </w:r>
    </w:p>
    <w:p w14:paraId="692D3E2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（1）承包人未按合同约定提交履约担保、质量保证金的违约责任：承包人应支付违约金，</w:t>
      </w:r>
      <w:r>
        <w:rPr>
          <w:rFonts w:hint="eastAsia" w:ascii="宋体" w:hAnsi="宋体" w:cs="Microsoft Sans Serif"/>
          <w:color w:val="auto"/>
          <w:szCs w:val="21"/>
        </w:rPr>
        <w:t>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50000元/天</w:t>
      </w:r>
      <w:r>
        <w:rPr>
          <w:rFonts w:hint="eastAsia" w:ascii="宋体" w:hAnsi="宋体" w:cs="Microsoft Sans Serif"/>
          <w:color w:val="auto"/>
          <w:kern w:val="0"/>
          <w:szCs w:val="21"/>
        </w:rPr>
        <w:t>计算违约金，累计违约金上限：</w:t>
      </w:r>
      <w:r>
        <w:rPr>
          <w:rFonts w:hint="eastAsia" w:ascii="宋体" w:hAnsi="宋体" w:cs="Microsoft Sans Serif"/>
          <w:color w:val="auto"/>
          <w:kern w:val="0"/>
          <w:szCs w:val="21"/>
          <w:u w:val="single"/>
        </w:rPr>
        <w:t xml:space="preserve">  不超过签约合同价的3%</w:t>
      </w:r>
      <w:r>
        <w:rPr>
          <w:rFonts w:hint="eastAsia" w:ascii="宋体" w:hAnsi="宋体" w:cs="Microsoft Sans Serif"/>
          <w:color w:val="auto"/>
          <w:kern w:val="0"/>
          <w:szCs w:val="21"/>
          <w:lang w:val="zh-CN"/>
        </w:rPr>
        <w:t>。</w:t>
      </w:r>
    </w:p>
    <w:p w14:paraId="0ACA7BC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u w:val="single"/>
        </w:rPr>
        <w:t xml:space="preserve"> 10%</w:t>
      </w:r>
      <w:r>
        <w:rPr>
          <w:rFonts w:hint="eastAsia" w:ascii="宋体" w:hAnsi="宋体" w:cs="Microsoft Sans Serif"/>
          <w:color w:val="auto"/>
          <w:kern w:val="0"/>
          <w:szCs w:val="21"/>
        </w:rPr>
        <w:t>支付违约金，违法转/分包商应在7天内撤离出场。</w:t>
      </w:r>
    </w:p>
    <w:p w14:paraId="7E1DF27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u w:val="single"/>
        </w:rPr>
        <w:t xml:space="preserve"> 10%</w:t>
      </w:r>
      <w:r>
        <w:rPr>
          <w:rFonts w:hint="eastAsia" w:ascii="宋体" w:hAnsi="宋体" w:cs="Microsoft Sans Serif"/>
          <w:color w:val="auto"/>
          <w:kern w:val="0"/>
          <w:szCs w:val="21"/>
        </w:rPr>
        <w:t>支付违约金。</w:t>
      </w:r>
    </w:p>
    <w:p w14:paraId="1F7C91A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u w:val="single"/>
        </w:rPr>
        <w:t xml:space="preserve"> 10%</w:t>
      </w:r>
      <w:r>
        <w:rPr>
          <w:rFonts w:hint="eastAsia" w:ascii="宋体" w:hAnsi="宋体" w:cs="Microsoft Sans Serif"/>
          <w:color w:val="auto"/>
          <w:kern w:val="0"/>
          <w:szCs w:val="21"/>
        </w:rPr>
        <w:t>支付违约金。</w:t>
      </w:r>
    </w:p>
    <w:p w14:paraId="1EFCCD2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u w:val="single"/>
        </w:rPr>
        <w:t xml:space="preserve"> 5%</w:t>
      </w:r>
      <w:r>
        <w:rPr>
          <w:rFonts w:hint="eastAsia" w:ascii="宋体" w:hAnsi="宋体" w:cs="Microsoft Sans Serif"/>
          <w:color w:val="auto"/>
          <w:kern w:val="0"/>
          <w:szCs w:val="21"/>
        </w:rPr>
        <w:t>支付违约金。</w:t>
      </w:r>
    </w:p>
    <w:p w14:paraId="0A77105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（6）因承包人原因造成工期延误的违约承担方式和计算方法：由承包人承担由此增加的费用，</w:t>
      </w:r>
      <w:r>
        <w:rPr>
          <w:rFonts w:hint="eastAsia" w:ascii="宋体" w:hAnsi="宋体" w:cs="Microsoft Sans Serif"/>
          <w:color w:val="auto"/>
          <w:szCs w:val="21"/>
        </w:rPr>
        <w:t>由此导致工期延误的，工期不予顺延；逾期竣工违约金的计算方法：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50000元/天</w:t>
      </w:r>
      <w:r>
        <w:rPr>
          <w:rFonts w:hint="eastAsia" w:ascii="宋体" w:hAnsi="宋体" w:cs="Microsoft Sans Serif"/>
          <w:color w:val="auto"/>
          <w:kern w:val="0"/>
          <w:szCs w:val="21"/>
        </w:rPr>
        <w:t>计算逾期竣工违约金，累计违约金上限：不超过签约合同价的3%</w:t>
      </w:r>
      <w:r>
        <w:rPr>
          <w:rFonts w:hint="eastAsia" w:ascii="宋体" w:hAnsi="宋体" w:cs="Microsoft Sans Serif"/>
          <w:color w:val="auto"/>
          <w:kern w:val="0"/>
          <w:szCs w:val="21"/>
          <w:lang w:val="zh-CN"/>
        </w:rPr>
        <w:t>；</w:t>
      </w:r>
      <w:r>
        <w:rPr>
          <w:rFonts w:hint="eastAsia" w:ascii="宋体" w:hAnsi="宋体" w:cs="Microsoft Sans Serif"/>
          <w:color w:val="auto"/>
          <w:kern w:val="0"/>
          <w:szCs w:val="21"/>
        </w:rPr>
        <w:t>承包人支付逾期竣工违约金后，不免除承包人继续完成工程及修补缺陷的义务。</w:t>
      </w:r>
    </w:p>
    <w:p w14:paraId="670AAC5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u w:val="single"/>
        </w:rPr>
        <w:t>2%</w:t>
      </w:r>
      <w:r>
        <w:rPr>
          <w:rFonts w:hint="eastAsia" w:ascii="宋体" w:hAnsi="宋体" w:cs="Microsoft Sans Serif"/>
          <w:color w:val="auto"/>
          <w:kern w:val="0"/>
          <w:szCs w:val="21"/>
        </w:rPr>
        <w:t>支付违约金。</w:t>
      </w:r>
    </w:p>
    <w:p w14:paraId="00CDA92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（8）承包人明确表示或者以其行为表明不履行合同主要义务的违约责任：按签约合同价的</w:t>
      </w:r>
      <w:r>
        <w:rPr>
          <w:rFonts w:hint="eastAsia" w:ascii="宋体" w:hAnsi="宋体" w:cs="Microsoft Sans Serif"/>
          <w:color w:val="auto"/>
          <w:kern w:val="0"/>
          <w:szCs w:val="21"/>
          <w:u w:val="single"/>
        </w:rPr>
        <w:t xml:space="preserve"> 10%</w:t>
      </w:r>
      <w:r>
        <w:rPr>
          <w:rFonts w:hint="eastAsia" w:ascii="宋体" w:hAnsi="宋体" w:cs="Microsoft Sans Serif"/>
          <w:color w:val="auto"/>
          <w:kern w:val="0"/>
          <w:szCs w:val="21"/>
        </w:rPr>
        <w:t>支付违约金。</w:t>
      </w:r>
    </w:p>
    <w:p w14:paraId="6881931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（9）承包人未能按照合同约定履行其他义务的违约责任：按</w:t>
      </w:r>
      <w:r>
        <w:rPr>
          <w:rFonts w:hint="eastAsia" w:ascii="宋体" w:hAnsi="宋体" w:cs="Microsoft Sans Serif"/>
          <w:color w:val="auto"/>
          <w:kern w:val="0"/>
          <w:szCs w:val="21"/>
          <w:u w:val="single"/>
        </w:rPr>
        <w:t>5000元/次</w:t>
      </w:r>
      <w:r>
        <w:rPr>
          <w:rFonts w:hint="eastAsia" w:ascii="宋体" w:hAnsi="宋体" w:cs="Microsoft Sans Serif"/>
          <w:color w:val="auto"/>
          <w:kern w:val="0"/>
          <w:szCs w:val="21"/>
        </w:rPr>
        <w:t>支付违约金。</w:t>
      </w:r>
    </w:p>
    <w:p w14:paraId="2FD3FFC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（10）承包人未能按期开工的违约责任：按合同价</w:t>
      </w:r>
      <w:r>
        <w:rPr>
          <w:rFonts w:hint="eastAsia" w:ascii="宋体" w:hAnsi="宋体" w:cs="Microsoft Sans Serif"/>
          <w:color w:val="auto"/>
          <w:kern w:val="0"/>
          <w:szCs w:val="21"/>
          <w:u w:val="single"/>
        </w:rPr>
        <w:t>0.2‰/天</w:t>
      </w:r>
      <w:r>
        <w:rPr>
          <w:rFonts w:hint="eastAsia" w:ascii="宋体" w:hAnsi="宋体" w:cs="Microsoft Sans Serif"/>
          <w:color w:val="auto"/>
          <w:kern w:val="0"/>
          <w:szCs w:val="21"/>
        </w:rPr>
        <w:t>支付违约金，本项违约金累计限额为签约合同价的</w:t>
      </w:r>
      <w:r>
        <w:rPr>
          <w:rFonts w:hint="eastAsia" w:ascii="宋体" w:hAnsi="宋体" w:cs="Microsoft Sans Serif"/>
          <w:color w:val="auto"/>
          <w:kern w:val="0"/>
          <w:szCs w:val="21"/>
          <w:u w:val="single"/>
        </w:rPr>
        <w:t xml:space="preserve"> 1 %</w:t>
      </w:r>
      <w:r>
        <w:rPr>
          <w:rFonts w:hint="eastAsia" w:ascii="宋体" w:hAnsi="宋体" w:cs="Microsoft Sans Serif"/>
          <w:color w:val="auto"/>
          <w:kern w:val="0"/>
          <w:szCs w:val="21"/>
        </w:rPr>
        <w:t>。</w:t>
      </w:r>
    </w:p>
    <w:p w14:paraId="5BDEB31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（11）承包人未按经审定的施工组织设计配备或更换关键施工设备的违约责任：按</w:t>
      </w:r>
      <w:r>
        <w:rPr>
          <w:rFonts w:hint="eastAsia" w:ascii="宋体" w:hAnsi="宋体" w:cs="Microsoft Sans Serif"/>
          <w:color w:val="auto"/>
          <w:kern w:val="0"/>
          <w:szCs w:val="21"/>
          <w:u w:val="single"/>
        </w:rPr>
        <w:t xml:space="preserve"> 50000元/台·次</w:t>
      </w:r>
      <w:r>
        <w:rPr>
          <w:rFonts w:hint="eastAsia" w:ascii="宋体" w:hAnsi="宋体" w:cs="Microsoft Sans Serif"/>
          <w:color w:val="auto"/>
          <w:kern w:val="0"/>
          <w:szCs w:val="21"/>
        </w:rPr>
        <w:t>支付违约金。</w:t>
      </w:r>
    </w:p>
    <w:p w14:paraId="0280FBC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（12）承包人有安全问题或有违反安全管理规章制度情况的违约责任：根据具体情节，按签约合同价的</w:t>
      </w:r>
      <w:r>
        <w:rPr>
          <w:rFonts w:hint="eastAsia" w:ascii="宋体" w:hAnsi="宋体" w:cs="Microsoft Sans Serif"/>
          <w:color w:val="auto"/>
          <w:kern w:val="0"/>
          <w:szCs w:val="21"/>
          <w:u w:val="single"/>
        </w:rPr>
        <w:t>4‰/次</w:t>
      </w:r>
      <w:r>
        <w:rPr>
          <w:rFonts w:hint="eastAsia" w:ascii="宋体" w:hAnsi="宋体" w:cs="Microsoft Sans Serif"/>
          <w:color w:val="auto"/>
          <w:kern w:val="0"/>
          <w:szCs w:val="21"/>
        </w:rPr>
        <w:t>支付违约金（累计不超过签约合同价的1%，详见附件9安全管理协议）。</w:t>
      </w:r>
    </w:p>
    <w:p w14:paraId="3DBA485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u w:val="single"/>
        </w:rPr>
        <w:t xml:space="preserve"> 200000元/次</w:t>
      </w:r>
      <w:r>
        <w:rPr>
          <w:rFonts w:hint="eastAsia" w:ascii="宋体" w:hAnsi="宋体" w:cs="Microsoft Sans Serif"/>
          <w:color w:val="auto"/>
          <w:kern w:val="0"/>
          <w:szCs w:val="21"/>
        </w:rPr>
        <w:t>支付违约金。</w:t>
      </w:r>
    </w:p>
    <w:p w14:paraId="134FBCD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（14）承包人不配合发包人、监理人及发包人委托的工程造价咨询服务单位结算审核的违约责任：根据具体情节，按</w:t>
      </w:r>
      <w:r>
        <w:rPr>
          <w:rFonts w:hint="eastAsia" w:ascii="宋体" w:hAnsi="宋体" w:cs="Microsoft Sans Serif"/>
          <w:color w:val="auto"/>
          <w:kern w:val="0"/>
          <w:szCs w:val="21"/>
          <w:u w:val="single"/>
        </w:rPr>
        <w:t xml:space="preserve"> 100000元/次</w:t>
      </w:r>
      <w:r>
        <w:rPr>
          <w:rFonts w:hint="eastAsia" w:ascii="宋体" w:hAnsi="宋体" w:cs="Microsoft Sans Serif"/>
          <w:color w:val="auto"/>
          <w:kern w:val="0"/>
          <w:szCs w:val="21"/>
        </w:rPr>
        <w:t>支付违约金。</w:t>
      </w:r>
    </w:p>
    <w:p w14:paraId="4FA09E4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u w:val="single"/>
        </w:rPr>
        <w:t>1‰</w:t>
      </w:r>
      <w:r>
        <w:rPr>
          <w:rFonts w:hint="eastAsia" w:ascii="宋体" w:hAnsi="宋体" w:cs="Microsoft Sans Serif"/>
          <w:color w:val="auto"/>
          <w:kern w:val="0"/>
          <w:szCs w:val="21"/>
        </w:rPr>
        <w:t>支付违约金。</w:t>
      </w:r>
    </w:p>
    <w:p w14:paraId="1512A7B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（16）承包人未按合同约定购买保险的违约责任：除按18.6.2项约定执行外，每延迟1天，按</w:t>
      </w:r>
      <w:r>
        <w:rPr>
          <w:rFonts w:hint="eastAsia" w:ascii="宋体" w:hAnsi="宋体" w:cs="Microsoft Sans Serif"/>
          <w:color w:val="auto"/>
          <w:szCs w:val="21"/>
          <w:u w:val="single"/>
        </w:rPr>
        <w:t>500元/天</w:t>
      </w:r>
      <w:r>
        <w:rPr>
          <w:rFonts w:hint="eastAsia" w:ascii="宋体" w:hAnsi="宋体" w:cs="Microsoft Sans Serif"/>
          <w:color w:val="auto"/>
          <w:szCs w:val="21"/>
        </w:rPr>
        <w:t>支付违约金。</w:t>
      </w:r>
    </w:p>
    <w:p w14:paraId="55C46A6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（17）发生第16.2.1项（11）目、16.2.1项（12）目、16.2.1项（13）目违约情形的违约责任：除承担由此增加的费用和工期延误的责任，承包人应向发包人支付违约金：</w:t>
      </w:r>
    </w:p>
    <w:p w14:paraId="784ADE6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1）项目经理违约承担方式和计算方法：对于第16.2.1项（11）目的情形，每发现一次，根据具体情节，按</w:t>
      </w:r>
      <w:r>
        <w:rPr>
          <w:rFonts w:hint="eastAsia" w:ascii="宋体" w:hAnsi="宋体" w:cs="Microsoft Sans Serif"/>
          <w:color w:val="auto"/>
          <w:kern w:val="0"/>
          <w:szCs w:val="21"/>
          <w:u w:val="single"/>
        </w:rPr>
        <w:t>30000元/天·次</w:t>
      </w:r>
      <w:r>
        <w:rPr>
          <w:rFonts w:hint="eastAsia" w:ascii="宋体" w:hAnsi="宋体" w:cs="Microsoft Sans Serif"/>
          <w:color w:val="auto"/>
          <w:kern w:val="0"/>
          <w:szCs w:val="21"/>
        </w:rPr>
        <w:t>计算违约金；项目经理不按承诺到岗的（</w:t>
      </w:r>
      <w:r>
        <w:rPr>
          <w:rFonts w:ascii="宋体" w:hAnsi="宋体" w:cs="Microsoft Sans Serif"/>
          <w:color w:val="auto"/>
          <w:kern w:val="0"/>
          <w:szCs w:val="21"/>
        </w:rPr>
        <w:t>3.2.3项约定的情形除外</w:t>
      </w:r>
      <w:r>
        <w:rPr>
          <w:rFonts w:hint="eastAsia" w:ascii="宋体" w:hAnsi="宋体" w:cs="Microsoft Sans Serif"/>
          <w:color w:val="auto"/>
          <w:kern w:val="0"/>
          <w:szCs w:val="21"/>
        </w:rPr>
        <w:t>），按履约保证金的</w:t>
      </w:r>
      <w:r>
        <w:rPr>
          <w:rFonts w:hint="eastAsia" w:ascii="宋体" w:hAnsi="宋体" w:cs="Microsoft Sans Serif"/>
          <w:color w:val="auto"/>
          <w:kern w:val="0"/>
          <w:szCs w:val="21"/>
          <w:u w:val="single"/>
        </w:rPr>
        <w:t>100%</w:t>
      </w:r>
      <w:r>
        <w:rPr>
          <w:rFonts w:hint="eastAsia" w:ascii="宋体" w:hAnsi="宋体" w:cs="Microsoft Sans Serif"/>
          <w:color w:val="auto"/>
          <w:kern w:val="0"/>
          <w:szCs w:val="21"/>
        </w:rPr>
        <w:t>支付违约金，并解除合同；擅自更换项目经理的，按签约合同价的</w:t>
      </w:r>
      <w:r>
        <w:rPr>
          <w:rFonts w:hint="eastAsia" w:ascii="宋体" w:hAnsi="宋体" w:cs="Microsoft Sans Serif"/>
          <w:color w:val="auto"/>
          <w:kern w:val="0"/>
          <w:szCs w:val="21"/>
          <w:u w:val="single"/>
        </w:rPr>
        <w:t>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w:t>
      </w:r>
      <w:r>
        <w:rPr>
          <w:rFonts w:hint="eastAsia" w:ascii="宋体" w:hAnsi="宋体" w:cs="Microsoft Sans Serif"/>
          <w:color w:val="auto"/>
          <w:kern w:val="0"/>
          <w:szCs w:val="21"/>
        </w:rPr>
        <w:t>万，累计不超过</w:t>
      </w:r>
      <w:r>
        <w:rPr>
          <w:rFonts w:hint="eastAsia" w:ascii="宋体" w:hAnsi="宋体" w:cs="Microsoft Sans Serif"/>
          <w:color w:val="auto"/>
          <w:kern w:val="0"/>
          <w:szCs w:val="21"/>
          <w:u w:val="single"/>
        </w:rPr>
        <w:t>200</w:t>
      </w:r>
      <w:r>
        <w:rPr>
          <w:rFonts w:hint="eastAsia" w:ascii="宋体" w:hAnsi="宋体" w:cs="Microsoft Sans Serif"/>
          <w:color w:val="auto"/>
          <w:kern w:val="0"/>
          <w:szCs w:val="21"/>
        </w:rPr>
        <w:t>万。</w:t>
      </w:r>
    </w:p>
    <w:p w14:paraId="2382EC1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2）主要技术负责人违约承担方式和计算方法：对于第16.2.1项（12）目的六种情形，每发现一次，根据具体情节，按</w:t>
      </w:r>
      <w:r>
        <w:rPr>
          <w:rFonts w:hint="eastAsia" w:ascii="宋体" w:hAnsi="宋体" w:cs="Microsoft Sans Serif"/>
          <w:color w:val="auto"/>
          <w:kern w:val="0"/>
          <w:szCs w:val="21"/>
          <w:u w:val="single"/>
        </w:rPr>
        <w:t>30000元/天·次</w:t>
      </w:r>
      <w:r>
        <w:rPr>
          <w:rFonts w:hint="eastAsia" w:ascii="宋体" w:hAnsi="宋体" w:cs="Microsoft Sans Serif"/>
          <w:color w:val="auto"/>
          <w:kern w:val="0"/>
          <w:szCs w:val="21"/>
        </w:rPr>
        <w:t>计算违约金；擅自更换主要技术负责人的，按签约合同价的</w:t>
      </w:r>
      <w:r>
        <w:rPr>
          <w:rFonts w:hint="eastAsia" w:ascii="宋体" w:hAnsi="宋体" w:cs="Microsoft Sans Serif"/>
          <w:color w:val="auto"/>
          <w:kern w:val="0"/>
          <w:szCs w:val="21"/>
          <w:u w:val="single"/>
        </w:rPr>
        <w:t>2%/人·次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10万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100万</w:t>
      </w:r>
      <w:r>
        <w:rPr>
          <w:rFonts w:hint="eastAsia" w:ascii="宋体" w:hAnsi="宋体" w:cs="Microsoft Sans Serif"/>
          <w:color w:val="auto"/>
          <w:kern w:val="0"/>
          <w:szCs w:val="21"/>
        </w:rPr>
        <w:t>。</w:t>
      </w:r>
    </w:p>
    <w:p w14:paraId="6B1D33EC">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3）主要施工管理人员违约承担方式和计算方法：对于第16.2.1项（13）目的五种情形，每发现一次，根据具体情节，按</w:t>
      </w:r>
      <w:r>
        <w:rPr>
          <w:rFonts w:hint="eastAsia" w:ascii="宋体" w:hAnsi="宋体" w:cs="Microsoft Sans Serif"/>
          <w:color w:val="auto"/>
          <w:kern w:val="0"/>
          <w:szCs w:val="21"/>
          <w:u w:val="single"/>
        </w:rPr>
        <w:t>10000元/天·次</w:t>
      </w:r>
      <w:r>
        <w:rPr>
          <w:rFonts w:hint="eastAsia" w:ascii="宋体" w:hAnsi="宋体" w:cs="Microsoft Sans Serif"/>
          <w:color w:val="auto"/>
          <w:kern w:val="0"/>
          <w:szCs w:val="21"/>
        </w:rPr>
        <w:t>计算违约金。</w:t>
      </w:r>
    </w:p>
    <w:p w14:paraId="7A148F7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w:t>
      </w:r>
      <w:r>
        <w:rPr>
          <w:rFonts w:ascii="宋体" w:hAnsi="宋体" w:cs="Microsoft Sans Serif"/>
          <w:color w:val="auto"/>
          <w:kern w:val="0"/>
          <w:szCs w:val="21"/>
        </w:rPr>
        <w:t>严禁私自接收外来渣土。若经发现违者罚款10万元每车每次。累计3次业主有权解除合同并追究相关责任。</w:t>
      </w:r>
      <w:bookmarkStart w:id="1701" w:name="_Hlk524380347"/>
    </w:p>
    <w:p w14:paraId="1202713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rPr>
        <w:t>16.2.2项第（1）目承担违约责任</w:t>
      </w:r>
      <w:r>
        <w:rPr>
          <w:rFonts w:hint="eastAsia" w:ascii="宋体" w:hAnsi="宋体" w:cs="Microsoft Sans Serif"/>
          <w:color w:val="auto"/>
          <w:szCs w:val="21"/>
        </w:rPr>
        <w:t>，并从应付或到期应付给承包人的任何款项中或采用其他方法，扣除该违约金。</w:t>
      </w:r>
    </w:p>
    <w:p w14:paraId="2832C2B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rPr>
        <w:t>，承担由此给</w:t>
      </w:r>
      <w:r>
        <w:rPr>
          <w:rFonts w:hint="eastAsia" w:ascii="宋体" w:hAnsi="宋体" w:cs="Microsoft Sans Serif"/>
          <w:color w:val="auto"/>
          <w:szCs w:val="21"/>
        </w:rPr>
        <w:t>发包人造成的经济损失。</w:t>
      </w:r>
    </w:p>
    <w:p w14:paraId="173EC44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承包人承担承包范围的工程质量、安全、环保责任，因承包人原因引起的质量、安全、环保等事故由承包人承担相应的法律后果。</w:t>
      </w:r>
    </w:p>
    <w:bookmarkEnd w:id="1701"/>
    <w:p w14:paraId="503C4D69">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16.2.3 因承包人违约解除合同</w:t>
      </w:r>
    </w:p>
    <w:p w14:paraId="49AD245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因承包人违约并致使合同目的不能实现的，发包人有权解除合同：</w:t>
      </w:r>
    </w:p>
    <w:p w14:paraId="048F81AE">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（1）未按合同约定延迟提供履约担保、质量保证金超过14天的；</w:t>
      </w:r>
    </w:p>
    <w:p w14:paraId="2D1AF694">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（2）未按合同约定购买保险且经催告后超过56天的；</w:t>
      </w:r>
    </w:p>
    <w:p w14:paraId="6D2CCE89">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（3）因承包人原因导致开工时间累计延误超过56天的；</w:t>
      </w:r>
    </w:p>
    <w:p w14:paraId="451E7E57">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（4）因承包人原因导致工期延误超过90天的；</w:t>
      </w:r>
    </w:p>
    <w:p w14:paraId="5B0A2247">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（5）发生第21.2款〔退出机制〕约定的情形的；</w:t>
      </w:r>
    </w:p>
    <w:p w14:paraId="4E476A79">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（6）监理人发出整改通知后，承包人在监理人限定的期限内仍不纠正违约行为的；</w:t>
      </w:r>
    </w:p>
    <w:p w14:paraId="38FE5361">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（7）承包人进入清算或者严重资不抵债且无法履行合同的；</w:t>
      </w:r>
    </w:p>
    <w:p w14:paraId="6B60FC0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（8）违反适用法律而被相关政府部门依法吊销营业执照、责令停业、清算或宣布破产、责令关闭的；</w:t>
      </w:r>
    </w:p>
    <w:p w14:paraId="1B498C26">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（9）承包人未履行合同项下的义务构成对合同的实质性违约，并且在收到发包人要求说明其违约并予以补救的通知后56天内仍未能补救该实质性违约的；</w:t>
      </w:r>
    </w:p>
    <w:p w14:paraId="0926244F">
      <w:pPr>
        <w:pStyle w:val="107"/>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（10）严禁私自接收外来渣土。若经发现违者罚款10万元每车每次。累计3次业主有权解除合同并追究相关责任。</w:t>
      </w:r>
    </w:p>
    <w:p w14:paraId="0CB4D459">
      <w:pPr>
        <w:pStyle w:val="107"/>
        <w:spacing w:line="360" w:lineRule="auto"/>
        <w:jc w:val="left"/>
        <w:rPr>
          <w:rFonts w:ascii="宋体" w:hAnsi="宋体" w:cs="Microsoft Sans Serif"/>
          <w:color w:val="auto"/>
          <w:kern w:val="0"/>
          <w:sz w:val="21"/>
          <w:szCs w:val="21"/>
        </w:rPr>
      </w:pPr>
      <w:r>
        <w:rPr>
          <w:rFonts w:ascii="宋体" w:hAnsi="宋体" w:cs="Microsoft Sans Serif"/>
          <w:color w:val="auto"/>
          <w:kern w:val="0"/>
          <w:sz w:val="21"/>
          <w:szCs w:val="21"/>
        </w:rPr>
        <w:t>（</w:t>
      </w:r>
      <w:r>
        <w:rPr>
          <w:rFonts w:hint="eastAsia" w:ascii="宋体" w:hAnsi="宋体" w:cs="Microsoft Sans Serif"/>
          <w:color w:val="auto"/>
          <w:kern w:val="0"/>
          <w:sz w:val="21"/>
          <w:szCs w:val="21"/>
        </w:rPr>
        <w:t>11</w:t>
      </w:r>
      <w:r>
        <w:rPr>
          <w:rFonts w:ascii="宋体" w:hAnsi="宋体" w:cs="Microsoft Sans Serif"/>
          <w:color w:val="auto"/>
          <w:kern w:val="0"/>
          <w:sz w:val="21"/>
          <w:szCs w:val="21"/>
        </w:rPr>
        <w:t>）</w:t>
      </w:r>
      <w:r>
        <w:rPr>
          <w:rFonts w:hint="eastAsia" w:ascii="宋体" w:hAnsi="宋体" w:cs="Microsoft Sans Serif"/>
          <w:color w:val="auto"/>
          <w:kern w:val="0"/>
          <w:sz w:val="21"/>
          <w:szCs w:val="21"/>
          <w:u w:val="single"/>
        </w:rPr>
        <w:t>合同约定的发包人有权解除合同的其他情形</w:t>
      </w:r>
      <w:r>
        <w:rPr>
          <w:rFonts w:hint="eastAsia" w:ascii="宋体" w:hAnsi="宋体" w:cs="Microsoft Sans Serif"/>
          <w:color w:val="auto"/>
          <w:kern w:val="0"/>
          <w:sz w:val="21"/>
          <w:szCs w:val="21"/>
        </w:rPr>
        <w:t>。</w:t>
      </w:r>
    </w:p>
    <w:p w14:paraId="3C3B9828">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16.2.4因承包人违约解除合同后的处理</w:t>
      </w:r>
    </w:p>
    <w:p w14:paraId="2211B4E9">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因承包人违约导致合同解除的，合同当事人应在合同解除后56天内完成估价、付款和清算，并按以下约定执行：</w:t>
      </w:r>
    </w:p>
    <w:p w14:paraId="7ED40A46">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（1）合同解除后，按第14.2款结算审定方式确定承包人实际完成工作对应的合同价款，以及承包人已提供的材料、工程设备、施工设备和临时工程等的价值；</w:t>
      </w:r>
    </w:p>
    <w:p w14:paraId="61F8BFCA">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（2）合同解除后，承包人应支付违约金；</w:t>
      </w:r>
    </w:p>
    <w:p w14:paraId="738C4E8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（3）合同解除后，赔偿因解除合同给发包人造成的损失；</w:t>
      </w:r>
    </w:p>
    <w:p w14:paraId="2000ED63">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（4）合同解除后，承包人应按照发包人要求和监理人的指示完成现场的清理和撤离。</w:t>
      </w:r>
    </w:p>
    <w:p w14:paraId="7AD378D5">
      <w:pPr>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 xml:space="preserve">    /    </w:t>
      </w:r>
      <w:r>
        <w:rPr>
          <w:rFonts w:hint="eastAsia" w:ascii="宋体" w:hAnsi="宋体" w:cs="Microsoft Sans Serif"/>
          <w:color w:val="auto"/>
          <w:kern w:val="0"/>
          <w:szCs w:val="21"/>
        </w:rPr>
        <w:t>。</w:t>
      </w:r>
    </w:p>
    <w:p w14:paraId="04B420E9">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00F30F4B">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688"/>
    <w:bookmarkEnd w:id="1689"/>
    <w:p w14:paraId="25BDBD61">
      <w:pPr>
        <w:pStyle w:val="6"/>
        <w:keepNext/>
        <w:keepLines/>
        <w:spacing w:beforeLines="50" w:beforeAutospacing="0" w:afterLines="50" w:afterAutospacing="0" w:line="360" w:lineRule="auto"/>
        <w:jc w:val="both"/>
        <w:rPr>
          <w:bCs w:val="0"/>
          <w:color w:val="auto"/>
          <w:kern w:val="2"/>
          <w:sz w:val="21"/>
          <w:szCs w:val="21"/>
        </w:rPr>
      </w:pPr>
      <w:bookmarkStart w:id="1702" w:name="_Toc532375665"/>
      <w:bookmarkStart w:id="1703" w:name="_Toc351203649"/>
      <w:bookmarkStart w:id="1704" w:name="_Toc532377404"/>
      <w:bookmarkStart w:id="1705" w:name="_Hlk528928440"/>
      <w:r>
        <w:rPr>
          <w:rFonts w:hint="eastAsia"/>
          <w:color w:val="auto"/>
          <w:kern w:val="2"/>
          <w:sz w:val="21"/>
          <w:szCs w:val="21"/>
        </w:rPr>
        <w:t>17. 不可抗力</w:t>
      </w:r>
      <w:bookmarkEnd w:id="1702"/>
      <w:bookmarkEnd w:id="1703"/>
      <w:bookmarkEnd w:id="1704"/>
    </w:p>
    <w:p w14:paraId="427C6A37">
      <w:pPr>
        <w:pStyle w:val="7"/>
        <w:spacing w:before="0" w:beforeAutospacing="0" w:after="0" w:afterAutospacing="0" w:line="360" w:lineRule="auto"/>
        <w:ind w:firstLine="422" w:firstLineChars="200"/>
        <w:rPr>
          <w:color w:val="auto"/>
          <w:sz w:val="21"/>
          <w:szCs w:val="21"/>
        </w:rPr>
      </w:pPr>
      <w:bookmarkStart w:id="1706" w:name="_Toc532377405"/>
      <w:bookmarkStart w:id="1707" w:name="_Toc532375666"/>
      <w:r>
        <w:rPr>
          <w:rFonts w:hint="eastAsia"/>
          <w:color w:val="auto"/>
          <w:sz w:val="21"/>
          <w:szCs w:val="21"/>
        </w:rPr>
        <w:t>17.1 不可抗力的确认</w:t>
      </w:r>
      <w:bookmarkEnd w:id="1706"/>
      <w:bookmarkEnd w:id="1707"/>
    </w:p>
    <w:p w14:paraId="629E3B7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除通用合同条款约定的不可抗力事件之外，视为不可抗力的其他情形：</w:t>
      </w:r>
      <w:bookmarkStart w:id="1708" w:name="_Hlk524379638"/>
    </w:p>
    <w:p w14:paraId="5427EFF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（1）洪水、火山爆发、山崩、山体滑坡、泥石流、龙卷风、隧道内不可预测的突发性地质灾害等自然灾害；</w:t>
      </w:r>
    </w:p>
    <w:p w14:paraId="01F915F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（2）骚乱、戒严、封锁、禁运、恐怖行为、等社会行为，但承包人或其分包人派遣与雇佣的人员由于合同工程施工原因引起的除外；</w:t>
      </w:r>
    </w:p>
    <w:p w14:paraId="380FBCE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（3）不能合理预见的重大交通阻滞、停运、交通事故，非双方责任引起的火灾、爆炸、船舶撞击等情形；</w:t>
      </w:r>
    </w:p>
    <w:p w14:paraId="3645C25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（4）化学或放射性污染或核辐射；</w:t>
      </w:r>
    </w:p>
    <w:p w14:paraId="6232350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（5）环保治理等政府行为导致项目停工的。</w:t>
      </w:r>
      <w:bookmarkEnd w:id="1708"/>
    </w:p>
    <w:p w14:paraId="7AA27BA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 xml:space="preserve">    /    </w:t>
      </w:r>
      <w:r>
        <w:rPr>
          <w:rFonts w:hint="eastAsia" w:ascii="宋体" w:hAnsi="宋体"/>
          <w:color w:val="auto"/>
          <w:szCs w:val="21"/>
        </w:rPr>
        <w:t>。</w:t>
      </w:r>
    </w:p>
    <w:p w14:paraId="6D5D18A4">
      <w:pPr>
        <w:pStyle w:val="7"/>
        <w:spacing w:before="0" w:beforeAutospacing="0" w:after="0" w:afterAutospacing="0" w:line="360" w:lineRule="auto"/>
        <w:ind w:firstLine="422" w:firstLineChars="200"/>
        <w:rPr>
          <w:color w:val="auto"/>
          <w:sz w:val="21"/>
          <w:szCs w:val="21"/>
        </w:rPr>
      </w:pPr>
      <w:bookmarkStart w:id="1709" w:name="_Toc532375667"/>
      <w:bookmarkStart w:id="1710" w:name="_Toc532377406"/>
      <w:bookmarkStart w:id="1711" w:name="_Toc351203610"/>
      <w:bookmarkStart w:id="1712" w:name="_Toc296346620"/>
      <w:bookmarkStart w:id="1713" w:name="_Toc296503119"/>
      <w:bookmarkStart w:id="1714" w:name="_Toc337558826"/>
      <w:r>
        <w:rPr>
          <w:rFonts w:hint="eastAsia"/>
          <w:color w:val="auto"/>
          <w:sz w:val="21"/>
          <w:szCs w:val="21"/>
        </w:rPr>
        <w:t>17.3 不可抗力后果的承担</w:t>
      </w:r>
      <w:bookmarkEnd w:id="1709"/>
      <w:bookmarkEnd w:id="1710"/>
      <w:bookmarkEnd w:id="1711"/>
    </w:p>
    <w:bookmarkEnd w:id="1712"/>
    <w:bookmarkEnd w:id="1713"/>
    <w:bookmarkEnd w:id="1714"/>
    <w:p w14:paraId="65F77CC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17.3.1 不可抗力引起的后果及造成的损失由合同当事人按照法律规定及合同约定各自承担。不可抗力发生前已完成的工程应当按照合同约定进行计量支付。</w:t>
      </w:r>
    </w:p>
    <w:p w14:paraId="31B1B9B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17.3.2 不可抗力导致的人员伤亡、财产损失、费用增加和（或）工期延误等后果，由合同当事人按以下原则承担：</w:t>
      </w:r>
    </w:p>
    <w:p w14:paraId="717F788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（1）永久工程、已运至施工现场的施工材料和工程设备的损坏，以及因工程损坏造成的第三方人员伤亡和财产损失由发包人承担；</w:t>
      </w:r>
    </w:p>
    <w:p w14:paraId="5ECA03C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（2）承包人施工设备的损坏由承包人承担；</w:t>
      </w:r>
    </w:p>
    <w:p w14:paraId="18498F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（3）发包人和承包人承担各自人员伤亡和财产的损失；</w:t>
      </w:r>
    </w:p>
    <w:p w14:paraId="67FA372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（4）因不可抗力影响承包人履行合同约定的义务，已经引起或将引起工期延误的，应当顺延工期，由此导致承包人停工的费用损失由发包人和承包人合理共担；</w:t>
      </w:r>
    </w:p>
    <w:p w14:paraId="3D76F10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（5）因不可抗力引起或将引起工期延误，发包人要求赶工的，由此增加的赶工费用由发包人承担；</w:t>
      </w:r>
    </w:p>
    <w:p w14:paraId="6969311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（6）承包人在停工期间按照发包人要求照管、清理和修复工程的费用由发包人承担；</w:t>
      </w:r>
    </w:p>
    <w:p w14:paraId="45618B9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（7）不可抗力事件发生后，合同当事人均应采取措施尽量避免和减少损失的扩大，任何一方当事人没有采取有效措施导致损失扩大的，应对扩大的损失承担责任。</w:t>
      </w:r>
    </w:p>
    <w:p w14:paraId="58F3429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 xml:space="preserve">   /     </w:t>
      </w:r>
      <w:r>
        <w:rPr>
          <w:rFonts w:hint="eastAsia" w:ascii="宋体" w:hAnsi="宋体"/>
          <w:color w:val="auto"/>
          <w:szCs w:val="21"/>
        </w:rPr>
        <w:t>。</w:t>
      </w:r>
    </w:p>
    <w:p w14:paraId="63A20CFD">
      <w:pPr>
        <w:pStyle w:val="7"/>
        <w:spacing w:before="0" w:beforeAutospacing="0" w:after="0" w:afterAutospacing="0" w:line="360" w:lineRule="auto"/>
        <w:ind w:firstLine="422" w:firstLineChars="200"/>
        <w:rPr>
          <w:color w:val="auto"/>
          <w:sz w:val="21"/>
          <w:szCs w:val="21"/>
        </w:rPr>
      </w:pPr>
      <w:bookmarkStart w:id="1715" w:name="_Toc532375668"/>
      <w:bookmarkStart w:id="1716" w:name="_Toc532377407"/>
      <w:r>
        <w:rPr>
          <w:rFonts w:hint="eastAsia"/>
          <w:color w:val="auto"/>
          <w:sz w:val="21"/>
          <w:szCs w:val="21"/>
        </w:rPr>
        <w:t>17.4 因不可抗力解除合同</w:t>
      </w:r>
      <w:bookmarkEnd w:id="1715"/>
      <w:bookmarkEnd w:id="1716"/>
    </w:p>
    <w:p w14:paraId="36844C4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合同解除后，发包人应在商定或确定发包人应支付款项后</w:t>
      </w:r>
      <w:r>
        <w:rPr>
          <w:rFonts w:hint="eastAsia" w:ascii="宋体" w:hAnsi="宋体"/>
          <w:color w:val="auto"/>
          <w:szCs w:val="21"/>
          <w:u w:val="single"/>
        </w:rPr>
        <w:t>28</w:t>
      </w:r>
      <w:r>
        <w:rPr>
          <w:rFonts w:hint="eastAsia" w:ascii="宋体" w:hAnsi="宋体"/>
          <w:color w:val="auto"/>
          <w:szCs w:val="21"/>
        </w:rPr>
        <w:t>天内完成款项的支付。</w:t>
      </w:r>
    </w:p>
    <w:p w14:paraId="49B6076C">
      <w:pPr>
        <w:pStyle w:val="6"/>
        <w:keepNext/>
        <w:keepLines/>
        <w:spacing w:beforeLines="50" w:beforeAutospacing="0" w:afterLines="50" w:afterAutospacing="0" w:line="360" w:lineRule="auto"/>
        <w:jc w:val="both"/>
        <w:rPr>
          <w:bCs w:val="0"/>
          <w:color w:val="auto"/>
          <w:kern w:val="2"/>
          <w:sz w:val="21"/>
          <w:szCs w:val="21"/>
        </w:rPr>
      </w:pPr>
      <w:bookmarkStart w:id="1717" w:name="_Toc532375669"/>
      <w:bookmarkStart w:id="1718" w:name="_Toc351203650"/>
      <w:bookmarkStart w:id="1719" w:name="_Toc532377408"/>
      <w:r>
        <w:rPr>
          <w:rFonts w:hint="eastAsia"/>
          <w:color w:val="auto"/>
          <w:kern w:val="2"/>
          <w:sz w:val="21"/>
          <w:szCs w:val="21"/>
        </w:rPr>
        <w:t>18. 保险</w:t>
      </w:r>
      <w:bookmarkEnd w:id="1717"/>
      <w:bookmarkEnd w:id="1718"/>
      <w:bookmarkEnd w:id="1719"/>
    </w:p>
    <w:p w14:paraId="10AA0169">
      <w:pPr>
        <w:pStyle w:val="7"/>
        <w:spacing w:before="0" w:beforeAutospacing="0" w:after="0" w:afterAutospacing="0" w:line="360" w:lineRule="auto"/>
        <w:ind w:firstLine="422" w:firstLineChars="200"/>
        <w:rPr>
          <w:color w:val="auto"/>
          <w:sz w:val="21"/>
          <w:szCs w:val="21"/>
        </w:rPr>
      </w:pPr>
      <w:bookmarkStart w:id="1720" w:name="_Toc532377409"/>
      <w:bookmarkStart w:id="1721" w:name="_Toc532375670"/>
      <w:r>
        <w:rPr>
          <w:rFonts w:hint="eastAsia"/>
          <w:color w:val="auto"/>
          <w:sz w:val="21"/>
          <w:szCs w:val="21"/>
        </w:rPr>
        <w:t>18.1 工程保险</w:t>
      </w:r>
      <w:bookmarkEnd w:id="1720"/>
      <w:bookmarkEnd w:id="1721"/>
    </w:p>
    <w:p w14:paraId="0474E5A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关于工程保险的特别约定：发包人应投保</w:t>
      </w:r>
      <w:r>
        <w:rPr>
          <w:rFonts w:hint="eastAsia" w:ascii="宋体" w:hAnsi="宋体"/>
          <w:color w:val="auto"/>
          <w:szCs w:val="21"/>
          <w:u w:val="single"/>
        </w:rPr>
        <w:t>建筑工程一切险或安装工程一切险</w:t>
      </w:r>
      <w:r>
        <w:rPr>
          <w:rFonts w:hint="eastAsia" w:ascii="宋体" w:hAnsi="宋体"/>
          <w:color w:val="auto"/>
          <w:szCs w:val="21"/>
        </w:rPr>
        <w:t>；发包人委托承包人投保的，因投保产生的保险费和其他相关费用由发包人承担。</w:t>
      </w:r>
    </w:p>
    <w:p w14:paraId="0FD1347C">
      <w:pPr>
        <w:pStyle w:val="7"/>
        <w:spacing w:before="0" w:beforeAutospacing="0" w:after="0" w:afterAutospacing="0" w:line="360" w:lineRule="auto"/>
        <w:ind w:firstLine="422" w:firstLineChars="200"/>
        <w:rPr>
          <w:color w:val="auto"/>
          <w:sz w:val="21"/>
          <w:szCs w:val="21"/>
        </w:rPr>
      </w:pPr>
      <w:bookmarkStart w:id="1722" w:name="_Toc532377410"/>
      <w:bookmarkStart w:id="1723" w:name="_Toc532375671"/>
      <w:r>
        <w:rPr>
          <w:rFonts w:hint="eastAsia"/>
          <w:color w:val="auto"/>
          <w:sz w:val="21"/>
          <w:szCs w:val="21"/>
        </w:rPr>
        <w:t>18.3 其他保险</w:t>
      </w:r>
      <w:bookmarkEnd w:id="1722"/>
      <w:bookmarkEnd w:id="1723"/>
    </w:p>
    <w:p w14:paraId="15052CD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关于其他保险的约定：</w:t>
      </w:r>
      <w:r>
        <w:rPr>
          <w:rFonts w:hint="eastAsia" w:ascii="宋体" w:hAnsi="宋体"/>
          <w:color w:val="auto"/>
          <w:szCs w:val="21"/>
          <w:u w:val="single"/>
        </w:rPr>
        <w:t xml:space="preserve">    /    </w:t>
      </w:r>
      <w:r>
        <w:rPr>
          <w:rFonts w:hint="eastAsia" w:ascii="宋体" w:hAnsi="宋体"/>
          <w:color w:val="auto"/>
          <w:szCs w:val="21"/>
        </w:rPr>
        <w:t>。</w:t>
      </w:r>
    </w:p>
    <w:p w14:paraId="3A931F6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承包人是否应为其施工设备等办理财产保险：</w:t>
      </w:r>
      <w:r>
        <w:rPr>
          <w:rFonts w:hint="eastAsia" w:ascii="宋体" w:hAnsi="宋体"/>
          <w:color w:val="auto"/>
          <w:szCs w:val="21"/>
          <w:u w:val="single"/>
        </w:rPr>
        <w:t xml:space="preserve">    /    </w:t>
      </w:r>
      <w:r>
        <w:rPr>
          <w:rFonts w:hint="eastAsia" w:ascii="宋体" w:hAnsi="宋体"/>
          <w:color w:val="auto"/>
          <w:szCs w:val="21"/>
        </w:rPr>
        <w:t>。</w:t>
      </w:r>
    </w:p>
    <w:p w14:paraId="0606E03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安全生产责任险：</w:t>
      </w:r>
      <w:r>
        <w:rPr>
          <w:rFonts w:hint="eastAsia" w:ascii="宋体" w:hAnsi="宋体"/>
          <w:color w:val="auto"/>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rPr>
        <w:t>。</w:t>
      </w:r>
    </w:p>
    <w:p w14:paraId="724AD177">
      <w:pPr>
        <w:pStyle w:val="7"/>
        <w:spacing w:before="0" w:beforeAutospacing="0" w:after="0" w:afterAutospacing="0" w:line="360" w:lineRule="auto"/>
        <w:ind w:firstLine="422" w:firstLineChars="200"/>
        <w:rPr>
          <w:color w:val="auto"/>
          <w:sz w:val="21"/>
          <w:szCs w:val="21"/>
        </w:rPr>
      </w:pPr>
      <w:bookmarkStart w:id="1724" w:name="_Toc532375672"/>
      <w:bookmarkStart w:id="1725" w:name="_Toc532377411"/>
      <w:r>
        <w:rPr>
          <w:rFonts w:hint="eastAsia"/>
          <w:color w:val="auto"/>
          <w:sz w:val="21"/>
          <w:szCs w:val="21"/>
        </w:rPr>
        <w:t>18.7 通知义务</w:t>
      </w:r>
      <w:bookmarkEnd w:id="1724"/>
      <w:bookmarkEnd w:id="1725"/>
    </w:p>
    <w:p w14:paraId="5495C10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关于变更保险合同时的通知义务的约定：</w:t>
      </w:r>
      <w:r>
        <w:rPr>
          <w:rFonts w:hint="eastAsia" w:ascii="宋体" w:hAnsi="宋体"/>
          <w:color w:val="auto"/>
          <w:szCs w:val="21"/>
          <w:u w:val="single"/>
        </w:rPr>
        <w:t>按通用合同条款执行</w:t>
      </w:r>
      <w:r>
        <w:rPr>
          <w:rFonts w:hint="eastAsia" w:ascii="宋体" w:hAnsi="宋体"/>
          <w:color w:val="auto"/>
          <w:szCs w:val="21"/>
        </w:rPr>
        <w:t>。</w:t>
      </w:r>
    </w:p>
    <w:p w14:paraId="5D9ABC81">
      <w:pPr>
        <w:pStyle w:val="7"/>
        <w:spacing w:before="0" w:beforeAutospacing="0" w:after="0" w:afterAutospacing="0" w:line="360" w:lineRule="auto"/>
        <w:ind w:firstLine="422" w:firstLineChars="200"/>
        <w:rPr>
          <w:color w:val="auto"/>
          <w:sz w:val="21"/>
          <w:szCs w:val="21"/>
        </w:rPr>
      </w:pPr>
      <w:bookmarkStart w:id="1726" w:name="_Toc532375673"/>
      <w:bookmarkStart w:id="1727" w:name="_Toc532377412"/>
      <w:r>
        <w:rPr>
          <w:rFonts w:hint="eastAsia"/>
          <w:color w:val="auto"/>
          <w:sz w:val="21"/>
          <w:szCs w:val="21"/>
        </w:rPr>
        <w:t>18.8 其他</w:t>
      </w:r>
      <w:bookmarkEnd w:id="1726"/>
      <w:bookmarkEnd w:id="1727"/>
    </w:p>
    <w:p w14:paraId="06B8256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18.8.1 工程开工日前，承包人向发包人提交各项生效的保险证据和保险单副本。未按本项约定提交的，每延后1天，承包人按500元/天支付违约金。</w:t>
      </w:r>
    </w:p>
    <w:p w14:paraId="47F73B5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18.8.2 承包人保险赔偿金不足以补偿发包人损失时，</w:t>
      </w:r>
      <w:bookmarkStart w:id="1728" w:name="_Hlk524378346"/>
      <w:r>
        <w:rPr>
          <w:rFonts w:hint="eastAsia" w:ascii="宋体" w:hAnsi="宋体"/>
          <w:color w:val="auto"/>
          <w:szCs w:val="21"/>
        </w:rPr>
        <w:t>差额由承包人负责补足</w:t>
      </w:r>
      <w:bookmarkEnd w:id="1728"/>
      <w:r>
        <w:rPr>
          <w:rFonts w:hint="eastAsia" w:ascii="宋体" w:hAnsi="宋体"/>
          <w:color w:val="auto"/>
          <w:szCs w:val="21"/>
        </w:rPr>
        <w:t>。</w:t>
      </w:r>
    </w:p>
    <w:p w14:paraId="780E81A0">
      <w:pPr>
        <w:pStyle w:val="6"/>
        <w:keepNext/>
        <w:keepLines/>
        <w:spacing w:beforeLines="50" w:beforeAutospacing="0" w:afterLines="50" w:afterAutospacing="0" w:line="360" w:lineRule="auto"/>
        <w:jc w:val="both"/>
        <w:rPr>
          <w:bCs w:val="0"/>
          <w:color w:val="auto"/>
          <w:kern w:val="2"/>
          <w:sz w:val="21"/>
          <w:szCs w:val="21"/>
        </w:rPr>
      </w:pPr>
      <w:bookmarkStart w:id="1729" w:name="_Toc532377413"/>
      <w:bookmarkStart w:id="1730" w:name="_Toc532375674"/>
      <w:bookmarkStart w:id="1731" w:name="_Toc351203620"/>
      <w:bookmarkStart w:id="1732" w:name="_Toc337558835"/>
      <w:bookmarkStart w:id="1733" w:name="_Toc296503140"/>
      <w:bookmarkStart w:id="1734" w:name="_Toc296346641"/>
      <w:r>
        <w:rPr>
          <w:rFonts w:hint="eastAsia"/>
          <w:color w:val="auto"/>
          <w:kern w:val="2"/>
          <w:sz w:val="21"/>
          <w:szCs w:val="21"/>
        </w:rPr>
        <w:t>19. 索赔</w:t>
      </w:r>
      <w:bookmarkEnd w:id="1729"/>
      <w:bookmarkEnd w:id="1730"/>
      <w:bookmarkEnd w:id="1731"/>
    </w:p>
    <w:bookmarkEnd w:id="1732"/>
    <w:bookmarkEnd w:id="1733"/>
    <w:bookmarkEnd w:id="1734"/>
    <w:p w14:paraId="1502930C">
      <w:pPr>
        <w:pStyle w:val="7"/>
        <w:spacing w:before="0" w:beforeAutospacing="0" w:after="0" w:afterAutospacing="0" w:line="360" w:lineRule="auto"/>
        <w:ind w:firstLine="422" w:firstLineChars="200"/>
        <w:rPr>
          <w:color w:val="auto"/>
          <w:sz w:val="21"/>
          <w:szCs w:val="21"/>
        </w:rPr>
      </w:pPr>
      <w:bookmarkStart w:id="1735" w:name="_Toc532375675"/>
      <w:bookmarkStart w:id="1736" w:name="_Toc532377414"/>
      <w:bookmarkStart w:id="1737" w:name="_Toc337558836"/>
      <w:bookmarkStart w:id="1738" w:name="_Toc296503141"/>
      <w:bookmarkStart w:id="1739" w:name="_Toc296346642"/>
      <w:bookmarkStart w:id="1740" w:name="_Toc351203621"/>
      <w:r>
        <w:rPr>
          <w:rFonts w:hint="eastAsia"/>
          <w:color w:val="auto"/>
          <w:sz w:val="21"/>
          <w:szCs w:val="21"/>
        </w:rPr>
        <w:t>19.1 承包人的索赔</w:t>
      </w:r>
      <w:bookmarkEnd w:id="1735"/>
      <w:bookmarkEnd w:id="1736"/>
    </w:p>
    <w:p w14:paraId="243EA83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14:paraId="7368AA2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（1）承包人应在索赔事件发生后28天内，向监理人递交索赔意向通知书，并说明发生索赔事件的事由；承包人未在前述28天内发出索赔意向通知书的，丧失要求追加付款和（或）延长工期的权利；</w:t>
      </w:r>
    </w:p>
    <w:p w14:paraId="7246AA02">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（2）承包人应在发出索赔意向通知书后28天内，向监理人正式递交索赔报告；索赔报告应详细说明索赔理由以及要求追加的付款金额和（或）延长的工期，并附必要的记录和证明材料；</w:t>
      </w:r>
    </w:p>
    <w:p w14:paraId="4AE5AC3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（3）索赔事件具有持续影响的，承包人应按监理人要求的合理时间间隔继续递交延续索赔通知，说明持续影响的实际情况和记录，列出累计的追加付款金额和（或）工期延长天数；</w:t>
      </w:r>
    </w:p>
    <w:p w14:paraId="1785DE97">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（4）在索赔事件影响结束后28天内，承包人应向监理人递交最终索赔报告，说明最终要求索赔的追加付款金额和（或）延长的工期，并附必要的记录和证明材料。</w:t>
      </w:r>
    </w:p>
    <w:p w14:paraId="199AC25A">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 xml:space="preserve">    /    </w:t>
      </w:r>
      <w:r>
        <w:rPr>
          <w:rFonts w:hint="eastAsia" w:ascii="宋体" w:hAnsi="宋体"/>
          <w:color w:val="auto"/>
          <w:szCs w:val="21"/>
        </w:rPr>
        <w:t>。</w:t>
      </w:r>
    </w:p>
    <w:p w14:paraId="18A06D5C">
      <w:pPr>
        <w:pStyle w:val="7"/>
        <w:spacing w:before="0" w:beforeAutospacing="0" w:after="0" w:afterAutospacing="0" w:line="360" w:lineRule="auto"/>
        <w:ind w:firstLine="422" w:firstLineChars="200"/>
        <w:rPr>
          <w:color w:val="auto"/>
          <w:sz w:val="21"/>
          <w:szCs w:val="21"/>
        </w:rPr>
      </w:pPr>
      <w:bookmarkStart w:id="1741" w:name="_Toc532375676"/>
      <w:bookmarkStart w:id="1742" w:name="_Toc532377415"/>
      <w:r>
        <w:rPr>
          <w:rFonts w:hint="eastAsia"/>
          <w:color w:val="auto"/>
          <w:sz w:val="21"/>
          <w:szCs w:val="21"/>
        </w:rPr>
        <w:t>19.2 对承包人索赔的处理</w:t>
      </w:r>
      <w:bookmarkEnd w:id="1741"/>
      <w:bookmarkEnd w:id="1742"/>
    </w:p>
    <w:p w14:paraId="38FE12C6">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对承包人索赔的处理如下：</w:t>
      </w:r>
    </w:p>
    <w:p w14:paraId="0165CFB7">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（1）监理人应在收到索赔报告后14天内完成审查并报送发包人。监理人对索赔报告存在异议的，有权要求承包人提交全部原始记录副本</w:t>
      </w:r>
      <w:r>
        <w:rPr>
          <w:rFonts w:hint="eastAsia" w:ascii="宋体" w:hAnsi="宋体"/>
          <w:color w:val="auto"/>
          <w:szCs w:val="21"/>
        </w:rPr>
        <w:t>；</w:t>
      </w:r>
    </w:p>
    <w:p w14:paraId="76893C8C">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rPr>
        <w:t>；</w:t>
      </w:r>
    </w:p>
    <w:p w14:paraId="674ADB50">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（3）承包人接受索赔处理结果的，索赔款项在当期进度款中进行支付；承包人不接受索赔处理结果的，按照第20条〔争议解决〕约定处理</w:t>
      </w:r>
      <w:r>
        <w:rPr>
          <w:rFonts w:hint="eastAsia" w:ascii="宋体" w:hAnsi="宋体"/>
          <w:color w:val="auto"/>
          <w:szCs w:val="21"/>
        </w:rPr>
        <w:t>；</w:t>
      </w:r>
    </w:p>
    <w:p w14:paraId="2098CF4C">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（4）工期延误的关键线路按照经监理人、发包人审批同意的施工组织设计计算</w:t>
      </w:r>
      <w:r>
        <w:rPr>
          <w:rFonts w:hint="eastAsia" w:ascii="宋体" w:hAnsi="宋体"/>
          <w:color w:val="auto"/>
          <w:szCs w:val="21"/>
        </w:rPr>
        <w:t>。</w:t>
      </w:r>
    </w:p>
    <w:p w14:paraId="6F382F1F">
      <w:pPr>
        <w:pStyle w:val="7"/>
        <w:spacing w:before="0" w:beforeAutospacing="0" w:after="0" w:afterAutospacing="0" w:line="360" w:lineRule="auto"/>
        <w:ind w:firstLine="422" w:firstLineChars="200"/>
        <w:rPr>
          <w:color w:val="auto"/>
          <w:sz w:val="21"/>
          <w:szCs w:val="21"/>
        </w:rPr>
      </w:pPr>
      <w:bookmarkStart w:id="1743" w:name="_Toc532375677"/>
      <w:bookmarkStart w:id="1744" w:name="_Toc532377416"/>
      <w:r>
        <w:rPr>
          <w:rFonts w:hint="eastAsia"/>
          <w:color w:val="auto"/>
          <w:sz w:val="21"/>
          <w:szCs w:val="21"/>
        </w:rPr>
        <w:t>19.3发包人的索赔</w:t>
      </w:r>
      <w:bookmarkEnd w:id="1743"/>
      <w:bookmarkEnd w:id="1744"/>
    </w:p>
    <w:p w14:paraId="3F3175B9">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根据合同约定，发包人认为有权得到赔付金额和（或）延长缺陷责任期的，监理人应向承包人发出通知并附有详细的证明。</w:t>
      </w:r>
    </w:p>
    <w:p w14:paraId="31ED30BC">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745" w:name="_Hlk528652769"/>
      <w:r>
        <w:rPr>
          <w:rFonts w:hint="eastAsia" w:ascii="宋体" w:hAnsi="宋体"/>
          <w:color w:val="auto"/>
          <w:szCs w:val="21"/>
        </w:rPr>
        <w:t>通过监理人向承包人正式递交最终索赔报告</w:t>
      </w:r>
      <w:bookmarkEnd w:id="1745"/>
      <w:r>
        <w:rPr>
          <w:rFonts w:hint="eastAsia" w:ascii="宋体" w:hAnsi="宋体"/>
          <w:color w:val="auto"/>
          <w:szCs w:val="21"/>
        </w:rPr>
        <w:t>。</w:t>
      </w:r>
    </w:p>
    <w:p w14:paraId="03030486">
      <w:pPr>
        <w:pStyle w:val="7"/>
        <w:spacing w:before="0" w:beforeAutospacing="0" w:after="0" w:afterAutospacing="0" w:line="360" w:lineRule="auto"/>
        <w:ind w:firstLine="422" w:firstLineChars="200"/>
        <w:rPr>
          <w:color w:val="auto"/>
          <w:sz w:val="21"/>
          <w:szCs w:val="21"/>
        </w:rPr>
      </w:pPr>
      <w:bookmarkStart w:id="1746" w:name="_Toc532375678"/>
      <w:bookmarkStart w:id="1747" w:name="_Toc532377417"/>
      <w:r>
        <w:rPr>
          <w:rFonts w:hint="eastAsia"/>
          <w:color w:val="auto"/>
          <w:sz w:val="21"/>
          <w:szCs w:val="21"/>
        </w:rPr>
        <w:t>19.4 对发包人索赔的处理</w:t>
      </w:r>
      <w:bookmarkEnd w:id="1746"/>
      <w:bookmarkEnd w:id="1747"/>
    </w:p>
    <w:p w14:paraId="4D5C1E47">
      <w:pPr>
        <w:autoSpaceDE w:val="0"/>
        <w:autoSpaceDN w:val="0"/>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107ECEBA">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（1）承包人收到发包人提交的索赔报告后，应及时审查索赔报告的内容、查验发包人证明材料；</w:t>
      </w:r>
    </w:p>
    <w:p w14:paraId="23440CE7">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54EFCAE8">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（3）承包人接受索赔处理结果的，发包人可从应支付给承包人的合同价款中扣除赔付的金额或延长缺陷责任期；发包人不接受索赔处理结果的，按第20条〔争议解决〕约定处理。</w:t>
      </w:r>
    </w:p>
    <w:p w14:paraId="56CA973A">
      <w:pPr>
        <w:pStyle w:val="7"/>
        <w:spacing w:before="0" w:beforeAutospacing="0" w:after="0" w:afterAutospacing="0" w:line="360" w:lineRule="auto"/>
        <w:ind w:firstLine="422" w:firstLineChars="200"/>
        <w:rPr>
          <w:color w:val="auto"/>
          <w:sz w:val="21"/>
          <w:szCs w:val="21"/>
        </w:rPr>
      </w:pPr>
      <w:bookmarkStart w:id="1748" w:name="_Toc532377418"/>
      <w:bookmarkStart w:id="1749" w:name="_Toc532375679"/>
      <w:bookmarkStart w:id="1750" w:name="_Hlk528928420"/>
      <w:r>
        <w:rPr>
          <w:rFonts w:hint="eastAsia"/>
          <w:color w:val="auto"/>
          <w:sz w:val="21"/>
          <w:szCs w:val="21"/>
        </w:rPr>
        <w:t>19.5 提出索赔的期限</w:t>
      </w:r>
      <w:bookmarkEnd w:id="1748"/>
      <w:bookmarkEnd w:id="1749"/>
    </w:p>
    <w:p w14:paraId="4A57612A">
      <w:pPr>
        <w:autoSpaceDE w:val="0"/>
        <w:autoSpaceDN w:val="0"/>
        <w:spacing w:line="360" w:lineRule="auto"/>
        <w:ind w:right="105" w:rightChars="50" w:firstLine="420" w:firstLineChars="200"/>
        <w:jc w:val="left"/>
        <w:rPr>
          <w:rFonts w:ascii="宋体" w:hAnsi="宋体"/>
          <w:color w:val="auto"/>
          <w:szCs w:val="21"/>
        </w:rPr>
      </w:pPr>
      <w:bookmarkStart w:id="1751" w:name="_Hlk524298376"/>
      <w:r>
        <w:rPr>
          <w:rFonts w:hint="eastAsia" w:ascii="宋体" w:hAnsi="宋体"/>
          <w:color w:val="auto"/>
          <w:szCs w:val="21"/>
        </w:rPr>
        <w:t>任一索赔事件发生后28天内，承包人/发包人未向对方发出索赔意向通知书的，视为其已放弃索赔权，无权再就该索赔事项提出任何索赔。</w:t>
      </w:r>
    </w:p>
    <w:bookmarkEnd w:id="1737"/>
    <w:bookmarkEnd w:id="1738"/>
    <w:bookmarkEnd w:id="1739"/>
    <w:bookmarkEnd w:id="1740"/>
    <w:bookmarkEnd w:id="1750"/>
    <w:bookmarkEnd w:id="1751"/>
    <w:p w14:paraId="2ECF2108">
      <w:pPr>
        <w:pStyle w:val="6"/>
        <w:keepNext/>
        <w:keepLines/>
        <w:spacing w:beforeLines="50" w:beforeAutospacing="0" w:afterLines="50" w:afterAutospacing="0" w:line="360" w:lineRule="auto"/>
        <w:jc w:val="both"/>
        <w:rPr>
          <w:bCs w:val="0"/>
          <w:color w:val="auto"/>
          <w:kern w:val="2"/>
          <w:sz w:val="21"/>
          <w:szCs w:val="21"/>
        </w:rPr>
      </w:pPr>
      <w:bookmarkStart w:id="1752" w:name="_Toc351203651"/>
      <w:bookmarkStart w:id="1753" w:name="_Toc532375680"/>
      <w:bookmarkStart w:id="1754" w:name="_Toc532377419"/>
      <w:r>
        <w:rPr>
          <w:rFonts w:hint="eastAsia"/>
          <w:color w:val="auto"/>
          <w:kern w:val="2"/>
          <w:sz w:val="21"/>
          <w:szCs w:val="21"/>
        </w:rPr>
        <w:t>20. 争议解决</w:t>
      </w:r>
      <w:bookmarkEnd w:id="1752"/>
      <w:bookmarkEnd w:id="1753"/>
      <w:bookmarkEnd w:id="1754"/>
    </w:p>
    <w:p w14:paraId="1EF4491A">
      <w:pPr>
        <w:pStyle w:val="7"/>
        <w:spacing w:before="0" w:beforeAutospacing="0" w:after="0" w:afterAutospacing="0" w:line="360" w:lineRule="auto"/>
        <w:ind w:firstLine="422" w:firstLineChars="200"/>
        <w:rPr>
          <w:color w:val="auto"/>
          <w:sz w:val="21"/>
          <w:szCs w:val="21"/>
        </w:rPr>
      </w:pPr>
      <w:bookmarkStart w:id="1755" w:name="_Toc532375681"/>
      <w:bookmarkStart w:id="1756" w:name="_Toc532377420"/>
      <w:r>
        <w:rPr>
          <w:rFonts w:hint="eastAsia"/>
          <w:color w:val="auto"/>
          <w:sz w:val="21"/>
          <w:szCs w:val="21"/>
        </w:rPr>
        <w:t>20.3 争议评审</w:t>
      </w:r>
      <w:bookmarkEnd w:id="1755"/>
      <w:bookmarkEnd w:id="1756"/>
    </w:p>
    <w:p w14:paraId="02321BA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合同当事人是否同意将工程争议提交争议评审小组决定：</w:t>
      </w:r>
      <w:r>
        <w:rPr>
          <w:rFonts w:hint="eastAsia" w:ascii="宋体" w:hAnsi="宋体"/>
          <w:color w:val="auto"/>
          <w:szCs w:val="21"/>
          <w:u w:val="single"/>
        </w:rPr>
        <w:t xml:space="preserve">    /    </w:t>
      </w:r>
      <w:r>
        <w:rPr>
          <w:rFonts w:hint="eastAsia" w:ascii="宋体" w:hAnsi="宋体"/>
          <w:color w:val="auto"/>
          <w:szCs w:val="21"/>
        </w:rPr>
        <w:t>。</w:t>
      </w:r>
    </w:p>
    <w:p w14:paraId="02F6C56E">
      <w:pPr>
        <w:pStyle w:val="7"/>
        <w:spacing w:before="0" w:beforeAutospacing="0" w:after="0" w:afterAutospacing="0" w:line="360" w:lineRule="auto"/>
        <w:ind w:firstLine="422" w:firstLineChars="200"/>
        <w:rPr>
          <w:color w:val="auto"/>
          <w:sz w:val="21"/>
          <w:szCs w:val="21"/>
        </w:rPr>
      </w:pPr>
      <w:bookmarkStart w:id="1757" w:name="_Toc532377421"/>
      <w:bookmarkStart w:id="1758" w:name="_Toc532375682"/>
      <w:r>
        <w:rPr>
          <w:rFonts w:hint="eastAsia"/>
          <w:color w:val="auto"/>
          <w:sz w:val="21"/>
          <w:szCs w:val="21"/>
        </w:rPr>
        <w:t>20.4 仲裁或诉讼</w:t>
      </w:r>
      <w:bookmarkEnd w:id="1757"/>
      <w:bookmarkEnd w:id="1758"/>
    </w:p>
    <w:p w14:paraId="219923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因合同及合同有关事项发生的争议，按下列第</w:t>
      </w:r>
      <w:r>
        <w:rPr>
          <w:rFonts w:hint="eastAsia" w:ascii="宋体" w:hAnsi="宋体"/>
          <w:color w:val="auto"/>
          <w:szCs w:val="21"/>
          <w:u w:val="single"/>
        </w:rPr>
        <w:t xml:space="preserve"> </w:t>
      </w:r>
      <w:r>
        <w:rPr>
          <w:rFonts w:ascii="宋体" w:hAnsi="宋体"/>
          <w:color w:val="auto"/>
          <w:szCs w:val="21"/>
          <w:u w:val="single"/>
        </w:rPr>
        <w:t>（2）</w:t>
      </w:r>
      <w:r>
        <w:rPr>
          <w:rFonts w:hint="eastAsia" w:ascii="宋体" w:hAnsi="宋体"/>
          <w:color w:val="auto"/>
          <w:szCs w:val="21"/>
          <w:u w:val="single"/>
        </w:rPr>
        <w:t xml:space="preserve">  </w:t>
      </w:r>
      <w:r>
        <w:rPr>
          <w:rFonts w:hint="eastAsia" w:ascii="宋体" w:hAnsi="宋体"/>
          <w:color w:val="auto"/>
          <w:szCs w:val="21"/>
        </w:rPr>
        <w:t>种方式解决：</w:t>
      </w:r>
    </w:p>
    <w:p w14:paraId="02DAA7F0">
      <w:pPr>
        <w:spacing w:line="360" w:lineRule="auto"/>
        <w:ind w:right="105" w:rightChars="50"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14:paraId="1315DE1D">
      <w:pPr>
        <w:spacing w:line="360" w:lineRule="auto"/>
        <w:ind w:right="105" w:rightChars="50" w:firstLine="420" w:firstLineChars="200"/>
        <w:jc w:val="left"/>
        <w:rPr>
          <w:rFonts w:ascii="宋体" w:hAnsi="宋体"/>
          <w:color w:val="auto"/>
          <w:szCs w:val="21"/>
        </w:rPr>
      </w:pPr>
      <w:r>
        <w:rPr>
          <w:rFonts w:ascii="宋体" w:hAnsi="宋体"/>
          <w:color w:val="auto"/>
          <w:szCs w:val="21"/>
        </w:rPr>
        <w:t>（2）向</w:t>
      </w:r>
      <w:r>
        <w:rPr>
          <w:rFonts w:ascii="宋体" w:hAnsi="宋体"/>
          <w:color w:val="auto"/>
          <w:szCs w:val="21"/>
          <w:u w:val="single"/>
        </w:rPr>
        <w:t xml:space="preserve">   </w:t>
      </w:r>
      <w:r>
        <w:rPr>
          <w:rFonts w:hint="eastAsia" w:ascii="宋体" w:hAnsi="宋体"/>
          <w:color w:val="auto"/>
          <w:szCs w:val="21"/>
          <w:u w:val="single"/>
        </w:rPr>
        <w:t>项目所在地</w:t>
      </w:r>
      <w:r>
        <w:rPr>
          <w:rFonts w:ascii="宋体" w:hAnsi="宋体"/>
          <w:color w:val="auto"/>
          <w:szCs w:val="21"/>
          <w:u w:val="single"/>
        </w:rPr>
        <w:t xml:space="preserve">        </w:t>
      </w:r>
      <w:r>
        <w:rPr>
          <w:rFonts w:ascii="宋体" w:hAnsi="宋体"/>
          <w:color w:val="auto"/>
          <w:szCs w:val="21"/>
        </w:rPr>
        <w:t>人民法院起诉。</w:t>
      </w:r>
    </w:p>
    <w:p w14:paraId="7AC91582">
      <w:pPr>
        <w:pStyle w:val="6"/>
        <w:keepNext/>
        <w:keepLines/>
        <w:spacing w:beforeLines="50" w:beforeAutospacing="0" w:afterLines="50" w:afterAutospacing="0" w:line="360" w:lineRule="auto"/>
        <w:jc w:val="both"/>
        <w:rPr>
          <w:bCs w:val="0"/>
          <w:color w:val="auto"/>
          <w:kern w:val="2"/>
          <w:sz w:val="21"/>
          <w:szCs w:val="21"/>
        </w:rPr>
      </w:pPr>
      <w:bookmarkStart w:id="1759" w:name="_Toc532375683"/>
      <w:bookmarkStart w:id="1760" w:name="_Toc532377422"/>
      <w:r>
        <w:rPr>
          <w:rFonts w:hint="eastAsia"/>
          <w:color w:val="auto"/>
          <w:kern w:val="2"/>
          <w:sz w:val="21"/>
          <w:szCs w:val="21"/>
        </w:rPr>
        <w:t>21. 补充条款</w:t>
      </w:r>
      <w:bookmarkEnd w:id="1759"/>
      <w:bookmarkEnd w:id="1760"/>
    </w:p>
    <w:p w14:paraId="7CA1D9E9">
      <w:pPr>
        <w:pStyle w:val="7"/>
        <w:spacing w:before="0" w:beforeAutospacing="0" w:after="0" w:afterAutospacing="0" w:line="360" w:lineRule="auto"/>
        <w:ind w:firstLine="422" w:firstLineChars="200"/>
        <w:rPr>
          <w:color w:val="auto"/>
          <w:sz w:val="21"/>
          <w:szCs w:val="21"/>
        </w:rPr>
      </w:pPr>
      <w:bookmarkStart w:id="1761" w:name="_Toc532375684"/>
      <w:bookmarkStart w:id="1762" w:name="_Toc532377423"/>
      <w:r>
        <w:rPr>
          <w:rFonts w:hint="eastAsia"/>
          <w:color w:val="auto"/>
          <w:sz w:val="21"/>
          <w:szCs w:val="21"/>
        </w:rPr>
        <w:t>21.1 退出机制</w:t>
      </w:r>
      <w:bookmarkEnd w:id="1761"/>
      <w:bookmarkEnd w:id="1762"/>
    </w:p>
    <w:p w14:paraId="0A4108D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21.1.1有下列情形之一的，发包人有权解除合同，亦有权兑付履约担保，并对承包人做清退出场处理</w:t>
      </w:r>
      <w:r>
        <w:rPr>
          <w:rFonts w:hint="eastAsia" w:ascii="宋体" w:hAnsi="宋体"/>
          <w:color w:val="auto"/>
          <w:kern w:val="0"/>
          <w:szCs w:val="21"/>
        </w:rPr>
        <w:t>：</w:t>
      </w:r>
    </w:p>
    <w:p w14:paraId="34A8B70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（1）因承包人原因造成较大及以上等级生产安全事故或工程质量事故的；</w:t>
      </w:r>
    </w:p>
    <w:p w14:paraId="20AE822B">
      <w:pPr>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（2）因承包人债权债务纠纷或其他纠纷导致工程无法正常施工的。</w:t>
      </w:r>
    </w:p>
    <w:p w14:paraId="17D68043">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（3）</w:t>
      </w:r>
      <w:r>
        <w:rPr>
          <w:rFonts w:hint="eastAsia" w:ascii="宋体" w:hAnsi="宋体"/>
          <w:color w:val="auto"/>
          <w:kern w:val="0"/>
          <w:szCs w:val="21"/>
          <w:u w:val="single"/>
        </w:rPr>
        <w:t xml:space="preserve">    /    </w:t>
      </w:r>
      <w:r>
        <w:rPr>
          <w:rFonts w:hint="eastAsia" w:ascii="宋体" w:hAnsi="宋体"/>
          <w:color w:val="auto"/>
          <w:kern w:val="0"/>
          <w:szCs w:val="21"/>
        </w:rPr>
        <w:t>。</w:t>
      </w:r>
    </w:p>
    <w:p w14:paraId="7FAFE4DF">
      <w:pPr>
        <w:pStyle w:val="2"/>
        <w:spacing w:after="0" w:line="360" w:lineRule="auto"/>
        <w:ind w:firstLine="420" w:firstLineChars="200"/>
        <w:rPr>
          <w:rFonts w:ascii="宋体" w:hAnsi="宋体"/>
          <w:color w:val="auto"/>
          <w:szCs w:val="21"/>
        </w:rPr>
      </w:pPr>
      <w:r>
        <w:rPr>
          <w:rFonts w:hint="eastAsia" w:ascii="宋体" w:hAnsi="宋体"/>
          <w:color w:val="auto"/>
          <w:szCs w:val="21"/>
        </w:rPr>
        <w:t>21.1.2有下列情形之一的，承包人有权解除合同，并按16.1.4约定执行：</w:t>
      </w:r>
    </w:p>
    <w:p w14:paraId="24A8D2B9">
      <w:pPr>
        <w:pStyle w:val="2"/>
        <w:spacing w:after="0" w:line="360" w:lineRule="auto"/>
        <w:ind w:right="105" w:rightChars="50" w:firstLine="420" w:firstLineChars="200"/>
        <w:jc w:val="left"/>
        <w:rPr>
          <w:rFonts w:ascii="宋体" w:hAnsi="宋体"/>
          <w:color w:val="auto"/>
          <w:szCs w:val="21"/>
        </w:rPr>
      </w:pPr>
      <w:r>
        <w:rPr>
          <w:rFonts w:hint="eastAsia" w:ascii="宋体" w:hAnsi="宋体"/>
          <w:color w:val="auto"/>
          <w:szCs w:val="21"/>
        </w:rPr>
        <w:t>（1）因发包人征地、拆迁、补偿、审批手续等原因致使本工程延期开工超过90天的。</w:t>
      </w:r>
    </w:p>
    <w:p w14:paraId="5A357CC4">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（2）</w:t>
      </w:r>
      <w:r>
        <w:rPr>
          <w:rFonts w:hint="eastAsia" w:ascii="宋体" w:hAnsi="宋体"/>
          <w:color w:val="auto"/>
          <w:kern w:val="0"/>
          <w:szCs w:val="21"/>
          <w:u w:val="single"/>
        </w:rPr>
        <w:t xml:space="preserve">     /   </w:t>
      </w:r>
      <w:r>
        <w:rPr>
          <w:rFonts w:hint="eastAsia" w:ascii="宋体" w:hAnsi="宋体"/>
          <w:color w:val="auto"/>
          <w:kern w:val="0"/>
          <w:szCs w:val="21"/>
        </w:rPr>
        <w:t>。</w:t>
      </w:r>
    </w:p>
    <w:p w14:paraId="4B6F391C">
      <w:pPr>
        <w:pStyle w:val="7"/>
        <w:spacing w:before="0" w:beforeAutospacing="0" w:after="0" w:afterAutospacing="0" w:line="360" w:lineRule="auto"/>
        <w:ind w:firstLine="422" w:firstLineChars="200"/>
        <w:rPr>
          <w:color w:val="auto"/>
          <w:sz w:val="21"/>
          <w:szCs w:val="21"/>
        </w:rPr>
      </w:pPr>
      <w:bookmarkStart w:id="1763" w:name="_Toc532377424"/>
      <w:bookmarkStart w:id="1764" w:name="_Toc532375685"/>
      <w:r>
        <w:rPr>
          <w:rFonts w:hint="eastAsia"/>
          <w:color w:val="auto"/>
          <w:sz w:val="21"/>
          <w:szCs w:val="21"/>
        </w:rPr>
        <w:t>21.2智慧工地</w:t>
      </w:r>
      <w:bookmarkEnd w:id="1763"/>
      <w:bookmarkEnd w:id="1764"/>
    </w:p>
    <w:p w14:paraId="7E075A2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工地建设可参照重庆市城乡建设委员会《关于印发“智慧工地”建设工作方案的通知》（渝建〔2017〕414号）的相关要求建设。</w:t>
      </w:r>
      <w:bookmarkEnd w:id="1705"/>
    </w:p>
    <w:p w14:paraId="4A7A0518">
      <w:pPr>
        <w:pStyle w:val="7"/>
        <w:spacing w:before="0" w:beforeAutospacing="0" w:after="0" w:afterAutospacing="0" w:line="360" w:lineRule="auto"/>
        <w:ind w:firstLine="422" w:firstLineChars="200"/>
        <w:rPr>
          <w:color w:val="auto"/>
          <w:sz w:val="21"/>
          <w:szCs w:val="21"/>
        </w:rPr>
      </w:pPr>
      <w:r>
        <w:rPr>
          <w:rFonts w:hint="eastAsia"/>
          <w:color w:val="auto"/>
          <w:sz w:val="21"/>
          <w:szCs w:val="21"/>
        </w:rPr>
        <w:t>21.</w:t>
      </w:r>
      <w:r>
        <w:rPr>
          <w:color w:val="auto"/>
          <w:sz w:val="21"/>
          <w:szCs w:val="21"/>
        </w:rPr>
        <w:t>3</w:t>
      </w:r>
      <w:r>
        <w:rPr>
          <w:rFonts w:hint="eastAsia"/>
          <w:color w:val="auto"/>
          <w:sz w:val="21"/>
          <w:szCs w:val="21"/>
        </w:rPr>
        <w:t xml:space="preserve"> </w:t>
      </w:r>
      <w:r>
        <w:rPr>
          <w:rFonts w:hint="eastAsia"/>
          <w:color w:val="auto"/>
          <w:sz w:val="21"/>
          <w:szCs w:val="21"/>
          <w:u w:val="single"/>
        </w:rPr>
        <w:t xml:space="preserve">   /    </w:t>
      </w:r>
    </w:p>
    <w:p w14:paraId="644B29E6">
      <w:pPr>
        <w:pStyle w:val="6"/>
        <w:keepNext/>
        <w:keepLines/>
        <w:spacing w:beforeLines="50" w:beforeAutospacing="0" w:afterLines="50" w:afterAutospacing="0" w:line="360" w:lineRule="auto"/>
        <w:jc w:val="both"/>
        <w:rPr>
          <w:bCs w:val="0"/>
          <w:color w:val="auto"/>
          <w:kern w:val="2"/>
          <w:sz w:val="21"/>
          <w:szCs w:val="21"/>
        </w:rPr>
      </w:pPr>
      <w:bookmarkStart w:id="1765" w:name="baidusnap7"/>
      <w:bookmarkEnd w:id="1765"/>
      <w:bookmarkStart w:id="1766" w:name="baidusnap3"/>
      <w:bookmarkEnd w:id="1766"/>
      <w:bookmarkStart w:id="1767" w:name="_Toc532377425"/>
      <w:bookmarkStart w:id="1768" w:name="_Toc532375686"/>
      <w:bookmarkStart w:id="1769" w:name="_Toc351203652"/>
      <w:r>
        <w:rPr>
          <w:rFonts w:hint="eastAsia"/>
          <w:color w:val="auto"/>
          <w:kern w:val="2"/>
          <w:sz w:val="21"/>
          <w:szCs w:val="21"/>
        </w:rPr>
        <w:t>22. 合同附件</w:t>
      </w:r>
      <w:bookmarkEnd w:id="1767"/>
      <w:bookmarkEnd w:id="1768"/>
    </w:p>
    <w:p w14:paraId="5B3B5CF8">
      <w:pPr>
        <w:spacing w:line="360" w:lineRule="auto"/>
        <w:ind w:right="105" w:rightChars="50" w:firstLine="420" w:firstLineChars="200"/>
        <w:jc w:val="left"/>
        <w:rPr>
          <w:rFonts w:ascii="宋体" w:hAnsi="宋体"/>
          <w:color w:val="auto"/>
        </w:rPr>
      </w:pPr>
      <w:r>
        <w:rPr>
          <w:rFonts w:hint="eastAsia" w:ascii="宋体" w:hAnsi="宋体"/>
          <w:color w:val="auto"/>
        </w:rPr>
        <w:t>以下十个附件是本合同的有效组成部分：</w:t>
      </w:r>
    </w:p>
    <w:p w14:paraId="1F1A7B7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附件1：工程质量保修书</w:t>
      </w:r>
    </w:p>
    <w:p w14:paraId="77ADC17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附件2：主要建设工程文件目录</w:t>
      </w:r>
    </w:p>
    <w:p w14:paraId="17BA3FC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附件3：承包人项目管理机构组成表</w:t>
      </w:r>
    </w:p>
    <w:p w14:paraId="5DB5975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附件4：履约</w:t>
      </w:r>
      <w:r>
        <w:rPr>
          <w:rFonts w:ascii="宋体" w:hAnsi="宋体"/>
          <w:color w:val="auto"/>
          <w:szCs w:val="21"/>
        </w:rPr>
        <w:t>担保</w:t>
      </w:r>
      <w:r>
        <w:rPr>
          <w:rFonts w:hint="eastAsia" w:ascii="宋体" w:hAnsi="宋体"/>
          <w:color w:val="auto"/>
          <w:szCs w:val="21"/>
        </w:rPr>
        <w:t>（如有）</w:t>
      </w:r>
    </w:p>
    <w:p w14:paraId="04D1B25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5</w:t>
      </w:r>
      <w:r>
        <w:rPr>
          <w:rFonts w:hint="eastAsia" w:ascii="宋体" w:hAnsi="宋体"/>
          <w:color w:val="auto"/>
          <w:szCs w:val="21"/>
        </w:rPr>
        <w:t>：预付款担保（如有）</w:t>
      </w:r>
    </w:p>
    <w:p w14:paraId="492045E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6</w:t>
      </w:r>
      <w:r>
        <w:rPr>
          <w:rFonts w:hint="eastAsia" w:ascii="宋体" w:hAnsi="宋体"/>
          <w:color w:val="auto"/>
          <w:szCs w:val="21"/>
        </w:rPr>
        <w:t>：支付担保（如有）</w:t>
      </w:r>
    </w:p>
    <w:p w14:paraId="5D43704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7</w:t>
      </w:r>
      <w:r>
        <w:rPr>
          <w:rFonts w:hint="eastAsia" w:ascii="宋体" w:hAnsi="宋体"/>
          <w:color w:val="auto"/>
          <w:szCs w:val="21"/>
        </w:rPr>
        <w:t>：专业工程暂估价表</w:t>
      </w:r>
    </w:p>
    <w:p w14:paraId="691BED5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8</w:t>
      </w:r>
      <w:r>
        <w:rPr>
          <w:rFonts w:hint="eastAsia" w:ascii="宋体" w:hAnsi="宋体"/>
          <w:color w:val="auto"/>
          <w:szCs w:val="21"/>
        </w:rPr>
        <w:t>：廉洁从业协议</w:t>
      </w:r>
    </w:p>
    <w:p w14:paraId="36468C3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9</w:t>
      </w:r>
      <w:r>
        <w:rPr>
          <w:rFonts w:hint="eastAsia" w:ascii="宋体" w:hAnsi="宋体"/>
          <w:color w:val="auto"/>
          <w:szCs w:val="21"/>
        </w:rPr>
        <w:t>：安全管理协议</w:t>
      </w:r>
    </w:p>
    <w:p w14:paraId="29738F4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10</w:t>
      </w:r>
      <w:r>
        <w:rPr>
          <w:rFonts w:hint="eastAsia" w:ascii="宋体" w:hAnsi="宋体"/>
          <w:color w:val="auto"/>
          <w:szCs w:val="21"/>
        </w:rPr>
        <w:t>：保障农民工工资支付协议</w:t>
      </w:r>
    </w:p>
    <w:bookmarkEnd w:id="1769"/>
    <w:p w14:paraId="45CF82F1">
      <w:pPr>
        <w:spacing w:line="36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770" w:name="_Toc296503226"/>
      <w:bookmarkStart w:id="1771" w:name="_Toc296944565"/>
      <w:bookmarkStart w:id="1772" w:name="_Toc267261693"/>
      <w:bookmarkStart w:id="1773" w:name="_Toc296891054"/>
      <w:bookmarkStart w:id="1774" w:name="_Toc296891266"/>
      <w:bookmarkStart w:id="1775" w:name="_Toc296347225"/>
      <w:bookmarkStart w:id="1776" w:name="_Toc296346727"/>
      <w:r>
        <w:rPr>
          <w:rFonts w:hint="eastAsia" w:ascii="宋体" w:hAnsi="宋体"/>
          <w:color w:val="auto"/>
          <w:szCs w:val="21"/>
        </w:rPr>
        <w:t>件1：</w:t>
      </w:r>
      <w:bookmarkEnd w:id="1770"/>
      <w:bookmarkEnd w:id="1771"/>
      <w:bookmarkEnd w:id="1772"/>
      <w:bookmarkEnd w:id="1773"/>
      <w:bookmarkEnd w:id="1774"/>
      <w:bookmarkEnd w:id="1775"/>
      <w:bookmarkEnd w:id="1776"/>
    </w:p>
    <w:p w14:paraId="340F78DF">
      <w:pPr>
        <w:spacing w:beforeLines="50" w:afterLines="50" w:line="360" w:lineRule="auto"/>
        <w:jc w:val="center"/>
        <w:rPr>
          <w:rFonts w:ascii="宋体" w:hAnsi="宋体"/>
          <w:color w:val="auto"/>
          <w:szCs w:val="21"/>
        </w:rPr>
      </w:pPr>
      <w:r>
        <w:rPr>
          <w:rFonts w:hint="eastAsia" w:ascii="宋体" w:hAnsi="宋体"/>
          <w:color w:val="auto"/>
          <w:szCs w:val="21"/>
        </w:rPr>
        <w:t>工程质量保修书</w:t>
      </w:r>
    </w:p>
    <w:p w14:paraId="075987A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DD1D52F">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1BC2B04E">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744C5CA0">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19E0F16F">
      <w:pPr>
        <w:spacing w:line="360" w:lineRule="auto"/>
        <w:ind w:firstLine="420" w:firstLineChars="200"/>
        <w:rPr>
          <w:rFonts w:ascii="宋体" w:hAnsi="宋体"/>
          <w:color w:val="auto"/>
          <w:szCs w:val="21"/>
        </w:rPr>
      </w:pPr>
      <w:bookmarkStart w:id="1777" w:name="_Toc532375687"/>
      <w:r>
        <w:rPr>
          <w:rFonts w:hint="eastAsia" w:ascii="宋体" w:hAnsi="宋体"/>
          <w:color w:val="auto"/>
          <w:szCs w:val="21"/>
        </w:rPr>
        <w:t>一、工程质量保修范围和内容</w:t>
      </w:r>
      <w:bookmarkEnd w:id="1777"/>
    </w:p>
    <w:p w14:paraId="6CFE7845">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10565957">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ACB8D3B">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DD1EA2B">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9B24C42">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46B45BF0">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6122700D">
      <w:pPr>
        <w:spacing w:line="360" w:lineRule="auto"/>
        <w:ind w:firstLine="420" w:firstLineChars="200"/>
        <w:rPr>
          <w:rFonts w:ascii="宋体" w:hAnsi="宋体"/>
          <w:color w:val="auto"/>
          <w:szCs w:val="21"/>
        </w:rPr>
      </w:pPr>
      <w:bookmarkStart w:id="1778" w:name="_Toc532375688"/>
      <w:r>
        <w:rPr>
          <w:rFonts w:hint="eastAsia" w:ascii="宋体" w:hAnsi="宋体"/>
          <w:color w:val="auto"/>
          <w:szCs w:val="21"/>
        </w:rPr>
        <w:t>二、质量保修期</w:t>
      </w:r>
      <w:bookmarkEnd w:id="1778"/>
    </w:p>
    <w:p w14:paraId="29BD3A2E">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4C579DC0">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9CAEF3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572E7721">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02CD897">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6F12E50">
      <w:pPr>
        <w:spacing w:line="360" w:lineRule="auto"/>
        <w:ind w:firstLine="420" w:firstLineChars="200"/>
        <w:rPr>
          <w:rFonts w:ascii="宋体" w:hAnsi="宋体"/>
          <w:color w:val="auto"/>
          <w:szCs w:val="21"/>
        </w:rPr>
      </w:pPr>
      <w:r>
        <w:rPr>
          <w:rFonts w:hint="eastAsia" w:ascii="宋体" w:hAnsi="宋体"/>
          <w:color w:val="auto"/>
          <w:szCs w:val="21"/>
        </w:rPr>
        <w:t>5.其他项目保修期限：2年；</w:t>
      </w:r>
      <w:r>
        <w:rPr>
          <w:rFonts w:hint="eastAsia" w:ascii="宋体" w:hAnsi="宋体"/>
          <w:i/>
          <w:color w:val="auto"/>
          <w:szCs w:val="21"/>
        </w:rPr>
        <w:t>[提示：如有不同，根据具体情况修改]</w:t>
      </w:r>
    </w:p>
    <w:p w14:paraId="4363E630">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1B803A2">
      <w:pPr>
        <w:spacing w:line="360" w:lineRule="auto"/>
        <w:ind w:firstLine="420" w:firstLineChars="200"/>
        <w:rPr>
          <w:rFonts w:ascii="宋体" w:hAnsi="宋体"/>
          <w:color w:val="auto"/>
          <w:szCs w:val="21"/>
        </w:rPr>
      </w:pPr>
      <w:bookmarkStart w:id="1779" w:name="_Toc532375689"/>
      <w:r>
        <w:rPr>
          <w:rFonts w:hint="eastAsia" w:ascii="宋体" w:hAnsi="宋体"/>
          <w:color w:val="auto"/>
          <w:szCs w:val="21"/>
        </w:rPr>
        <w:t>三、质量保修责任</w:t>
      </w:r>
      <w:bookmarkEnd w:id="1779"/>
    </w:p>
    <w:p w14:paraId="1CEB0BBA">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3F3416FF">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727C74A7">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7C80716">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64190D26">
      <w:pPr>
        <w:spacing w:line="360" w:lineRule="auto"/>
        <w:ind w:firstLine="420" w:firstLineChars="200"/>
        <w:rPr>
          <w:rFonts w:ascii="宋体" w:hAnsi="宋体"/>
          <w:color w:val="auto"/>
          <w:szCs w:val="21"/>
        </w:rPr>
      </w:pPr>
      <w:bookmarkStart w:id="1780" w:name="_Toc532375690"/>
      <w:r>
        <w:rPr>
          <w:rFonts w:hint="eastAsia" w:ascii="宋体" w:hAnsi="宋体"/>
          <w:color w:val="auto"/>
          <w:szCs w:val="21"/>
        </w:rPr>
        <w:t>四、保修费用</w:t>
      </w:r>
      <w:bookmarkEnd w:id="1780"/>
    </w:p>
    <w:p w14:paraId="477A12B4">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699E97D8">
      <w:pPr>
        <w:spacing w:line="360" w:lineRule="auto"/>
        <w:ind w:firstLine="420" w:firstLineChars="200"/>
        <w:rPr>
          <w:rFonts w:ascii="宋体" w:hAnsi="宋体"/>
          <w:color w:val="auto"/>
          <w:szCs w:val="21"/>
        </w:rPr>
      </w:pPr>
      <w:bookmarkStart w:id="1781" w:name="_Toc532375691"/>
      <w:r>
        <w:rPr>
          <w:rFonts w:hint="eastAsia" w:ascii="宋体" w:hAnsi="宋体"/>
          <w:color w:val="auto"/>
          <w:szCs w:val="21"/>
        </w:rPr>
        <w:t>五、双方约定的其他工程质量保修事项</w:t>
      </w:r>
    </w:p>
    <w:p w14:paraId="5A0165FE">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1781"/>
    </w:p>
    <w:p w14:paraId="799B2C42">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6BB8D483">
      <w:pPr>
        <w:spacing w:line="360" w:lineRule="auto"/>
        <w:ind w:firstLine="420" w:firstLineChars="200"/>
        <w:rPr>
          <w:rFonts w:ascii="宋体" w:hAnsi="宋体"/>
          <w:color w:val="auto"/>
          <w:szCs w:val="21"/>
        </w:rPr>
      </w:pPr>
      <w:r>
        <w:rPr>
          <w:rFonts w:ascii="宋体" w:hAnsi="宋体"/>
          <w:color w:val="auto"/>
          <w:szCs w:val="21"/>
        </w:rPr>
        <w:t>六</w:t>
      </w:r>
      <w:r>
        <w:rPr>
          <w:rFonts w:hint="eastAsia" w:ascii="宋体" w:hAnsi="宋体"/>
          <w:color w:val="auto"/>
          <w:szCs w:val="21"/>
        </w:rPr>
        <w:t>、</w:t>
      </w:r>
      <w:r>
        <w:rPr>
          <w:rFonts w:ascii="宋体" w:hAnsi="宋体"/>
          <w:color w:val="auto"/>
          <w:szCs w:val="21"/>
        </w:rPr>
        <w:t>本文件生效</w:t>
      </w:r>
    </w:p>
    <w:p w14:paraId="200672C6">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6866207E">
      <w:pPr>
        <w:pStyle w:val="2"/>
        <w:spacing w:line="360" w:lineRule="auto"/>
        <w:ind w:firstLine="420" w:firstLineChars="200"/>
        <w:rPr>
          <w:rFonts w:ascii="宋体" w:hAnsi="宋体"/>
          <w:color w:val="auto"/>
          <w:szCs w:val="21"/>
        </w:rPr>
      </w:pPr>
    </w:p>
    <w:p w14:paraId="0BE90980">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5329D857">
      <w:pPr>
        <w:spacing w:line="360" w:lineRule="auto"/>
        <w:ind w:firstLine="420" w:firstLineChars="200"/>
        <w:rPr>
          <w:rFonts w:ascii="宋体" w:hAnsi="宋体"/>
          <w:snapToGrid w:val="0"/>
          <w:color w:val="auto"/>
          <w:kern w:val="0"/>
          <w:szCs w:val="21"/>
        </w:rPr>
      </w:pPr>
    </w:p>
    <w:p w14:paraId="49626929">
      <w:pPr>
        <w:spacing w:line="360" w:lineRule="auto"/>
        <w:ind w:firstLine="420" w:firstLineChars="200"/>
        <w:rPr>
          <w:rFonts w:ascii="宋体" w:hAnsi="宋体"/>
          <w:snapToGrid w:val="0"/>
          <w:color w:val="auto"/>
          <w:kern w:val="0"/>
          <w:szCs w:val="21"/>
        </w:rPr>
      </w:pPr>
    </w:p>
    <w:p w14:paraId="05DA3EF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（签字）</w:t>
      </w:r>
    </w:p>
    <w:p w14:paraId="281693B8">
      <w:pPr>
        <w:spacing w:line="360" w:lineRule="auto"/>
        <w:ind w:firstLine="420" w:firstLineChars="200"/>
        <w:rPr>
          <w:rFonts w:ascii="宋体" w:hAnsi="宋体"/>
          <w:snapToGrid w:val="0"/>
          <w:color w:val="auto"/>
          <w:kern w:val="0"/>
          <w:szCs w:val="21"/>
        </w:rPr>
      </w:pPr>
    </w:p>
    <w:p w14:paraId="52E8685B">
      <w:pPr>
        <w:spacing w:line="360" w:lineRule="auto"/>
        <w:ind w:firstLine="420" w:firstLineChars="200"/>
        <w:rPr>
          <w:rFonts w:ascii="宋体" w:hAnsi="宋体"/>
          <w:snapToGrid w:val="0"/>
          <w:color w:val="auto"/>
          <w:kern w:val="0"/>
          <w:szCs w:val="21"/>
        </w:rPr>
      </w:pPr>
    </w:p>
    <w:p w14:paraId="5DC19C79">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613937E3">
      <w:pPr>
        <w:spacing w:line="360" w:lineRule="auto"/>
        <w:ind w:firstLine="420" w:firstLineChars="200"/>
        <w:rPr>
          <w:rFonts w:ascii="宋体" w:hAnsi="宋体"/>
          <w:snapToGrid w:val="0"/>
          <w:color w:val="auto"/>
          <w:kern w:val="0"/>
          <w:szCs w:val="21"/>
        </w:rPr>
      </w:pPr>
    </w:p>
    <w:p w14:paraId="5D64DDDA">
      <w:pPr>
        <w:spacing w:line="360" w:lineRule="auto"/>
        <w:ind w:firstLine="420" w:firstLineChars="200"/>
        <w:rPr>
          <w:rFonts w:ascii="宋体" w:hAnsi="宋体"/>
          <w:snapToGrid w:val="0"/>
          <w:color w:val="auto"/>
          <w:kern w:val="0"/>
          <w:szCs w:val="21"/>
        </w:rPr>
      </w:pPr>
    </w:p>
    <w:p w14:paraId="756FCE18">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（签字）</w:t>
      </w:r>
    </w:p>
    <w:p w14:paraId="7933BDA6">
      <w:pPr>
        <w:spacing w:line="360" w:lineRule="auto"/>
        <w:ind w:firstLine="418" w:firstLineChars="200"/>
        <w:rPr>
          <w:rFonts w:ascii="宋体" w:hAnsi="宋体"/>
          <w:snapToGrid w:val="0"/>
          <w:color w:val="auto"/>
          <w:spacing w:val="1"/>
          <w:w w:val="99"/>
          <w:kern w:val="0"/>
          <w:position w:val="-2"/>
          <w:szCs w:val="21"/>
        </w:rPr>
      </w:pPr>
    </w:p>
    <w:p w14:paraId="3DE0F345">
      <w:pPr>
        <w:spacing w:line="360" w:lineRule="auto"/>
        <w:ind w:firstLine="418" w:firstLineChars="200"/>
        <w:rPr>
          <w:rFonts w:ascii="宋体" w:hAnsi="宋体"/>
          <w:snapToGrid w:val="0"/>
          <w:color w:val="auto"/>
          <w:spacing w:val="1"/>
          <w:w w:val="99"/>
          <w:kern w:val="0"/>
          <w:position w:val="-2"/>
          <w:szCs w:val="21"/>
        </w:rPr>
      </w:pPr>
    </w:p>
    <w:p w14:paraId="0908253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14:paraId="3B0A116D">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附件2：</w:t>
      </w:r>
    </w:p>
    <w:p w14:paraId="7FF2C584">
      <w:pPr>
        <w:spacing w:beforeLines="50" w:afterLines="50" w:line="480" w:lineRule="auto"/>
        <w:jc w:val="center"/>
        <w:rPr>
          <w:rFonts w:ascii="宋体" w:hAnsi="宋体"/>
          <w:color w:val="auto"/>
          <w:szCs w:val="21"/>
        </w:rPr>
      </w:pPr>
      <w:r>
        <w:rPr>
          <w:rFonts w:hint="eastAsia" w:ascii="宋体" w:hAnsi="宋体"/>
          <w:color w:val="auto"/>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91E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3BDDFFC5">
            <w:pPr>
              <w:spacing w:line="400" w:lineRule="exact"/>
              <w:jc w:val="center"/>
              <w:rPr>
                <w:rFonts w:ascii="宋体" w:hAnsi="宋体"/>
                <w:color w:val="auto"/>
                <w:szCs w:val="21"/>
              </w:rPr>
            </w:pPr>
            <w:r>
              <w:rPr>
                <w:rFonts w:hint="eastAsia" w:ascii="宋体" w:hAnsi="宋体"/>
                <w:color w:val="auto"/>
                <w:szCs w:val="21"/>
              </w:rPr>
              <w:t>文件名称</w:t>
            </w:r>
          </w:p>
        </w:tc>
        <w:tc>
          <w:tcPr>
            <w:tcW w:w="1418" w:type="dxa"/>
            <w:vAlign w:val="center"/>
          </w:tcPr>
          <w:p w14:paraId="2AF99433">
            <w:pPr>
              <w:spacing w:line="400" w:lineRule="exact"/>
              <w:jc w:val="center"/>
              <w:rPr>
                <w:rFonts w:ascii="宋体" w:hAnsi="宋体"/>
                <w:color w:val="auto"/>
                <w:szCs w:val="21"/>
              </w:rPr>
            </w:pPr>
            <w:r>
              <w:rPr>
                <w:rFonts w:hint="eastAsia" w:ascii="宋体" w:hAnsi="宋体"/>
                <w:color w:val="auto"/>
                <w:szCs w:val="21"/>
              </w:rPr>
              <w:t>套数</w:t>
            </w:r>
          </w:p>
        </w:tc>
        <w:tc>
          <w:tcPr>
            <w:tcW w:w="1418" w:type="dxa"/>
          </w:tcPr>
          <w:p w14:paraId="4E220FAA">
            <w:pPr>
              <w:spacing w:line="400" w:lineRule="exact"/>
              <w:jc w:val="center"/>
              <w:rPr>
                <w:rFonts w:ascii="宋体" w:hAnsi="宋体"/>
                <w:color w:val="auto"/>
                <w:szCs w:val="21"/>
              </w:rPr>
            </w:pPr>
            <w:r>
              <w:rPr>
                <w:rFonts w:hint="eastAsia" w:ascii="宋体" w:hAnsi="宋体"/>
                <w:color w:val="auto"/>
                <w:szCs w:val="21"/>
              </w:rPr>
              <w:t>移交时间</w:t>
            </w:r>
          </w:p>
        </w:tc>
        <w:tc>
          <w:tcPr>
            <w:tcW w:w="2917" w:type="dxa"/>
          </w:tcPr>
          <w:p w14:paraId="4046D1AB">
            <w:pPr>
              <w:spacing w:line="400" w:lineRule="exact"/>
              <w:jc w:val="center"/>
              <w:rPr>
                <w:rFonts w:ascii="宋体" w:hAnsi="宋体"/>
                <w:color w:val="auto"/>
                <w:szCs w:val="21"/>
              </w:rPr>
            </w:pPr>
            <w:r>
              <w:rPr>
                <w:rFonts w:hint="eastAsia" w:ascii="宋体" w:hAnsi="宋体"/>
                <w:color w:val="auto"/>
                <w:szCs w:val="21"/>
              </w:rPr>
              <w:t>责任人</w:t>
            </w:r>
          </w:p>
        </w:tc>
      </w:tr>
      <w:tr w14:paraId="7D4B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D622A2C">
            <w:pPr>
              <w:spacing w:line="400" w:lineRule="exact"/>
              <w:ind w:firstLine="420" w:firstLineChars="200"/>
              <w:rPr>
                <w:rFonts w:ascii="宋体" w:hAnsi="宋体"/>
                <w:color w:val="auto"/>
                <w:szCs w:val="21"/>
              </w:rPr>
            </w:pPr>
          </w:p>
        </w:tc>
        <w:tc>
          <w:tcPr>
            <w:tcW w:w="1418" w:type="dxa"/>
            <w:vAlign w:val="center"/>
          </w:tcPr>
          <w:p w14:paraId="33152B87">
            <w:pPr>
              <w:spacing w:line="400" w:lineRule="exact"/>
              <w:ind w:firstLine="420" w:firstLineChars="200"/>
              <w:rPr>
                <w:rFonts w:ascii="宋体" w:hAnsi="宋体"/>
                <w:color w:val="auto"/>
                <w:szCs w:val="21"/>
              </w:rPr>
            </w:pPr>
          </w:p>
        </w:tc>
        <w:tc>
          <w:tcPr>
            <w:tcW w:w="1418" w:type="dxa"/>
            <w:vAlign w:val="center"/>
          </w:tcPr>
          <w:p w14:paraId="24E3A8A3">
            <w:pPr>
              <w:spacing w:line="400" w:lineRule="exact"/>
              <w:ind w:firstLine="420" w:firstLineChars="200"/>
              <w:rPr>
                <w:rFonts w:ascii="宋体" w:hAnsi="宋体"/>
                <w:color w:val="auto"/>
                <w:szCs w:val="21"/>
              </w:rPr>
            </w:pPr>
          </w:p>
        </w:tc>
        <w:tc>
          <w:tcPr>
            <w:tcW w:w="2917" w:type="dxa"/>
            <w:vAlign w:val="center"/>
          </w:tcPr>
          <w:p w14:paraId="6F8C0B18">
            <w:pPr>
              <w:spacing w:line="400" w:lineRule="exact"/>
              <w:ind w:firstLine="420" w:firstLineChars="200"/>
              <w:rPr>
                <w:rFonts w:ascii="宋体" w:hAnsi="宋体"/>
                <w:color w:val="auto"/>
                <w:szCs w:val="21"/>
              </w:rPr>
            </w:pPr>
          </w:p>
        </w:tc>
      </w:tr>
      <w:tr w14:paraId="7FB1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5CAB106">
            <w:pPr>
              <w:spacing w:line="400" w:lineRule="exact"/>
              <w:ind w:firstLine="420" w:firstLineChars="200"/>
              <w:rPr>
                <w:rFonts w:ascii="宋体" w:hAnsi="宋体"/>
                <w:color w:val="auto"/>
                <w:szCs w:val="21"/>
              </w:rPr>
            </w:pPr>
          </w:p>
        </w:tc>
        <w:tc>
          <w:tcPr>
            <w:tcW w:w="1418" w:type="dxa"/>
            <w:vAlign w:val="center"/>
          </w:tcPr>
          <w:p w14:paraId="11B92954">
            <w:pPr>
              <w:spacing w:line="400" w:lineRule="exact"/>
              <w:ind w:firstLine="420" w:firstLineChars="200"/>
              <w:rPr>
                <w:rFonts w:ascii="宋体" w:hAnsi="宋体"/>
                <w:color w:val="auto"/>
                <w:szCs w:val="21"/>
              </w:rPr>
            </w:pPr>
          </w:p>
        </w:tc>
        <w:tc>
          <w:tcPr>
            <w:tcW w:w="1418" w:type="dxa"/>
            <w:vAlign w:val="center"/>
          </w:tcPr>
          <w:p w14:paraId="0BB74203">
            <w:pPr>
              <w:spacing w:line="400" w:lineRule="exact"/>
              <w:ind w:firstLine="420" w:firstLineChars="200"/>
              <w:rPr>
                <w:rFonts w:ascii="宋体" w:hAnsi="宋体"/>
                <w:color w:val="auto"/>
                <w:szCs w:val="21"/>
              </w:rPr>
            </w:pPr>
          </w:p>
        </w:tc>
        <w:tc>
          <w:tcPr>
            <w:tcW w:w="2917" w:type="dxa"/>
            <w:vAlign w:val="center"/>
          </w:tcPr>
          <w:p w14:paraId="187E32E8">
            <w:pPr>
              <w:spacing w:line="400" w:lineRule="exact"/>
              <w:ind w:firstLine="420" w:firstLineChars="200"/>
              <w:rPr>
                <w:rFonts w:ascii="宋体" w:hAnsi="宋体"/>
                <w:color w:val="auto"/>
                <w:szCs w:val="21"/>
              </w:rPr>
            </w:pPr>
          </w:p>
        </w:tc>
      </w:tr>
      <w:tr w14:paraId="1B58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4610E38">
            <w:pPr>
              <w:spacing w:line="400" w:lineRule="exact"/>
              <w:ind w:firstLine="420" w:firstLineChars="200"/>
              <w:rPr>
                <w:rFonts w:ascii="宋体" w:hAnsi="宋体"/>
                <w:color w:val="auto"/>
                <w:szCs w:val="21"/>
              </w:rPr>
            </w:pPr>
          </w:p>
        </w:tc>
        <w:tc>
          <w:tcPr>
            <w:tcW w:w="1418" w:type="dxa"/>
            <w:vAlign w:val="center"/>
          </w:tcPr>
          <w:p w14:paraId="207B80BF">
            <w:pPr>
              <w:spacing w:line="400" w:lineRule="exact"/>
              <w:ind w:firstLine="420" w:firstLineChars="200"/>
              <w:rPr>
                <w:rFonts w:ascii="宋体" w:hAnsi="宋体"/>
                <w:color w:val="auto"/>
                <w:szCs w:val="21"/>
              </w:rPr>
            </w:pPr>
          </w:p>
        </w:tc>
        <w:tc>
          <w:tcPr>
            <w:tcW w:w="1418" w:type="dxa"/>
            <w:vAlign w:val="center"/>
          </w:tcPr>
          <w:p w14:paraId="6C7D7327">
            <w:pPr>
              <w:spacing w:line="400" w:lineRule="exact"/>
              <w:ind w:firstLine="420" w:firstLineChars="200"/>
              <w:rPr>
                <w:rFonts w:ascii="宋体" w:hAnsi="宋体"/>
                <w:color w:val="auto"/>
                <w:szCs w:val="21"/>
              </w:rPr>
            </w:pPr>
          </w:p>
        </w:tc>
        <w:tc>
          <w:tcPr>
            <w:tcW w:w="2917" w:type="dxa"/>
            <w:vAlign w:val="center"/>
          </w:tcPr>
          <w:p w14:paraId="15BF5FB1">
            <w:pPr>
              <w:spacing w:line="400" w:lineRule="exact"/>
              <w:ind w:firstLine="420" w:firstLineChars="200"/>
              <w:rPr>
                <w:rFonts w:ascii="宋体" w:hAnsi="宋体"/>
                <w:color w:val="auto"/>
                <w:szCs w:val="21"/>
              </w:rPr>
            </w:pPr>
          </w:p>
        </w:tc>
      </w:tr>
      <w:tr w14:paraId="0E0F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9766817">
            <w:pPr>
              <w:spacing w:line="400" w:lineRule="exact"/>
              <w:ind w:firstLine="420" w:firstLineChars="200"/>
              <w:rPr>
                <w:rFonts w:ascii="宋体" w:hAnsi="宋体"/>
                <w:color w:val="auto"/>
                <w:szCs w:val="21"/>
              </w:rPr>
            </w:pPr>
          </w:p>
        </w:tc>
        <w:tc>
          <w:tcPr>
            <w:tcW w:w="1418" w:type="dxa"/>
            <w:vAlign w:val="center"/>
          </w:tcPr>
          <w:p w14:paraId="329A5253">
            <w:pPr>
              <w:spacing w:line="400" w:lineRule="exact"/>
              <w:ind w:firstLine="420" w:firstLineChars="200"/>
              <w:rPr>
                <w:rFonts w:ascii="宋体" w:hAnsi="宋体"/>
                <w:color w:val="auto"/>
                <w:szCs w:val="21"/>
              </w:rPr>
            </w:pPr>
          </w:p>
        </w:tc>
        <w:tc>
          <w:tcPr>
            <w:tcW w:w="1418" w:type="dxa"/>
            <w:vAlign w:val="center"/>
          </w:tcPr>
          <w:p w14:paraId="4F1B5C98">
            <w:pPr>
              <w:spacing w:line="400" w:lineRule="exact"/>
              <w:ind w:firstLine="420" w:firstLineChars="200"/>
              <w:rPr>
                <w:rFonts w:ascii="宋体" w:hAnsi="宋体"/>
                <w:color w:val="auto"/>
                <w:szCs w:val="21"/>
              </w:rPr>
            </w:pPr>
          </w:p>
        </w:tc>
        <w:tc>
          <w:tcPr>
            <w:tcW w:w="2917" w:type="dxa"/>
            <w:vAlign w:val="center"/>
          </w:tcPr>
          <w:p w14:paraId="69BB9ACE">
            <w:pPr>
              <w:spacing w:line="400" w:lineRule="exact"/>
              <w:ind w:firstLine="420" w:firstLineChars="200"/>
              <w:rPr>
                <w:rFonts w:ascii="宋体" w:hAnsi="宋体"/>
                <w:color w:val="auto"/>
                <w:szCs w:val="21"/>
              </w:rPr>
            </w:pPr>
          </w:p>
        </w:tc>
      </w:tr>
      <w:tr w14:paraId="497A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20DBB26">
            <w:pPr>
              <w:spacing w:line="400" w:lineRule="exact"/>
              <w:ind w:firstLine="420" w:firstLineChars="200"/>
              <w:rPr>
                <w:rFonts w:ascii="宋体" w:hAnsi="宋体"/>
                <w:color w:val="auto"/>
                <w:szCs w:val="21"/>
              </w:rPr>
            </w:pPr>
          </w:p>
        </w:tc>
        <w:tc>
          <w:tcPr>
            <w:tcW w:w="1418" w:type="dxa"/>
            <w:vAlign w:val="center"/>
          </w:tcPr>
          <w:p w14:paraId="0CCBA759">
            <w:pPr>
              <w:spacing w:line="400" w:lineRule="exact"/>
              <w:ind w:firstLine="420" w:firstLineChars="200"/>
              <w:rPr>
                <w:rFonts w:ascii="宋体" w:hAnsi="宋体"/>
                <w:color w:val="auto"/>
                <w:szCs w:val="21"/>
              </w:rPr>
            </w:pPr>
          </w:p>
        </w:tc>
        <w:tc>
          <w:tcPr>
            <w:tcW w:w="1418" w:type="dxa"/>
            <w:vAlign w:val="center"/>
          </w:tcPr>
          <w:p w14:paraId="5E9F6A6F">
            <w:pPr>
              <w:spacing w:line="400" w:lineRule="exact"/>
              <w:ind w:firstLine="420" w:firstLineChars="200"/>
              <w:rPr>
                <w:rFonts w:ascii="宋体" w:hAnsi="宋体"/>
                <w:color w:val="auto"/>
                <w:szCs w:val="21"/>
              </w:rPr>
            </w:pPr>
          </w:p>
        </w:tc>
        <w:tc>
          <w:tcPr>
            <w:tcW w:w="2917" w:type="dxa"/>
            <w:vAlign w:val="center"/>
          </w:tcPr>
          <w:p w14:paraId="4E4060E2">
            <w:pPr>
              <w:spacing w:line="400" w:lineRule="exact"/>
              <w:ind w:firstLine="420" w:firstLineChars="200"/>
              <w:rPr>
                <w:rFonts w:ascii="宋体" w:hAnsi="宋体"/>
                <w:color w:val="auto"/>
                <w:szCs w:val="21"/>
              </w:rPr>
            </w:pPr>
          </w:p>
        </w:tc>
      </w:tr>
      <w:tr w14:paraId="065C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CCB7FB1">
            <w:pPr>
              <w:spacing w:line="400" w:lineRule="exact"/>
              <w:ind w:firstLine="420" w:firstLineChars="200"/>
              <w:rPr>
                <w:rFonts w:ascii="宋体" w:hAnsi="宋体"/>
                <w:color w:val="auto"/>
                <w:szCs w:val="21"/>
              </w:rPr>
            </w:pPr>
          </w:p>
        </w:tc>
        <w:tc>
          <w:tcPr>
            <w:tcW w:w="1418" w:type="dxa"/>
            <w:vAlign w:val="center"/>
          </w:tcPr>
          <w:p w14:paraId="6394FD77">
            <w:pPr>
              <w:spacing w:line="400" w:lineRule="exact"/>
              <w:ind w:firstLine="420" w:firstLineChars="200"/>
              <w:rPr>
                <w:rFonts w:ascii="宋体" w:hAnsi="宋体"/>
                <w:color w:val="auto"/>
                <w:szCs w:val="21"/>
              </w:rPr>
            </w:pPr>
          </w:p>
        </w:tc>
        <w:tc>
          <w:tcPr>
            <w:tcW w:w="1418" w:type="dxa"/>
            <w:vAlign w:val="center"/>
          </w:tcPr>
          <w:p w14:paraId="172ED5B6">
            <w:pPr>
              <w:spacing w:line="400" w:lineRule="exact"/>
              <w:ind w:firstLine="420" w:firstLineChars="200"/>
              <w:rPr>
                <w:rFonts w:ascii="宋体" w:hAnsi="宋体"/>
                <w:color w:val="auto"/>
                <w:szCs w:val="21"/>
              </w:rPr>
            </w:pPr>
          </w:p>
        </w:tc>
        <w:tc>
          <w:tcPr>
            <w:tcW w:w="2917" w:type="dxa"/>
            <w:vAlign w:val="center"/>
          </w:tcPr>
          <w:p w14:paraId="7C1D73C6">
            <w:pPr>
              <w:spacing w:line="400" w:lineRule="exact"/>
              <w:ind w:firstLine="420" w:firstLineChars="200"/>
              <w:rPr>
                <w:rFonts w:ascii="宋体" w:hAnsi="宋体"/>
                <w:color w:val="auto"/>
                <w:szCs w:val="21"/>
              </w:rPr>
            </w:pPr>
          </w:p>
        </w:tc>
      </w:tr>
      <w:tr w14:paraId="374C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38C9B2E">
            <w:pPr>
              <w:spacing w:line="400" w:lineRule="exact"/>
              <w:ind w:firstLine="420" w:firstLineChars="200"/>
              <w:rPr>
                <w:rFonts w:ascii="宋体" w:hAnsi="宋体"/>
                <w:color w:val="auto"/>
                <w:szCs w:val="21"/>
              </w:rPr>
            </w:pPr>
          </w:p>
        </w:tc>
        <w:tc>
          <w:tcPr>
            <w:tcW w:w="1418" w:type="dxa"/>
            <w:vAlign w:val="center"/>
          </w:tcPr>
          <w:p w14:paraId="40971D27">
            <w:pPr>
              <w:spacing w:line="400" w:lineRule="exact"/>
              <w:ind w:firstLine="420" w:firstLineChars="200"/>
              <w:rPr>
                <w:rFonts w:ascii="宋体" w:hAnsi="宋体"/>
                <w:color w:val="auto"/>
                <w:szCs w:val="21"/>
              </w:rPr>
            </w:pPr>
          </w:p>
        </w:tc>
        <w:tc>
          <w:tcPr>
            <w:tcW w:w="1418" w:type="dxa"/>
            <w:vAlign w:val="center"/>
          </w:tcPr>
          <w:p w14:paraId="27494C60">
            <w:pPr>
              <w:spacing w:line="400" w:lineRule="exact"/>
              <w:ind w:firstLine="420" w:firstLineChars="200"/>
              <w:rPr>
                <w:rFonts w:ascii="宋体" w:hAnsi="宋体"/>
                <w:color w:val="auto"/>
                <w:szCs w:val="21"/>
              </w:rPr>
            </w:pPr>
          </w:p>
        </w:tc>
        <w:tc>
          <w:tcPr>
            <w:tcW w:w="2917" w:type="dxa"/>
            <w:vAlign w:val="center"/>
          </w:tcPr>
          <w:p w14:paraId="3F65D43E">
            <w:pPr>
              <w:spacing w:line="400" w:lineRule="exact"/>
              <w:ind w:firstLine="420" w:firstLineChars="200"/>
              <w:rPr>
                <w:rFonts w:ascii="宋体" w:hAnsi="宋体"/>
                <w:color w:val="auto"/>
                <w:szCs w:val="21"/>
              </w:rPr>
            </w:pPr>
          </w:p>
        </w:tc>
      </w:tr>
      <w:tr w14:paraId="5304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007586">
            <w:pPr>
              <w:spacing w:line="400" w:lineRule="exact"/>
              <w:ind w:firstLine="420" w:firstLineChars="200"/>
              <w:rPr>
                <w:rFonts w:ascii="宋体" w:hAnsi="宋体"/>
                <w:color w:val="auto"/>
                <w:szCs w:val="21"/>
              </w:rPr>
            </w:pPr>
          </w:p>
        </w:tc>
        <w:tc>
          <w:tcPr>
            <w:tcW w:w="1418" w:type="dxa"/>
            <w:vAlign w:val="center"/>
          </w:tcPr>
          <w:p w14:paraId="2175E792">
            <w:pPr>
              <w:spacing w:line="400" w:lineRule="exact"/>
              <w:ind w:firstLine="420" w:firstLineChars="200"/>
              <w:rPr>
                <w:rFonts w:ascii="宋体" w:hAnsi="宋体"/>
                <w:color w:val="auto"/>
                <w:szCs w:val="21"/>
              </w:rPr>
            </w:pPr>
          </w:p>
        </w:tc>
        <w:tc>
          <w:tcPr>
            <w:tcW w:w="1418" w:type="dxa"/>
            <w:vAlign w:val="center"/>
          </w:tcPr>
          <w:p w14:paraId="4F3D950B">
            <w:pPr>
              <w:spacing w:line="400" w:lineRule="exact"/>
              <w:ind w:firstLine="420" w:firstLineChars="200"/>
              <w:rPr>
                <w:rFonts w:ascii="宋体" w:hAnsi="宋体"/>
                <w:color w:val="auto"/>
                <w:szCs w:val="21"/>
              </w:rPr>
            </w:pPr>
          </w:p>
        </w:tc>
        <w:tc>
          <w:tcPr>
            <w:tcW w:w="2917" w:type="dxa"/>
            <w:vAlign w:val="center"/>
          </w:tcPr>
          <w:p w14:paraId="700D8D73">
            <w:pPr>
              <w:spacing w:line="400" w:lineRule="exact"/>
              <w:ind w:firstLine="420" w:firstLineChars="200"/>
              <w:rPr>
                <w:rFonts w:ascii="宋体" w:hAnsi="宋体"/>
                <w:color w:val="auto"/>
                <w:szCs w:val="21"/>
              </w:rPr>
            </w:pPr>
          </w:p>
        </w:tc>
      </w:tr>
      <w:tr w14:paraId="1097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50B8B04">
            <w:pPr>
              <w:spacing w:line="400" w:lineRule="exact"/>
              <w:ind w:firstLine="420" w:firstLineChars="200"/>
              <w:rPr>
                <w:rFonts w:ascii="宋体" w:hAnsi="宋体"/>
                <w:color w:val="auto"/>
                <w:szCs w:val="21"/>
              </w:rPr>
            </w:pPr>
          </w:p>
        </w:tc>
        <w:tc>
          <w:tcPr>
            <w:tcW w:w="1418" w:type="dxa"/>
          </w:tcPr>
          <w:p w14:paraId="1450A952">
            <w:pPr>
              <w:spacing w:line="400" w:lineRule="exact"/>
              <w:ind w:firstLine="420" w:firstLineChars="200"/>
              <w:rPr>
                <w:rFonts w:ascii="宋体" w:hAnsi="宋体"/>
                <w:color w:val="auto"/>
                <w:szCs w:val="21"/>
              </w:rPr>
            </w:pPr>
          </w:p>
        </w:tc>
        <w:tc>
          <w:tcPr>
            <w:tcW w:w="1418" w:type="dxa"/>
          </w:tcPr>
          <w:p w14:paraId="7814DFC6">
            <w:pPr>
              <w:spacing w:line="400" w:lineRule="exact"/>
              <w:ind w:firstLine="420" w:firstLineChars="200"/>
              <w:rPr>
                <w:rFonts w:ascii="宋体" w:hAnsi="宋体"/>
                <w:color w:val="auto"/>
                <w:szCs w:val="21"/>
              </w:rPr>
            </w:pPr>
          </w:p>
        </w:tc>
        <w:tc>
          <w:tcPr>
            <w:tcW w:w="2917" w:type="dxa"/>
          </w:tcPr>
          <w:p w14:paraId="70F782FB">
            <w:pPr>
              <w:spacing w:line="400" w:lineRule="exact"/>
              <w:ind w:firstLine="420" w:firstLineChars="200"/>
              <w:rPr>
                <w:rFonts w:ascii="宋体" w:hAnsi="宋体"/>
                <w:color w:val="auto"/>
                <w:szCs w:val="21"/>
              </w:rPr>
            </w:pPr>
          </w:p>
        </w:tc>
      </w:tr>
      <w:tr w14:paraId="4917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A2DC1EC">
            <w:pPr>
              <w:spacing w:line="400" w:lineRule="exact"/>
              <w:ind w:firstLine="420" w:firstLineChars="200"/>
              <w:rPr>
                <w:rFonts w:ascii="宋体" w:hAnsi="宋体"/>
                <w:color w:val="auto"/>
                <w:szCs w:val="21"/>
              </w:rPr>
            </w:pPr>
          </w:p>
        </w:tc>
        <w:tc>
          <w:tcPr>
            <w:tcW w:w="1418" w:type="dxa"/>
            <w:vAlign w:val="center"/>
          </w:tcPr>
          <w:p w14:paraId="6B1791D8">
            <w:pPr>
              <w:spacing w:line="400" w:lineRule="exact"/>
              <w:ind w:firstLine="420" w:firstLineChars="200"/>
              <w:rPr>
                <w:rFonts w:ascii="宋体" w:hAnsi="宋体"/>
                <w:color w:val="auto"/>
                <w:szCs w:val="21"/>
              </w:rPr>
            </w:pPr>
          </w:p>
        </w:tc>
        <w:tc>
          <w:tcPr>
            <w:tcW w:w="1418" w:type="dxa"/>
            <w:vAlign w:val="center"/>
          </w:tcPr>
          <w:p w14:paraId="616ADC5C">
            <w:pPr>
              <w:spacing w:line="400" w:lineRule="exact"/>
              <w:ind w:firstLine="420" w:firstLineChars="200"/>
              <w:rPr>
                <w:rFonts w:ascii="宋体" w:hAnsi="宋体"/>
                <w:color w:val="auto"/>
                <w:szCs w:val="21"/>
              </w:rPr>
            </w:pPr>
          </w:p>
        </w:tc>
        <w:tc>
          <w:tcPr>
            <w:tcW w:w="2917" w:type="dxa"/>
            <w:vAlign w:val="center"/>
          </w:tcPr>
          <w:p w14:paraId="3462A464">
            <w:pPr>
              <w:spacing w:line="400" w:lineRule="exact"/>
              <w:ind w:firstLine="420" w:firstLineChars="200"/>
              <w:rPr>
                <w:rFonts w:ascii="宋体" w:hAnsi="宋体"/>
                <w:color w:val="auto"/>
                <w:szCs w:val="21"/>
              </w:rPr>
            </w:pPr>
          </w:p>
        </w:tc>
      </w:tr>
      <w:tr w14:paraId="23C8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767C0D7">
            <w:pPr>
              <w:spacing w:line="400" w:lineRule="exact"/>
              <w:ind w:firstLine="420" w:firstLineChars="200"/>
              <w:rPr>
                <w:rFonts w:ascii="宋体" w:hAnsi="宋体"/>
                <w:color w:val="auto"/>
                <w:szCs w:val="21"/>
              </w:rPr>
            </w:pPr>
          </w:p>
        </w:tc>
        <w:tc>
          <w:tcPr>
            <w:tcW w:w="1418" w:type="dxa"/>
          </w:tcPr>
          <w:p w14:paraId="01B517D8">
            <w:pPr>
              <w:spacing w:line="400" w:lineRule="exact"/>
              <w:ind w:firstLine="420" w:firstLineChars="200"/>
              <w:rPr>
                <w:rFonts w:ascii="宋体" w:hAnsi="宋体"/>
                <w:color w:val="auto"/>
                <w:szCs w:val="21"/>
              </w:rPr>
            </w:pPr>
          </w:p>
        </w:tc>
        <w:tc>
          <w:tcPr>
            <w:tcW w:w="1418" w:type="dxa"/>
          </w:tcPr>
          <w:p w14:paraId="5768EAE0">
            <w:pPr>
              <w:spacing w:line="400" w:lineRule="exact"/>
              <w:ind w:firstLine="420" w:firstLineChars="200"/>
              <w:rPr>
                <w:rFonts w:ascii="宋体" w:hAnsi="宋体"/>
                <w:color w:val="auto"/>
                <w:szCs w:val="21"/>
              </w:rPr>
            </w:pPr>
          </w:p>
        </w:tc>
        <w:tc>
          <w:tcPr>
            <w:tcW w:w="2917" w:type="dxa"/>
          </w:tcPr>
          <w:p w14:paraId="5D2D7BD0">
            <w:pPr>
              <w:spacing w:line="400" w:lineRule="exact"/>
              <w:ind w:firstLine="420" w:firstLineChars="200"/>
              <w:rPr>
                <w:rFonts w:ascii="宋体" w:hAnsi="宋体"/>
                <w:color w:val="auto"/>
                <w:szCs w:val="21"/>
              </w:rPr>
            </w:pPr>
          </w:p>
        </w:tc>
      </w:tr>
      <w:tr w14:paraId="04D3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B26A877">
            <w:pPr>
              <w:spacing w:line="400" w:lineRule="exact"/>
              <w:ind w:firstLine="420" w:firstLineChars="200"/>
              <w:rPr>
                <w:rFonts w:ascii="宋体" w:hAnsi="宋体"/>
                <w:color w:val="auto"/>
                <w:szCs w:val="21"/>
              </w:rPr>
            </w:pPr>
          </w:p>
        </w:tc>
        <w:tc>
          <w:tcPr>
            <w:tcW w:w="1418" w:type="dxa"/>
          </w:tcPr>
          <w:p w14:paraId="490018AF">
            <w:pPr>
              <w:spacing w:line="400" w:lineRule="exact"/>
              <w:ind w:firstLine="420" w:firstLineChars="200"/>
              <w:rPr>
                <w:rFonts w:ascii="宋体" w:hAnsi="宋体"/>
                <w:color w:val="auto"/>
                <w:szCs w:val="21"/>
              </w:rPr>
            </w:pPr>
          </w:p>
        </w:tc>
        <w:tc>
          <w:tcPr>
            <w:tcW w:w="1418" w:type="dxa"/>
          </w:tcPr>
          <w:p w14:paraId="6680B191">
            <w:pPr>
              <w:spacing w:line="400" w:lineRule="exact"/>
              <w:ind w:firstLine="420" w:firstLineChars="200"/>
              <w:rPr>
                <w:rFonts w:ascii="宋体" w:hAnsi="宋体"/>
                <w:color w:val="auto"/>
                <w:szCs w:val="21"/>
              </w:rPr>
            </w:pPr>
          </w:p>
        </w:tc>
        <w:tc>
          <w:tcPr>
            <w:tcW w:w="2917" w:type="dxa"/>
          </w:tcPr>
          <w:p w14:paraId="163F8051">
            <w:pPr>
              <w:spacing w:line="400" w:lineRule="exact"/>
              <w:ind w:firstLine="420" w:firstLineChars="200"/>
              <w:rPr>
                <w:rFonts w:ascii="宋体" w:hAnsi="宋体"/>
                <w:color w:val="auto"/>
                <w:szCs w:val="21"/>
              </w:rPr>
            </w:pPr>
          </w:p>
        </w:tc>
      </w:tr>
      <w:tr w14:paraId="36C9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B249FEA">
            <w:pPr>
              <w:spacing w:line="400" w:lineRule="exact"/>
              <w:ind w:firstLine="420" w:firstLineChars="200"/>
              <w:rPr>
                <w:rFonts w:ascii="宋体" w:hAnsi="宋体"/>
                <w:color w:val="auto"/>
                <w:szCs w:val="21"/>
              </w:rPr>
            </w:pPr>
          </w:p>
        </w:tc>
        <w:tc>
          <w:tcPr>
            <w:tcW w:w="1418" w:type="dxa"/>
          </w:tcPr>
          <w:p w14:paraId="01D0A2E1">
            <w:pPr>
              <w:spacing w:line="400" w:lineRule="exact"/>
              <w:ind w:firstLine="420" w:firstLineChars="200"/>
              <w:rPr>
                <w:rFonts w:ascii="宋体" w:hAnsi="宋体"/>
                <w:color w:val="auto"/>
                <w:szCs w:val="21"/>
              </w:rPr>
            </w:pPr>
          </w:p>
        </w:tc>
        <w:tc>
          <w:tcPr>
            <w:tcW w:w="1418" w:type="dxa"/>
          </w:tcPr>
          <w:p w14:paraId="6CF449F6">
            <w:pPr>
              <w:spacing w:line="400" w:lineRule="exact"/>
              <w:ind w:firstLine="420" w:firstLineChars="200"/>
              <w:rPr>
                <w:rFonts w:ascii="宋体" w:hAnsi="宋体"/>
                <w:color w:val="auto"/>
                <w:szCs w:val="21"/>
              </w:rPr>
            </w:pPr>
          </w:p>
        </w:tc>
        <w:tc>
          <w:tcPr>
            <w:tcW w:w="2917" w:type="dxa"/>
          </w:tcPr>
          <w:p w14:paraId="3F638D31">
            <w:pPr>
              <w:spacing w:line="400" w:lineRule="exact"/>
              <w:ind w:firstLine="420" w:firstLineChars="200"/>
              <w:rPr>
                <w:rFonts w:ascii="宋体" w:hAnsi="宋体"/>
                <w:color w:val="auto"/>
                <w:szCs w:val="21"/>
              </w:rPr>
            </w:pPr>
          </w:p>
        </w:tc>
      </w:tr>
      <w:tr w14:paraId="4467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5B33232">
            <w:pPr>
              <w:spacing w:line="400" w:lineRule="exact"/>
              <w:ind w:firstLine="420" w:firstLineChars="200"/>
              <w:rPr>
                <w:rFonts w:ascii="宋体" w:hAnsi="宋体"/>
                <w:color w:val="auto"/>
                <w:szCs w:val="21"/>
              </w:rPr>
            </w:pPr>
          </w:p>
        </w:tc>
        <w:tc>
          <w:tcPr>
            <w:tcW w:w="1418" w:type="dxa"/>
          </w:tcPr>
          <w:p w14:paraId="2F0C007E">
            <w:pPr>
              <w:spacing w:line="400" w:lineRule="exact"/>
              <w:ind w:firstLine="420" w:firstLineChars="200"/>
              <w:rPr>
                <w:rFonts w:ascii="宋体" w:hAnsi="宋体"/>
                <w:color w:val="auto"/>
                <w:szCs w:val="21"/>
              </w:rPr>
            </w:pPr>
          </w:p>
        </w:tc>
        <w:tc>
          <w:tcPr>
            <w:tcW w:w="1418" w:type="dxa"/>
          </w:tcPr>
          <w:p w14:paraId="57209D1F">
            <w:pPr>
              <w:spacing w:line="400" w:lineRule="exact"/>
              <w:ind w:firstLine="420" w:firstLineChars="200"/>
              <w:rPr>
                <w:rFonts w:ascii="宋体" w:hAnsi="宋体"/>
                <w:color w:val="auto"/>
                <w:szCs w:val="21"/>
              </w:rPr>
            </w:pPr>
          </w:p>
        </w:tc>
        <w:tc>
          <w:tcPr>
            <w:tcW w:w="2917" w:type="dxa"/>
          </w:tcPr>
          <w:p w14:paraId="51786AB2">
            <w:pPr>
              <w:spacing w:line="400" w:lineRule="exact"/>
              <w:ind w:firstLine="420" w:firstLineChars="200"/>
              <w:rPr>
                <w:rFonts w:ascii="宋体" w:hAnsi="宋体"/>
                <w:color w:val="auto"/>
                <w:szCs w:val="21"/>
              </w:rPr>
            </w:pPr>
          </w:p>
        </w:tc>
      </w:tr>
      <w:tr w14:paraId="09A8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011606D">
            <w:pPr>
              <w:spacing w:line="400" w:lineRule="exact"/>
              <w:ind w:firstLine="420" w:firstLineChars="200"/>
              <w:rPr>
                <w:rFonts w:ascii="宋体" w:hAnsi="宋体"/>
                <w:color w:val="auto"/>
                <w:szCs w:val="21"/>
              </w:rPr>
            </w:pPr>
          </w:p>
        </w:tc>
        <w:tc>
          <w:tcPr>
            <w:tcW w:w="1418" w:type="dxa"/>
          </w:tcPr>
          <w:p w14:paraId="3507CC65">
            <w:pPr>
              <w:spacing w:line="400" w:lineRule="exact"/>
              <w:ind w:firstLine="420" w:firstLineChars="200"/>
              <w:rPr>
                <w:rFonts w:ascii="宋体" w:hAnsi="宋体"/>
                <w:color w:val="auto"/>
                <w:szCs w:val="21"/>
              </w:rPr>
            </w:pPr>
          </w:p>
        </w:tc>
        <w:tc>
          <w:tcPr>
            <w:tcW w:w="1418" w:type="dxa"/>
          </w:tcPr>
          <w:p w14:paraId="129B622E">
            <w:pPr>
              <w:spacing w:line="400" w:lineRule="exact"/>
              <w:ind w:firstLine="420" w:firstLineChars="200"/>
              <w:rPr>
                <w:rFonts w:ascii="宋体" w:hAnsi="宋体"/>
                <w:color w:val="auto"/>
                <w:szCs w:val="21"/>
              </w:rPr>
            </w:pPr>
          </w:p>
        </w:tc>
        <w:tc>
          <w:tcPr>
            <w:tcW w:w="2917" w:type="dxa"/>
          </w:tcPr>
          <w:p w14:paraId="4EA6C2E2">
            <w:pPr>
              <w:spacing w:line="400" w:lineRule="exact"/>
              <w:ind w:firstLine="420" w:firstLineChars="200"/>
              <w:rPr>
                <w:rFonts w:ascii="宋体" w:hAnsi="宋体"/>
                <w:color w:val="auto"/>
                <w:szCs w:val="21"/>
              </w:rPr>
            </w:pPr>
          </w:p>
        </w:tc>
      </w:tr>
      <w:tr w14:paraId="4053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9669709">
            <w:pPr>
              <w:spacing w:line="400" w:lineRule="exact"/>
              <w:ind w:firstLine="420" w:firstLineChars="200"/>
              <w:rPr>
                <w:rFonts w:ascii="宋体" w:hAnsi="宋体"/>
                <w:color w:val="auto"/>
                <w:szCs w:val="21"/>
              </w:rPr>
            </w:pPr>
          </w:p>
        </w:tc>
        <w:tc>
          <w:tcPr>
            <w:tcW w:w="1418" w:type="dxa"/>
          </w:tcPr>
          <w:p w14:paraId="559BA4D8">
            <w:pPr>
              <w:spacing w:line="400" w:lineRule="exact"/>
              <w:ind w:firstLine="420" w:firstLineChars="200"/>
              <w:rPr>
                <w:rFonts w:ascii="宋体" w:hAnsi="宋体"/>
                <w:color w:val="auto"/>
                <w:szCs w:val="21"/>
              </w:rPr>
            </w:pPr>
          </w:p>
        </w:tc>
        <w:tc>
          <w:tcPr>
            <w:tcW w:w="1418" w:type="dxa"/>
          </w:tcPr>
          <w:p w14:paraId="22A682C2">
            <w:pPr>
              <w:spacing w:line="400" w:lineRule="exact"/>
              <w:ind w:firstLine="420" w:firstLineChars="200"/>
              <w:rPr>
                <w:rFonts w:ascii="宋体" w:hAnsi="宋体"/>
                <w:color w:val="auto"/>
                <w:szCs w:val="21"/>
              </w:rPr>
            </w:pPr>
          </w:p>
        </w:tc>
        <w:tc>
          <w:tcPr>
            <w:tcW w:w="2917" w:type="dxa"/>
          </w:tcPr>
          <w:p w14:paraId="7FB8C7AF">
            <w:pPr>
              <w:spacing w:line="400" w:lineRule="exact"/>
              <w:ind w:firstLine="420" w:firstLineChars="200"/>
              <w:rPr>
                <w:rFonts w:ascii="宋体" w:hAnsi="宋体"/>
                <w:color w:val="auto"/>
                <w:szCs w:val="21"/>
              </w:rPr>
            </w:pPr>
          </w:p>
        </w:tc>
      </w:tr>
      <w:tr w14:paraId="78EC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45C2703">
            <w:pPr>
              <w:spacing w:line="400" w:lineRule="exact"/>
              <w:ind w:firstLine="420" w:firstLineChars="200"/>
              <w:rPr>
                <w:rFonts w:ascii="宋体" w:hAnsi="宋体"/>
                <w:color w:val="auto"/>
                <w:szCs w:val="21"/>
              </w:rPr>
            </w:pPr>
          </w:p>
        </w:tc>
        <w:tc>
          <w:tcPr>
            <w:tcW w:w="1418" w:type="dxa"/>
          </w:tcPr>
          <w:p w14:paraId="0C355672">
            <w:pPr>
              <w:spacing w:line="400" w:lineRule="exact"/>
              <w:ind w:firstLine="420" w:firstLineChars="200"/>
              <w:rPr>
                <w:rFonts w:ascii="宋体" w:hAnsi="宋体"/>
                <w:color w:val="auto"/>
                <w:szCs w:val="21"/>
              </w:rPr>
            </w:pPr>
          </w:p>
        </w:tc>
        <w:tc>
          <w:tcPr>
            <w:tcW w:w="1418" w:type="dxa"/>
          </w:tcPr>
          <w:p w14:paraId="614F664A">
            <w:pPr>
              <w:spacing w:line="400" w:lineRule="exact"/>
              <w:ind w:firstLine="420" w:firstLineChars="200"/>
              <w:rPr>
                <w:rFonts w:ascii="宋体" w:hAnsi="宋体"/>
                <w:color w:val="auto"/>
                <w:szCs w:val="21"/>
              </w:rPr>
            </w:pPr>
          </w:p>
        </w:tc>
        <w:tc>
          <w:tcPr>
            <w:tcW w:w="2917" w:type="dxa"/>
          </w:tcPr>
          <w:p w14:paraId="153C88FF">
            <w:pPr>
              <w:spacing w:line="400" w:lineRule="exact"/>
              <w:ind w:firstLine="420" w:firstLineChars="200"/>
              <w:rPr>
                <w:rFonts w:ascii="宋体" w:hAnsi="宋体"/>
                <w:color w:val="auto"/>
                <w:szCs w:val="21"/>
              </w:rPr>
            </w:pPr>
          </w:p>
        </w:tc>
      </w:tr>
      <w:tr w14:paraId="398E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45118CD">
            <w:pPr>
              <w:spacing w:line="400" w:lineRule="exact"/>
              <w:ind w:firstLine="420" w:firstLineChars="200"/>
              <w:rPr>
                <w:rFonts w:ascii="宋体" w:hAnsi="宋体"/>
                <w:color w:val="auto"/>
                <w:szCs w:val="21"/>
              </w:rPr>
            </w:pPr>
          </w:p>
        </w:tc>
        <w:tc>
          <w:tcPr>
            <w:tcW w:w="1418" w:type="dxa"/>
          </w:tcPr>
          <w:p w14:paraId="521306FF">
            <w:pPr>
              <w:spacing w:line="400" w:lineRule="exact"/>
              <w:ind w:firstLine="420" w:firstLineChars="200"/>
              <w:rPr>
                <w:rFonts w:ascii="宋体" w:hAnsi="宋体"/>
                <w:color w:val="auto"/>
                <w:szCs w:val="21"/>
              </w:rPr>
            </w:pPr>
          </w:p>
        </w:tc>
        <w:tc>
          <w:tcPr>
            <w:tcW w:w="1418" w:type="dxa"/>
          </w:tcPr>
          <w:p w14:paraId="787F4B55">
            <w:pPr>
              <w:spacing w:line="400" w:lineRule="exact"/>
              <w:ind w:firstLine="420" w:firstLineChars="200"/>
              <w:rPr>
                <w:rFonts w:ascii="宋体" w:hAnsi="宋体"/>
                <w:color w:val="auto"/>
                <w:szCs w:val="21"/>
              </w:rPr>
            </w:pPr>
          </w:p>
        </w:tc>
        <w:tc>
          <w:tcPr>
            <w:tcW w:w="2917" w:type="dxa"/>
          </w:tcPr>
          <w:p w14:paraId="28E21CC8">
            <w:pPr>
              <w:spacing w:line="400" w:lineRule="exact"/>
              <w:ind w:firstLine="420" w:firstLineChars="200"/>
              <w:rPr>
                <w:rFonts w:ascii="宋体" w:hAnsi="宋体"/>
                <w:color w:val="auto"/>
                <w:szCs w:val="21"/>
              </w:rPr>
            </w:pPr>
          </w:p>
        </w:tc>
      </w:tr>
    </w:tbl>
    <w:p w14:paraId="4B64675F">
      <w:pPr>
        <w:spacing w:line="360" w:lineRule="auto"/>
        <w:ind w:firstLine="420" w:firstLineChars="200"/>
        <w:rPr>
          <w:rFonts w:ascii="宋体" w:hAnsi="宋体"/>
          <w:color w:val="auto"/>
          <w:szCs w:val="21"/>
        </w:rPr>
      </w:pPr>
    </w:p>
    <w:p w14:paraId="58C3D4CF">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782" w:name="_Toc296503228"/>
      <w:bookmarkStart w:id="1783" w:name="_Toc296944567"/>
      <w:bookmarkStart w:id="1784" w:name="_Toc296347227"/>
      <w:bookmarkStart w:id="1785" w:name="_Toc296346729"/>
      <w:bookmarkStart w:id="1786" w:name="_Toc296891268"/>
      <w:bookmarkStart w:id="1787" w:name="_Toc296891056"/>
      <w:bookmarkStart w:id="1788" w:name="_Toc267261699"/>
      <w:r>
        <w:rPr>
          <w:rFonts w:hint="eastAsia" w:ascii="宋体" w:hAnsi="宋体"/>
          <w:color w:val="auto"/>
          <w:szCs w:val="21"/>
        </w:rPr>
        <w:t>件3：</w:t>
      </w:r>
    </w:p>
    <w:bookmarkEnd w:id="1782"/>
    <w:bookmarkEnd w:id="1783"/>
    <w:bookmarkEnd w:id="1784"/>
    <w:bookmarkEnd w:id="1785"/>
    <w:bookmarkEnd w:id="1786"/>
    <w:bookmarkEnd w:id="1787"/>
    <w:bookmarkEnd w:id="1788"/>
    <w:p w14:paraId="3CF3C5E9">
      <w:pPr>
        <w:spacing w:beforeLines="50" w:afterLines="50" w:line="480" w:lineRule="auto"/>
        <w:jc w:val="center"/>
        <w:rPr>
          <w:rFonts w:ascii="宋体" w:hAnsi="宋体"/>
          <w:color w:val="auto"/>
          <w:szCs w:val="21"/>
        </w:rPr>
      </w:pPr>
      <w:r>
        <w:rPr>
          <w:rFonts w:hint="eastAsia" w:ascii="宋体" w:hAnsi="宋体"/>
          <w:color w:val="auto"/>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F2B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58053B9">
            <w:pPr>
              <w:spacing w:line="400" w:lineRule="exact"/>
              <w:jc w:val="center"/>
              <w:rPr>
                <w:rFonts w:ascii="宋体" w:hAnsi="宋体"/>
                <w:color w:val="auto"/>
                <w:szCs w:val="21"/>
              </w:rPr>
            </w:pPr>
            <w:r>
              <w:rPr>
                <w:rFonts w:hint="eastAsia" w:ascii="宋体" w:hAnsi="宋体"/>
                <w:color w:val="auto"/>
                <w:szCs w:val="21"/>
              </w:rPr>
              <w:t>名    称</w:t>
            </w:r>
          </w:p>
        </w:tc>
        <w:tc>
          <w:tcPr>
            <w:tcW w:w="1418" w:type="dxa"/>
            <w:vAlign w:val="center"/>
          </w:tcPr>
          <w:p w14:paraId="6DD8D73C">
            <w:pPr>
              <w:spacing w:line="400" w:lineRule="exact"/>
              <w:jc w:val="center"/>
              <w:rPr>
                <w:rFonts w:ascii="宋体" w:hAnsi="宋体"/>
                <w:color w:val="auto"/>
                <w:szCs w:val="21"/>
              </w:rPr>
            </w:pPr>
            <w:r>
              <w:rPr>
                <w:rFonts w:hint="eastAsia" w:ascii="宋体" w:hAnsi="宋体"/>
                <w:color w:val="auto"/>
                <w:szCs w:val="21"/>
              </w:rPr>
              <w:t>姓名</w:t>
            </w:r>
          </w:p>
        </w:tc>
        <w:tc>
          <w:tcPr>
            <w:tcW w:w="1134" w:type="dxa"/>
            <w:vAlign w:val="center"/>
          </w:tcPr>
          <w:p w14:paraId="5E71E26F">
            <w:pPr>
              <w:spacing w:line="400" w:lineRule="exact"/>
              <w:jc w:val="center"/>
              <w:rPr>
                <w:rFonts w:ascii="宋体" w:hAnsi="宋体"/>
                <w:color w:val="auto"/>
                <w:szCs w:val="21"/>
              </w:rPr>
            </w:pPr>
            <w:r>
              <w:rPr>
                <w:rFonts w:hint="eastAsia" w:ascii="宋体" w:hAnsi="宋体"/>
                <w:color w:val="auto"/>
                <w:szCs w:val="21"/>
              </w:rPr>
              <w:t>职务</w:t>
            </w:r>
          </w:p>
        </w:tc>
        <w:tc>
          <w:tcPr>
            <w:tcW w:w="1134" w:type="dxa"/>
            <w:vAlign w:val="center"/>
          </w:tcPr>
          <w:p w14:paraId="278F4E9A">
            <w:pPr>
              <w:spacing w:line="400" w:lineRule="exact"/>
              <w:jc w:val="center"/>
              <w:rPr>
                <w:rFonts w:ascii="宋体" w:hAnsi="宋体"/>
                <w:color w:val="auto"/>
                <w:szCs w:val="21"/>
              </w:rPr>
            </w:pPr>
            <w:r>
              <w:rPr>
                <w:rFonts w:hint="eastAsia" w:ascii="宋体" w:hAnsi="宋体"/>
                <w:color w:val="auto"/>
                <w:szCs w:val="21"/>
              </w:rPr>
              <w:t>职称</w:t>
            </w:r>
          </w:p>
        </w:tc>
        <w:tc>
          <w:tcPr>
            <w:tcW w:w="4252" w:type="dxa"/>
            <w:vAlign w:val="center"/>
          </w:tcPr>
          <w:p w14:paraId="3710E4F9">
            <w:pPr>
              <w:spacing w:line="400" w:lineRule="exact"/>
              <w:jc w:val="center"/>
              <w:rPr>
                <w:rFonts w:ascii="宋体" w:hAnsi="宋体"/>
                <w:color w:val="auto"/>
                <w:szCs w:val="21"/>
              </w:rPr>
            </w:pPr>
            <w:r>
              <w:rPr>
                <w:rFonts w:hint="eastAsia" w:ascii="宋体" w:hAnsi="宋体"/>
                <w:color w:val="auto"/>
                <w:szCs w:val="21"/>
              </w:rPr>
              <w:t>主要资历、经验及承担过的项目</w:t>
            </w:r>
          </w:p>
        </w:tc>
      </w:tr>
      <w:tr w14:paraId="360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2DA7EDB2">
            <w:pPr>
              <w:spacing w:line="400" w:lineRule="exact"/>
              <w:rPr>
                <w:rFonts w:ascii="宋体" w:hAnsi="宋体"/>
                <w:color w:val="auto"/>
                <w:szCs w:val="21"/>
              </w:rPr>
            </w:pPr>
            <w:r>
              <w:rPr>
                <w:rFonts w:hint="eastAsia" w:ascii="宋体" w:hAnsi="宋体"/>
                <w:color w:val="auto"/>
                <w:szCs w:val="21"/>
              </w:rPr>
              <w:t>一、总部人员</w:t>
            </w:r>
          </w:p>
        </w:tc>
      </w:tr>
      <w:tr w14:paraId="2FA7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E0FBE0">
            <w:pPr>
              <w:spacing w:line="400" w:lineRule="exact"/>
              <w:jc w:val="center"/>
              <w:rPr>
                <w:rFonts w:ascii="宋体" w:hAnsi="宋体"/>
                <w:color w:val="auto"/>
                <w:szCs w:val="21"/>
              </w:rPr>
            </w:pPr>
            <w:r>
              <w:rPr>
                <w:rFonts w:hint="eastAsia" w:ascii="宋体" w:hAnsi="宋体"/>
                <w:color w:val="auto"/>
                <w:szCs w:val="21"/>
              </w:rPr>
              <w:t>项目主管</w:t>
            </w:r>
          </w:p>
        </w:tc>
        <w:tc>
          <w:tcPr>
            <w:tcW w:w="1418" w:type="dxa"/>
            <w:vAlign w:val="center"/>
          </w:tcPr>
          <w:p w14:paraId="0641E0EE">
            <w:pPr>
              <w:spacing w:line="400" w:lineRule="exact"/>
              <w:ind w:firstLine="420" w:firstLineChars="200"/>
              <w:rPr>
                <w:rFonts w:ascii="宋体" w:hAnsi="宋体"/>
                <w:color w:val="auto"/>
                <w:szCs w:val="21"/>
              </w:rPr>
            </w:pPr>
          </w:p>
        </w:tc>
        <w:tc>
          <w:tcPr>
            <w:tcW w:w="1134" w:type="dxa"/>
            <w:vAlign w:val="center"/>
          </w:tcPr>
          <w:p w14:paraId="211F4AC1">
            <w:pPr>
              <w:spacing w:line="400" w:lineRule="exact"/>
              <w:ind w:firstLine="420" w:firstLineChars="200"/>
              <w:rPr>
                <w:rFonts w:ascii="宋体" w:hAnsi="宋体"/>
                <w:color w:val="auto"/>
                <w:szCs w:val="21"/>
              </w:rPr>
            </w:pPr>
          </w:p>
        </w:tc>
        <w:tc>
          <w:tcPr>
            <w:tcW w:w="1134" w:type="dxa"/>
            <w:vAlign w:val="center"/>
          </w:tcPr>
          <w:p w14:paraId="283A457C">
            <w:pPr>
              <w:spacing w:line="400" w:lineRule="exact"/>
              <w:ind w:firstLine="420" w:firstLineChars="200"/>
              <w:rPr>
                <w:rFonts w:ascii="宋体" w:hAnsi="宋体"/>
                <w:color w:val="auto"/>
                <w:szCs w:val="21"/>
              </w:rPr>
            </w:pPr>
          </w:p>
        </w:tc>
        <w:tc>
          <w:tcPr>
            <w:tcW w:w="4252" w:type="dxa"/>
            <w:vAlign w:val="center"/>
          </w:tcPr>
          <w:p w14:paraId="5C334428">
            <w:pPr>
              <w:spacing w:line="400" w:lineRule="exact"/>
              <w:ind w:firstLine="420" w:firstLineChars="200"/>
              <w:rPr>
                <w:rFonts w:ascii="宋体" w:hAnsi="宋体"/>
                <w:color w:val="auto"/>
                <w:szCs w:val="21"/>
              </w:rPr>
            </w:pPr>
          </w:p>
        </w:tc>
      </w:tr>
      <w:tr w14:paraId="235F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C1595E">
            <w:pPr>
              <w:spacing w:line="400" w:lineRule="exact"/>
              <w:jc w:val="center"/>
              <w:rPr>
                <w:rFonts w:ascii="宋体" w:hAnsi="宋体"/>
                <w:color w:val="auto"/>
                <w:szCs w:val="21"/>
              </w:rPr>
            </w:pPr>
          </w:p>
        </w:tc>
        <w:tc>
          <w:tcPr>
            <w:tcW w:w="1418" w:type="dxa"/>
            <w:vAlign w:val="center"/>
          </w:tcPr>
          <w:p w14:paraId="58F34F32">
            <w:pPr>
              <w:spacing w:line="400" w:lineRule="exact"/>
              <w:ind w:firstLine="420" w:firstLineChars="200"/>
              <w:rPr>
                <w:rFonts w:ascii="宋体" w:hAnsi="宋体"/>
                <w:color w:val="auto"/>
                <w:szCs w:val="21"/>
              </w:rPr>
            </w:pPr>
          </w:p>
        </w:tc>
        <w:tc>
          <w:tcPr>
            <w:tcW w:w="1134" w:type="dxa"/>
            <w:vAlign w:val="center"/>
          </w:tcPr>
          <w:p w14:paraId="67A69FFE">
            <w:pPr>
              <w:spacing w:line="400" w:lineRule="exact"/>
              <w:ind w:firstLine="420" w:firstLineChars="200"/>
              <w:rPr>
                <w:rFonts w:ascii="宋体" w:hAnsi="宋体"/>
                <w:color w:val="auto"/>
                <w:szCs w:val="21"/>
              </w:rPr>
            </w:pPr>
          </w:p>
        </w:tc>
        <w:tc>
          <w:tcPr>
            <w:tcW w:w="1134" w:type="dxa"/>
            <w:vAlign w:val="center"/>
          </w:tcPr>
          <w:p w14:paraId="7C0AB7EC">
            <w:pPr>
              <w:spacing w:line="400" w:lineRule="exact"/>
              <w:ind w:firstLine="420" w:firstLineChars="200"/>
              <w:rPr>
                <w:rFonts w:ascii="宋体" w:hAnsi="宋体"/>
                <w:color w:val="auto"/>
                <w:szCs w:val="21"/>
              </w:rPr>
            </w:pPr>
          </w:p>
        </w:tc>
        <w:tc>
          <w:tcPr>
            <w:tcW w:w="4252" w:type="dxa"/>
            <w:vAlign w:val="center"/>
          </w:tcPr>
          <w:p w14:paraId="5097F8EB">
            <w:pPr>
              <w:spacing w:line="400" w:lineRule="exact"/>
              <w:ind w:firstLine="420" w:firstLineChars="200"/>
              <w:rPr>
                <w:rFonts w:ascii="宋体" w:hAnsi="宋体"/>
                <w:color w:val="auto"/>
                <w:szCs w:val="21"/>
              </w:rPr>
            </w:pPr>
          </w:p>
        </w:tc>
      </w:tr>
      <w:tr w14:paraId="6B1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3874128">
            <w:pPr>
              <w:spacing w:line="400" w:lineRule="exact"/>
              <w:jc w:val="center"/>
              <w:rPr>
                <w:rFonts w:ascii="宋体" w:hAnsi="宋体"/>
                <w:color w:val="auto"/>
                <w:szCs w:val="21"/>
              </w:rPr>
            </w:pPr>
            <w:r>
              <w:rPr>
                <w:rFonts w:hint="eastAsia" w:ascii="宋体" w:hAnsi="宋体"/>
                <w:color w:val="auto"/>
                <w:szCs w:val="21"/>
              </w:rPr>
              <w:t>其他人员</w:t>
            </w:r>
          </w:p>
        </w:tc>
        <w:tc>
          <w:tcPr>
            <w:tcW w:w="1418" w:type="dxa"/>
            <w:vAlign w:val="center"/>
          </w:tcPr>
          <w:p w14:paraId="4950E4E3">
            <w:pPr>
              <w:spacing w:line="400" w:lineRule="exact"/>
              <w:ind w:firstLine="420" w:firstLineChars="200"/>
              <w:rPr>
                <w:rFonts w:ascii="宋体" w:hAnsi="宋体"/>
                <w:color w:val="auto"/>
                <w:szCs w:val="21"/>
              </w:rPr>
            </w:pPr>
          </w:p>
        </w:tc>
        <w:tc>
          <w:tcPr>
            <w:tcW w:w="1134" w:type="dxa"/>
            <w:vAlign w:val="center"/>
          </w:tcPr>
          <w:p w14:paraId="182F8380">
            <w:pPr>
              <w:spacing w:line="400" w:lineRule="exact"/>
              <w:ind w:firstLine="420" w:firstLineChars="200"/>
              <w:rPr>
                <w:rFonts w:ascii="宋体" w:hAnsi="宋体"/>
                <w:color w:val="auto"/>
                <w:szCs w:val="21"/>
              </w:rPr>
            </w:pPr>
          </w:p>
        </w:tc>
        <w:tc>
          <w:tcPr>
            <w:tcW w:w="1134" w:type="dxa"/>
            <w:vAlign w:val="center"/>
          </w:tcPr>
          <w:p w14:paraId="3836EA2D">
            <w:pPr>
              <w:spacing w:line="400" w:lineRule="exact"/>
              <w:ind w:firstLine="420" w:firstLineChars="200"/>
              <w:rPr>
                <w:rFonts w:ascii="宋体" w:hAnsi="宋体"/>
                <w:color w:val="auto"/>
                <w:szCs w:val="21"/>
              </w:rPr>
            </w:pPr>
          </w:p>
        </w:tc>
        <w:tc>
          <w:tcPr>
            <w:tcW w:w="4252" w:type="dxa"/>
            <w:vAlign w:val="center"/>
          </w:tcPr>
          <w:p w14:paraId="380DBD71">
            <w:pPr>
              <w:spacing w:line="400" w:lineRule="exact"/>
              <w:ind w:firstLine="420" w:firstLineChars="200"/>
              <w:rPr>
                <w:rFonts w:ascii="宋体" w:hAnsi="宋体"/>
                <w:color w:val="auto"/>
                <w:szCs w:val="21"/>
              </w:rPr>
            </w:pPr>
          </w:p>
        </w:tc>
      </w:tr>
      <w:tr w14:paraId="61D5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39734A7">
            <w:pPr>
              <w:spacing w:line="400" w:lineRule="exact"/>
              <w:jc w:val="center"/>
              <w:rPr>
                <w:rFonts w:ascii="宋体" w:hAnsi="宋体"/>
                <w:color w:val="auto"/>
                <w:szCs w:val="21"/>
              </w:rPr>
            </w:pPr>
          </w:p>
        </w:tc>
        <w:tc>
          <w:tcPr>
            <w:tcW w:w="1418" w:type="dxa"/>
            <w:vAlign w:val="center"/>
          </w:tcPr>
          <w:p w14:paraId="4F65A8C8">
            <w:pPr>
              <w:spacing w:line="400" w:lineRule="exact"/>
              <w:ind w:firstLine="420" w:firstLineChars="200"/>
              <w:rPr>
                <w:rFonts w:ascii="宋体" w:hAnsi="宋体"/>
                <w:color w:val="auto"/>
                <w:szCs w:val="21"/>
              </w:rPr>
            </w:pPr>
          </w:p>
        </w:tc>
        <w:tc>
          <w:tcPr>
            <w:tcW w:w="1134" w:type="dxa"/>
            <w:vAlign w:val="center"/>
          </w:tcPr>
          <w:p w14:paraId="48C4E5B5">
            <w:pPr>
              <w:spacing w:line="400" w:lineRule="exact"/>
              <w:ind w:firstLine="420" w:firstLineChars="200"/>
              <w:rPr>
                <w:rFonts w:ascii="宋体" w:hAnsi="宋体"/>
                <w:color w:val="auto"/>
                <w:szCs w:val="21"/>
              </w:rPr>
            </w:pPr>
          </w:p>
        </w:tc>
        <w:tc>
          <w:tcPr>
            <w:tcW w:w="1134" w:type="dxa"/>
            <w:vAlign w:val="center"/>
          </w:tcPr>
          <w:p w14:paraId="36A1914D">
            <w:pPr>
              <w:spacing w:line="400" w:lineRule="exact"/>
              <w:ind w:firstLine="420" w:firstLineChars="200"/>
              <w:rPr>
                <w:rFonts w:ascii="宋体" w:hAnsi="宋体"/>
                <w:color w:val="auto"/>
                <w:szCs w:val="21"/>
              </w:rPr>
            </w:pPr>
          </w:p>
        </w:tc>
        <w:tc>
          <w:tcPr>
            <w:tcW w:w="4252" w:type="dxa"/>
            <w:vAlign w:val="center"/>
          </w:tcPr>
          <w:p w14:paraId="3C0A59FD">
            <w:pPr>
              <w:spacing w:line="400" w:lineRule="exact"/>
              <w:ind w:firstLine="420" w:firstLineChars="200"/>
              <w:rPr>
                <w:rFonts w:ascii="宋体" w:hAnsi="宋体"/>
                <w:color w:val="auto"/>
                <w:szCs w:val="21"/>
              </w:rPr>
            </w:pPr>
          </w:p>
        </w:tc>
      </w:tr>
      <w:tr w14:paraId="782D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1EFD797">
            <w:pPr>
              <w:spacing w:line="400" w:lineRule="exact"/>
              <w:rPr>
                <w:rFonts w:ascii="宋体" w:hAnsi="宋体"/>
                <w:color w:val="auto"/>
                <w:szCs w:val="21"/>
              </w:rPr>
            </w:pPr>
            <w:r>
              <w:rPr>
                <w:rFonts w:hint="eastAsia" w:ascii="宋体" w:hAnsi="宋体"/>
                <w:color w:val="auto"/>
                <w:szCs w:val="21"/>
              </w:rPr>
              <w:t>二、现场人员</w:t>
            </w:r>
          </w:p>
        </w:tc>
      </w:tr>
      <w:tr w14:paraId="19AC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C826EB">
            <w:pPr>
              <w:spacing w:line="400" w:lineRule="exact"/>
              <w:jc w:val="center"/>
              <w:rPr>
                <w:rFonts w:ascii="宋体" w:hAnsi="宋体"/>
                <w:color w:val="auto"/>
                <w:szCs w:val="21"/>
              </w:rPr>
            </w:pPr>
            <w:r>
              <w:rPr>
                <w:rFonts w:hint="eastAsia" w:ascii="宋体" w:hAnsi="宋体"/>
                <w:color w:val="auto"/>
                <w:szCs w:val="21"/>
              </w:rPr>
              <w:t>项目经理</w:t>
            </w:r>
          </w:p>
        </w:tc>
        <w:tc>
          <w:tcPr>
            <w:tcW w:w="1418" w:type="dxa"/>
            <w:vAlign w:val="center"/>
          </w:tcPr>
          <w:p w14:paraId="031C256A">
            <w:pPr>
              <w:spacing w:line="400" w:lineRule="exact"/>
              <w:ind w:firstLine="420" w:firstLineChars="200"/>
              <w:rPr>
                <w:rFonts w:ascii="宋体" w:hAnsi="宋体"/>
                <w:color w:val="auto"/>
                <w:szCs w:val="21"/>
              </w:rPr>
            </w:pPr>
          </w:p>
        </w:tc>
        <w:tc>
          <w:tcPr>
            <w:tcW w:w="1134" w:type="dxa"/>
            <w:vAlign w:val="center"/>
          </w:tcPr>
          <w:p w14:paraId="313D4A87">
            <w:pPr>
              <w:spacing w:line="400" w:lineRule="exact"/>
              <w:ind w:firstLine="420" w:firstLineChars="200"/>
              <w:rPr>
                <w:rFonts w:ascii="宋体" w:hAnsi="宋体"/>
                <w:color w:val="auto"/>
                <w:szCs w:val="21"/>
              </w:rPr>
            </w:pPr>
          </w:p>
        </w:tc>
        <w:tc>
          <w:tcPr>
            <w:tcW w:w="1134" w:type="dxa"/>
            <w:vAlign w:val="center"/>
          </w:tcPr>
          <w:p w14:paraId="1C4C1649">
            <w:pPr>
              <w:spacing w:line="400" w:lineRule="exact"/>
              <w:ind w:firstLine="420" w:firstLineChars="200"/>
              <w:rPr>
                <w:rFonts w:ascii="宋体" w:hAnsi="宋体"/>
                <w:color w:val="auto"/>
                <w:szCs w:val="21"/>
              </w:rPr>
            </w:pPr>
          </w:p>
        </w:tc>
        <w:tc>
          <w:tcPr>
            <w:tcW w:w="4252" w:type="dxa"/>
            <w:vAlign w:val="center"/>
          </w:tcPr>
          <w:p w14:paraId="561AEF5D">
            <w:pPr>
              <w:spacing w:line="400" w:lineRule="exact"/>
              <w:ind w:firstLine="420" w:firstLineChars="200"/>
              <w:rPr>
                <w:rFonts w:ascii="宋体" w:hAnsi="宋体"/>
                <w:color w:val="auto"/>
                <w:szCs w:val="21"/>
              </w:rPr>
            </w:pPr>
          </w:p>
        </w:tc>
      </w:tr>
      <w:tr w14:paraId="581A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66A627">
            <w:pPr>
              <w:spacing w:line="400" w:lineRule="exact"/>
              <w:jc w:val="center"/>
              <w:rPr>
                <w:rFonts w:ascii="宋体" w:hAnsi="宋体"/>
                <w:color w:val="auto"/>
                <w:szCs w:val="21"/>
              </w:rPr>
            </w:pPr>
            <w:r>
              <w:rPr>
                <w:rFonts w:hint="eastAsia" w:ascii="宋体" w:hAnsi="宋体"/>
                <w:color w:val="auto"/>
                <w:szCs w:val="21"/>
              </w:rPr>
              <w:t>项目副经理</w:t>
            </w:r>
          </w:p>
        </w:tc>
        <w:tc>
          <w:tcPr>
            <w:tcW w:w="1418" w:type="dxa"/>
            <w:vAlign w:val="center"/>
          </w:tcPr>
          <w:p w14:paraId="5F171464">
            <w:pPr>
              <w:spacing w:line="400" w:lineRule="exact"/>
              <w:ind w:firstLine="420" w:firstLineChars="200"/>
              <w:rPr>
                <w:rFonts w:ascii="宋体" w:hAnsi="宋体"/>
                <w:color w:val="auto"/>
                <w:szCs w:val="21"/>
              </w:rPr>
            </w:pPr>
          </w:p>
        </w:tc>
        <w:tc>
          <w:tcPr>
            <w:tcW w:w="1134" w:type="dxa"/>
            <w:vAlign w:val="center"/>
          </w:tcPr>
          <w:p w14:paraId="0C21228D">
            <w:pPr>
              <w:spacing w:line="400" w:lineRule="exact"/>
              <w:ind w:firstLine="420" w:firstLineChars="200"/>
              <w:rPr>
                <w:rFonts w:ascii="宋体" w:hAnsi="宋体"/>
                <w:color w:val="auto"/>
                <w:szCs w:val="21"/>
              </w:rPr>
            </w:pPr>
          </w:p>
        </w:tc>
        <w:tc>
          <w:tcPr>
            <w:tcW w:w="1134" w:type="dxa"/>
            <w:vAlign w:val="center"/>
          </w:tcPr>
          <w:p w14:paraId="7BA2C7DD">
            <w:pPr>
              <w:spacing w:line="400" w:lineRule="exact"/>
              <w:ind w:firstLine="420" w:firstLineChars="200"/>
              <w:rPr>
                <w:rFonts w:ascii="宋体" w:hAnsi="宋体"/>
                <w:color w:val="auto"/>
                <w:szCs w:val="21"/>
              </w:rPr>
            </w:pPr>
          </w:p>
        </w:tc>
        <w:tc>
          <w:tcPr>
            <w:tcW w:w="4252" w:type="dxa"/>
            <w:vAlign w:val="center"/>
          </w:tcPr>
          <w:p w14:paraId="0746D052">
            <w:pPr>
              <w:spacing w:line="400" w:lineRule="exact"/>
              <w:ind w:firstLine="420" w:firstLineChars="200"/>
              <w:rPr>
                <w:rFonts w:ascii="宋体" w:hAnsi="宋体"/>
                <w:color w:val="auto"/>
                <w:szCs w:val="21"/>
              </w:rPr>
            </w:pPr>
          </w:p>
        </w:tc>
      </w:tr>
      <w:tr w14:paraId="697B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066E8A3">
            <w:pPr>
              <w:spacing w:line="400" w:lineRule="exact"/>
              <w:jc w:val="center"/>
              <w:rPr>
                <w:rFonts w:ascii="宋体" w:hAnsi="宋体"/>
                <w:color w:val="auto"/>
                <w:szCs w:val="21"/>
              </w:rPr>
            </w:pPr>
            <w:r>
              <w:rPr>
                <w:rFonts w:hint="eastAsia" w:ascii="宋体" w:hAnsi="宋体"/>
                <w:color w:val="auto"/>
                <w:szCs w:val="21"/>
              </w:rPr>
              <w:t>技术负责人</w:t>
            </w:r>
          </w:p>
        </w:tc>
        <w:tc>
          <w:tcPr>
            <w:tcW w:w="1418" w:type="dxa"/>
            <w:vAlign w:val="center"/>
          </w:tcPr>
          <w:p w14:paraId="1C9CCF83">
            <w:pPr>
              <w:spacing w:line="400" w:lineRule="exact"/>
              <w:ind w:firstLine="420" w:firstLineChars="200"/>
              <w:rPr>
                <w:rFonts w:ascii="宋体" w:hAnsi="宋体"/>
                <w:color w:val="auto"/>
                <w:szCs w:val="21"/>
              </w:rPr>
            </w:pPr>
          </w:p>
        </w:tc>
        <w:tc>
          <w:tcPr>
            <w:tcW w:w="1134" w:type="dxa"/>
            <w:vAlign w:val="center"/>
          </w:tcPr>
          <w:p w14:paraId="79F235D3">
            <w:pPr>
              <w:spacing w:line="400" w:lineRule="exact"/>
              <w:ind w:firstLine="420" w:firstLineChars="200"/>
              <w:rPr>
                <w:rFonts w:ascii="宋体" w:hAnsi="宋体"/>
                <w:color w:val="auto"/>
                <w:szCs w:val="21"/>
              </w:rPr>
            </w:pPr>
          </w:p>
        </w:tc>
        <w:tc>
          <w:tcPr>
            <w:tcW w:w="1134" w:type="dxa"/>
            <w:vAlign w:val="center"/>
          </w:tcPr>
          <w:p w14:paraId="305DAA3A">
            <w:pPr>
              <w:spacing w:line="400" w:lineRule="exact"/>
              <w:ind w:firstLine="420" w:firstLineChars="200"/>
              <w:rPr>
                <w:rFonts w:ascii="宋体" w:hAnsi="宋体"/>
                <w:color w:val="auto"/>
                <w:szCs w:val="21"/>
              </w:rPr>
            </w:pPr>
          </w:p>
        </w:tc>
        <w:tc>
          <w:tcPr>
            <w:tcW w:w="4252" w:type="dxa"/>
            <w:vAlign w:val="center"/>
          </w:tcPr>
          <w:p w14:paraId="1BE25EDF">
            <w:pPr>
              <w:spacing w:line="400" w:lineRule="exact"/>
              <w:ind w:firstLine="420" w:firstLineChars="200"/>
              <w:rPr>
                <w:rFonts w:ascii="宋体" w:hAnsi="宋体"/>
                <w:color w:val="auto"/>
                <w:szCs w:val="21"/>
              </w:rPr>
            </w:pPr>
          </w:p>
        </w:tc>
      </w:tr>
      <w:tr w14:paraId="5632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C54521">
            <w:pPr>
              <w:spacing w:line="400" w:lineRule="exact"/>
              <w:jc w:val="center"/>
              <w:rPr>
                <w:rFonts w:ascii="宋体" w:hAnsi="宋体"/>
                <w:color w:val="auto"/>
                <w:szCs w:val="21"/>
              </w:rPr>
            </w:pPr>
            <w:r>
              <w:rPr>
                <w:rFonts w:hint="eastAsia" w:ascii="宋体" w:hAnsi="宋体"/>
                <w:color w:val="auto"/>
                <w:szCs w:val="21"/>
              </w:rPr>
              <w:t>造价管理</w:t>
            </w:r>
          </w:p>
        </w:tc>
        <w:tc>
          <w:tcPr>
            <w:tcW w:w="1418" w:type="dxa"/>
            <w:vAlign w:val="center"/>
          </w:tcPr>
          <w:p w14:paraId="683C7308">
            <w:pPr>
              <w:spacing w:line="400" w:lineRule="exact"/>
              <w:ind w:firstLine="420" w:firstLineChars="200"/>
              <w:rPr>
                <w:rFonts w:ascii="宋体" w:hAnsi="宋体"/>
                <w:color w:val="auto"/>
                <w:szCs w:val="21"/>
              </w:rPr>
            </w:pPr>
          </w:p>
        </w:tc>
        <w:tc>
          <w:tcPr>
            <w:tcW w:w="1134" w:type="dxa"/>
            <w:vAlign w:val="center"/>
          </w:tcPr>
          <w:p w14:paraId="04B136D1">
            <w:pPr>
              <w:spacing w:line="400" w:lineRule="exact"/>
              <w:ind w:firstLine="420" w:firstLineChars="200"/>
              <w:rPr>
                <w:rFonts w:ascii="宋体" w:hAnsi="宋体"/>
                <w:color w:val="auto"/>
                <w:szCs w:val="21"/>
              </w:rPr>
            </w:pPr>
          </w:p>
        </w:tc>
        <w:tc>
          <w:tcPr>
            <w:tcW w:w="1134" w:type="dxa"/>
            <w:vAlign w:val="center"/>
          </w:tcPr>
          <w:p w14:paraId="339F168C">
            <w:pPr>
              <w:spacing w:line="400" w:lineRule="exact"/>
              <w:ind w:firstLine="420" w:firstLineChars="200"/>
              <w:rPr>
                <w:rFonts w:ascii="宋体" w:hAnsi="宋体"/>
                <w:color w:val="auto"/>
                <w:szCs w:val="21"/>
              </w:rPr>
            </w:pPr>
          </w:p>
        </w:tc>
        <w:tc>
          <w:tcPr>
            <w:tcW w:w="4252" w:type="dxa"/>
            <w:vAlign w:val="center"/>
          </w:tcPr>
          <w:p w14:paraId="555077E2">
            <w:pPr>
              <w:spacing w:line="400" w:lineRule="exact"/>
              <w:ind w:firstLine="420" w:firstLineChars="200"/>
              <w:rPr>
                <w:rFonts w:ascii="宋体" w:hAnsi="宋体"/>
                <w:color w:val="auto"/>
                <w:szCs w:val="21"/>
              </w:rPr>
            </w:pPr>
          </w:p>
        </w:tc>
      </w:tr>
      <w:tr w14:paraId="1F48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112AC5">
            <w:pPr>
              <w:spacing w:line="400" w:lineRule="exact"/>
              <w:jc w:val="center"/>
              <w:rPr>
                <w:rFonts w:ascii="宋体" w:hAnsi="宋体"/>
                <w:color w:val="auto"/>
                <w:szCs w:val="21"/>
              </w:rPr>
            </w:pPr>
            <w:r>
              <w:rPr>
                <w:rFonts w:hint="eastAsia" w:ascii="宋体" w:hAnsi="宋体"/>
                <w:color w:val="auto"/>
                <w:szCs w:val="21"/>
              </w:rPr>
              <w:t>质量管理</w:t>
            </w:r>
          </w:p>
        </w:tc>
        <w:tc>
          <w:tcPr>
            <w:tcW w:w="1418" w:type="dxa"/>
            <w:vAlign w:val="center"/>
          </w:tcPr>
          <w:p w14:paraId="2249E4D0">
            <w:pPr>
              <w:spacing w:line="400" w:lineRule="exact"/>
              <w:ind w:firstLine="420" w:firstLineChars="200"/>
              <w:rPr>
                <w:rFonts w:ascii="宋体" w:hAnsi="宋体"/>
                <w:color w:val="auto"/>
                <w:szCs w:val="21"/>
              </w:rPr>
            </w:pPr>
          </w:p>
        </w:tc>
        <w:tc>
          <w:tcPr>
            <w:tcW w:w="1134" w:type="dxa"/>
            <w:vAlign w:val="center"/>
          </w:tcPr>
          <w:p w14:paraId="1168ED02">
            <w:pPr>
              <w:spacing w:line="400" w:lineRule="exact"/>
              <w:ind w:firstLine="420" w:firstLineChars="200"/>
              <w:rPr>
                <w:rFonts w:ascii="宋体" w:hAnsi="宋体"/>
                <w:color w:val="auto"/>
                <w:szCs w:val="21"/>
              </w:rPr>
            </w:pPr>
          </w:p>
        </w:tc>
        <w:tc>
          <w:tcPr>
            <w:tcW w:w="1134" w:type="dxa"/>
            <w:vAlign w:val="center"/>
          </w:tcPr>
          <w:p w14:paraId="3BA6CFB9">
            <w:pPr>
              <w:spacing w:line="400" w:lineRule="exact"/>
              <w:ind w:firstLine="420" w:firstLineChars="200"/>
              <w:rPr>
                <w:rFonts w:ascii="宋体" w:hAnsi="宋体"/>
                <w:color w:val="auto"/>
                <w:szCs w:val="21"/>
              </w:rPr>
            </w:pPr>
          </w:p>
        </w:tc>
        <w:tc>
          <w:tcPr>
            <w:tcW w:w="4252" w:type="dxa"/>
            <w:vAlign w:val="center"/>
          </w:tcPr>
          <w:p w14:paraId="36F4AC47">
            <w:pPr>
              <w:spacing w:line="400" w:lineRule="exact"/>
              <w:ind w:firstLine="420" w:firstLineChars="200"/>
              <w:rPr>
                <w:rFonts w:ascii="宋体" w:hAnsi="宋体"/>
                <w:color w:val="auto"/>
                <w:szCs w:val="21"/>
              </w:rPr>
            </w:pPr>
          </w:p>
        </w:tc>
      </w:tr>
      <w:tr w14:paraId="5446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ED9611A">
            <w:pPr>
              <w:spacing w:line="400" w:lineRule="exact"/>
              <w:jc w:val="center"/>
              <w:rPr>
                <w:rFonts w:ascii="宋体" w:hAnsi="宋体"/>
                <w:color w:val="auto"/>
                <w:szCs w:val="21"/>
              </w:rPr>
            </w:pPr>
            <w:r>
              <w:rPr>
                <w:rFonts w:hint="eastAsia" w:ascii="宋体" w:hAnsi="宋体"/>
                <w:color w:val="auto"/>
                <w:szCs w:val="21"/>
              </w:rPr>
              <w:t>材料管理</w:t>
            </w:r>
          </w:p>
        </w:tc>
        <w:tc>
          <w:tcPr>
            <w:tcW w:w="1418" w:type="dxa"/>
            <w:vAlign w:val="center"/>
          </w:tcPr>
          <w:p w14:paraId="76E5E316">
            <w:pPr>
              <w:spacing w:line="400" w:lineRule="exact"/>
              <w:ind w:firstLine="420" w:firstLineChars="200"/>
              <w:rPr>
                <w:rFonts w:ascii="宋体" w:hAnsi="宋体"/>
                <w:color w:val="auto"/>
                <w:szCs w:val="21"/>
              </w:rPr>
            </w:pPr>
          </w:p>
        </w:tc>
        <w:tc>
          <w:tcPr>
            <w:tcW w:w="1134" w:type="dxa"/>
            <w:vAlign w:val="center"/>
          </w:tcPr>
          <w:p w14:paraId="2FA8BE2B">
            <w:pPr>
              <w:spacing w:line="400" w:lineRule="exact"/>
              <w:ind w:firstLine="420" w:firstLineChars="200"/>
              <w:rPr>
                <w:rFonts w:ascii="宋体" w:hAnsi="宋体"/>
                <w:color w:val="auto"/>
                <w:szCs w:val="21"/>
              </w:rPr>
            </w:pPr>
          </w:p>
        </w:tc>
        <w:tc>
          <w:tcPr>
            <w:tcW w:w="1134" w:type="dxa"/>
            <w:vAlign w:val="center"/>
          </w:tcPr>
          <w:p w14:paraId="6DF12250">
            <w:pPr>
              <w:spacing w:line="400" w:lineRule="exact"/>
              <w:ind w:firstLine="420" w:firstLineChars="200"/>
              <w:rPr>
                <w:rFonts w:ascii="宋体" w:hAnsi="宋体"/>
                <w:color w:val="auto"/>
                <w:szCs w:val="21"/>
              </w:rPr>
            </w:pPr>
          </w:p>
        </w:tc>
        <w:tc>
          <w:tcPr>
            <w:tcW w:w="4252" w:type="dxa"/>
            <w:vAlign w:val="center"/>
          </w:tcPr>
          <w:p w14:paraId="4102AE6F">
            <w:pPr>
              <w:spacing w:line="400" w:lineRule="exact"/>
              <w:ind w:firstLine="420" w:firstLineChars="200"/>
              <w:rPr>
                <w:rFonts w:ascii="宋体" w:hAnsi="宋体"/>
                <w:color w:val="auto"/>
                <w:szCs w:val="21"/>
              </w:rPr>
            </w:pPr>
          </w:p>
        </w:tc>
      </w:tr>
      <w:tr w14:paraId="4690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E071DD">
            <w:pPr>
              <w:spacing w:line="400" w:lineRule="exact"/>
              <w:jc w:val="center"/>
              <w:rPr>
                <w:rFonts w:ascii="宋体" w:hAnsi="宋体"/>
                <w:color w:val="auto"/>
                <w:szCs w:val="21"/>
              </w:rPr>
            </w:pPr>
            <w:r>
              <w:rPr>
                <w:rFonts w:hint="eastAsia" w:ascii="宋体" w:hAnsi="宋体"/>
                <w:color w:val="auto"/>
                <w:szCs w:val="21"/>
              </w:rPr>
              <w:t>计划管理</w:t>
            </w:r>
          </w:p>
        </w:tc>
        <w:tc>
          <w:tcPr>
            <w:tcW w:w="1418" w:type="dxa"/>
            <w:vAlign w:val="center"/>
          </w:tcPr>
          <w:p w14:paraId="728CA92F">
            <w:pPr>
              <w:spacing w:line="400" w:lineRule="exact"/>
              <w:ind w:firstLine="420" w:firstLineChars="200"/>
              <w:rPr>
                <w:rFonts w:ascii="宋体" w:hAnsi="宋体"/>
                <w:color w:val="auto"/>
                <w:szCs w:val="21"/>
              </w:rPr>
            </w:pPr>
          </w:p>
        </w:tc>
        <w:tc>
          <w:tcPr>
            <w:tcW w:w="1134" w:type="dxa"/>
            <w:vAlign w:val="center"/>
          </w:tcPr>
          <w:p w14:paraId="7A1F854E">
            <w:pPr>
              <w:spacing w:line="400" w:lineRule="exact"/>
              <w:ind w:firstLine="420" w:firstLineChars="200"/>
              <w:rPr>
                <w:rFonts w:ascii="宋体" w:hAnsi="宋体"/>
                <w:color w:val="auto"/>
                <w:szCs w:val="21"/>
              </w:rPr>
            </w:pPr>
          </w:p>
        </w:tc>
        <w:tc>
          <w:tcPr>
            <w:tcW w:w="1134" w:type="dxa"/>
            <w:vAlign w:val="center"/>
          </w:tcPr>
          <w:p w14:paraId="497785D8">
            <w:pPr>
              <w:spacing w:line="400" w:lineRule="exact"/>
              <w:ind w:firstLine="420" w:firstLineChars="200"/>
              <w:rPr>
                <w:rFonts w:ascii="宋体" w:hAnsi="宋体"/>
                <w:color w:val="auto"/>
                <w:szCs w:val="21"/>
              </w:rPr>
            </w:pPr>
          </w:p>
        </w:tc>
        <w:tc>
          <w:tcPr>
            <w:tcW w:w="4252" w:type="dxa"/>
            <w:vAlign w:val="center"/>
          </w:tcPr>
          <w:p w14:paraId="4A605799">
            <w:pPr>
              <w:spacing w:line="400" w:lineRule="exact"/>
              <w:ind w:firstLine="420" w:firstLineChars="200"/>
              <w:rPr>
                <w:rFonts w:ascii="宋体" w:hAnsi="宋体"/>
                <w:color w:val="auto"/>
                <w:szCs w:val="21"/>
              </w:rPr>
            </w:pPr>
          </w:p>
        </w:tc>
      </w:tr>
      <w:tr w14:paraId="6B76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4F6A6A">
            <w:pPr>
              <w:spacing w:line="400" w:lineRule="exact"/>
              <w:jc w:val="center"/>
              <w:rPr>
                <w:rFonts w:ascii="宋体" w:hAnsi="宋体"/>
                <w:color w:val="auto"/>
                <w:szCs w:val="21"/>
              </w:rPr>
            </w:pPr>
            <w:r>
              <w:rPr>
                <w:rFonts w:hint="eastAsia" w:ascii="宋体" w:hAnsi="宋体"/>
                <w:color w:val="auto"/>
                <w:szCs w:val="21"/>
              </w:rPr>
              <w:t>安全管理</w:t>
            </w:r>
          </w:p>
        </w:tc>
        <w:tc>
          <w:tcPr>
            <w:tcW w:w="1418" w:type="dxa"/>
            <w:vAlign w:val="center"/>
          </w:tcPr>
          <w:p w14:paraId="732F0271">
            <w:pPr>
              <w:spacing w:line="400" w:lineRule="exact"/>
              <w:ind w:firstLine="420" w:firstLineChars="200"/>
              <w:rPr>
                <w:rFonts w:ascii="宋体" w:hAnsi="宋体"/>
                <w:color w:val="auto"/>
                <w:szCs w:val="21"/>
              </w:rPr>
            </w:pPr>
          </w:p>
        </w:tc>
        <w:tc>
          <w:tcPr>
            <w:tcW w:w="1134" w:type="dxa"/>
            <w:vAlign w:val="center"/>
          </w:tcPr>
          <w:p w14:paraId="67094713">
            <w:pPr>
              <w:spacing w:line="400" w:lineRule="exact"/>
              <w:ind w:firstLine="420" w:firstLineChars="200"/>
              <w:rPr>
                <w:rFonts w:ascii="宋体" w:hAnsi="宋体"/>
                <w:color w:val="auto"/>
                <w:szCs w:val="21"/>
              </w:rPr>
            </w:pPr>
          </w:p>
        </w:tc>
        <w:tc>
          <w:tcPr>
            <w:tcW w:w="1134" w:type="dxa"/>
            <w:vAlign w:val="center"/>
          </w:tcPr>
          <w:p w14:paraId="175E5DB5">
            <w:pPr>
              <w:spacing w:line="400" w:lineRule="exact"/>
              <w:ind w:firstLine="420" w:firstLineChars="200"/>
              <w:rPr>
                <w:rFonts w:ascii="宋体" w:hAnsi="宋体"/>
                <w:color w:val="auto"/>
                <w:szCs w:val="21"/>
              </w:rPr>
            </w:pPr>
          </w:p>
        </w:tc>
        <w:tc>
          <w:tcPr>
            <w:tcW w:w="4252" w:type="dxa"/>
            <w:vAlign w:val="center"/>
          </w:tcPr>
          <w:p w14:paraId="297482E5">
            <w:pPr>
              <w:spacing w:line="400" w:lineRule="exact"/>
              <w:ind w:firstLine="420" w:firstLineChars="200"/>
              <w:rPr>
                <w:rFonts w:ascii="宋体" w:hAnsi="宋体"/>
                <w:color w:val="auto"/>
                <w:szCs w:val="21"/>
              </w:rPr>
            </w:pPr>
          </w:p>
        </w:tc>
      </w:tr>
      <w:tr w14:paraId="3FB1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EC8CF4E">
            <w:pPr>
              <w:spacing w:line="400" w:lineRule="exact"/>
              <w:jc w:val="center"/>
              <w:rPr>
                <w:rFonts w:ascii="宋体" w:hAnsi="宋体"/>
                <w:color w:val="auto"/>
                <w:szCs w:val="21"/>
              </w:rPr>
            </w:pPr>
            <w:r>
              <w:rPr>
                <w:rFonts w:hint="eastAsia" w:ascii="宋体" w:hAnsi="宋体"/>
                <w:color w:val="auto"/>
                <w:szCs w:val="21"/>
              </w:rPr>
              <w:t>其他人员</w:t>
            </w:r>
          </w:p>
        </w:tc>
        <w:tc>
          <w:tcPr>
            <w:tcW w:w="1418" w:type="dxa"/>
            <w:vAlign w:val="center"/>
          </w:tcPr>
          <w:p w14:paraId="6FC95F73">
            <w:pPr>
              <w:spacing w:line="400" w:lineRule="exact"/>
              <w:ind w:firstLine="420" w:firstLineChars="200"/>
              <w:rPr>
                <w:rFonts w:ascii="宋体" w:hAnsi="宋体"/>
                <w:color w:val="auto"/>
                <w:szCs w:val="21"/>
              </w:rPr>
            </w:pPr>
          </w:p>
        </w:tc>
        <w:tc>
          <w:tcPr>
            <w:tcW w:w="1134" w:type="dxa"/>
            <w:vAlign w:val="center"/>
          </w:tcPr>
          <w:p w14:paraId="36DFEB3B">
            <w:pPr>
              <w:spacing w:line="400" w:lineRule="exact"/>
              <w:ind w:firstLine="420" w:firstLineChars="200"/>
              <w:rPr>
                <w:rFonts w:ascii="宋体" w:hAnsi="宋体"/>
                <w:color w:val="auto"/>
                <w:szCs w:val="21"/>
              </w:rPr>
            </w:pPr>
          </w:p>
        </w:tc>
        <w:tc>
          <w:tcPr>
            <w:tcW w:w="1134" w:type="dxa"/>
            <w:vAlign w:val="center"/>
          </w:tcPr>
          <w:p w14:paraId="0310CF3A">
            <w:pPr>
              <w:spacing w:line="400" w:lineRule="exact"/>
              <w:ind w:firstLine="420" w:firstLineChars="200"/>
              <w:rPr>
                <w:rFonts w:ascii="宋体" w:hAnsi="宋体"/>
                <w:color w:val="auto"/>
                <w:szCs w:val="21"/>
              </w:rPr>
            </w:pPr>
          </w:p>
        </w:tc>
        <w:tc>
          <w:tcPr>
            <w:tcW w:w="4252" w:type="dxa"/>
            <w:vAlign w:val="center"/>
          </w:tcPr>
          <w:p w14:paraId="0EC24809">
            <w:pPr>
              <w:spacing w:line="400" w:lineRule="exact"/>
              <w:ind w:firstLine="420" w:firstLineChars="200"/>
              <w:rPr>
                <w:rFonts w:ascii="宋体" w:hAnsi="宋体"/>
                <w:color w:val="auto"/>
                <w:szCs w:val="21"/>
              </w:rPr>
            </w:pPr>
          </w:p>
        </w:tc>
      </w:tr>
      <w:tr w14:paraId="5A21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AB268F9">
            <w:pPr>
              <w:spacing w:line="400" w:lineRule="exact"/>
              <w:ind w:firstLine="420" w:firstLineChars="200"/>
              <w:rPr>
                <w:rFonts w:ascii="宋体" w:hAnsi="宋体"/>
                <w:color w:val="auto"/>
                <w:szCs w:val="21"/>
              </w:rPr>
            </w:pPr>
          </w:p>
        </w:tc>
        <w:tc>
          <w:tcPr>
            <w:tcW w:w="1418" w:type="dxa"/>
            <w:vAlign w:val="center"/>
          </w:tcPr>
          <w:p w14:paraId="024D8F8F">
            <w:pPr>
              <w:spacing w:line="400" w:lineRule="exact"/>
              <w:ind w:firstLine="420" w:firstLineChars="200"/>
              <w:rPr>
                <w:rFonts w:ascii="宋体" w:hAnsi="宋体"/>
                <w:color w:val="auto"/>
                <w:szCs w:val="21"/>
              </w:rPr>
            </w:pPr>
          </w:p>
        </w:tc>
        <w:tc>
          <w:tcPr>
            <w:tcW w:w="1134" w:type="dxa"/>
            <w:vAlign w:val="center"/>
          </w:tcPr>
          <w:p w14:paraId="42EE44F8">
            <w:pPr>
              <w:spacing w:line="400" w:lineRule="exact"/>
              <w:ind w:firstLine="420" w:firstLineChars="200"/>
              <w:rPr>
                <w:rFonts w:ascii="宋体" w:hAnsi="宋体"/>
                <w:color w:val="auto"/>
                <w:szCs w:val="21"/>
              </w:rPr>
            </w:pPr>
          </w:p>
        </w:tc>
        <w:tc>
          <w:tcPr>
            <w:tcW w:w="1134" w:type="dxa"/>
            <w:vAlign w:val="center"/>
          </w:tcPr>
          <w:p w14:paraId="512F26EE">
            <w:pPr>
              <w:spacing w:line="400" w:lineRule="exact"/>
              <w:ind w:firstLine="420" w:firstLineChars="200"/>
              <w:rPr>
                <w:rFonts w:ascii="宋体" w:hAnsi="宋体"/>
                <w:color w:val="auto"/>
                <w:szCs w:val="21"/>
              </w:rPr>
            </w:pPr>
          </w:p>
        </w:tc>
        <w:tc>
          <w:tcPr>
            <w:tcW w:w="4252" w:type="dxa"/>
            <w:vAlign w:val="center"/>
          </w:tcPr>
          <w:p w14:paraId="451039EC">
            <w:pPr>
              <w:spacing w:line="400" w:lineRule="exact"/>
              <w:ind w:firstLine="420" w:firstLineChars="200"/>
              <w:rPr>
                <w:rFonts w:ascii="宋体" w:hAnsi="宋体"/>
                <w:color w:val="auto"/>
                <w:szCs w:val="21"/>
              </w:rPr>
            </w:pPr>
          </w:p>
        </w:tc>
      </w:tr>
      <w:tr w14:paraId="22FE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B476435">
            <w:pPr>
              <w:spacing w:line="400" w:lineRule="exact"/>
              <w:ind w:firstLine="420" w:firstLineChars="200"/>
              <w:rPr>
                <w:rFonts w:ascii="宋体" w:hAnsi="宋体"/>
                <w:color w:val="auto"/>
                <w:szCs w:val="21"/>
              </w:rPr>
            </w:pPr>
          </w:p>
        </w:tc>
        <w:tc>
          <w:tcPr>
            <w:tcW w:w="1418" w:type="dxa"/>
            <w:vAlign w:val="center"/>
          </w:tcPr>
          <w:p w14:paraId="09DD9C84">
            <w:pPr>
              <w:spacing w:line="400" w:lineRule="exact"/>
              <w:ind w:firstLine="420" w:firstLineChars="200"/>
              <w:rPr>
                <w:rFonts w:ascii="宋体" w:hAnsi="宋体"/>
                <w:color w:val="auto"/>
                <w:szCs w:val="21"/>
              </w:rPr>
            </w:pPr>
          </w:p>
        </w:tc>
        <w:tc>
          <w:tcPr>
            <w:tcW w:w="1134" w:type="dxa"/>
            <w:vAlign w:val="center"/>
          </w:tcPr>
          <w:p w14:paraId="40200893">
            <w:pPr>
              <w:spacing w:line="400" w:lineRule="exact"/>
              <w:ind w:firstLine="420" w:firstLineChars="200"/>
              <w:rPr>
                <w:rFonts w:ascii="宋体" w:hAnsi="宋体"/>
                <w:color w:val="auto"/>
                <w:szCs w:val="21"/>
              </w:rPr>
            </w:pPr>
          </w:p>
        </w:tc>
        <w:tc>
          <w:tcPr>
            <w:tcW w:w="1134" w:type="dxa"/>
            <w:vAlign w:val="center"/>
          </w:tcPr>
          <w:p w14:paraId="54B3E0D0">
            <w:pPr>
              <w:spacing w:line="400" w:lineRule="exact"/>
              <w:ind w:firstLine="420" w:firstLineChars="200"/>
              <w:rPr>
                <w:rFonts w:ascii="宋体" w:hAnsi="宋体"/>
                <w:color w:val="auto"/>
                <w:szCs w:val="21"/>
              </w:rPr>
            </w:pPr>
          </w:p>
        </w:tc>
        <w:tc>
          <w:tcPr>
            <w:tcW w:w="4252" w:type="dxa"/>
            <w:vAlign w:val="center"/>
          </w:tcPr>
          <w:p w14:paraId="264F8E55">
            <w:pPr>
              <w:spacing w:line="400" w:lineRule="exact"/>
              <w:ind w:firstLine="420" w:firstLineChars="200"/>
              <w:rPr>
                <w:rFonts w:ascii="宋体" w:hAnsi="宋体"/>
                <w:color w:val="auto"/>
                <w:szCs w:val="21"/>
              </w:rPr>
            </w:pPr>
          </w:p>
        </w:tc>
      </w:tr>
      <w:tr w14:paraId="3B69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68904DC0">
            <w:pPr>
              <w:spacing w:line="400" w:lineRule="exact"/>
              <w:ind w:firstLine="420" w:firstLineChars="200"/>
              <w:rPr>
                <w:rFonts w:ascii="宋体" w:hAnsi="宋体"/>
                <w:color w:val="auto"/>
                <w:szCs w:val="21"/>
              </w:rPr>
            </w:pPr>
          </w:p>
        </w:tc>
        <w:tc>
          <w:tcPr>
            <w:tcW w:w="1418" w:type="dxa"/>
            <w:vAlign w:val="center"/>
          </w:tcPr>
          <w:p w14:paraId="15955D2C">
            <w:pPr>
              <w:spacing w:line="400" w:lineRule="exact"/>
              <w:ind w:firstLine="420" w:firstLineChars="200"/>
              <w:rPr>
                <w:rFonts w:ascii="宋体" w:hAnsi="宋体"/>
                <w:color w:val="auto"/>
                <w:szCs w:val="21"/>
              </w:rPr>
            </w:pPr>
          </w:p>
        </w:tc>
        <w:tc>
          <w:tcPr>
            <w:tcW w:w="1134" w:type="dxa"/>
            <w:vAlign w:val="center"/>
          </w:tcPr>
          <w:p w14:paraId="551FA528">
            <w:pPr>
              <w:spacing w:line="400" w:lineRule="exact"/>
              <w:ind w:firstLine="420" w:firstLineChars="200"/>
              <w:rPr>
                <w:rFonts w:ascii="宋体" w:hAnsi="宋体"/>
                <w:color w:val="auto"/>
                <w:szCs w:val="21"/>
              </w:rPr>
            </w:pPr>
          </w:p>
        </w:tc>
        <w:tc>
          <w:tcPr>
            <w:tcW w:w="1134" w:type="dxa"/>
            <w:vAlign w:val="center"/>
          </w:tcPr>
          <w:p w14:paraId="38A8C1B9">
            <w:pPr>
              <w:spacing w:line="400" w:lineRule="exact"/>
              <w:ind w:firstLine="420" w:firstLineChars="200"/>
              <w:rPr>
                <w:rFonts w:ascii="宋体" w:hAnsi="宋体"/>
                <w:color w:val="auto"/>
                <w:szCs w:val="21"/>
              </w:rPr>
            </w:pPr>
          </w:p>
        </w:tc>
        <w:tc>
          <w:tcPr>
            <w:tcW w:w="4252" w:type="dxa"/>
            <w:vAlign w:val="center"/>
          </w:tcPr>
          <w:p w14:paraId="162D5CB7">
            <w:pPr>
              <w:spacing w:line="400" w:lineRule="exact"/>
              <w:ind w:firstLine="420" w:firstLineChars="200"/>
              <w:rPr>
                <w:rFonts w:ascii="宋体" w:hAnsi="宋体"/>
                <w:color w:val="auto"/>
                <w:szCs w:val="21"/>
              </w:rPr>
            </w:pPr>
          </w:p>
        </w:tc>
      </w:tr>
      <w:tr w14:paraId="3FC2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6D47D2E6">
            <w:pPr>
              <w:spacing w:line="400" w:lineRule="exact"/>
              <w:ind w:firstLine="420" w:firstLineChars="200"/>
              <w:rPr>
                <w:rFonts w:ascii="宋体" w:hAnsi="宋体"/>
                <w:color w:val="auto"/>
                <w:szCs w:val="21"/>
              </w:rPr>
            </w:pPr>
          </w:p>
        </w:tc>
        <w:tc>
          <w:tcPr>
            <w:tcW w:w="1418" w:type="dxa"/>
            <w:vAlign w:val="center"/>
          </w:tcPr>
          <w:p w14:paraId="04979EC4">
            <w:pPr>
              <w:spacing w:line="400" w:lineRule="exact"/>
              <w:ind w:firstLine="420" w:firstLineChars="200"/>
              <w:rPr>
                <w:rFonts w:ascii="宋体" w:hAnsi="宋体"/>
                <w:color w:val="auto"/>
                <w:szCs w:val="21"/>
              </w:rPr>
            </w:pPr>
          </w:p>
        </w:tc>
        <w:tc>
          <w:tcPr>
            <w:tcW w:w="1134" w:type="dxa"/>
            <w:vAlign w:val="center"/>
          </w:tcPr>
          <w:p w14:paraId="65ED880D">
            <w:pPr>
              <w:spacing w:line="400" w:lineRule="exact"/>
              <w:ind w:firstLine="420" w:firstLineChars="200"/>
              <w:rPr>
                <w:rFonts w:ascii="宋体" w:hAnsi="宋体"/>
                <w:color w:val="auto"/>
                <w:szCs w:val="21"/>
              </w:rPr>
            </w:pPr>
          </w:p>
        </w:tc>
        <w:tc>
          <w:tcPr>
            <w:tcW w:w="1134" w:type="dxa"/>
            <w:vAlign w:val="center"/>
          </w:tcPr>
          <w:p w14:paraId="0C75F61C">
            <w:pPr>
              <w:spacing w:line="400" w:lineRule="exact"/>
              <w:ind w:firstLine="420" w:firstLineChars="200"/>
              <w:rPr>
                <w:rFonts w:ascii="宋体" w:hAnsi="宋体"/>
                <w:color w:val="auto"/>
                <w:szCs w:val="21"/>
              </w:rPr>
            </w:pPr>
          </w:p>
        </w:tc>
        <w:tc>
          <w:tcPr>
            <w:tcW w:w="4252" w:type="dxa"/>
            <w:vAlign w:val="center"/>
          </w:tcPr>
          <w:p w14:paraId="06CCDC35">
            <w:pPr>
              <w:spacing w:line="400" w:lineRule="exact"/>
              <w:ind w:firstLine="420" w:firstLineChars="200"/>
              <w:rPr>
                <w:rFonts w:ascii="宋体" w:hAnsi="宋体"/>
                <w:color w:val="auto"/>
                <w:szCs w:val="21"/>
              </w:rPr>
            </w:pPr>
          </w:p>
        </w:tc>
      </w:tr>
    </w:tbl>
    <w:p w14:paraId="071F67A3">
      <w:pPr>
        <w:spacing w:line="480" w:lineRule="auto"/>
        <w:rPr>
          <w:rFonts w:ascii="宋体" w:hAnsi="宋体"/>
          <w:color w:val="auto"/>
          <w:szCs w:val="21"/>
        </w:rPr>
      </w:pPr>
      <w:r>
        <w:rPr>
          <w:rFonts w:hint="eastAsia" w:ascii="宋体" w:hAnsi="宋体"/>
          <w:color w:val="auto"/>
          <w:szCs w:val="21"/>
        </w:rPr>
        <w:br w:type="page"/>
      </w:r>
      <w:bookmarkStart w:id="1789" w:name="_Toc267261701"/>
      <w:r>
        <w:rPr>
          <w:rFonts w:hint="eastAsia" w:ascii="宋体" w:hAnsi="宋体"/>
          <w:color w:val="auto"/>
          <w:szCs w:val="21"/>
        </w:rPr>
        <w:t>附</w:t>
      </w:r>
      <w:bookmarkStart w:id="1790" w:name="_Toc296347230"/>
      <w:bookmarkStart w:id="1791" w:name="_Toc296346732"/>
      <w:bookmarkStart w:id="1792" w:name="_Toc296944570"/>
      <w:bookmarkStart w:id="1793" w:name="_Toc296503231"/>
      <w:bookmarkStart w:id="1794" w:name="_Toc296891271"/>
      <w:bookmarkStart w:id="1795" w:name="_Toc296891059"/>
      <w:r>
        <w:rPr>
          <w:rFonts w:hint="eastAsia" w:ascii="宋体" w:hAnsi="宋体"/>
          <w:color w:val="auto"/>
          <w:szCs w:val="21"/>
        </w:rPr>
        <w:t>件4：</w:t>
      </w:r>
    </w:p>
    <w:bookmarkEnd w:id="1789"/>
    <w:bookmarkEnd w:id="1790"/>
    <w:bookmarkEnd w:id="1791"/>
    <w:bookmarkEnd w:id="1792"/>
    <w:bookmarkEnd w:id="1793"/>
    <w:bookmarkEnd w:id="1794"/>
    <w:bookmarkEnd w:id="1795"/>
    <w:p w14:paraId="73E53AFB">
      <w:pPr>
        <w:spacing w:beforeLines="50" w:afterLines="50" w:line="480" w:lineRule="auto"/>
        <w:jc w:val="center"/>
        <w:rPr>
          <w:rFonts w:ascii="宋体" w:hAnsi="宋体"/>
          <w:color w:val="auto"/>
          <w:szCs w:val="21"/>
        </w:rPr>
      </w:pPr>
      <w:r>
        <w:rPr>
          <w:rFonts w:hint="eastAsia" w:ascii="宋体" w:hAnsi="宋体"/>
          <w:color w:val="auto"/>
          <w:szCs w:val="21"/>
        </w:rPr>
        <w:t>履约担保（如有）</w:t>
      </w:r>
    </w:p>
    <w:p w14:paraId="52EF7359">
      <w:pPr>
        <w:spacing w:line="360" w:lineRule="auto"/>
        <w:ind w:firstLine="420" w:firstLineChars="200"/>
        <w:rPr>
          <w:rFonts w:ascii="宋体" w:hAnsi="宋体"/>
          <w:color w:val="auto"/>
          <w:szCs w:val="21"/>
        </w:rPr>
      </w:pP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（发包人名称）：</w:t>
      </w:r>
    </w:p>
    <w:p w14:paraId="2068CC75">
      <w:pPr>
        <w:spacing w:line="360" w:lineRule="auto"/>
        <w:ind w:firstLine="420" w:firstLineChars="200"/>
        <w:rPr>
          <w:rFonts w:ascii="宋体" w:hAnsi="宋体"/>
          <w:color w:val="auto"/>
          <w:szCs w:val="21"/>
        </w:rPr>
      </w:pPr>
    </w:p>
    <w:p w14:paraId="0E58599B">
      <w:pPr>
        <w:spacing w:line="360" w:lineRule="auto"/>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（发包人名称，以下简称“发包人”）与</w:t>
      </w:r>
    </w:p>
    <w:p w14:paraId="00C2B8FC">
      <w:pPr>
        <w:spacing w:line="360" w:lineRule="auto"/>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（承包人名称）（以下称“承包人”）于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日就</w:t>
      </w:r>
      <w:r>
        <w:rPr>
          <w:rFonts w:hint="eastAsia" w:ascii="宋体" w:hAnsi="宋体"/>
          <w:color w:val="auto"/>
          <w:szCs w:val="21"/>
          <w:u w:val="single"/>
        </w:rPr>
        <w:t xml:space="preserve">                         </w:t>
      </w:r>
      <w:r>
        <w:rPr>
          <w:rFonts w:hint="eastAsia" w:ascii="宋体" w:hAnsi="宋体"/>
          <w:color w:val="auto"/>
          <w:szCs w:val="21"/>
        </w:rPr>
        <w:t>（工程名称）施工及有关事项协商一致共同签订《建设工程施工合同》。我方愿意无条件地、不可撤销地就承包人履行与你方签订的合同，向你方提供连带责任担保。</w:t>
      </w:r>
    </w:p>
    <w:p w14:paraId="3432E823">
      <w:pPr>
        <w:spacing w:line="360" w:lineRule="auto"/>
        <w:ind w:firstLine="420" w:firstLineChars="200"/>
        <w:rPr>
          <w:rFonts w:ascii="宋体" w:hAnsi="宋体"/>
          <w:color w:val="auto"/>
          <w:szCs w:val="21"/>
        </w:rPr>
      </w:pPr>
      <w:r>
        <w:rPr>
          <w:rFonts w:hint="eastAsia" w:ascii="宋体" w:hAnsi="宋体"/>
          <w:color w:val="auto"/>
          <w:szCs w:val="21"/>
        </w:rPr>
        <w:t>1. 担保金额人民币（大写）</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olor w:val="auto"/>
          <w:szCs w:val="21"/>
          <w:u w:val="single"/>
        </w:rPr>
        <w:t xml:space="preserve">        </w:t>
      </w:r>
      <w:r>
        <w:rPr>
          <w:rFonts w:hint="eastAsia" w:ascii="宋体" w:hAnsi="宋体"/>
          <w:color w:val="auto"/>
          <w:szCs w:val="21"/>
        </w:rPr>
        <w:t>）。</w:t>
      </w:r>
    </w:p>
    <w:p w14:paraId="1F4C2D2D">
      <w:pPr>
        <w:spacing w:line="360" w:lineRule="auto"/>
        <w:ind w:firstLine="420" w:firstLineChars="200"/>
        <w:rPr>
          <w:rFonts w:ascii="宋体" w:hAnsi="宋体"/>
          <w:color w:val="auto"/>
          <w:szCs w:val="21"/>
        </w:rPr>
      </w:pPr>
      <w:r>
        <w:rPr>
          <w:rFonts w:hint="eastAsia" w:ascii="宋体" w:hAnsi="宋体"/>
          <w:color w:val="auto"/>
          <w:szCs w:val="21"/>
        </w:rPr>
        <w:t>2. 担保有效期：</w:t>
      </w:r>
      <w:r>
        <w:rPr>
          <w:rFonts w:hint="eastAsia" w:ascii="宋体" w:hAnsi="宋体"/>
          <w:color w:val="auto"/>
          <w:szCs w:val="21"/>
          <w:u w:val="single"/>
        </w:rPr>
        <w:t>自</w:t>
      </w:r>
      <w:r>
        <w:rPr>
          <w:rStyle w:val="54"/>
          <w:rFonts w:hint="eastAsia"/>
          <w:color w:val="auto"/>
        </w:rPr>
        <w:t>我</w:t>
      </w:r>
      <w:r>
        <w:rPr>
          <w:rFonts w:hint="eastAsia" w:ascii="宋体" w:hAnsi="宋体"/>
          <w:color w:val="auto"/>
          <w:szCs w:val="21"/>
          <w:u w:val="single"/>
        </w:rPr>
        <w:t>方法定代表人（或其委托代理人）签字并加盖公章之日起至你方签发或应签发工程接收证书之日止</w:t>
      </w:r>
      <w:r>
        <w:rPr>
          <w:rFonts w:hint="eastAsia" w:ascii="宋体" w:hAnsi="宋体"/>
          <w:color w:val="auto"/>
          <w:szCs w:val="21"/>
        </w:rPr>
        <w:t>。</w:t>
      </w:r>
    </w:p>
    <w:p w14:paraId="7947A64D">
      <w:pPr>
        <w:spacing w:line="360" w:lineRule="auto"/>
        <w:ind w:firstLine="420" w:firstLineChars="200"/>
        <w:rPr>
          <w:rFonts w:ascii="宋体" w:hAnsi="宋体"/>
          <w:color w:val="auto"/>
          <w:szCs w:val="21"/>
        </w:rPr>
      </w:pPr>
      <w:r>
        <w:rPr>
          <w:rFonts w:hint="eastAsia" w:ascii="宋体" w:hAnsi="宋体"/>
          <w:color w:val="auto"/>
          <w:szCs w:val="21"/>
        </w:rPr>
        <w:t>3. 在本担保有效期内，因承包人违反合同约定的义务给你方造成经济损失时，我方在收到你方以书面形式提出的在担保金额内的赔偿要求后，在7天内无条件支付。</w:t>
      </w:r>
    </w:p>
    <w:p w14:paraId="597642DB">
      <w:pPr>
        <w:spacing w:line="360" w:lineRule="auto"/>
        <w:ind w:firstLine="420" w:firstLineChars="200"/>
        <w:rPr>
          <w:rFonts w:ascii="宋体" w:hAnsi="宋体"/>
          <w:color w:val="auto"/>
          <w:szCs w:val="21"/>
        </w:rPr>
      </w:pPr>
      <w:r>
        <w:rPr>
          <w:rFonts w:hint="eastAsia" w:ascii="宋体" w:hAnsi="宋体"/>
          <w:color w:val="auto"/>
          <w:szCs w:val="21"/>
        </w:rPr>
        <w:t>4. 你方和承包人按合同约定变更合同时，我方承担本担保规定的义务不变。</w:t>
      </w:r>
    </w:p>
    <w:p w14:paraId="7F490480">
      <w:pPr>
        <w:spacing w:line="360" w:lineRule="auto"/>
        <w:ind w:firstLine="420" w:firstLineChars="200"/>
        <w:rPr>
          <w:rFonts w:ascii="宋体" w:hAnsi="宋体"/>
          <w:color w:val="auto"/>
          <w:szCs w:val="21"/>
        </w:rPr>
      </w:pPr>
      <w:r>
        <w:rPr>
          <w:rFonts w:hint="eastAsia" w:ascii="宋体" w:hAnsi="宋体"/>
          <w:color w:val="auto"/>
          <w:szCs w:val="21"/>
        </w:rPr>
        <w:t>5. 因本保函发生的纠纷，可由双方协商解决，协商不成的，按下列第</w:t>
      </w:r>
      <w:r>
        <w:rPr>
          <w:rFonts w:hint="eastAsia" w:ascii="宋体" w:hAnsi="宋体"/>
          <w:color w:val="auto"/>
          <w:szCs w:val="21"/>
          <w:u w:val="single"/>
        </w:rPr>
        <w:t xml:space="preserve">    </w:t>
      </w:r>
      <w:r>
        <w:rPr>
          <w:rFonts w:hint="eastAsia" w:ascii="宋体" w:hAnsi="宋体"/>
          <w:color w:val="auto"/>
          <w:szCs w:val="21"/>
        </w:rPr>
        <w:t>种方式解决：</w:t>
      </w:r>
    </w:p>
    <w:p w14:paraId="51A3E406">
      <w:pPr>
        <w:spacing w:line="360" w:lineRule="auto"/>
        <w:ind w:firstLine="420" w:firstLineChars="20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14:paraId="246B42DC">
      <w:pPr>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w:t>
      </w:r>
      <w:r>
        <w:rPr>
          <w:rFonts w:hint="eastAsia" w:ascii="宋体" w:hAnsi="宋体"/>
          <w:color w:val="auto"/>
          <w:szCs w:val="21"/>
        </w:rPr>
        <w:t>人民法院起诉。</w:t>
      </w:r>
    </w:p>
    <w:p w14:paraId="7A5FA97A">
      <w:pPr>
        <w:spacing w:line="360" w:lineRule="auto"/>
        <w:ind w:firstLine="420" w:firstLineChars="200"/>
        <w:rPr>
          <w:rFonts w:ascii="宋体" w:hAnsi="宋体"/>
          <w:color w:val="auto"/>
          <w:szCs w:val="21"/>
        </w:rPr>
      </w:pPr>
      <w:r>
        <w:rPr>
          <w:rFonts w:hint="eastAsia" w:ascii="宋体" w:hAnsi="宋体"/>
          <w:color w:val="auto"/>
          <w:szCs w:val="21"/>
        </w:rPr>
        <w:t>6. 本保函自我方法定代表人（或其委托代理人）签字并加盖公章之日起生效。</w:t>
      </w:r>
    </w:p>
    <w:p w14:paraId="2284099C">
      <w:pPr>
        <w:spacing w:line="360" w:lineRule="auto"/>
        <w:rPr>
          <w:rFonts w:ascii="宋体" w:hAnsi="宋体"/>
          <w:color w:val="auto"/>
          <w:szCs w:val="21"/>
        </w:rPr>
      </w:pPr>
    </w:p>
    <w:p w14:paraId="541C0773">
      <w:pPr>
        <w:spacing w:line="360" w:lineRule="auto"/>
        <w:rPr>
          <w:rFonts w:ascii="宋体" w:hAnsi="宋体"/>
          <w:color w:val="auto"/>
          <w:szCs w:val="21"/>
        </w:rPr>
      </w:pPr>
    </w:p>
    <w:p w14:paraId="4FE19A52">
      <w:pPr>
        <w:spacing w:line="360" w:lineRule="auto"/>
        <w:ind w:firstLine="420" w:firstLineChars="200"/>
        <w:rPr>
          <w:rFonts w:ascii="宋体" w:hAnsi="宋体"/>
          <w:color w:val="auto"/>
          <w:szCs w:val="21"/>
        </w:rPr>
      </w:pPr>
      <w:r>
        <w:rPr>
          <w:rFonts w:hint="eastAsia" w:ascii="宋体" w:hAnsi="宋体"/>
          <w:color w:val="auto"/>
          <w:szCs w:val="21"/>
        </w:rPr>
        <w:t>担 保 人：</w:t>
      </w:r>
      <w:r>
        <w:rPr>
          <w:rFonts w:hint="eastAsia" w:ascii="宋体" w:hAnsi="宋体"/>
          <w:color w:val="auto"/>
          <w:szCs w:val="21"/>
          <w:u w:val="single"/>
        </w:rPr>
        <w:t xml:space="preserve">                           </w:t>
      </w:r>
      <w:r>
        <w:rPr>
          <w:rFonts w:hint="eastAsia" w:ascii="宋体" w:hAnsi="宋体"/>
          <w:color w:val="auto"/>
          <w:szCs w:val="21"/>
        </w:rPr>
        <w:t>（盖单位章）</w:t>
      </w:r>
    </w:p>
    <w:p w14:paraId="419B09FF">
      <w:pPr>
        <w:spacing w:line="360" w:lineRule="auto"/>
        <w:ind w:firstLine="420" w:firstLineChars="200"/>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w:t>
      </w:r>
    </w:p>
    <w:p w14:paraId="0937F6B8">
      <w:pPr>
        <w:spacing w:line="360" w:lineRule="auto"/>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14:paraId="4835DA5B">
      <w:pPr>
        <w:spacing w:line="360" w:lineRule="auto"/>
        <w:ind w:firstLine="420" w:firstLineChars="200"/>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 xml:space="preserve">                                      </w:t>
      </w:r>
    </w:p>
    <w:p w14:paraId="7D099CFB">
      <w:pPr>
        <w:spacing w:line="360" w:lineRule="auto"/>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 xml:space="preserve">                                      </w:t>
      </w:r>
    </w:p>
    <w:p w14:paraId="46BBD70E">
      <w:pPr>
        <w:spacing w:line="360" w:lineRule="auto"/>
        <w:ind w:firstLine="420" w:firstLineChars="200"/>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p>
    <w:p w14:paraId="156BC3C4">
      <w:pPr>
        <w:spacing w:line="360" w:lineRule="auto"/>
        <w:ind w:right="840"/>
        <w:rPr>
          <w:rFonts w:ascii="宋体" w:hAnsi="宋体"/>
          <w:color w:val="auto"/>
          <w:szCs w:val="21"/>
          <w:u w:val="single"/>
        </w:rPr>
      </w:pPr>
    </w:p>
    <w:p w14:paraId="0E331B0F">
      <w:pPr>
        <w:spacing w:line="360" w:lineRule="auto"/>
        <w:ind w:firstLine="420" w:firstLineChars="20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91D8967">
      <w:pPr>
        <w:widowControl/>
        <w:spacing w:line="360" w:lineRule="auto"/>
        <w:jc w:val="left"/>
        <w:rPr>
          <w:rFonts w:ascii="宋体" w:hAnsi="宋体"/>
          <w:color w:val="auto"/>
          <w:szCs w:val="21"/>
        </w:rPr>
      </w:pPr>
      <w:r>
        <w:rPr>
          <w:rFonts w:ascii="宋体" w:hAnsi="宋体"/>
          <w:color w:val="auto"/>
          <w:szCs w:val="21"/>
        </w:rPr>
        <w:br w:type="page"/>
      </w:r>
    </w:p>
    <w:p w14:paraId="3D2A540B">
      <w:pPr>
        <w:spacing w:line="480" w:lineRule="auto"/>
        <w:rPr>
          <w:rFonts w:ascii="宋体" w:hAnsi="宋体"/>
          <w:color w:val="auto"/>
          <w:szCs w:val="21"/>
        </w:rPr>
      </w:pPr>
      <w:r>
        <w:rPr>
          <w:rFonts w:hint="eastAsia" w:ascii="宋体" w:hAnsi="宋体"/>
          <w:color w:val="auto"/>
          <w:szCs w:val="21"/>
        </w:rPr>
        <w:t>附</w:t>
      </w:r>
      <w:bookmarkStart w:id="1796" w:name="_Toc296503232"/>
      <w:bookmarkStart w:id="1797" w:name="_Toc296891060"/>
      <w:bookmarkStart w:id="1798" w:name="_Toc267261702"/>
      <w:bookmarkStart w:id="1799" w:name="_Toc296347231"/>
      <w:bookmarkStart w:id="1800" w:name="_Toc296891272"/>
      <w:bookmarkStart w:id="1801" w:name="_Toc296944571"/>
      <w:bookmarkStart w:id="1802" w:name="_Toc296346733"/>
      <w:r>
        <w:rPr>
          <w:rFonts w:hint="eastAsia" w:ascii="宋体" w:hAnsi="宋体"/>
          <w:color w:val="auto"/>
          <w:szCs w:val="21"/>
        </w:rPr>
        <w:t>件</w:t>
      </w:r>
      <w:r>
        <w:rPr>
          <w:rFonts w:ascii="宋体" w:hAnsi="宋体"/>
          <w:color w:val="auto"/>
          <w:szCs w:val="21"/>
        </w:rPr>
        <w:t>5</w:t>
      </w:r>
      <w:r>
        <w:rPr>
          <w:rFonts w:hint="eastAsia" w:ascii="宋体" w:hAnsi="宋体"/>
          <w:color w:val="auto"/>
          <w:szCs w:val="21"/>
        </w:rPr>
        <w:t>：</w:t>
      </w:r>
    </w:p>
    <w:bookmarkEnd w:id="1796"/>
    <w:bookmarkEnd w:id="1797"/>
    <w:bookmarkEnd w:id="1798"/>
    <w:bookmarkEnd w:id="1799"/>
    <w:bookmarkEnd w:id="1800"/>
    <w:bookmarkEnd w:id="1801"/>
    <w:bookmarkEnd w:id="1802"/>
    <w:p w14:paraId="1C42BCDA">
      <w:pPr>
        <w:spacing w:beforeLines="50" w:afterLines="50" w:line="480" w:lineRule="auto"/>
        <w:jc w:val="center"/>
        <w:rPr>
          <w:rFonts w:ascii="宋体" w:hAnsi="宋体"/>
          <w:color w:val="auto"/>
          <w:szCs w:val="21"/>
        </w:rPr>
      </w:pPr>
      <w:r>
        <w:rPr>
          <w:rFonts w:hint="eastAsia" w:ascii="宋体" w:hAnsi="宋体"/>
          <w:color w:val="auto"/>
          <w:szCs w:val="21"/>
        </w:rPr>
        <w:t>预付款担保（如有）</w:t>
      </w:r>
    </w:p>
    <w:p w14:paraId="58C578B0">
      <w:pP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 xml:space="preserve"> （发包人名称）：</w:t>
      </w:r>
    </w:p>
    <w:p w14:paraId="1BE209B8">
      <w:pPr>
        <w:spacing w:line="360" w:lineRule="auto"/>
        <w:ind w:firstLine="420" w:firstLineChars="200"/>
        <w:rPr>
          <w:rFonts w:ascii="宋体" w:hAnsi="宋体"/>
          <w:color w:val="auto"/>
          <w:szCs w:val="21"/>
        </w:rPr>
      </w:pPr>
      <w:r>
        <w:rPr>
          <w:rFonts w:hint="eastAsia" w:ascii="宋体" w:hAnsi="宋体"/>
          <w:color w:val="auto"/>
          <w:szCs w:val="21"/>
        </w:rPr>
        <w:t>根据</w:t>
      </w:r>
      <w:r>
        <w:rPr>
          <w:rFonts w:hint="eastAsia" w:ascii="宋体" w:hAnsi="宋体"/>
          <w:color w:val="auto"/>
          <w:szCs w:val="21"/>
          <w:u w:val="single"/>
        </w:rPr>
        <w:t xml:space="preserve">       </w:t>
      </w:r>
      <w:r>
        <w:rPr>
          <w:rFonts w:hint="eastAsia" w:ascii="宋体" w:hAnsi="宋体"/>
          <w:color w:val="auto"/>
          <w:szCs w:val="21"/>
        </w:rPr>
        <w:t>（承包人名称）（以下称“承包人”）与</w:t>
      </w:r>
      <w:r>
        <w:rPr>
          <w:rFonts w:hint="eastAsia" w:ascii="宋体" w:hAnsi="宋体"/>
          <w:color w:val="auto"/>
          <w:szCs w:val="21"/>
          <w:u w:val="single"/>
        </w:rPr>
        <w:t xml:space="preserve">         </w:t>
      </w:r>
      <w:r>
        <w:rPr>
          <w:rFonts w:hint="eastAsia" w:ascii="宋体" w:hAnsi="宋体"/>
          <w:color w:val="auto"/>
          <w:szCs w:val="21"/>
        </w:rPr>
        <w:t>（发包人名称）（以下简称“发包人”）于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日签订的</w:t>
      </w:r>
      <w:r>
        <w:rPr>
          <w:rFonts w:hint="eastAsia" w:ascii="宋体" w:hAnsi="宋体"/>
          <w:color w:val="auto"/>
          <w:szCs w:val="21"/>
          <w:u w:val="single"/>
        </w:rPr>
        <w:t xml:space="preserve">            </w:t>
      </w:r>
      <w:r>
        <w:rPr>
          <w:rFonts w:hint="eastAsia" w:ascii="宋体" w:hAnsi="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0910F05D">
      <w:pPr>
        <w:spacing w:line="360" w:lineRule="auto"/>
        <w:ind w:firstLine="420" w:firstLineChars="200"/>
        <w:rPr>
          <w:rFonts w:ascii="宋体" w:hAnsi="宋体"/>
          <w:color w:val="auto"/>
          <w:szCs w:val="21"/>
        </w:rPr>
      </w:pPr>
      <w:r>
        <w:rPr>
          <w:rFonts w:hint="eastAsia" w:ascii="宋体" w:hAnsi="宋体"/>
          <w:color w:val="auto"/>
          <w:szCs w:val="21"/>
        </w:rPr>
        <w:t>1. 担保金额人民币（大写）</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olor w:val="auto"/>
          <w:szCs w:val="21"/>
          <w:u w:val="single"/>
        </w:rPr>
        <w:t xml:space="preserve">        </w:t>
      </w:r>
      <w:r>
        <w:rPr>
          <w:rFonts w:hint="eastAsia" w:ascii="宋体" w:hAnsi="宋体"/>
          <w:color w:val="auto"/>
          <w:szCs w:val="21"/>
        </w:rPr>
        <w:t>）。</w:t>
      </w:r>
    </w:p>
    <w:p w14:paraId="30DDF784">
      <w:pPr>
        <w:spacing w:line="360" w:lineRule="auto"/>
        <w:ind w:firstLine="420" w:firstLineChars="200"/>
        <w:rPr>
          <w:rFonts w:ascii="宋体" w:hAnsi="宋体"/>
          <w:color w:val="auto"/>
          <w:szCs w:val="21"/>
        </w:rPr>
      </w:pPr>
      <w:r>
        <w:rPr>
          <w:rFonts w:hint="eastAsia" w:ascii="宋体" w:hAnsi="宋体"/>
          <w:color w:val="auto"/>
          <w:szCs w:val="21"/>
        </w:rPr>
        <w:t>2. 担保有效期自预付款支付给承包人起生效，至你方签发的进度款支付证书说明已完全扣清止。</w:t>
      </w:r>
    </w:p>
    <w:p w14:paraId="3903C865">
      <w:pPr>
        <w:spacing w:line="360" w:lineRule="auto"/>
        <w:ind w:firstLine="420" w:firstLineChars="200"/>
        <w:rPr>
          <w:rFonts w:ascii="宋体" w:hAnsi="宋体"/>
          <w:color w:val="auto"/>
          <w:szCs w:val="21"/>
        </w:rPr>
      </w:pPr>
      <w:r>
        <w:rPr>
          <w:rFonts w:hint="eastAsia" w:ascii="宋体" w:hAnsi="宋体"/>
          <w:color w:val="auto"/>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F51966B">
      <w:pPr>
        <w:spacing w:line="360" w:lineRule="auto"/>
        <w:ind w:firstLine="420" w:firstLineChars="200"/>
        <w:rPr>
          <w:rFonts w:ascii="宋体" w:hAnsi="宋体"/>
          <w:color w:val="auto"/>
          <w:szCs w:val="21"/>
        </w:rPr>
      </w:pPr>
      <w:r>
        <w:rPr>
          <w:rFonts w:hint="eastAsia" w:ascii="宋体" w:hAnsi="宋体"/>
          <w:color w:val="auto"/>
          <w:szCs w:val="21"/>
        </w:rPr>
        <w:t>4. 你方和承包人按合同约定变更合同时，我方承担本保函规定的义务不变。</w:t>
      </w:r>
    </w:p>
    <w:p w14:paraId="107E253D">
      <w:pPr>
        <w:spacing w:line="360" w:lineRule="auto"/>
        <w:ind w:firstLine="420" w:firstLineChars="200"/>
        <w:rPr>
          <w:rFonts w:ascii="宋体" w:hAnsi="宋体"/>
          <w:color w:val="auto"/>
          <w:szCs w:val="21"/>
        </w:rPr>
      </w:pPr>
      <w:r>
        <w:rPr>
          <w:rFonts w:hint="eastAsia" w:ascii="宋体" w:hAnsi="宋体"/>
          <w:color w:val="auto"/>
          <w:szCs w:val="21"/>
        </w:rPr>
        <w:t>5. 因本保函发生的纠纷，可由双方协商解决，协商不成的，按下列第</w:t>
      </w:r>
      <w:r>
        <w:rPr>
          <w:rFonts w:hint="eastAsia" w:ascii="宋体" w:hAnsi="宋体"/>
          <w:color w:val="auto"/>
          <w:szCs w:val="21"/>
          <w:u w:val="single"/>
        </w:rPr>
        <w:t xml:space="preserve">    </w:t>
      </w:r>
      <w:r>
        <w:rPr>
          <w:rFonts w:hint="eastAsia" w:ascii="宋体" w:hAnsi="宋体"/>
          <w:color w:val="auto"/>
          <w:szCs w:val="21"/>
        </w:rPr>
        <w:t>种方式解决：</w:t>
      </w:r>
    </w:p>
    <w:p w14:paraId="46AF476B">
      <w:pPr>
        <w:spacing w:line="360" w:lineRule="auto"/>
        <w:ind w:firstLine="420" w:firstLineChars="20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14:paraId="3E4CAD08">
      <w:pPr>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w:t>
      </w:r>
      <w:r>
        <w:rPr>
          <w:rFonts w:hint="eastAsia" w:ascii="宋体" w:hAnsi="宋体"/>
          <w:color w:val="auto"/>
          <w:szCs w:val="21"/>
        </w:rPr>
        <w:t>人民法院起诉。</w:t>
      </w:r>
    </w:p>
    <w:p w14:paraId="56BC09D8">
      <w:pPr>
        <w:spacing w:line="360" w:lineRule="auto"/>
        <w:ind w:firstLine="420" w:firstLineChars="200"/>
        <w:rPr>
          <w:rFonts w:ascii="宋体" w:hAnsi="宋体"/>
          <w:color w:val="auto"/>
          <w:szCs w:val="21"/>
        </w:rPr>
      </w:pPr>
      <w:r>
        <w:rPr>
          <w:rFonts w:hint="eastAsia" w:ascii="宋体" w:hAnsi="宋体"/>
          <w:color w:val="auto"/>
          <w:szCs w:val="21"/>
        </w:rPr>
        <w:t>6. 本保函自我方法定代表人（或其委托代理人）签字并加盖公章之日起生效。</w:t>
      </w:r>
    </w:p>
    <w:p w14:paraId="7CC80E6F">
      <w:pPr>
        <w:pStyle w:val="2"/>
        <w:spacing w:line="360" w:lineRule="auto"/>
        <w:ind w:firstLine="420" w:firstLineChars="200"/>
        <w:rPr>
          <w:rFonts w:ascii="宋体" w:hAnsi="宋体"/>
          <w:color w:val="auto"/>
          <w:szCs w:val="21"/>
        </w:rPr>
      </w:pPr>
    </w:p>
    <w:p w14:paraId="72C5837D">
      <w:pPr>
        <w:spacing w:line="360" w:lineRule="auto"/>
        <w:ind w:firstLine="420" w:firstLineChars="200"/>
        <w:rPr>
          <w:rFonts w:ascii="宋体" w:hAnsi="宋体"/>
          <w:color w:val="auto"/>
          <w:szCs w:val="21"/>
        </w:rPr>
      </w:pPr>
      <w:r>
        <w:rPr>
          <w:rFonts w:hint="eastAsia" w:ascii="宋体" w:hAnsi="宋体"/>
          <w:color w:val="auto"/>
          <w:szCs w:val="21"/>
        </w:rPr>
        <w:t>担保人：</w:t>
      </w:r>
      <w:r>
        <w:rPr>
          <w:rFonts w:hint="eastAsia" w:ascii="宋体" w:hAnsi="宋体"/>
          <w:color w:val="auto"/>
          <w:szCs w:val="21"/>
          <w:u w:val="single"/>
        </w:rPr>
        <w:t xml:space="preserve">                           </w:t>
      </w:r>
      <w:r>
        <w:rPr>
          <w:rFonts w:hint="eastAsia" w:ascii="宋体" w:hAnsi="宋体"/>
          <w:color w:val="auto"/>
          <w:szCs w:val="21"/>
        </w:rPr>
        <w:t>（盖单位章）</w:t>
      </w:r>
    </w:p>
    <w:p w14:paraId="380162B2">
      <w:pPr>
        <w:spacing w:line="360" w:lineRule="auto"/>
        <w:ind w:firstLine="420" w:firstLineChars="200"/>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w:t>
      </w:r>
    </w:p>
    <w:p w14:paraId="7FB0F67F">
      <w:pPr>
        <w:spacing w:line="360" w:lineRule="auto"/>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14:paraId="6ABE97F4">
      <w:pPr>
        <w:spacing w:line="360" w:lineRule="auto"/>
        <w:ind w:firstLine="420" w:firstLineChars="200"/>
        <w:rPr>
          <w:rFonts w:ascii="宋体" w:hAnsi="宋体"/>
          <w:color w:val="auto"/>
          <w:szCs w:val="21"/>
          <w:u w:val="single"/>
        </w:rPr>
      </w:pPr>
      <w:r>
        <w:rPr>
          <w:rFonts w:hint="eastAsia" w:ascii="宋体" w:hAnsi="宋体"/>
          <w:color w:val="auto"/>
          <w:szCs w:val="21"/>
        </w:rPr>
        <w:t>邮政编码：</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14:paraId="6DD5CDB3">
      <w:pPr>
        <w:spacing w:line="360" w:lineRule="auto"/>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14:paraId="795E19A8">
      <w:pPr>
        <w:spacing w:line="360" w:lineRule="auto"/>
        <w:ind w:firstLine="420" w:firstLineChars="200"/>
        <w:rPr>
          <w:rFonts w:ascii="宋体" w:hAnsi="宋体"/>
          <w:color w:val="auto"/>
          <w:szCs w:val="21"/>
          <w:u w:val="single"/>
        </w:rPr>
      </w:pPr>
      <w:r>
        <w:rPr>
          <w:rFonts w:hint="eastAsia" w:ascii="宋体" w:hAnsi="宋体"/>
          <w:color w:val="auto"/>
          <w:szCs w:val="21"/>
        </w:rPr>
        <w:t>传    真：</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14:paraId="4D4065BC">
      <w:pPr>
        <w:spacing w:line="360" w:lineRule="auto"/>
        <w:ind w:firstLine="420" w:firstLineChars="200"/>
        <w:rPr>
          <w:rFonts w:ascii="宋体" w:hAnsi="宋体"/>
          <w:color w:val="auto"/>
          <w:szCs w:val="21"/>
          <w:u w:val="single"/>
        </w:rPr>
      </w:pPr>
    </w:p>
    <w:p w14:paraId="7E2D96BA">
      <w:pPr>
        <w:spacing w:line="360" w:lineRule="auto"/>
        <w:ind w:firstLine="420" w:firstLineChars="20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1809A6F">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803" w:name="_Toc296891061"/>
      <w:bookmarkStart w:id="1804" w:name="_Toc296346734"/>
      <w:bookmarkStart w:id="1805" w:name="_Toc296891273"/>
      <w:bookmarkStart w:id="1806" w:name="_Toc296944572"/>
      <w:bookmarkStart w:id="1807" w:name="_Toc296347232"/>
      <w:bookmarkStart w:id="1808" w:name="_Toc296503233"/>
      <w:r>
        <w:rPr>
          <w:rFonts w:hint="eastAsia" w:ascii="宋体" w:hAnsi="宋体"/>
          <w:color w:val="auto"/>
          <w:szCs w:val="21"/>
        </w:rPr>
        <w:t>件</w:t>
      </w:r>
      <w:r>
        <w:rPr>
          <w:rFonts w:ascii="宋体" w:hAnsi="宋体"/>
          <w:color w:val="auto"/>
          <w:szCs w:val="21"/>
        </w:rPr>
        <w:t>6</w:t>
      </w:r>
      <w:r>
        <w:rPr>
          <w:rFonts w:hint="eastAsia" w:ascii="宋体" w:hAnsi="宋体"/>
          <w:color w:val="auto"/>
          <w:szCs w:val="21"/>
        </w:rPr>
        <w:t>：</w:t>
      </w:r>
    </w:p>
    <w:bookmarkEnd w:id="1803"/>
    <w:bookmarkEnd w:id="1804"/>
    <w:bookmarkEnd w:id="1805"/>
    <w:bookmarkEnd w:id="1806"/>
    <w:bookmarkEnd w:id="1807"/>
    <w:bookmarkEnd w:id="1808"/>
    <w:p w14:paraId="73DEEFE2">
      <w:pPr>
        <w:spacing w:line="360" w:lineRule="auto"/>
        <w:ind w:firstLine="420" w:firstLineChars="200"/>
        <w:jc w:val="center"/>
        <w:rPr>
          <w:rFonts w:ascii="宋体" w:hAnsi="宋体"/>
          <w:color w:val="auto"/>
          <w:szCs w:val="21"/>
        </w:rPr>
      </w:pPr>
      <w:r>
        <w:rPr>
          <w:rFonts w:hint="eastAsia" w:ascii="宋体" w:hAnsi="宋体"/>
          <w:color w:val="auto"/>
          <w:szCs w:val="21"/>
        </w:rPr>
        <w:t>支付担保（如有）</w:t>
      </w:r>
    </w:p>
    <w:p w14:paraId="2EBC370F">
      <w:pP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（承包人）：</w:t>
      </w:r>
    </w:p>
    <w:p w14:paraId="3244A6EC">
      <w:pPr>
        <w:spacing w:line="360" w:lineRule="auto"/>
        <w:ind w:firstLine="420" w:firstLineChars="200"/>
        <w:rPr>
          <w:rFonts w:ascii="宋体" w:hAnsi="宋体"/>
          <w:color w:val="auto"/>
          <w:szCs w:val="21"/>
        </w:rPr>
      </w:pPr>
      <w:r>
        <w:rPr>
          <w:rFonts w:hint="eastAsia" w:ascii="宋体" w:hAnsi="宋体"/>
          <w:color w:val="auto"/>
          <w:szCs w:val="21"/>
        </w:rPr>
        <w:t xml:space="preserve">鉴于你方作为承包人已经与 </w:t>
      </w:r>
      <w:r>
        <w:rPr>
          <w:rFonts w:hint="eastAsia" w:ascii="宋体" w:hAnsi="宋体"/>
          <w:color w:val="auto"/>
          <w:szCs w:val="21"/>
          <w:u w:val="single"/>
        </w:rPr>
        <w:t xml:space="preserve">            </w:t>
      </w:r>
      <w:r>
        <w:rPr>
          <w:rFonts w:hint="eastAsia" w:ascii="宋体" w:hAnsi="宋体"/>
          <w:color w:val="auto"/>
          <w:szCs w:val="21"/>
        </w:rPr>
        <w:t>（发包人名称）（以下称“发包人”）于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日签订了</w:t>
      </w:r>
      <w:r>
        <w:rPr>
          <w:rFonts w:hint="eastAsia" w:ascii="宋体" w:hAnsi="宋体"/>
          <w:color w:val="auto"/>
          <w:szCs w:val="21"/>
          <w:u w:val="single"/>
        </w:rPr>
        <w:t xml:space="preserve">             </w:t>
      </w:r>
      <w:r>
        <w:rPr>
          <w:rFonts w:hint="eastAsia" w:ascii="宋体" w:hAnsi="宋体"/>
          <w:color w:val="auto"/>
          <w:szCs w:val="21"/>
        </w:rPr>
        <w:t>（工程名称）《建设工程施工合同》（以下称“主合同”），应发包人的申请，我方愿就发包人履行主合同约定的工程款支付义务以保证的方式向你方提供如下担保：</w:t>
      </w:r>
    </w:p>
    <w:p w14:paraId="1369DD0F">
      <w:pPr>
        <w:spacing w:line="360" w:lineRule="auto"/>
        <w:ind w:firstLine="420" w:firstLineChars="200"/>
        <w:rPr>
          <w:rFonts w:ascii="宋体" w:hAnsi="宋体"/>
          <w:color w:val="auto"/>
          <w:szCs w:val="21"/>
        </w:rPr>
      </w:pPr>
      <w:bookmarkStart w:id="1809" w:name="_Toc532375692"/>
      <w:r>
        <w:rPr>
          <w:rFonts w:hint="eastAsia" w:ascii="宋体" w:hAnsi="宋体"/>
          <w:color w:val="auto"/>
          <w:szCs w:val="21"/>
        </w:rPr>
        <w:t>一、保证的范围及保证金额</w:t>
      </w:r>
      <w:bookmarkEnd w:id="1809"/>
    </w:p>
    <w:p w14:paraId="040EE2CD">
      <w:pPr>
        <w:spacing w:line="360" w:lineRule="auto"/>
        <w:ind w:firstLine="420" w:firstLineChars="200"/>
        <w:rPr>
          <w:rFonts w:ascii="宋体" w:hAnsi="宋体"/>
          <w:color w:val="auto"/>
          <w:szCs w:val="21"/>
        </w:rPr>
      </w:pPr>
      <w:r>
        <w:rPr>
          <w:rFonts w:hint="eastAsia" w:ascii="宋体" w:hAnsi="宋体"/>
          <w:color w:val="auto"/>
          <w:szCs w:val="21"/>
        </w:rPr>
        <w:t>1. 我方的保证范围是主合同约定的工程款。</w:t>
      </w:r>
    </w:p>
    <w:p w14:paraId="24B1E448">
      <w:pPr>
        <w:spacing w:line="360" w:lineRule="auto"/>
        <w:ind w:firstLine="420" w:firstLineChars="200"/>
        <w:rPr>
          <w:rFonts w:ascii="宋体" w:hAnsi="宋体"/>
          <w:color w:val="auto"/>
          <w:szCs w:val="21"/>
        </w:rPr>
      </w:pPr>
      <w:r>
        <w:rPr>
          <w:rFonts w:hint="eastAsia" w:ascii="宋体" w:hAnsi="宋体"/>
          <w:color w:val="auto"/>
          <w:szCs w:val="21"/>
        </w:rPr>
        <w:t>2. 本保函所称主合同约定的工程款是指主合同约定的除工程质量保证金以外的合同价款。</w:t>
      </w:r>
    </w:p>
    <w:p w14:paraId="1EF07102">
      <w:pPr>
        <w:spacing w:line="360" w:lineRule="auto"/>
        <w:ind w:firstLine="420" w:firstLineChars="200"/>
        <w:rPr>
          <w:rFonts w:ascii="宋体" w:hAnsi="宋体"/>
          <w:color w:val="auto"/>
          <w:szCs w:val="21"/>
        </w:rPr>
      </w:pPr>
      <w:r>
        <w:rPr>
          <w:rFonts w:hint="eastAsia" w:ascii="宋体" w:hAnsi="宋体"/>
          <w:color w:val="auto"/>
          <w:szCs w:val="21"/>
        </w:rPr>
        <w:t>3. 我方保证的金额是主合同约定的工程款的</w:t>
      </w:r>
      <w:r>
        <w:rPr>
          <w:rFonts w:hint="eastAsia" w:ascii="宋体" w:hAnsi="宋体"/>
          <w:color w:val="auto"/>
          <w:szCs w:val="21"/>
          <w:u w:val="single"/>
        </w:rPr>
        <w:t xml:space="preserve">      </w:t>
      </w:r>
      <w:r>
        <w:rPr>
          <w:rFonts w:hint="eastAsia" w:ascii="宋体" w:hAnsi="宋体"/>
          <w:color w:val="auto"/>
          <w:szCs w:val="21"/>
        </w:rPr>
        <w:t xml:space="preserve"> %，数额最高不超过人民币元（大写：</w:t>
      </w:r>
      <w:r>
        <w:rPr>
          <w:rFonts w:hint="eastAsia" w:ascii="宋体" w:hAnsi="宋体"/>
          <w:color w:val="auto"/>
          <w:szCs w:val="21"/>
          <w:u w:val="single"/>
        </w:rPr>
        <w:t xml:space="preserve">      </w:t>
      </w:r>
      <w:r>
        <w:rPr>
          <w:rFonts w:hint="eastAsia" w:ascii="宋体" w:hAnsi="宋体"/>
          <w:color w:val="auto"/>
          <w:szCs w:val="21"/>
        </w:rPr>
        <w:t>）。</w:t>
      </w:r>
    </w:p>
    <w:p w14:paraId="48FE39BF">
      <w:pPr>
        <w:spacing w:line="360" w:lineRule="auto"/>
        <w:ind w:firstLine="420" w:firstLineChars="200"/>
        <w:rPr>
          <w:rFonts w:ascii="宋体" w:hAnsi="宋体"/>
          <w:color w:val="auto"/>
          <w:szCs w:val="21"/>
        </w:rPr>
      </w:pPr>
      <w:bookmarkStart w:id="1810" w:name="_Toc532375693"/>
      <w:r>
        <w:rPr>
          <w:rFonts w:hint="eastAsia" w:ascii="宋体" w:hAnsi="宋体"/>
          <w:color w:val="auto"/>
          <w:szCs w:val="21"/>
        </w:rPr>
        <w:t>二、保证的方式及保证期间</w:t>
      </w:r>
      <w:bookmarkEnd w:id="1810"/>
    </w:p>
    <w:p w14:paraId="38EEDFAC">
      <w:pPr>
        <w:spacing w:line="360" w:lineRule="auto"/>
        <w:ind w:firstLine="420" w:firstLineChars="200"/>
        <w:rPr>
          <w:rFonts w:ascii="宋体" w:hAnsi="宋体"/>
          <w:color w:val="auto"/>
          <w:szCs w:val="21"/>
        </w:rPr>
      </w:pPr>
      <w:r>
        <w:rPr>
          <w:rFonts w:hint="eastAsia" w:ascii="宋体" w:hAnsi="宋体"/>
          <w:color w:val="auto"/>
          <w:szCs w:val="21"/>
        </w:rPr>
        <w:t>1. 我方保证的方式为：连带责任保证。</w:t>
      </w:r>
    </w:p>
    <w:p w14:paraId="4CB6B840">
      <w:pPr>
        <w:spacing w:line="360" w:lineRule="auto"/>
        <w:ind w:firstLine="420" w:firstLineChars="200"/>
        <w:rPr>
          <w:rFonts w:ascii="宋体" w:hAnsi="宋体"/>
          <w:color w:val="auto"/>
          <w:szCs w:val="21"/>
        </w:rPr>
      </w:pPr>
      <w:r>
        <w:rPr>
          <w:rFonts w:hint="eastAsia" w:ascii="宋体" w:hAnsi="宋体"/>
          <w:color w:val="auto"/>
          <w:szCs w:val="21"/>
        </w:rPr>
        <w:t>2. 我方保证的期间为：自合同生效之日起至主合同约定的工程款支付完毕之日后</w:t>
      </w:r>
      <w:r>
        <w:rPr>
          <w:rFonts w:hint="eastAsia" w:ascii="宋体" w:hAnsi="宋体"/>
          <w:color w:val="auto"/>
          <w:szCs w:val="21"/>
          <w:u w:val="single"/>
        </w:rPr>
        <w:t xml:space="preserve">    </w:t>
      </w:r>
      <w:r>
        <w:rPr>
          <w:rFonts w:hint="eastAsia" w:ascii="宋体" w:hAnsi="宋体"/>
          <w:color w:val="auto"/>
          <w:szCs w:val="21"/>
        </w:rPr>
        <w:t>日内。</w:t>
      </w:r>
    </w:p>
    <w:p w14:paraId="3191761F">
      <w:pPr>
        <w:spacing w:line="360" w:lineRule="auto"/>
        <w:ind w:firstLine="420" w:firstLineChars="200"/>
        <w:rPr>
          <w:rFonts w:ascii="宋体" w:hAnsi="宋体"/>
          <w:color w:val="auto"/>
          <w:szCs w:val="21"/>
        </w:rPr>
      </w:pPr>
      <w:r>
        <w:rPr>
          <w:rFonts w:hint="eastAsia" w:ascii="宋体" w:hAnsi="宋体"/>
          <w:color w:val="auto"/>
          <w:szCs w:val="21"/>
        </w:rPr>
        <w:t>3. 你方与发包人协议变更工程款支付日期的，经我方书面同意后，保证期间按照变更后的支付日期做相应调整。</w:t>
      </w:r>
    </w:p>
    <w:p w14:paraId="38FB34D9">
      <w:pPr>
        <w:spacing w:line="360" w:lineRule="auto"/>
        <w:ind w:firstLine="420" w:firstLineChars="200"/>
        <w:rPr>
          <w:rFonts w:ascii="宋体" w:hAnsi="宋体"/>
          <w:color w:val="auto"/>
          <w:szCs w:val="21"/>
        </w:rPr>
      </w:pPr>
      <w:bookmarkStart w:id="1811" w:name="_Toc532375694"/>
      <w:r>
        <w:rPr>
          <w:rFonts w:hint="eastAsia" w:ascii="宋体" w:hAnsi="宋体"/>
          <w:color w:val="auto"/>
          <w:szCs w:val="21"/>
        </w:rPr>
        <w:t>三、承担保证责任的形式</w:t>
      </w:r>
      <w:bookmarkEnd w:id="1811"/>
    </w:p>
    <w:p w14:paraId="109371AD">
      <w:pPr>
        <w:spacing w:line="360" w:lineRule="auto"/>
        <w:ind w:firstLine="420" w:firstLineChars="200"/>
        <w:rPr>
          <w:rFonts w:ascii="宋体" w:hAnsi="宋体"/>
          <w:color w:val="auto"/>
          <w:szCs w:val="21"/>
        </w:rPr>
      </w:pPr>
      <w:r>
        <w:rPr>
          <w:rFonts w:hint="eastAsia" w:ascii="宋体" w:hAnsi="宋体"/>
          <w:color w:val="auto"/>
          <w:szCs w:val="21"/>
        </w:rPr>
        <w:t>我方承担保证责任的形式是代为支付。发包人未按主合同约定向你方支付工程款的，由我方在保证金额内代为支付。</w:t>
      </w:r>
    </w:p>
    <w:p w14:paraId="3CE9EF24">
      <w:pPr>
        <w:spacing w:line="360" w:lineRule="auto"/>
        <w:ind w:firstLine="420" w:firstLineChars="200"/>
        <w:rPr>
          <w:rFonts w:ascii="宋体" w:hAnsi="宋体"/>
          <w:color w:val="auto"/>
          <w:szCs w:val="21"/>
        </w:rPr>
      </w:pPr>
      <w:bookmarkStart w:id="1812" w:name="_Toc532375695"/>
      <w:r>
        <w:rPr>
          <w:rFonts w:hint="eastAsia" w:ascii="宋体" w:hAnsi="宋体"/>
          <w:color w:val="auto"/>
          <w:szCs w:val="21"/>
        </w:rPr>
        <w:t>四、代偿的安排</w:t>
      </w:r>
      <w:bookmarkEnd w:id="1812"/>
    </w:p>
    <w:p w14:paraId="1F925030">
      <w:pPr>
        <w:spacing w:line="360" w:lineRule="auto"/>
        <w:ind w:firstLine="420" w:firstLineChars="200"/>
        <w:rPr>
          <w:rFonts w:ascii="宋体" w:hAnsi="宋体"/>
          <w:color w:val="auto"/>
          <w:szCs w:val="21"/>
        </w:rPr>
      </w:pPr>
      <w:r>
        <w:rPr>
          <w:rFonts w:hint="eastAsia" w:ascii="宋体" w:hAnsi="宋体"/>
          <w:color w:val="auto"/>
          <w:szCs w:val="21"/>
        </w:rPr>
        <w:t>1. 你方要求我方承担保证责任的，应向我方发出书面索赔通知及发包人未支付主合同约定工程款的证明材料。索赔通知应写明要求索赔的金额，支付款项应到达的账号。</w:t>
      </w:r>
    </w:p>
    <w:p w14:paraId="7AE48FA2">
      <w:pPr>
        <w:spacing w:line="360" w:lineRule="auto"/>
        <w:ind w:firstLine="420" w:firstLineChars="200"/>
        <w:rPr>
          <w:rFonts w:ascii="宋体" w:hAnsi="宋体"/>
          <w:color w:val="auto"/>
          <w:szCs w:val="21"/>
        </w:rPr>
      </w:pPr>
      <w:r>
        <w:rPr>
          <w:rFonts w:hint="eastAsia" w:ascii="宋体" w:hAnsi="宋体"/>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73106859">
      <w:pPr>
        <w:spacing w:line="360" w:lineRule="auto"/>
        <w:ind w:firstLine="420" w:firstLineChars="200"/>
        <w:rPr>
          <w:rFonts w:ascii="宋体" w:hAnsi="宋体"/>
          <w:color w:val="auto"/>
          <w:szCs w:val="21"/>
        </w:rPr>
      </w:pPr>
      <w:r>
        <w:rPr>
          <w:rFonts w:hint="eastAsia" w:ascii="宋体" w:hAnsi="宋体"/>
          <w:color w:val="auto"/>
          <w:szCs w:val="21"/>
        </w:rPr>
        <w:t>3. 我方收到你方的书面索赔通知及相应的证明材料后７天内无条件支付。</w:t>
      </w:r>
    </w:p>
    <w:p w14:paraId="0F439800">
      <w:pPr>
        <w:spacing w:line="360" w:lineRule="auto"/>
        <w:ind w:firstLine="420" w:firstLineChars="200"/>
        <w:rPr>
          <w:rFonts w:ascii="宋体" w:hAnsi="宋体"/>
          <w:color w:val="auto"/>
          <w:szCs w:val="21"/>
        </w:rPr>
      </w:pPr>
      <w:bookmarkStart w:id="1813" w:name="_Toc532375696"/>
      <w:r>
        <w:rPr>
          <w:rFonts w:hint="eastAsia" w:ascii="宋体" w:hAnsi="宋体"/>
          <w:color w:val="auto"/>
          <w:szCs w:val="21"/>
        </w:rPr>
        <w:t>五、保证责任的解除</w:t>
      </w:r>
      <w:bookmarkEnd w:id="1813"/>
    </w:p>
    <w:p w14:paraId="76BB0307">
      <w:pPr>
        <w:spacing w:line="360" w:lineRule="auto"/>
        <w:ind w:firstLine="420" w:firstLineChars="200"/>
        <w:rPr>
          <w:rFonts w:ascii="宋体" w:hAnsi="宋体"/>
          <w:color w:val="auto"/>
          <w:szCs w:val="21"/>
        </w:rPr>
      </w:pPr>
      <w:r>
        <w:rPr>
          <w:rFonts w:hint="eastAsia" w:ascii="宋体" w:hAnsi="宋体"/>
          <w:color w:val="auto"/>
          <w:szCs w:val="21"/>
        </w:rPr>
        <w:t>1. 在本保函承诺的保证期间内，你方未书面向我方主张保证责任的，自保证期间届满次日起，我方保证责任解除。</w:t>
      </w:r>
    </w:p>
    <w:p w14:paraId="016FA58E">
      <w:pPr>
        <w:spacing w:line="360" w:lineRule="auto"/>
        <w:ind w:firstLine="420" w:firstLineChars="200"/>
        <w:rPr>
          <w:rFonts w:ascii="宋体" w:hAnsi="宋体"/>
          <w:color w:val="auto"/>
          <w:szCs w:val="21"/>
        </w:rPr>
      </w:pPr>
      <w:r>
        <w:rPr>
          <w:rFonts w:hint="eastAsia" w:ascii="宋体" w:hAnsi="宋体"/>
          <w:color w:val="auto"/>
          <w:szCs w:val="21"/>
        </w:rPr>
        <w:t>2. 发包人按主合同约定履行了工程款的全部支付义务的，自本保函承诺的保证期间届满次日起，我方保证责任解除。</w:t>
      </w:r>
    </w:p>
    <w:p w14:paraId="4F541199">
      <w:pPr>
        <w:spacing w:line="360" w:lineRule="auto"/>
        <w:ind w:firstLine="420" w:firstLineChars="200"/>
        <w:rPr>
          <w:rFonts w:ascii="宋体" w:hAnsi="宋体"/>
          <w:color w:val="auto"/>
          <w:szCs w:val="21"/>
        </w:rPr>
      </w:pPr>
      <w:r>
        <w:rPr>
          <w:rFonts w:hint="eastAsia" w:ascii="宋体" w:hAnsi="宋体"/>
          <w:color w:val="auto"/>
          <w:szCs w:val="21"/>
        </w:rPr>
        <w:t>3. 我方按照本保函向你方履行保证责任所支付金额达到本保函保证金额时，自我方向你方支付（支付款项从我方账户划出）之日起，保证责任即解除。</w:t>
      </w:r>
    </w:p>
    <w:p w14:paraId="72FE2337">
      <w:pPr>
        <w:spacing w:line="360" w:lineRule="auto"/>
        <w:ind w:firstLine="420" w:firstLineChars="200"/>
        <w:rPr>
          <w:rFonts w:ascii="宋体" w:hAnsi="宋体"/>
          <w:color w:val="auto"/>
          <w:szCs w:val="21"/>
        </w:rPr>
      </w:pPr>
      <w:r>
        <w:rPr>
          <w:rFonts w:hint="eastAsia" w:ascii="宋体" w:hAnsi="宋体"/>
          <w:color w:val="auto"/>
          <w:szCs w:val="21"/>
        </w:rPr>
        <w:t>4. 按照法律法规的规定或出现应解除我方保证责任的其他情形的，我方在本保函项下的保证责任亦解除。</w:t>
      </w:r>
    </w:p>
    <w:p w14:paraId="4987AB1C">
      <w:pPr>
        <w:spacing w:line="360" w:lineRule="auto"/>
        <w:ind w:firstLine="420" w:firstLineChars="200"/>
        <w:rPr>
          <w:rFonts w:ascii="宋体" w:hAnsi="宋体"/>
          <w:color w:val="auto"/>
          <w:szCs w:val="21"/>
        </w:rPr>
      </w:pPr>
      <w:r>
        <w:rPr>
          <w:rFonts w:hint="eastAsia" w:ascii="宋体" w:hAnsi="宋体"/>
          <w:color w:val="auto"/>
          <w:szCs w:val="21"/>
        </w:rPr>
        <w:t>5. 我方解除保证责任后，你方应自我方保证责任解除之日起  个工作日内，将本保函原件返还我方。</w:t>
      </w:r>
    </w:p>
    <w:p w14:paraId="666B34F5">
      <w:pPr>
        <w:spacing w:line="360" w:lineRule="auto"/>
        <w:ind w:firstLine="420" w:firstLineChars="200"/>
        <w:rPr>
          <w:rFonts w:ascii="宋体" w:hAnsi="宋体"/>
          <w:color w:val="auto"/>
          <w:szCs w:val="21"/>
        </w:rPr>
      </w:pPr>
      <w:bookmarkStart w:id="1814" w:name="_Toc532375697"/>
      <w:r>
        <w:rPr>
          <w:rFonts w:hint="eastAsia" w:ascii="宋体" w:hAnsi="宋体"/>
          <w:color w:val="auto"/>
          <w:szCs w:val="21"/>
        </w:rPr>
        <w:t>六、免责条款</w:t>
      </w:r>
      <w:bookmarkEnd w:id="1814"/>
    </w:p>
    <w:p w14:paraId="16DB3D90">
      <w:pPr>
        <w:spacing w:line="360" w:lineRule="auto"/>
        <w:ind w:firstLine="420" w:firstLineChars="200"/>
        <w:rPr>
          <w:rFonts w:ascii="宋体" w:hAnsi="宋体"/>
          <w:color w:val="auto"/>
          <w:szCs w:val="21"/>
        </w:rPr>
      </w:pPr>
      <w:r>
        <w:rPr>
          <w:rFonts w:hint="eastAsia" w:ascii="宋体" w:hAnsi="宋体"/>
          <w:color w:val="auto"/>
          <w:szCs w:val="21"/>
        </w:rPr>
        <w:t>1. 因你方违约致使发包人不能履行义务的，我方不承担保证责任。</w:t>
      </w:r>
    </w:p>
    <w:p w14:paraId="59983ED2">
      <w:pPr>
        <w:spacing w:line="360" w:lineRule="auto"/>
        <w:ind w:firstLine="420" w:firstLineChars="200"/>
        <w:rPr>
          <w:rFonts w:ascii="宋体" w:hAnsi="宋体"/>
          <w:color w:val="auto"/>
          <w:szCs w:val="21"/>
        </w:rPr>
      </w:pPr>
      <w:r>
        <w:rPr>
          <w:rFonts w:hint="eastAsia" w:ascii="宋体" w:hAnsi="宋体"/>
          <w:color w:val="auto"/>
          <w:szCs w:val="21"/>
        </w:rPr>
        <w:t>2. 依照法律法规的规定或你方与发包人的另行约定，免除发包人部分或全部义务的，我方亦免除其相应的保证责任。</w:t>
      </w:r>
    </w:p>
    <w:p w14:paraId="5FC29FE8">
      <w:pPr>
        <w:spacing w:line="360" w:lineRule="auto"/>
        <w:ind w:firstLine="420" w:firstLineChars="200"/>
        <w:rPr>
          <w:rFonts w:ascii="宋体" w:hAnsi="宋体"/>
          <w:color w:val="auto"/>
          <w:szCs w:val="21"/>
        </w:rPr>
      </w:pPr>
      <w:r>
        <w:rPr>
          <w:rFonts w:hint="eastAsia" w:ascii="宋体" w:hAnsi="宋体"/>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71881095">
      <w:pPr>
        <w:spacing w:line="360" w:lineRule="auto"/>
        <w:ind w:firstLine="420" w:firstLineChars="200"/>
        <w:rPr>
          <w:rFonts w:ascii="宋体" w:hAnsi="宋体"/>
          <w:color w:val="auto"/>
          <w:szCs w:val="21"/>
        </w:rPr>
      </w:pPr>
      <w:r>
        <w:rPr>
          <w:rFonts w:hint="eastAsia" w:ascii="宋体" w:hAnsi="宋体"/>
          <w:color w:val="auto"/>
          <w:szCs w:val="21"/>
        </w:rPr>
        <w:t>4. 因不可抗力造成发包人不能履行义务的，我方不承担保证责任。</w:t>
      </w:r>
    </w:p>
    <w:p w14:paraId="373E40F1">
      <w:pPr>
        <w:spacing w:line="360" w:lineRule="auto"/>
        <w:ind w:firstLine="420" w:firstLineChars="200"/>
        <w:rPr>
          <w:rFonts w:ascii="宋体" w:hAnsi="宋体"/>
          <w:color w:val="auto"/>
          <w:szCs w:val="21"/>
        </w:rPr>
      </w:pPr>
      <w:bookmarkStart w:id="1815" w:name="_Toc532375698"/>
      <w:r>
        <w:rPr>
          <w:rFonts w:hint="eastAsia" w:ascii="宋体" w:hAnsi="宋体"/>
          <w:color w:val="auto"/>
          <w:szCs w:val="21"/>
        </w:rPr>
        <w:t>七、争议解决</w:t>
      </w:r>
      <w:bookmarkEnd w:id="1815"/>
    </w:p>
    <w:p w14:paraId="3B11F583">
      <w:pPr>
        <w:spacing w:line="360" w:lineRule="auto"/>
        <w:ind w:firstLine="420" w:firstLineChars="200"/>
        <w:rPr>
          <w:rFonts w:ascii="宋体" w:hAnsi="宋体"/>
          <w:color w:val="auto"/>
          <w:szCs w:val="21"/>
        </w:rPr>
      </w:pPr>
      <w:r>
        <w:rPr>
          <w:rFonts w:hint="eastAsia" w:ascii="宋体" w:hAnsi="宋体"/>
          <w:color w:val="auto"/>
          <w:szCs w:val="21"/>
        </w:rPr>
        <w:t>因本保函或本保函相关事项发生的纠纷，可由双方协商解决，协商不成的，按下列第</w:t>
      </w:r>
      <w:r>
        <w:rPr>
          <w:rFonts w:hint="eastAsia" w:ascii="宋体" w:hAnsi="宋体"/>
          <w:color w:val="auto"/>
          <w:szCs w:val="21"/>
          <w:u w:val="single"/>
        </w:rPr>
        <w:t xml:space="preserve">    </w:t>
      </w:r>
      <w:r>
        <w:rPr>
          <w:rFonts w:hint="eastAsia" w:ascii="宋体" w:hAnsi="宋体"/>
          <w:color w:val="auto"/>
          <w:szCs w:val="21"/>
        </w:rPr>
        <w:t>种方式解决：</w:t>
      </w:r>
    </w:p>
    <w:p w14:paraId="495DDAE9">
      <w:pPr>
        <w:spacing w:line="360" w:lineRule="auto"/>
        <w:ind w:firstLine="420" w:firstLineChars="20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14:paraId="4BEAD1D6">
      <w:pPr>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w:t>
      </w:r>
      <w:r>
        <w:rPr>
          <w:rFonts w:hint="eastAsia" w:ascii="宋体" w:hAnsi="宋体"/>
          <w:color w:val="auto"/>
          <w:szCs w:val="21"/>
        </w:rPr>
        <w:t>人民法院起诉。</w:t>
      </w:r>
    </w:p>
    <w:p w14:paraId="248FD3DD">
      <w:pPr>
        <w:spacing w:line="360" w:lineRule="auto"/>
        <w:ind w:firstLine="420" w:firstLineChars="200"/>
        <w:rPr>
          <w:rFonts w:ascii="宋体" w:hAnsi="宋体"/>
          <w:color w:val="auto"/>
          <w:szCs w:val="21"/>
        </w:rPr>
      </w:pPr>
      <w:bookmarkStart w:id="1816" w:name="_Toc532375699"/>
      <w:r>
        <w:rPr>
          <w:rFonts w:hint="eastAsia" w:ascii="宋体" w:hAnsi="宋体"/>
          <w:color w:val="auto"/>
          <w:szCs w:val="21"/>
        </w:rPr>
        <w:t>八、保函的生效</w:t>
      </w:r>
      <w:bookmarkEnd w:id="1816"/>
    </w:p>
    <w:p w14:paraId="783A220C">
      <w:pPr>
        <w:spacing w:line="360" w:lineRule="auto"/>
        <w:ind w:firstLine="420" w:firstLineChars="200"/>
        <w:rPr>
          <w:rFonts w:ascii="宋体" w:hAnsi="宋体"/>
          <w:color w:val="auto"/>
          <w:szCs w:val="21"/>
        </w:rPr>
      </w:pPr>
      <w:r>
        <w:rPr>
          <w:rFonts w:hint="eastAsia" w:ascii="宋体" w:hAnsi="宋体"/>
          <w:color w:val="auto"/>
          <w:szCs w:val="21"/>
        </w:rPr>
        <w:t>本保函自我方法定代表人（或其委托代理人）签字并加盖公章之日起生效。</w:t>
      </w:r>
    </w:p>
    <w:p w14:paraId="07545DF9">
      <w:pPr>
        <w:spacing w:line="360" w:lineRule="auto"/>
        <w:ind w:firstLine="420" w:firstLineChars="200"/>
        <w:jc w:val="left"/>
        <w:rPr>
          <w:rFonts w:ascii="宋体" w:hAnsi="宋体"/>
          <w:color w:val="auto"/>
          <w:szCs w:val="21"/>
        </w:rPr>
      </w:pPr>
    </w:p>
    <w:p w14:paraId="14D08BA3">
      <w:pPr>
        <w:spacing w:line="360" w:lineRule="auto"/>
        <w:ind w:firstLine="420" w:firstLineChars="200"/>
        <w:jc w:val="left"/>
        <w:rPr>
          <w:rFonts w:ascii="宋体" w:hAnsi="宋体"/>
          <w:color w:val="auto"/>
          <w:szCs w:val="21"/>
        </w:rPr>
      </w:pPr>
    </w:p>
    <w:p w14:paraId="122529F4">
      <w:pPr>
        <w:spacing w:line="360" w:lineRule="auto"/>
        <w:ind w:firstLine="420" w:firstLineChars="200"/>
        <w:jc w:val="left"/>
        <w:rPr>
          <w:rFonts w:ascii="宋体" w:hAnsi="宋体"/>
          <w:color w:val="auto"/>
          <w:szCs w:val="21"/>
        </w:rPr>
      </w:pPr>
      <w:r>
        <w:rPr>
          <w:rFonts w:hint="eastAsia" w:ascii="宋体" w:hAnsi="宋体"/>
          <w:color w:val="auto"/>
          <w:szCs w:val="21"/>
        </w:rPr>
        <w:t>担保人：</w:t>
      </w:r>
      <w:r>
        <w:rPr>
          <w:rFonts w:hint="eastAsia" w:ascii="宋体" w:hAnsi="宋体"/>
          <w:color w:val="auto"/>
          <w:szCs w:val="21"/>
          <w:u w:val="single"/>
        </w:rPr>
        <w:t xml:space="preserve">                                   </w:t>
      </w:r>
      <w:r>
        <w:rPr>
          <w:rFonts w:hint="eastAsia" w:ascii="宋体" w:hAnsi="宋体"/>
          <w:color w:val="auto"/>
          <w:szCs w:val="21"/>
        </w:rPr>
        <w:t>（盖章）</w:t>
      </w:r>
    </w:p>
    <w:p w14:paraId="0BAA6A1B">
      <w:pPr>
        <w:spacing w:line="360" w:lineRule="auto"/>
        <w:ind w:firstLine="420" w:firstLineChars="200"/>
        <w:rPr>
          <w:rFonts w:ascii="宋体" w:hAnsi="宋体"/>
          <w:color w:val="auto"/>
          <w:szCs w:val="21"/>
        </w:rPr>
      </w:pPr>
      <w:r>
        <w:rPr>
          <w:rFonts w:hint="eastAsia" w:ascii="宋体" w:hAnsi="宋体"/>
          <w:color w:val="auto"/>
          <w:szCs w:val="21"/>
        </w:rPr>
        <w:t>法定代表人或委托代理人：</w:t>
      </w:r>
      <w:r>
        <w:rPr>
          <w:rFonts w:hint="eastAsia" w:ascii="宋体" w:hAnsi="宋体"/>
          <w:color w:val="auto"/>
          <w:szCs w:val="21"/>
          <w:u w:val="single"/>
        </w:rPr>
        <w:t xml:space="preserve">                   </w:t>
      </w:r>
      <w:r>
        <w:rPr>
          <w:rFonts w:hint="eastAsia" w:ascii="宋体" w:hAnsi="宋体"/>
          <w:color w:val="auto"/>
          <w:szCs w:val="21"/>
        </w:rPr>
        <w:t>（签字）</w:t>
      </w:r>
    </w:p>
    <w:p w14:paraId="09FE5AB8">
      <w:pPr>
        <w:spacing w:line="360" w:lineRule="auto"/>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14:paraId="0B3F8CD2">
      <w:pPr>
        <w:spacing w:line="360" w:lineRule="auto"/>
        <w:ind w:firstLine="420" w:firstLineChars="200"/>
        <w:jc w:val="left"/>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 xml:space="preserve">                                        </w:t>
      </w:r>
    </w:p>
    <w:p w14:paraId="733ACB56">
      <w:pPr>
        <w:spacing w:line="360" w:lineRule="auto"/>
        <w:ind w:firstLine="420" w:firstLineChars="200"/>
        <w:jc w:val="left"/>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p>
    <w:p w14:paraId="16D9462E">
      <w:pPr>
        <w:spacing w:line="360" w:lineRule="auto"/>
        <w:ind w:firstLine="420" w:firstLineChars="200"/>
        <w:rPr>
          <w:rFonts w:ascii="宋体" w:hAnsi="宋体"/>
          <w:color w:val="auto"/>
          <w:szCs w:val="21"/>
        </w:rPr>
      </w:pPr>
      <w:r>
        <w:rPr>
          <w:rFonts w:hint="eastAsia" w:ascii="宋体" w:hAnsi="宋体"/>
          <w:color w:val="auto"/>
          <w:szCs w:val="21"/>
        </w:rPr>
        <w:t xml:space="preserve">           </w:t>
      </w:r>
    </w:p>
    <w:p w14:paraId="75A22256">
      <w:pPr>
        <w:spacing w:line="360" w:lineRule="auto"/>
        <w:ind w:firstLine="420" w:firstLineChars="200"/>
        <w:jc w:val="lef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rPr>
        <w:br w:type="page"/>
      </w:r>
    </w:p>
    <w:p w14:paraId="597A091E">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7</w:t>
      </w:r>
      <w:r>
        <w:rPr>
          <w:rFonts w:hint="eastAsia" w:ascii="宋体" w:hAnsi="宋体"/>
          <w:color w:val="auto"/>
          <w:szCs w:val="21"/>
        </w:rPr>
        <w:t>：</w:t>
      </w:r>
    </w:p>
    <w:p w14:paraId="3AC75F4E">
      <w:pPr>
        <w:spacing w:beforeLines="50" w:afterLines="50" w:line="480" w:lineRule="auto"/>
        <w:jc w:val="center"/>
        <w:rPr>
          <w:rFonts w:ascii="宋体" w:hAnsi="宋体"/>
          <w:color w:val="auto"/>
          <w:szCs w:val="21"/>
        </w:rPr>
      </w:pPr>
      <w:r>
        <w:rPr>
          <w:rFonts w:hint="eastAsia" w:ascii="宋体" w:hAnsi="宋体"/>
          <w:color w:val="auto"/>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CE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BFA21CB">
            <w:pPr>
              <w:spacing w:line="400" w:lineRule="exact"/>
              <w:jc w:val="center"/>
              <w:rPr>
                <w:rFonts w:ascii="宋体" w:hAnsi="宋体"/>
                <w:color w:val="auto"/>
                <w:szCs w:val="21"/>
              </w:rPr>
            </w:pPr>
            <w:r>
              <w:rPr>
                <w:rFonts w:hint="eastAsia" w:ascii="宋体" w:hAnsi="宋体"/>
                <w:color w:val="auto"/>
                <w:szCs w:val="21"/>
              </w:rPr>
              <w:t>序号</w:t>
            </w:r>
          </w:p>
        </w:tc>
        <w:tc>
          <w:tcPr>
            <w:tcW w:w="1984" w:type="dxa"/>
          </w:tcPr>
          <w:p w14:paraId="028E67CC">
            <w:pPr>
              <w:spacing w:line="400" w:lineRule="exact"/>
              <w:jc w:val="center"/>
              <w:rPr>
                <w:rFonts w:ascii="宋体" w:hAnsi="宋体"/>
                <w:color w:val="auto"/>
                <w:szCs w:val="21"/>
              </w:rPr>
            </w:pPr>
            <w:r>
              <w:rPr>
                <w:rFonts w:hint="eastAsia" w:ascii="宋体" w:hAnsi="宋体"/>
                <w:color w:val="auto"/>
                <w:szCs w:val="21"/>
              </w:rPr>
              <w:t>专业工程名称</w:t>
            </w:r>
          </w:p>
        </w:tc>
        <w:tc>
          <w:tcPr>
            <w:tcW w:w="5103" w:type="dxa"/>
          </w:tcPr>
          <w:p w14:paraId="5FC91F34">
            <w:pPr>
              <w:spacing w:line="400" w:lineRule="exact"/>
              <w:jc w:val="center"/>
              <w:rPr>
                <w:rFonts w:ascii="宋体" w:hAnsi="宋体"/>
                <w:color w:val="auto"/>
                <w:szCs w:val="21"/>
              </w:rPr>
            </w:pPr>
            <w:r>
              <w:rPr>
                <w:rFonts w:hint="eastAsia" w:ascii="宋体" w:hAnsi="宋体"/>
                <w:color w:val="auto"/>
                <w:szCs w:val="21"/>
              </w:rPr>
              <w:t>工程内容</w:t>
            </w:r>
          </w:p>
        </w:tc>
        <w:tc>
          <w:tcPr>
            <w:tcW w:w="1560" w:type="dxa"/>
          </w:tcPr>
          <w:p w14:paraId="61C8DFA7">
            <w:pPr>
              <w:spacing w:line="400" w:lineRule="exact"/>
              <w:jc w:val="center"/>
              <w:rPr>
                <w:rFonts w:ascii="宋体" w:hAnsi="宋体"/>
                <w:color w:val="auto"/>
                <w:szCs w:val="21"/>
              </w:rPr>
            </w:pPr>
            <w:r>
              <w:rPr>
                <w:rFonts w:hint="eastAsia" w:ascii="宋体" w:hAnsi="宋体"/>
                <w:color w:val="auto"/>
                <w:szCs w:val="21"/>
              </w:rPr>
              <w:t>金额</w:t>
            </w:r>
          </w:p>
        </w:tc>
      </w:tr>
      <w:tr w14:paraId="5E31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C37D040">
            <w:pPr>
              <w:spacing w:line="400" w:lineRule="exact"/>
              <w:ind w:firstLine="420" w:firstLineChars="200"/>
              <w:rPr>
                <w:rFonts w:ascii="宋体" w:hAnsi="宋体"/>
                <w:color w:val="auto"/>
                <w:szCs w:val="21"/>
              </w:rPr>
            </w:pPr>
          </w:p>
        </w:tc>
        <w:tc>
          <w:tcPr>
            <w:tcW w:w="1984" w:type="dxa"/>
          </w:tcPr>
          <w:p w14:paraId="4B98E99A">
            <w:pPr>
              <w:spacing w:line="400" w:lineRule="exact"/>
              <w:ind w:firstLine="420" w:firstLineChars="200"/>
              <w:rPr>
                <w:rFonts w:ascii="宋体" w:hAnsi="宋体"/>
                <w:color w:val="auto"/>
                <w:szCs w:val="21"/>
              </w:rPr>
            </w:pPr>
          </w:p>
        </w:tc>
        <w:tc>
          <w:tcPr>
            <w:tcW w:w="5103" w:type="dxa"/>
          </w:tcPr>
          <w:p w14:paraId="454DA0A9">
            <w:pPr>
              <w:spacing w:line="400" w:lineRule="exact"/>
              <w:ind w:firstLine="420" w:firstLineChars="200"/>
              <w:rPr>
                <w:rFonts w:ascii="宋体" w:hAnsi="宋体"/>
                <w:color w:val="auto"/>
                <w:szCs w:val="21"/>
              </w:rPr>
            </w:pPr>
          </w:p>
        </w:tc>
        <w:tc>
          <w:tcPr>
            <w:tcW w:w="1560" w:type="dxa"/>
          </w:tcPr>
          <w:p w14:paraId="0F552628">
            <w:pPr>
              <w:spacing w:line="400" w:lineRule="exact"/>
              <w:ind w:firstLine="420" w:firstLineChars="200"/>
              <w:rPr>
                <w:rFonts w:ascii="宋体" w:hAnsi="宋体"/>
                <w:color w:val="auto"/>
                <w:szCs w:val="21"/>
              </w:rPr>
            </w:pPr>
          </w:p>
        </w:tc>
      </w:tr>
      <w:tr w14:paraId="3E9A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0C159DA">
            <w:pPr>
              <w:spacing w:line="400" w:lineRule="exact"/>
              <w:ind w:firstLine="420" w:firstLineChars="200"/>
              <w:rPr>
                <w:rFonts w:ascii="宋体" w:hAnsi="宋体"/>
                <w:color w:val="auto"/>
                <w:szCs w:val="21"/>
              </w:rPr>
            </w:pPr>
          </w:p>
        </w:tc>
        <w:tc>
          <w:tcPr>
            <w:tcW w:w="1984" w:type="dxa"/>
          </w:tcPr>
          <w:p w14:paraId="12AD908A">
            <w:pPr>
              <w:spacing w:line="400" w:lineRule="exact"/>
              <w:ind w:firstLine="420" w:firstLineChars="200"/>
              <w:rPr>
                <w:rFonts w:ascii="宋体" w:hAnsi="宋体"/>
                <w:color w:val="auto"/>
                <w:szCs w:val="21"/>
              </w:rPr>
            </w:pPr>
          </w:p>
        </w:tc>
        <w:tc>
          <w:tcPr>
            <w:tcW w:w="5103" w:type="dxa"/>
          </w:tcPr>
          <w:p w14:paraId="4ECA038C">
            <w:pPr>
              <w:spacing w:line="400" w:lineRule="exact"/>
              <w:ind w:firstLine="420" w:firstLineChars="200"/>
              <w:rPr>
                <w:rFonts w:ascii="宋体" w:hAnsi="宋体"/>
                <w:color w:val="auto"/>
                <w:szCs w:val="21"/>
              </w:rPr>
            </w:pPr>
          </w:p>
        </w:tc>
        <w:tc>
          <w:tcPr>
            <w:tcW w:w="1560" w:type="dxa"/>
          </w:tcPr>
          <w:p w14:paraId="7C3D592E">
            <w:pPr>
              <w:spacing w:line="400" w:lineRule="exact"/>
              <w:ind w:firstLine="420" w:firstLineChars="200"/>
              <w:rPr>
                <w:rFonts w:ascii="宋体" w:hAnsi="宋体"/>
                <w:color w:val="auto"/>
                <w:szCs w:val="21"/>
              </w:rPr>
            </w:pPr>
          </w:p>
        </w:tc>
      </w:tr>
      <w:tr w14:paraId="4113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02BDCD7">
            <w:pPr>
              <w:spacing w:line="400" w:lineRule="exact"/>
              <w:ind w:firstLine="420" w:firstLineChars="200"/>
              <w:rPr>
                <w:rFonts w:ascii="宋体" w:hAnsi="宋体"/>
                <w:color w:val="auto"/>
                <w:szCs w:val="21"/>
              </w:rPr>
            </w:pPr>
          </w:p>
        </w:tc>
        <w:tc>
          <w:tcPr>
            <w:tcW w:w="1984" w:type="dxa"/>
          </w:tcPr>
          <w:p w14:paraId="19B9BAA0">
            <w:pPr>
              <w:spacing w:line="400" w:lineRule="exact"/>
              <w:ind w:firstLine="420" w:firstLineChars="200"/>
              <w:rPr>
                <w:rFonts w:ascii="宋体" w:hAnsi="宋体"/>
                <w:color w:val="auto"/>
                <w:szCs w:val="21"/>
              </w:rPr>
            </w:pPr>
          </w:p>
        </w:tc>
        <w:tc>
          <w:tcPr>
            <w:tcW w:w="5103" w:type="dxa"/>
          </w:tcPr>
          <w:p w14:paraId="16F1100F">
            <w:pPr>
              <w:spacing w:line="400" w:lineRule="exact"/>
              <w:ind w:firstLine="420" w:firstLineChars="200"/>
              <w:rPr>
                <w:rFonts w:ascii="宋体" w:hAnsi="宋体"/>
                <w:color w:val="auto"/>
                <w:szCs w:val="21"/>
              </w:rPr>
            </w:pPr>
          </w:p>
        </w:tc>
        <w:tc>
          <w:tcPr>
            <w:tcW w:w="1560" w:type="dxa"/>
          </w:tcPr>
          <w:p w14:paraId="06D0DF6E">
            <w:pPr>
              <w:spacing w:line="400" w:lineRule="exact"/>
              <w:ind w:firstLine="420" w:firstLineChars="200"/>
              <w:rPr>
                <w:rFonts w:ascii="宋体" w:hAnsi="宋体"/>
                <w:color w:val="auto"/>
                <w:szCs w:val="21"/>
              </w:rPr>
            </w:pPr>
          </w:p>
        </w:tc>
      </w:tr>
      <w:tr w14:paraId="423E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CB49DAB">
            <w:pPr>
              <w:spacing w:line="400" w:lineRule="exact"/>
              <w:ind w:firstLine="420" w:firstLineChars="200"/>
              <w:rPr>
                <w:rFonts w:ascii="宋体" w:hAnsi="宋体"/>
                <w:color w:val="auto"/>
                <w:szCs w:val="21"/>
              </w:rPr>
            </w:pPr>
          </w:p>
        </w:tc>
        <w:tc>
          <w:tcPr>
            <w:tcW w:w="1984" w:type="dxa"/>
          </w:tcPr>
          <w:p w14:paraId="57A4B1F7">
            <w:pPr>
              <w:spacing w:line="400" w:lineRule="exact"/>
              <w:ind w:firstLine="420" w:firstLineChars="200"/>
              <w:rPr>
                <w:rFonts w:ascii="宋体" w:hAnsi="宋体"/>
                <w:color w:val="auto"/>
                <w:szCs w:val="21"/>
              </w:rPr>
            </w:pPr>
          </w:p>
        </w:tc>
        <w:tc>
          <w:tcPr>
            <w:tcW w:w="5103" w:type="dxa"/>
          </w:tcPr>
          <w:p w14:paraId="078E61D8">
            <w:pPr>
              <w:spacing w:line="400" w:lineRule="exact"/>
              <w:ind w:firstLine="420" w:firstLineChars="200"/>
              <w:rPr>
                <w:rFonts w:ascii="宋体" w:hAnsi="宋体"/>
                <w:color w:val="auto"/>
                <w:szCs w:val="21"/>
              </w:rPr>
            </w:pPr>
          </w:p>
        </w:tc>
        <w:tc>
          <w:tcPr>
            <w:tcW w:w="1560" w:type="dxa"/>
          </w:tcPr>
          <w:p w14:paraId="32AC439E">
            <w:pPr>
              <w:spacing w:line="400" w:lineRule="exact"/>
              <w:ind w:firstLine="420" w:firstLineChars="200"/>
              <w:rPr>
                <w:rFonts w:ascii="宋体" w:hAnsi="宋体"/>
                <w:color w:val="auto"/>
                <w:szCs w:val="21"/>
              </w:rPr>
            </w:pPr>
          </w:p>
        </w:tc>
      </w:tr>
      <w:tr w14:paraId="50E9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EBC7DF7">
            <w:pPr>
              <w:spacing w:line="400" w:lineRule="exact"/>
              <w:ind w:firstLine="420" w:firstLineChars="200"/>
              <w:rPr>
                <w:rFonts w:ascii="宋体" w:hAnsi="宋体"/>
                <w:color w:val="auto"/>
                <w:szCs w:val="21"/>
              </w:rPr>
            </w:pPr>
          </w:p>
        </w:tc>
        <w:tc>
          <w:tcPr>
            <w:tcW w:w="1984" w:type="dxa"/>
          </w:tcPr>
          <w:p w14:paraId="422D3794">
            <w:pPr>
              <w:spacing w:line="400" w:lineRule="exact"/>
              <w:ind w:firstLine="420" w:firstLineChars="200"/>
              <w:rPr>
                <w:rFonts w:ascii="宋体" w:hAnsi="宋体"/>
                <w:color w:val="auto"/>
                <w:szCs w:val="21"/>
              </w:rPr>
            </w:pPr>
          </w:p>
        </w:tc>
        <w:tc>
          <w:tcPr>
            <w:tcW w:w="5103" w:type="dxa"/>
          </w:tcPr>
          <w:p w14:paraId="6B2C5790">
            <w:pPr>
              <w:spacing w:line="400" w:lineRule="exact"/>
              <w:ind w:firstLine="420" w:firstLineChars="200"/>
              <w:rPr>
                <w:rFonts w:ascii="宋体" w:hAnsi="宋体"/>
                <w:color w:val="auto"/>
                <w:szCs w:val="21"/>
              </w:rPr>
            </w:pPr>
          </w:p>
        </w:tc>
        <w:tc>
          <w:tcPr>
            <w:tcW w:w="1560" w:type="dxa"/>
          </w:tcPr>
          <w:p w14:paraId="66340CD9">
            <w:pPr>
              <w:spacing w:line="400" w:lineRule="exact"/>
              <w:ind w:firstLine="420" w:firstLineChars="200"/>
              <w:rPr>
                <w:rFonts w:ascii="宋体" w:hAnsi="宋体"/>
                <w:color w:val="auto"/>
                <w:szCs w:val="21"/>
              </w:rPr>
            </w:pPr>
          </w:p>
        </w:tc>
      </w:tr>
      <w:tr w14:paraId="331B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78CD997">
            <w:pPr>
              <w:spacing w:line="400" w:lineRule="exact"/>
              <w:ind w:firstLine="420" w:firstLineChars="200"/>
              <w:rPr>
                <w:rFonts w:ascii="宋体" w:hAnsi="宋体"/>
                <w:color w:val="auto"/>
                <w:szCs w:val="21"/>
              </w:rPr>
            </w:pPr>
          </w:p>
        </w:tc>
        <w:tc>
          <w:tcPr>
            <w:tcW w:w="1984" w:type="dxa"/>
          </w:tcPr>
          <w:p w14:paraId="544649A6">
            <w:pPr>
              <w:spacing w:line="400" w:lineRule="exact"/>
              <w:ind w:firstLine="420" w:firstLineChars="200"/>
              <w:rPr>
                <w:rFonts w:ascii="宋体" w:hAnsi="宋体"/>
                <w:color w:val="auto"/>
                <w:szCs w:val="21"/>
              </w:rPr>
            </w:pPr>
          </w:p>
        </w:tc>
        <w:tc>
          <w:tcPr>
            <w:tcW w:w="5103" w:type="dxa"/>
          </w:tcPr>
          <w:p w14:paraId="47E1118B">
            <w:pPr>
              <w:spacing w:line="400" w:lineRule="exact"/>
              <w:ind w:firstLine="420" w:firstLineChars="200"/>
              <w:rPr>
                <w:rFonts w:ascii="宋体" w:hAnsi="宋体"/>
                <w:color w:val="auto"/>
                <w:szCs w:val="21"/>
              </w:rPr>
            </w:pPr>
          </w:p>
        </w:tc>
        <w:tc>
          <w:tcPr>
            <w:tcW w:w="1560" w:type="dxa"/>
          </w:tcPr>
          <w:p w14:paraId="1B278E7F">
            <w:pPr>
              <w:spacing w:line="400" w:lineRule="exact"/>
              <w:ind w:firstLine="420" w:firstLineChars="200"/>
              <w:rPr>
                <w:rFonts w:ascii="宋体" w:hAnsi="宋体"/>
                <w:color w:val="auto"/>
                <w:szCs w:val="21"/>
              </w:rPr>
            </w:pPr>
          </w:p>
        </w:tc>
      </w:tr>
      <w:tr w14:paraId="6457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760597F">
            <w:pPr>
              <w:spacing w:line="400" w:lineRule="exact"/>
              <w:ind w:firstLine="420" w:firstLineChars="200"/>
              <w:rPr>
                <w:rFonts w:ascii="宋体" w:hAnsi="宋体"/>
                <w:color w:val="auto"/>
                <w:szCs w:val="21"/>
              </w:rPr>
            </w:pPr>
          </w:p>
        </w:tc>
        <w:tc>
          <w:tcPr>
            <w:tcW w:w="1984" w:type="dxa"/>
          </w:tcPr>
          <w:p w14:paraId="460D8B27">
            <w:pPr>
              <w:spacing w:line="400" w:lineRule="exact"/>
              <w:ind w:firstLine="420" w:firstLineChars="200"/>
              <w:rPr>
                <w:rFonts w:ascii="宋体" w:hAnsi="宋体"/>
                <w:color w:val="auto"/>
                <w:szCs w:val="21"/>
              </w:rPr>
            </w:pPr>
          </w:p>
        </w:tc>
        <w:tc>
          <w:tcPr>
            <w:tcW w:w="5103" w:type="dxa"/>
          </w:tcPr>
          <w:p w14:paraId="264DB928">
            <w:pPr>
              <w:spacing w:line="400" w:lineRule="exact"/>
              <w:ind w:firstLine="420" w:firstLineChars="200"/>
              <w:rPr>
                <w:rFonts w:ascii="宋体" w:hAnsi="宋体"/>
                <w:color w:val="auto"/>
                <w:szCs w:val="21"/>
              </w:rPr>
            </w:pPr>
          </w:p>
        </w:tc>
        <w:tc>
          <w:tcPr>
            <w:tcW w:w="1560" w:type="dxa"/>
          </w:tcPr>
          <w:p w14:paraId="3D5B5CE4">
            <w:pPr>
              <w:spacing w:line="400" w:lineRule="exact"/>
              <w:ind w:firstLine="420" w:firstLineChars="200"/>
              <w:rPr>
                <w:rFonts w:ascii="宋体" w:hAnsi="宋体"/>
                <w:color w:val="auto"/>
                <w:szCs w:val="21"/>
              </w:rPr>
            </w:pPr>
          </w:p>
        </w:tc>
      </w:tr>
      <w:tr w14:paraId="70F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8B41BCB">
            <w:pPr>
              <w:spacing w:line="400" w:lineRule="exact"/>
              <w:ind w:firstLine="420" w:firstLineChars="200"/>
              <w:rPr>
                <w:rFonts w:ascii="宋体" w:hAnsi="宋体"/>
                <w:color w:val="auto"/>
                <w:szCs w:val="21"/>
              </w:rPr>
            </w:pPr>
          </w:p>
        </w:tc>
        <w:tc>
          <w:tcPr>
            <w:tcW w:w="1984" w:type="dxa"/>
          </w:tcPr>
          <w:p w14:paraId="1028F622">
            <w:pPr>
              <w:spacing w:line="400" w:lineRule="exact"/>
              <w:ind w:firstLine="420" w:firstLineChars="200"/>
              <w:rPr>
                <w:rFonts w:ascii="宋体" w:hAnsi="宋体"/>
                <w:color w:val="auto"/>
                <w:szCs w:val="21"/>
              </w:rPr>
            </w:pPr>
          </w:p>
        </w:tc>
        <w:tc>
          <w:tcPr>
            <w:tcW w:w="5103" w:type="dxa"/>
          </w:tcPr>
          <w:p w14:paraId="19C0E9CA">
            <w:pPr>
              <w:spacing w:line="400" w:lineRule="exact"/>
              <w:ind w:firstLine="420" w:firstLineChars="200"/>
              <w:rPr>
                <w:rFonts w:ascii="宋体" w:hAnsi="宋体"/>
                <w:color w:val="auto"/>
                <w:szCs w:val="21"/>
              </w:rPr>
            </w:pPr>
          </w:p>
        </w:tc>
        <w:tc>
          <w:tcPr>
            <w:tcW w:w="1560" w:type="dxa"/>
          </w:tcPr>
          <w:p w14:paraId="29421B2F">
            <w:pPr>
              <w:spacing w:line="400" w:lineRule="exact"/>
              <w:ind w:firstLine="420" w:firstLineChars="200"/>
              <w:rPr>
                <w:rFonts w:ascii="宋体" w:hAnsi="宋体"/>
                <w:color w:val="auto"/>
                <w:szCs w:val="21"/>
              </w:rPr>
            </w:pPr>
          </w:p>
        </w:tc>
      </w:tr>
      <w:tr w14:paraId="613A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AD8BA1F">
            <w:pPr>
              <w:spacing w:line="400" w:lineRule="exact"/>
              <w:ind w:firstLine="420" w:firstLineChars="200"/>
              <w:rPr>
                <w:rFonts w:ascii="宋体" w:hAnsi="宋体"/>
                <w:color w:val="auto"/>
                <w:szCs w:val="21"/>
              </w:rPr>
            </w:pPr>
          </w:p>
        </w:tc>
        <w:tc>
          <w:tcPr>
            <w:tcW w:w="1984" w:type="dxa"/>
          </w:tcPr>
          <w:p w14:paraId="57F67C0F">
            <w:pPr>
              <w:spacing w:line="400" w:lineRule="exact"/>
              <w:ind w:firstLine="420" w:firstLineChars="200"/>
              <w:rPr>
                <w:rFonts w:ascii="宋体" w:hAnsi="宋体"/>
                <w:color w:val="auto"/>
                <w:szCs w:val="21"/>
              </w:rPr>
            </w:pPr>
          </w:p>
        </w:tc>
        <w:tc>
          <w:tcPr>
            <w:tcW w:w="5103" w:type="dxa"/>
          </w:tcPr>
          <w:p w14:paraId="6AA7C4C1">
            <w:pPr>
              <w:spacing w:line="400" w:lineRule="exact"/>
              <w:ind w:firstLine="420" w:firstLineChars="200"/>
              <w:rPr>
                <w:rFonts w:ascii="宋体" w:hAnsi="宋体"/>
                <w:color w:val="auto"/>
                <w:szCs w:val="21"/>
              </w:rPr>
            </w:pPr>
          </w:p>
        </w:tc>
        <w:tc>
          <w:tcPr>
            <w:tcW w:w="1560" w:type="dxa"/>
          </w:tcPr>
          <w:p w14:paraId="41E3C5B3">
            <w:pPr>
              <w:spacing w:line="400" w:lineRule="exact"/>
              <w:ind w:firstLine="420" w:firstLineChars="200"/>
              <w:rPr>
                <w:rFonts w:ascii="宋体" w:hAnsi="宋体"/>
                <w:color w:val="auto"/>
                <w:szCs w:val="21"/>
              </w:rPr>
            </w:pPr>
          </w:p>
        </w:tc>
      </w:tr>
      <w:tr w14:paraId="5CC0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6E46BE8">
            <w:pPr>
              <w:spacing w:line="400" w:lineRule="exact"/>
              <w:ind w:firstLine="420" w:firstLineChars="200"/>
              <w:rPr>
                <w:rFonts w:ascii="宋体" w:hAnsi="宋体"/>
                <w:color w:val="auto"/>
                <w:szCs w:val="21"/>
              </w:rPr>
            </w:pPr>
          </w:p>
        </w:tc>
        <w:tc>
          <w:tcPr>
            <w:tcW w:w="1984" w:type="dxa"/>
          </w:tcPr>
          <w:p w14:paraId="3CF398EB">
            <w:pPr>
              <w:spacing w:line="400" w:lineRule="exact"/>
              <w:ind w:firstLine="420" w:firstLineChars="200"/>
              <w:rPr>
                <w:rFonts w:ascii="宋体" w:hAnsi="宋体"/>
                <w:color w:val="auto"/>
                <w:szCs w:val="21"/>
              </w:rPr>
            </w:pPr>
          </w:p>
        </w:tc>
        <w:tc>
          <w:tcPr>
            <w:tcW w:w="5103" w:type="dxa"/>
          </w:tcPr>
          <w:p w14:paraId="11E3D26B">
            <w:pPr>
              <w:spacing w:line="400" w:lineRule="exact"/>
              <w:ind w:firstLine="420" w:firstLineChars="200"/>
              <w:rPr>
                <w:rFonts w:ascii="宋体" w:hAnsi="宋体"/>
                <w:color w:val="auto"/>
                <w:szCs w:val="21"/>
              </w:rPr>
            </w:pPr>
          </w:p>
        </w:tc>
        <w:tc>
          <w:tcPr>
            <w:tcW w:w="1560" w:type="dxa"/>
          </w:tcPr>
          <w:p w14:paraId="79FBD13C">
            <w:pPr>
              <w:spacing w:line="400" w:lineRule="exact"/>
              <w:ind w:firstLine="420" w:firstLineChars="200"/>
              <w:rPr>
                <w:rFonts w:ascii="宋体" w:hAnsi="宋体"/>
                <w:color w:val="auto"/>
                <w:szCs w:val="21"/>
              </w:rPr>
            </w:pPr>
          </w:p>
        </w:tc>
      </w:tr>
      <w:tr w14:paraId="42EB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7DCFE33">
            <w:pPr>
              <w:spacing w:line="400" w:lineRule="exact"/>
              <w:ind w:firstLine="420" w:firstLineChars="200"/>
              <w:rPr>
                <w:rFonts w:ascii="宋体" w:hAnsi="宋体"/>
                <w:color w:val="auto"/>
                <w:szCs w:val="21"/>
              </w:rPr>
            </w:pPr>
          </w:p>
        </w:tc>
        <w:tc>
          <w:tcPr>
            <w:tcW w:w="1984" w:type="dxa"/>
          </w:tcPr>
          <w:p w14:paraId="4C4071C3">
            <w:pPr>
              <w:spacing w:line="400" w:lineRule="exact"/>
              <w:ind w:firstLine="420" w:firstLineChars="200"/>
              <w:rPr>
                <w:rFonts w:ascii="宋体" w:hAnsi="宋体"/>
                <w:color w:val="auto"/>
                <w:szCs w:val="21"/>
              </w:rPr>
            </w:pPr>
          </w:p>
        </w:tc>
        <w:tc>
          <w:tcPr>
            <w:tcW w:w="5103" w:type="dxa"/>
          </w:tcPr>
          <w:p w14:paraId="3898DE1D">
            <w:pPr>
              <w:spacing w:line="400" w:lineRule="exact"/>
              <w:ind w:firstLine="420" w:firstLineChars="200"/>
              <w:rPr>
                <w:rFonts w:ascii="宋体" w:hAnsi="宋体"/>
                <w:color w:val="auto"/>
                <w:szCs w:val="21"/>
              </w:rPr>
            </w:pPr>
          </w:p>
        </w:tc>
        <w:tc>
          <w:tcPr>
            <w:tcW w:w="1560" w:type="dxa"/>
          </w:tcPr>
          <w:p w14:paraId="434CB6B5">
            <w:pPr>
              <w:spacing w:line="400" w:lineRule="exact"/>
              <w:ind w:firstLine="420" w:firstLineChars="200"/>
              <w:rPr>
                <w:rFonts w:ascii="宋体" w:hAnsi="宋体"/>
                <w:color w:val="auto"/>
                <w:szCs w:val="21"/>
              </w:rPr>
            </w:pPr>
          </w:p>
        </w:tc>
      </w:tr>
      <w:tr w14:paraId="1D45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9BD65E2">
            <w:pPr>
              <w:spacing w:line="400" w:lineRule="exact"/>
              <w:ind w:firstLine="420" w:firstLineChars="200"/>
              <w:rPr>
                <w:rFonts w:ascii="宋体" w:hAnsi="宋体"/>
                <w:color w:val="auto"/>
                <w:szCs w:val="21"/>
              </w:rPr>
            </w:pPr>
          </w:p>
        </w:tc>
        <w:tc>
          <w:tcPr>
            <w:tcW w:w="1984" w:type="dxa"/>
          </w:tcPr>
          <w:p w14:paraId="4EDE17A3">
            <w:pPr>
              <w:spacing w:line="400" w:lineRule="exact"/>
              <w:ind w:firstLine="420" w:firstLineChars="200"/>
              <w:rPr>
                <w:rFonts w:ascii="宋体" w:hAnsi="宋体"/>
                <w:color w:val="auto"/>
                <w:szCs w:val="21"/>
              </w:rPr>
            </w:pPr>
          </w:p>
        </w:tc>
        <w:tc>
          <w:tcPr>
            <w:tcW w:w="5103" w:type="dxa"/>
          </w:tcPr>
          <w:p w14:paraId="3CF01605">
            <w:pPr>
              <w:spacing w:line="400" w:lineRule="exact"/>
              <w:ind w:firstLine="420" w:firstLineChars="200"/>
              <w:rPr>
                <w:rFonts w:ascii="宋体" w:hAnsi="宋体"/>
                <w:color w:val="auto"/>
                <w:szCs w:val="21"/>
              </w:rPr>
            </w:pPr>
          </w:p>
        </w:tc>
        <w:tc>
          <w:tcPr>
            <w:tcW w:w="1560" w:type="dxa"/>
          </w:tcPr>
          <w:p w14:paraId="50F389FF">
            <w:pPr>
              <w:spacing w:line="400" w:lineRule="exact"/>
              <w:ind w:firstLine="420" w:firstLineChars="200"/>
              <w:rPr>
                <w:rFonts w:ascii="宋体" w:hAnsi="宋体"/>
                <w:color w:val="auto"/>
                <w:szCs w:val="21"/>
              </w:rPr>
            </w:pPr>
          </w:p>
        </w:tc>
      </w:tr>
      <w:tr w14:paraId="2F64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66BD011">
            <w:pPr>
              <w:spacing w:line="400" w:lineRule="exact"/>
              <w:ind w:firstLine="420" w:firstLineChars="200"/>
              <w:rPr>
                <w:rFonts w:ascii="宋体" w:hAnsi="宋体"/>
                <w:color w:val="auto"/>
                <w:szCs w:val="21"/>
              </w:rPr>
            </w:pPr>
          </w:p>
        </w:tc>
        <w:tc>
          <w:tcPr>
            <w:tcW w:w="1984" w:type="dxa"/>
          </w:tcPr>
          <w:p w14:paraId="41FF6AB9">
            <w:pPr>
              <w:spacing w:line="400" w:lineRule="exact"/>
              <w:ind w:firstLine="420" w:firstLineChars="200"/>
              <w:rPr>
                <w:rFonts w:ascii="宋体" w:hAnsi="宋体"/>
                <w:color w:val="auto"/>
                <w:szCs w:val="21"/>
              </w:rPr>
            </w:pPr>
          </w:p>
        </w:tc>
        <w:tc>
          <w:tcPr>
            <w:tcW w:w="5103" w:type="dxa"/>
          </w:tcPr>
          <w:p w14:paraId="6EC951DC">
            <w:pPr>
              <w:spacing w:line="400" w:lineRule="exact"/>
              <w:ind w:firstLine="420" w:firstLineChars="200"/>
              <w:rPr>
                <w:rFonts w:ascii="宋体" w:hAnsi="宋体"/>
                <w:color w:val="auto"/>
                <w:szCs w:val="21"/>
              </w:rPr>
            </w:pPr>
          </w:p>
        </w:tc>
        <w:tc>
          <w:tcPr>
            <w:tcW w:w="1560" w:type="dxa"/>
          </w:tcPr>
          <w:p w14:paraId="795692F5">
            <w:pPr>
              <w:spacing w:line="400" w:lineRule="exact"/>
              <w:ind w:firstLine="420" w:firstLineChars="200"/>
              <w:rPr>
                <w:rFonts w:ascii="宋体" w:hAnsi="宋体"/>
                <w:color w:val="auto"/>
                <w:szCs w:val="21"/>
              </w:rPr>
            </w:pPr>
          </w:p>
        </w:tc>
      </w:tr>
      <w:tr w14:paraId="1171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815EC5">
            <w:pPr>
              <w:spacing w:line="400" w:lineRule="exact"/>
              <w:ind w:firstLine="420" w:firstLineChars="200"/>
              <w:rPr>
                <w:rFonts w:ascii="宋体" w:hAnsi="宋体"/>
                <w:color w:val="auto"/>
                <w:szCs w:val="21"/>
              </w:rPr>
            </w:pPr>
          </w:p>
        </w:tc>
        <w:tc>
          <w:tcPr>
            <w:tcW w:w="1984" w:type="dxa"/>
          </w:tcPr>
          <w:p w14:paraId="64FAC333">
            <w:pPr>
              <w:spacing w:line="400" w:lineRule="exact"/>
              <w:ind w:firstLine="420" w:firstLineChars="200"/>
              <w:rPr>
                <w:rFonts w:ascii="宋体" w:hAnsi="宋体"/>
                <w:color w:val="auto"/>
                <w:szCs w:val="21"/>
              </w:rPr>
            </w:pPr>
          </w:p>
        </w:tc>
        <w:tc>
          <w:tcPr>
            <w:tcW w:w="5103" w:type="dxa"/>
          </w:tcPr>
          <w:p w14:paraId="15E93E32">
            <w:pPr>
              <w:spacing w:line="400" w:lineRule="exact"/>
              <w:ind w:firstLine="420" w:firstLineChars="200"/>
              <w:rPr>
                <w:rFonts w:ascii="宋体" w:hAnsi="宋体"/>
                <w:color w:val="auto"/>
                <w:szCs w:val="21"/>
              </w:rPr>
            </w:pPr>
          </w:p>
        </w:tc>
        <w:tc>
          <w:tcPr>
            <w:tcW w:w="1560" w:type="dxa"/>
          </w:tcPr>
          <w:p w14:paraId="223005F9">
            <w:pPr>
              <w:spacing w:line="400" w:lineRule="exact"/>
              <w:ind w:firstLine="420" w:firstLineChars="200"/>
              <w:rPr>
                <w:rFonts w:ascii="宋体" w:hAnsi="宋体"/>
                <w:color w:val="auto"/>
                <w:szCs w:val="21"/>
              </w:rPr>
            </w:pPr>
          </w:p>
        </w:tc>
      </w:tr>
      <w:tr w14:paraId="2347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D61A973">
            <w:pPr>
              <w:spacing w:line="400" w:lineRule="exact"/>
              <w:ind w:firstLine="420" w:firstLineChars="200"/>
              <w:rPr>
                <w:rFonts w:ascii="宋体" w:hAnsi="宋体"/>
                <w:color w:val="auto"/>
                <w:szCs w:val="21"/>
              </w:rPr>
            </w:pPr>
          </w:p>
        </w:tc>
        <w:tc>
          <w:tcPr>
            <w:tcW w:w="1984" w:type="dxa"/>
          </w:tcPr>
          <w:p w14:paraId="3C9641B6">
            <w:pPr>
              <w:spacing w:line="400" w:lineRule="exact"/>
              <w:ind w:firstLine="420" w:firstLineChars="200"/>
              <w:rPr>
                <w:rFonts w:ascii="宋体" w:hAnsi="宋体"/>
                <w:color w:val="auto"/>
                <w:szCs w:val="21"/>
              </w:rPr>
            </w:pPr>
          </w:p>
        </w:tc>
        <w:tc>
          <w:tcPr>
            <w:tcW w:w="5103" w:type="dxa"/>
          </w:tcPr>
          <w:p w14:paraId="0D8F6A23">
            <w:pPr>
              <w:spacing w:line="400" w:lineRule="exact"/>
              <w:ind w:firstLine="420" w:firstLineChars="200"/>
              <w:rPr>
                <w:rFonts w:ascii="宋体" w:hAnsi="宋体"/>
                <w:color w:val="auto"/>
                <w:szCs w:val="21"/>
              </w:rPr>
            </w:pPr>
          </w:p>
        </w:tc>
        <w:tc>
          <w:tcPr>
            <w:tcW w:w="1560" w:type="dxa"/>
          </w:tcPr>
          <w:p w14:paraId="298CFA93">
            <w:pPr>
              <w:spacing w:line="400" w:lineRule="exact"/>
              <w:ind w:firstLine="420" w:firstLineChars="200"/>
              <w:rPr>
                <w:rFonts w:ascii="宋体" w:hAnsi="宋体"/>
                <w:color w:val="auto"/>
                <w:szCs w:val="21"/>
              </w:rPr>
            </w:pPr>
          </w:p>
        </w:tc>
      </w:tr>
      <w:tr w14:paraId="4570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7C80A4">
            <w:pPr>
              <w:spacing w:line="400" w:lineRule="exact"/>
              <w:ind w:firstLine="420" w:firstLineChars="200"/>
              <w:rPr>
                <w:rFonts w:ascii="宋体" w:hAnsi="宋体"/>
                <w:color w:val="auto"/>
                <w:szCs w:val="21"/>
              </w:rPr>
            </w:pPr>
          </w:p>
        </w:tc>
        <w:tc>
          <w:tcPr>
            <w:tcW w:w="1984" w:type="dxa"/>
          </w:tcPr>
          <w:p w14:paraId="4472ED5F">
            <w:pPr>
              <w:spacing w:line="400" w:lineRule="exact"/>
              <w:ind w:firstLine="420" w:firstLineChars="200"/>
              <w:rPr>
                <w:rFonts w:ascii="宋体" w:hAnsi="宋体"/>
                <w:color w:val="auto"/>
                <w:szCs w:val="21"/>
              </w:rPr>
            </w:pPr>
          </w:p>
        </w:tc>
        <w:tc>
          <w:tcPr>
            <w:tcW w:w="5103" w:type="dxa"/>
          </w:tcPr>
          <w:p w14:paraId="42F4A62E">
            <w:pPr>
              <w:spacing w:line="400" w:lineRule="exact"/>
              <w:ind w:firstLine="420" w:firstLineChars="200"/>
              <w:rPr>
                <w:rFonts w:ascii="宋体" w:hAnsi="宋体"/>
                <w:color w:val="auto"/>
                <w:szCs w:val="21"/>
              </w:rPr>
            </w:pPr>
          </w:p>
        </w:tc>
        <w:tc>
          <w:tcPr>
            <w:tcW w:w="1560" w:type="dxa"/>
          </w:tcPr>
          <w:p w14:paraId="27C52C79">
            <w:pPr>
              <w:spacing w:line="400" w:lineRule="exact"/>
              <w:ind w:firstLine="420" w:firstLineChars="200"/>
              <w:rPr>
                <w:rFonts w:ascii="宋体" w:hAnsi="宋体"/>
                <w:color w:val="auto"/>
                <w:szCs w:val="21"/>
              </w:rPr>
            </w:pPr>
          </w:p>
        </w:tc>
      </w:tr>
      <w:tr w14:paraId="17BE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EC280AC">
            <w:pPr>
              <w:spacing w:line="400" w:lineRule="exact"/>
              <w:ind w:firstLine="420" w:firstLineChars="200"/>
              <w:rPr>
                <w:rFonts w:ascii="宋体" w:hAnsi="宋体"/>
                <w:color w:val="auto"/>
                <w:szCs w:val="21"/>
              </w:rPr>
            </w:pPr>
          </w:p>
        </w:tc>
        <w:tc>
          <w:tcPr>
            <w:tcW w:w="1984" w:type="dxa"/>
          </w:tcPr>
          <w:p w14:paraId="622D4747">
            <w:pPr>
              <w:spacing w:line="400" w:lineRule="exact"/>
              <w:ind w:firstLine="420" w:firstLineChars="200"/>
              <w:rPr>
                <w:rFonts w:ascii="宋体" w:hAnsi="宋体"/>
                <w:color w:val="auto"/>
                <w:szCs w:val="21"/>
              </w:rPr>
            </w:pPr>
          </w:p>
        </w:tc>
        <w:tc>
          <w:tcPr>
            <w:tcW w:w="5103" w:type="dxa"/>
          </w:tcPr>
          <w:p w14:paraId="4E5ED2DE">
            <w:pPr>
              <w:spacing w:line="400" w:lineRule="exact"/>
              <w:ind w:firstLine="420" w:firstLineChars="200"/>
              <w:rPr>
                <w:rFonts w:ascii="宋体" w:hAnsi="宋体"/>
                <w:color w:val="auto"/>
                <w:szCs w:val="21"/>
              </w:rPr>
            </w:pPr>
          </w:p>
        </w:tc>
        <w:tc>
          <w:tcPr>
            <w:tcW w:w="1560" w:type="dxa"/>
          </w:tcPr>
          <w:p w14:paraId="69F44708">
            <w:pPr>
              <w:spacing w:line="400" w:lineRule="exact"/>
              <w:ind w:firstLine="420" w:firstLineChars="200"/>
              <w:rPr>
                <w:rFonts w:ascii="宋体" w:hAnsi="宋体"/>
                <w:color w:val="auto"/>
                <w:szCs w:val="21"/>
              </w:rPr>
            </w:pPr>
          </w:p>
        </w:tc>
      </w:tr>
      <w:tr w14:paraId="0533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FD8FADE">
            <w:pPr>
              <w:spacing w:line="400" w:lineRule="exact"/>
              <w:ind w:firstLine="420" w:firstLineChars="200"/>
              <w:rPr>
                <w:rFonts w:ascii="宋体" w:hAnsi="宋体"/>
                <w:color w:val="auto"/>
                <w:szCs w:val="21"/>
              </w:rPr>
            </w:pPr>
          </w:p>
        </w:tc>
        <w:tc>
          <w:tcPr>
            <w:tcW w:w="1984" w:type="dxa"/>
          </w:tcPr>
          <w:p w14:paraId="273262F3">
            <w:pPr>
              <w:spacing w:line="400" w:lineRule="exact"/>
              <w:ind w:firstLine="420" w:firstLineChars="200"/>
              <w:rPr>
                <w:rFonts w:ascii="宋体" w:hAnsi="宋体"/>
                <w:color w:val="auto"/>
                <w:szCs w:val="21"/>
              </w:rPr>
            </w:pPr>
          </w:p>
        </w:tc>
        <w:tc>
          <w:tcPr>
            <w:tcW w:w="5103" w:type="dxa"/>
          </w:tcPr>
          <w:p w14:paraId="08B4DFAA">
            <w:pPr>
              <w:spacing w:line="400" w:lineRule="exact"/>
              <w:ind w:firstLine="420" w:firstLineChars="200"/>
              <w:rPr>
                <w:rFonts w:ascii="宋体" w:hAnsi="宋体"/>
                <w:color w:val="auto"/>
                <w:szCs w:val="21"/>
              </w:rPr>
            </w:pPr>
          </w:p>
        </w:tc>
        <w:tc>
          <w:tcPr>
            <w:tcW w:w="1560" w:type="dxa"/>
          </w:tcPr>
          <w:p w14:paraId="79F8F87A">
            <w:pPr>
              <w:spacing w:line="400" w:lineRule="exact"/>
              <w:ind w:firstLine="420" w:firstLineChars="200"/>
              <w:rPr>
                <w:rFonts w:ascii="宋体" w:hAnsi="宋体"/>
                <w:color w:val="auto"/>
                <w:szCs w:val="21"/>
              </w:rPr>
            </w:pPr>
          </w:p>
        </w:tc>
      </w:tr>
      <w:tr w14:paraId="5EF7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EA4D5E5">
            <w:pPr>
              <w:spacing w:line="400" w:lineRule="exact"/>
              <w:ind w:firstLine="420" w:firstLineChars="200"/>
              <w:rPr>
                <w:rFonts w:ascii="宋体" w:hAnsi="宋体"/>
                <w:color w:val="auto"/>
                <w:szCs w:val="21"/>
              </w:rPr>
            </w:pPr>
          </w:p>
        </w:tc>
        <w:tc>
          <w:tcPr>
            <w:tcW w:w="1984" w:type="dxa"/>
          </w:tcPr>
          <w:p w14:paraId="362B9C1D">
            <w:pPr>
              <w:spacing w:line="400" w:lineRule="exact"/>
              <w:ind w:firstLine="420" w:firstLineChars="200"/>
              <w:rPr>
                <w:rFonts w:ascii="宋体" w:hAnsi="宋体"/>
                <w:color w:val="auto"/>
                <w:szCs w:val="21"/>
              </w:rPr>
            </w:pPr>
          </w:p>
        </w:tc>
        <w:tc>
          <w:tcPr>
            <w:tcW w:w="5103" w:type="dxa"/>
          </w:tcPr>
          <w:p w14:paraId="126C31F9">
            <w:pPr>
              <w:spacing w:line="400" w:lineRule="exact"/>
              <w:ind w:firstLine="420" w:firstLineChars="200"/>
              <w:rPr>
                <w:rFonts w:ascii="宋体" w:hAnsi="宋体"/>
                <w:color w:val="auto"/>
                <w:szCs w:val="21"/>
              </w:rPr>
            </w:pPr>
          </w:p>
        </w:tc>
        <w:tc>
          <w:tcPr>
            <w:tcW w:w="1560" w:type="dxa"/>
          </w:tcPr>
          <w:p w14:paraId="4B34E565">
            <w:pPr>
              <w:spacing w:line="400" w:lineRule="exact"/>
              <w:ind w:firstLine="420" w:firstLineChars="200"/>
              <w:rPr>
                <w:rFonts w:ascii="宋体" w:hAnsi="宋体"/>
                <w:color w:val="auto"/>
                <w:szCs w:val="21"/>
              </w:rPr>
            </w:pPr>
          </w:p>
        </w:tc>
      </w:tr>
      <w:tr w14:paraId="5A5C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6A79DBB">
            <w:pPr>
              <w:spacing w:line="400" w:lineRule="exact"/>
              <w:ind w:firstLine="420" w:firstLineChars="200"/>
              <w:rPr>
                <w:rFonts w:ascii="宋体" w:hAnsi="宋体"/>
                <w:color w:val="auto"/>
                <w:szCs w:val="21"/>
              </w:rPr>
            </w:pPr>
          </w:p>
        </w:tc>
        <w:tc>
          <w:tcPr>
            <w:tcW w:w="1984" w:type="dxa"/>
          </w:tcPr>
          <w:p w14:paraId="3BCD6A8C">
            <w:pPr>
              <w:spacing w:line="400" w:lineRule="exact"/>
              <w:ind w:firstLine="420" w:firstLineChars="200"/>
              <w:rPr>
                <w:rFonts w:ascii="宋体" w:hAnsi="宋体"/>
                <w:color w:val="auto"/>
                <w:szCs w:val="21"/>
              </w:rPr>
            </w:pPr>
          </w:p>
        </w:tc>
        <w:tc>
          <w:tcPr>
            <w:tcW w:w="5103" w:type="dxa"/>
          </w:tcPr>
          <w:p w14:paraId="58B7C3FE">
            <w:pPr>
              <w:spacing w:line="400" w:lineRule="exact"/>
              <w:ind w:firstLine="420" w:firstLineChars="200"/>
              <w:rPr>
                <w:rFonts w:ascii="宋体" w:hAnsi="宋体"/>
                <w:color w:val="auto"/>
                <w:szCs w:val="21"/>
              </w:rPr>
            </w:pPr>
          </w:p>
        </w:tc>
        <w:tc>
          <w:tcPr>
            <w:tcW w:w="1560" w:type="dxa"/>
          </w:tcPr>
          <w:p w14:paraId="1C0499B5">
            <w:pPr>
              <w:spacing w:line="400" w:lineRule="exact"/>
              <w:ind w:firstLine="420" w:firstLineChars="200"/>
              <w:rPr>
                <w:rFonts w:ascii="宋体" w:hAnsi="宋体"/>
                <w:color w:val="auto"/>
                <w:szCs w:val="21"/>
              </w:rPr>
            </w:pPr>
          </w:p>
        </w:tc>
      </w:tr>
      <w:tr w14:paraId="341A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26B6477">
            <w:pPr>
              <w:spacing w:line="400" w:lineRule="exact"/>
              <w:ind w:firstLine="420" w:firstLineChars="200"/>
              <w:rPr>
                <w:rFonts w:ascii="宋体" w:hAnsi="宋体"/>
                <w:color w:val="auto"/>
                <w:szCs w:val="21"/>
              </w:rPr>
            </w:pPr>
          </w:p>
        </w:tc>
        <w:tc>
          <w:tcPr>
            <w:tcW w:w="1984" w:type="dxa"/>
          </w:tcPr>
          <w:p w14:paraId="1D30E5A5">
            <w:pPr>
              <w:spacing w:line="400" w:lineRule="exact"/>
              <w:ind w:firstLine="420" w:firstLineChars="200"/>
              <w:rPr>
                <w:rFonts w:ascii="宋体" w:hAnsi="宋体"/>
                <w:color w:val="auto"/>
                <w:szCs w:val="21"/>
              </w:rPr>
            </w:pPr>
          </w:p>
        </w:tc>
        <w:tc>
          <w:tcPr>
            <w:tcW w:w="5103" w:type="dxa"/>
          </w:tcPr>
          <w:p w14:paraId="500FF069">
            <w:pPr>
              <w:spacing w:line="400" w:lineRule="exact"/>
              <w:ind w:firstLine="420" w:firstLineChars="200"/>
              <w:rPr>
                <w:rFonts w:ascii="宋体" w:hAnsi="宋体"/>
                <w:color w:val="auto"/>
                <w:szCs w:val="21"/>
              </w:rPr>
            </w:pPr>
          </w:p>
        </w:tc>
        <w:tc>
          <w:tcPr>
            <w:tcW w:w="1560" w:type="dxa"/>
          </w:tcPr>
          <w:p w14:paraId="5AF6E7D3">
            <w:pPr>
              <w:spacing w:line="400" w:lineRule="exact"/>
              <w:ind w:firstLine="420" w:firstLineChars="200"/>
              <w:rPr>
                <w:rFonts w:ascii="宋体" w:hAnsi="宋体"/>
                <w:color w:val="auto"/>
                <w:szCs w:val="21"/>
              </w:rPr>
            </w:pPr>
          </w:p>
        </w:tc>
      </w:tr>
      <w:tr w14:paraId="24CC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C22753F">
            <w:pPr>
              <w:spacing w:line="400" w:lineRule="exact"/>
              <w:ind w:firstLine="420" w:firstLineChars="200"/>
              <w:rPr>
                <w:rFonts w:ascii="宋体" w:hAnsi="宋体"/>
                <w:color w:val="auto"/>
                <w:szCs w:val="21"/>
              </w:rPr>
            </w:pPr>
          </w:p>
        </w:tc>
        <w:tc>
          <w:tcPr>
            <w:tcW w:w="1984" w:type="dxa"/>
          </w:tcPr>
          <w:p w14:paraId="1F9C1158">
            <w:pPr>
              <w:spacing w:line="400" w:lineRule="exact"/>
              <w:ind w:firstLine="420" w:firstLineChars="200"/>
              <w:rPr>
                <w:rFonts w:ascii="宋体" w:hAnsi="宋体"/>
                <w:color w:val="auto"/>
                <w:szCs w:val="21"/>
              </w:rPr>
            </w:pPr>
          </w:p>
        </w:tc>
        <w:tc>
          <w:tcPr>
            <w:tcW w:w="5103" w:type="dxa"/>
          </w:tcPr>
          <w:p w14:paraId="17B82DC3">
            <w:pPr>
              <w:spacing w:line="400" w:lineRule="exact"/>
              <w:ind w:firstLine="420" w:firstLineChars="200"/>
              <w:rPr>
                <w:rFonts w:ascii="宋体" w:hAnsi="宋体"/>
                <w:color w:val="auto"/>
                <w:szCs w:val="21"/>
              </w:rPr>
            </w:pPr>
          </w:p>
        </w:tc>
        <w:tc>
          <w:tcPr>
            <w:tcW w:w="1560" w:type="dxa"/>
          </w:tcPr>
          <w:p w14:paraId="6ECB1490">
            <w:pPr>
              <w:spacing w:line="400" w:lineRule="exact"/>
              <w:ind w:firstLine="420" w:firstLineChars="200"/>
              <w:rPr>
                <w:rFonts w:ascii="宋体" w:hAnsi="宋体"/>
                <w:color w:val="auto"/>
                <w:szCs w:val="21"/>
              </w:rPr>
            </w:pPr>
          </w:p>
        </w:tc>
      </w:tr>
      <w:tr w14:paraId="1CD9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37C333BB">
            <w:pPr>
              <w:spacing w:line="400" w:lineRule="exact"/>
              <w:ind w:firstLine="420" w:firstLineChars="200"/>
              <w:rPr>
                <w:rFonts w:ascii="宋体" w:hAnsi="宋体"/>
                <w:color w:val="auto"/>
                <w:szCs w:val="21"/>
              </w:rPr>
            </w:pPr>
            <w:r>
              <w:rPr>
                <w:rFonts w:hint="eastAsia" w:ascii="宋体" w:hAnsi="宋体"/>
                <w:color w:val="auto"/>
                <w:szCs w:val="21"/>
              </w:rPr>
              <w:t>小计：</w:t>
            </w:r>
          </w:p>
        </w:tc>
      </w:tr>
    </w:tbl>
    <w:p w14:paraId="3450A001">
      <w:pPr>
        <w:spacing w:line="360" w:lineRule="auto"/>
        <w:ind w:firstLine="420" w:firstLineChars="200"/>
        <w:rPr>
          <w:rFonts w:ascii="宋体" w:hAnsi="宋体"/>
          <w:color w:val="auto"/>
          <w:szCs w:val="21"/>
        </w:rPr>
      </w:pPr>
    </w:p>
    <w:p w14:paraId="2BD5279A">
      <w:pPr>
        <w:pStyle w:val="2"/>
        <w:spacing w:line="360" w:lineRule="auto"/>
        <w:rPr>
          <w:rFonts w:ascii="宋体" w:hAnsi="宋体"/>
          <w:color w:val="auto"/>
          <w:szCs w:val="21"/>
        </w:rPr>
      </w:pPr>
    </w:p>
    <w:p w14:paraId="46F0F8AA">
      <w:pPr>
        <w:spacing w:line="480" w:lineRule="auto"/>
        <w:ind w:firstLine="420" w:firstLineChars="200"/>
        <w:rPr>
          <w:rFonts w:ascii="宋体" w:hAnsi="宋体"/>
          <w:color w:val="auto"/>
          <w:szCs w:val="21"/>
        </w:rPr>
      </w:pPr>
      <w:r>
        <w:rPr>
          <w:rFonts w:ascii="宋体" w:hAnsi="宋体"/>
          <w:color w:val="auto"/>
          <w:szCs w:val="21"/>
        </w:rPr>
        <w:br w:type="page"/>
      </w:r>
    </w:p>
    <w:p w14:paraId="734FBDF9">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8</w:t>
      </w:r>
      <w:r>
        <w:rPr>
          <w:rFonts w:hint="eastAsia" w:ascii="宋体" w:hAnsi="宋体"/>
          <w:color w:val="auto"/>
          <w:szCs w:val="21"/>
        </w:rPr>
        <w:t>：</w:t>
      </w:r>
    </w:p>
    <w:p w14:paraId="1BA2A82F">
      <w:pPr>
        <w:spacing w:beforeLines="50" w:afterLines="50" w:line="480" w:lineRule="auto"/>
        <w:jc w:val="center"/>
        <w:rPr>
          <w:rFonts w:ascii="宋体" w:hAnsi="宋体"/>
          <w:color w:val="auto"/>
          <w:szCs w:val="21"/>
        </w:rPr>
      </w:pPr>
      <w:r>
        <w:rPr>
          <w:rFonts w:hint="eastAsia" w:ascii="宋体" w:hAnsi="宋体"/>
          <w:color w:val="auto"/>
          <w:szCs w:val="21"/>
        </w:rPr>
        <w:t>廉洁从业协议</w:t>
      </w:r>
    </w:p>
    <w:p w14:paraId="75805958">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65759DB5">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2DBBC406">
      <w:pPr>
        <w:spacing w:line="360" w:lineRule="auto"/>
        <w:ind w:firstLine="420" w:firstLineChars="200"/>
        <w:rPr>
          <w:rFonts w:ascii="宋体" w:hAnsi="宋体"/>
          <w:color w:val="auto"/>
          <w:szCs w:val="21"/>
        </w:rPr>
      </w:pPr>
      <w:r>
        <w:rPr>
          <w:rFonts w:hint="eastAsia" w:ascii="宋体" w:hAnsi="宋体"/>
          <w:color w:val="auto"/>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55AD0B34">
      <w:pPr>
        <w:spacing w:line="360" w:lineRule="auto"/>
        <w:ind w:firstLine="420" w:firstLineChars="200"/>
        <w:rPr>
          <w:rFonts w:ascii="宋体" w:hAnsi="宋体"/>
          <w:color w:val="auto"/>
          <w:szCs w:val="21"/>
        </w:rPr>
      </w:pPr>
      <w:r>
        <w:rPr>
          <w:rFonts w:hint="eastAsia" w:ascii="宋体" w:hAnsi="宋体"/>
          <w:color w:val="auto"/>
          <w:szCs w:val="21"/>
        </w:rPr>
        <w:t xml:space="preserve"> 1. 发包人承包人的权利和义务</w:t>
      </w:r>
    </w:p>
    <w:p w14:paraId="403E35F7">
      <w:pPr>
        <w:spacing w:line="360" w:lineRule="auto"/>
        <w:ind w:firstLine="420" w:firstLineChars="200"/>
        <w:rPr>
          <w:rFonts w:ascii="宋体" w:hAnsi="宋体"/>
          <w:color w:val="auto"/>
          <w:szCs w:val="21"/>
        </w:rPr>
      </w:pPr>
      <w:r>
        <w:rPr>
          <w:rFonts w:hint="eastAsia" w:ascii="宋体" w:hAnsi="宋体"/>
          <w:color w:val="auto"/>
          <w:szCs w:val="21"/>
        </w:rPr>
        <w:t>（1）严格遵守党的政策规定和国家有关法律法规及相关部门的有关规定。</w:t>
      </w:r>
    </w:p>
    <w:p w14:paraId="1AE04CB1">
      <w:pPr>
        <w:spacing w:line="360" w:lineRule="auto"/>
        <w:ind w:firstLine="420" w:firstLineChars="200"/>
        <w:rPr>
          <w:rFonts w:ascii="宋体" w:hAnsi="宋体"/>
          <w:color w:val="auto"/>
          <w:szCs w:val="21"/>
        </w:rPr>
      </w:pPr>
      <w:r>
        <w:rPr>
          <w:rFonts w:hint="eastAsia" w:ascii="宋体" w:hAnsi="宋体"/>
          <w:color w:val="auto"/>
          <w:szCs w:val="21"/>
        </w:rPr>
        <w:t>（2）严格执行 工程的合同文件，自觉按合同办事。</w:t>
      </w:r>
    </w:p>
    <w:p w14:paraId="50644B6A">
      <w:pPr>
        <w:spacing w:line="360" w:lineRule="auto"/>
        <w:ind w:firstLine="420" w:firstLineChars="200"/>
        <w:rPr>
          <w:rFonts w:ascii="宋体" w:hAnsi="宋体"/>
          <w:color w:val="auto"/>
          <w:szCs w:val="21"/>
        </w:rPr>
      </w:pPr>
      <w:r>
        <w:rPr>
          <w:rFonts w:hint="eastAsia" w:ascii="宋体" w:hAnsi="宋体"/>
          <w:color w:val="auto"/>
          <w:szCs w:val="21"/>
        </w:rPr>
        <w:t>（3）双方的业务活动坚持公开、公正、诚信、透明的原则（法律认定的商业秘密和合同文件另有规定除外），不得损害国家和集体利益，违反工程建设管理规章制度。</w:t>
      </w:r>
    </w:p>
    <w:p w14:paraId="5FCB76DD">
      <w:pPr>
        <w:spacing w:line="360" w:lineRule="auto"/>
        <w:ind w:firstLine="420" w:firstLineChars="200"/>
        <w:rPr>
          <w:rFonts w:ascii="宋体" w:hAnsi="宋体"/>
          <w:color w:val="auto"/>
          <w:szCs w:val="21"/>
        </w:rPr>
      </w:pPr>
      <w:r>
        <w:rPr>
          <w:rFonts w:hint="eastAsia" w:ascii="宋体" w:hAnsi="宋体"/>
          <w:color w:val="auto"/>
          <w:szCs w:val="21"/>
        </w:rPr>
        <w:t>（4）建立健全廉政制度，开展廉政教育，设立廉政告示牌，公布举报电话，监督并认真查处违法违纪行为。</w:t>
      </w:r>
    </w:p>
    <w:p w14:paraId="76EE25B4">
      <w:pPr>
        <w:spacing w:line="360" w:lineRule="auto"/>
        <w:ind w:firstLine="420" w:firstLineChars="200"/>
        <w:rPr>
          <w:rFonts w:ascii="宋体" w:hAnsi="宋体"/>
          <w:color w:val="auto"/>
          <w:szCs w:val="21"/>
        </w:rPr>
      </w:pPr>
      <w:r>
        <w:rPr>
          <w:rFonts w:hint="eastAsia" w:ascii="宋体" w:hAnsi="宋体"/>
          <w:color w:val="auto"/>
          <w:szCs w:val="21"/>
        </w:rPr>
        <w:t>（5）发现对方在业务活动中有违反廉政规定的行为，有及时提醒对方纠正的权利和义务。</w:t>
      </w:r>
    </w:p>
    <w:p w14:paraId="3A533A5B">
      <w:pPr>
        <w:spacing w:line="360" w:lineRule="auto"/>
        <w:ind w:firstLine="420" w:firstLineChars="200"/>
        <w:rPr>
          <w:rFonts w:ascii="宋体" w:hAnsi="宋体"/>
          <w:color w:val="auto"/>
          <w:szCs w:val="21"/>
        </w:rPr>
      </w:pPr>
      <w:r>
        <w:rPr>
          <w:rFonts w:hint="eastAsia" w:ascii="宋体" w:hAnsi="宋体"/>
          <w:color w:val="auto"/>
          <w:szCs w:val="21"/>
        </w:rPr>
        <w:t>（6）发现对方严重违反协议义务条款的行为，有向其上级有关部门举报、建议给予处理并要求告知处理结果的权利。</w:t>
      </w:r>
    </w:p>
    <w:p w14:paraId="231A2EF2">
      <w:pPr>
        <w:spacing w:line="360" w:lineRule="auto"/>
        <w:ind w:firstLine="420" w:firstLineChars="200"/>
        <w:rPr>
          <w:rFonts w:ascii="宋体" w:hAnsi="宋体"/>
          <w:color w:val="auto"/>
          <w:szCs w:val="21"/>
        </w:rPr>
      </w:pPr>
      <w:r>
        <w:rPr>
          <w:rFonts w:hint="eastAsia" w:ascii="宋体" w:hAnsi="宋体"/>
          <w:color w:val="auto"/>
          <w:szCs w:val="21"/>
        </w:rPr>
        <w:t>2. 发包人的义务</w:t>
      </w:r>
    </w:p>
    <w:p w14:paraId="10F5D555">
      <w:pPr>
        <w:spacing w:line="360" w:lineRule="auto"/>
        <w:ind w:firstLine="420" w:firstLineChars="200"/>
        <w:rPr>
          <w:rFonts w:ascii="宋体" w:hAnsi="宋体"/>
          <w:color w:val="auto"/>
          <w:szCs w:val="21"/>
        </w:rPr>
      </w:pPr>
      <w:r>
        <w:rPr>
          <w:rFonts w:hint="eastAsia" w:ascii="宋体" w:hAnsi="宋体"/>
          <w:color w:val="auto"/>
          <w:szCs w:val="21"/>
        </w:rPr>
        <w:t>（1）发包人及其工作人员不得索要或接受承包人的礼金、有价证券和贵重物品，不得在承包人报销任何应由发包人或发包人工作人员个人支付的费用等。</w:t>
      </w:r>
    </w:p>
    <w:p w14:paraId="644849C2">
      <w:pPr>
        <w:spacing w:line="360" w:lineRule="auto"/>
        <w:ind w:firstLine="420" w:firstLineChars="200"/>
        <w:rPr>
          <w:rFonts w:ascii="宋体" w:hAnsi="宋体"/>
          <w:color w:val="auto"/>
          <w:szCs w:val="21"/>
        </w:rPr>
      </w:pPr>
      <w:r>
        <w:rPr>
          <w:rFonts w:hint="eastAsia" w:ascii="宋体" w:hAnsi="宋体"/>
          <w:color w:val="auto"/>
          <w:szCs w:val="21"/>
        </w:rPr>
        <w:t>（2）发包人工作人员不得参加承包人安排的超标准宴请和娱乐活动；不得接受承包人提供的通讯工具、交通工具和高档办公用品等。</w:t>
      </w:r>
    </w:p>
    <w:p w14:paraId="453DF184">
      <w:pPr>
        <w:spacing w:line="360" w:lineRule="auto"/>
        <w:ind w:firstLine="420" w:firstLineChars="200"/>
        <w:rPr>
          <w:rFonts w:ascii="宋体" w:hAnsi="宋体"/>
          <w:color w:val="auto"/>
          <w:szCs w:val="21"/>
        </w:rPr>
      </w:pPr>
      <w:r>
        <w:rPr>
          <w:rFonts w:hint="eastAsia" w:ascii="宋体" w:hAnsi="宋体"/>
          <w:color w:val="auto"/>
          <w:szCs w:val="21"/>
        </w:rPr>
        <w:t>（3）发包人及其工作人员不得要求或者接受承包人为其住房装修、婚丧嫁娶活动、配偶子女的工作安排以及出国出境、旅游等提供方便等。</w:t>
      </w:r>
    </w:p>
    <w:p w14:paraId="4C4ED1B5">
      <w:pPr>
        <w:spacing w:line="360" w:lineRule="auto"/>
        <w:ind w:firstLine="420" w:firstLineChars="200"/>
        <w:rPr>
          <w:rFonts w:ascii="宋体" w:hAnsi="宋体"/>
          <w:color w:val="auto"/>
          <w:szCs w:val="21"/>
        </w:rPr>
      </w:pPr>
      <w:r>
        <w:rPr>
          <w:rFonts w:hint="eastAsia" w:ascii="宋体" w:hAnsi="宋体"/>
          <w:color w:val="auto"/>
          <w:szCs w:val="21"/>
        </w:rPr>
        <w:t>（4）发包人工作人员及其配偶、子女不得从事与发包人工程有关的材料设备供应、工程分包、劳务等经济活动等。</w:t>
      </w:r>
    </w:p>
    <w:p w14:paraId="00093AC7">
      <w:pPr>
        <w:spacing w:line="360" w:lineRule="auto"/>
        <w:ind w:firstLine="420" w:firstLineChars="200"/>
        <w:rPr>
          <w:rFonts w:ascii="宋体" w:hAnsi="宋体"/>
          <w:color w:val="auto"/>
          <w:szCs w:val="21"/>
        </w:rPr>
      </w:pPr>
      <w:r>
        <w:rPr>
          <w:rFonts w:hint="eastAsia" w:ascii="宋体" w:hAnsi="宋体"/>
          <w:color w:val="auto"/>
          <w:szCs w:val="21"/>
        </w:rPr>
        <w:t>（5）发包人及其工作人员不得以任何理由向承包人推荐分包单位或推销材料，不得要求承包人购买合同规定外的材料和设备。</w:t>
      </w:r>
    </w:p>
    <w:p w14:paraId="2AB8BB3E">
      <w:pPr>
        <w:spacing w:line="360" w:lineRule="auto"/>
        <w:ind w:firstLine="420" w:firstLineChars="200"/>
        <w:rPr>
          <w:rFonts w:ascii="宋体" w:hAnsi="宋体"/>
          <w:color w:val="auto"/>
          <w:szCs w:val="21"/>
        </w:rPr>
      </w:pPr>
      <w:r>
        <w:rPr>
          <w:rFonts w:hint="eastAsia" w:ascii="宋体" w:hAnsi="宋体"/>
          <w:color w:val="auto"/>
          <w:szCs w:val="21"/>
        </w:rPr>
        <w:t>（6）发包人工作人员要秉公办事，不准营私舞弊，不准利用职权从事各种个人有偿中介活动和安排个人施工队伍。</w:t>
      </w:r>
    </w:p>
    <w:p w14:paraId="2336A1EF">
      <w:pPr>
        <w:spacing w:line="360" w:lineRule="auto"/>
        <w:ind w:firstLine="420" w:firstLineChars="200"/>
        <w:rPr>
          <w:rFonts w:ascii="宋体" w:hAnsi="宋体"/>
          <w:color w:val="auto"/>
          <w:szCs w:val="21"/>
        </w:rPr>
      </w:pPr>
      <w:r>
        <w:rPr>
          <w:rFonts w:hint="eastAsia" w:ascii="宋体" w:hAnsi="宋体"/>
          <w:color w:val="auto"/>
          <w:szCs w:val="21"/>
        </w:rPr>
        <w:t>3. 承包人义务</w:t>
      </w:r>
    </w:p>
    <w:p w14:paraId="157AC968">
      <w:pPr>
        <w:spacing w:line="360" w:lineRule="auto"/>
        <w:ind w:firstLine="420" w:firstLineChars="200"/>
        <w:rPr>
          <w:rFonts w:ascii="宋体" w:hAnsi="宋体"/>
          <w:color w:val="auto"/>
          <w:szCs w:val="21"/>
        </w:rPr>
      </w:pPr>
      <w:r>
        <w:rPr>
          <w:rFonts w:hint="eastAsia" w:ascii="宋体" w:hAnsi="宋体"/>
          <w:color w:val="auto"/>
          <w:szCs w:val="21"/>
        </w:rPr>
        <w:t>（1）承包人不得以任何理由向发包人及其工作人员行贿或馈赠礼金、有价证券、贵重礼品。</w:t>
      </w:r>
    </w:p>
    <w:p w14:paraId="087C6BAE">
      <w:pPr>
        <w:spacing w:line="360" w:lineRule="auto"/>
        <w:ind w:firstLine="420" w:firstLineChars="200"/>
        <w:rPr>
          <w:rFonts w:ascii="宋体" w:hAnsi="宋体"/>
          <w:color w:val="auto"/>
          <w:szCs w:val="21"/>
        </w:rPr>
      </w:pPr>
      <w:r>
        <w:rPr>
          <w:rFonts w:hint="eastAsia" w:ascii="宋体" w:hAnsi="宋体"/>
          <w:color w:val="auto"/>
          <w:szCs w:val="21"/>
        </w:rPr>
        <w:t>（2）承包人不得以任何名义为发包人及其工作人员报销应由发包人单位或个人支付的任何费用。</w:t>
      </w:r>
    </w:p>
    <w:p w14:paraId="75053C8C">
      <w:pPr>
        <w:spacing w:line="360" w:lineRule="auto"/>
        <w:ind w:firstLine="420" w:firstLineChars="200"/>
        <w:rPr>
          <w:rFonts w:ascii="宋体" w:hAnsi="宋体"/>
          <w:color w:val="auto"/>
          <w:szCs w:val="21"/>
        </w:rPr>
      </w:pPr>
      <w:r>
        <w:rPr>
          <w:rFonts w:hint="eastAsia" w:ascii="宋体" w:hAnsi="宋体"/>
          <w:color w:val="auto"/>
          <w:szCs w:val="21"/>
        </w:rPr>
        <w:t>（3）承包人不得以任何理由安排发包人工作人员参加超标准宴请及娱乐活动。</w:t>
      </w:r>
    </w:p>
    <w:p w14:paraId="11899F65">
      <w:pPr>
        <w:spacing w:line="360" w:lineRule="auto"/>
        <w:ind w:firstLine="420" w:firstLineChars="200"/>
        <w:rPr>
          <w:rFonts w:ascii="宋体" w:hAnsi="宋体"/>
          <w:color w:val="auto"/>
          <w:szCs w:val="21"/>
        </w:rPr>
      </w:pPr>
      <w:r>
        <w:rPr>
          <w:rFonts w:hint="eastAsia" w:ascii="宋体" w:hAnsi="宋体"/>
          <w:color w:val="auto"/>
          <w:szCs w:val="21"/>
        </w:rPr>
        <w:t>（4）承包人不得为发包人单位和个人购置或提供通讯工具、交通工具和高档办公用品等。</w:t>
      </w:r>
    </w:p>
    <w:p w14:paraId="3F0AD15B">
      <w:pPr>
        <w:spacing w:line="360" w:lineRule="auto"/>
        <w:ind w:firstLine="420" w:firstLineChars="200"/>
        <w:rPr>
          <w:rFonts w:ascii="宋体" w:hAnsi="宋体"/>
          <w:color w:val="auto"/>
          <w:szCs w:val="21"/>
        </w:rPr>
      </w:pPr>
      <w:r>
        <w:rPr>
          <w:rFonts w:hint="eastAsia" w:ascii="宋体" w:hAnsi="宋体"/>
          <w:color w:val="auto"/>
          <w:szCs w:val="21"/>
        </w:rPr>
        <w:t>4. 违约责任</w:t>
      </w:r>
    </w:p>
    <w:p w14:paraId="106BE7D0">
      <w:pPr>
        <w:spacing w:line="360" w:lineRule="auto"/>
        <w:ind w:firstLine="420" w:firstLineChars="200"/>
        <w:rPr>
          <w:rFonts w:ascii="宋体" w:hAnsi="宋体"/>
          <w:color w:val="auto"/>
          <w:szCs w:val="21"/>
        </w:rPr>
      </w:pPr>
      <w:r>
        <w:rPr>
          <w:rFonts w:hint="eastAsia" w:ascii="宋体" w:hAnsi="宋体"/>
          <w:color w:val="auto"/>
          <w:szCs w:val="21"/>
        </w:rPr>
        <w:t>（1）发包人及其工作人员违反合同第1、2条，按管理权限，依据有关规定给予党纪、政纪或组织处理；涉嫌犯罪的，移交司法机关追究刑事责任；给承包人单位造成经济损失的，应予以赔偿。</w:t>
      </w:r>
    </w:p>
    <w:p w14:paraId="607E5DA7">
      <w:pPr>
        <w:spacing w:line="360" w:lineRule="auto"/>
        <w:ind w:firstLine="420" w:firstLineChars="200"/>
        <w:rPr>
          <w:rFonts w:ascii="宋体" w:hAnsi="宋体"/>
          <w:color w:val="auto"/>
          <w:szCs w:val="21"/>
        </w:rPr>
      </w:pPr>
      <w:r>
        <w:rPr>
          <w:rFonts w:hint="eastAsia" w:ascii="宋体" w:hAnsi="宋体"/>
          <w:color w:val="auto"/>
          <w:szCs w:val="21"/>
        </w:rPr>
        <w:t>（2）承包人及其工作人员违反合同第1、3条，按管理权限，依据有关规定给予党纪、政纪或组织处理；给发包人单位造成经济损失的，应予以赔偿。</w:t>
      </w:r>
    </w:p>
    <w:p w14:paraId="3108189B">
      <w:pPr>
        <w:spacing w:line="360" w:lineRule="auto"/>
        <w:ind w:firstLine="420" w:firstLineChars="200"/>
        <w:rPr>
          <w:rFonts w:ascii="宋体" w:hAnsi="宋体"/>
          <w:color w:val="auto"/>
          <w:szCs w:val="21"/>
        </w:rPr>
      </w:pPr>
      <w:r>
        <w:rPr>
          <w:rFonts w:hint="eastAsia" w:ascii="宋体" w:hAnsi="宋体"/>
          <w:color w:val="auto"/>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2BDD3C13">
      <w:pPr>
        <w:spacing w:line="360" w:lineRule="auto"/>
        <w:ind w:firstLine="420" w:firstLineChars="200"/>
        <w:rPr>
          <w:rFonts w:ascii="宋体" w:hAnsi="宋体"/>
          <w:color w:val="auto"/>
          <w:szCs w:val="21"/>
        </w:rPr>
      </w:pPr>
      <w:r>
        <w:rPr>
          <w:rFonts w:hint="eastAsia" w:ascii="宋体" w:hAnsi="宋体"/>
          <w:color w:val="auto"/>
          <w:szCs w:val="21"/>
        </w:rPr>
        <w:t>6. 协议有效期为甲乙双方签署之日起至该工程项目竣工验收后止。</w:t>
      </w:r>
    </w:p>
    <w:p w14:paraId="6A0663C8">
      <w:pPr>
        <w:spacing w:line="360" w:lineRule="auto"/>
        <w:ind w:firstLine="420" w:firstLineChars="200"/>
        <w:rPr>
          <w:rFonts w:ascii="宋体" w:hAnsi="宋体"/>
          <w:color w:val="auto"/>
          <w:szCs w:val="21"/>
        </w:rPr>
      </w:pPr>
      <w:r>
        <w:rPr>
          <w:rFonts w:hint="eastAsia" w:ascii="宋体" w:hAnsi="宋体"/>
          <w:color w:val="auto"/>
          <w:szCs w:val="21"/>
        </w:rPr>
        <w:t>7.协议作为 工程施工合同的附件，与工程施工合同具有同等的法律效力，经合同双方签署立即生效。</w:t>
      </w:r>
    </w:p>
    <w:p w14:paraId="448A2E03">
      <w:pPr>
        <w:spacing w:line="360" w:lineRule="auto"/>
        <w:ind w:firstLine="420" w:firstLineChars="200"/>
        <w:rPr>
          <w:rFonts w:ascii="宋体" w:hAnsi="宋体"/>
          <w:color w:val="auto"/>
          <w:szCs w:val="21"/>
        </w:rPr>
      </w:pPr>
      <w:r>
        <w:rPr>
          <w:rFonts w:hint="eastAsia" w:ascii="宋体" w:hAnsi="宋体"/>
          <w:color w:val="auto"/>
          <w:szCs w:val="21"/>
        </w:rPr>
        <w:t>（以下无正文）</w:t>
      </w:r>
    </w:p>
    <w:p w14:paraId="3EFE4066">
      <w:pPr>
        <w:spacing w:line="360" w:lineRule="auto"/>
        <w:rPr>
          <w:rFonts w:ascii="宋体" w:hAnsi="宋体"/>
          <w:color w:val="auto"/>
          <w:szCs w:val="21"/>
        </w:rPr>
      </w:pPr>
    </w:p>
    <w:p w14:paraId="0198D5B9">
      <w:pPr>
        <w:pStyle w:val="2"/>
        <w:spacing w:line="360" w:lineRule="auto"/>
        <w:rPr>
          <w:rFonts w:ascii="宋体" w:hAnsi="宋体"/>
          <w:color w:val="auto"/>
          <w:szCs w:val="21"/>
        </w:rPr>
      </w:pPr>
    </w:p>
    <w:p w14:paraId="22F52713">
      <w:pPr>
        <w:pStyle w:val="2"/>
        <w:spacing w:line="360" w:lineRule="auto"/>
        <w:rPr>
          <w:rFonts w:ascii="宋体" w:hAnsi="宋体"/>
          <w:color w:val="auto"/>
          <w:szCs w:val="21"/>
        </w:rPr>
      </w:pPr>
    </w:p>
    <w:p w14:paraId="21939A12">
      <w:pPr>
        <w:spacing w:line="360" w:lineRule="auto"/>
        <w:rPr>
          <w:rFonts w:ascii="宋体" w:hAnsi="宋体"/>
          <w:color w:val="auto"/>
          <w:szCs w:val="21"/>
        </w:rPr>
      </w:pPr>
      <w:r>
        <w:rPr>
          <w:rFonts w:hint="eastAsia" w:ascii="宋体" w:hAnsi="宋体"/>
          <w:color w:val="auto"/>
          <w:szCs w:val="21"/>
        </w:rPr>
        <w:t>甲     方：                         乙     方：</w:t>
      </w:r>
    </w:p>
    <w:p w14:paraId="69108F65">
      <w:pPr>
        <w:spacing w:line="360" w:lineRule="auto"/>
        <w:rPr>
          <w:rFonts w:ascii="宋体" w:hAnsi="宋体"/>
          <w:color w:val="auto"/>
          <w:szCs w:val="21"/>
        </w:rPr>
      </w:pPr>
    </w:p>
    <w:p w14:paraId="4BA05C25">
      <w:pPr>
        <w:spacing w:line="360" w:lineRule="auto"/>
        <w:rPr>
          <w:rFonts w:ascii="宋体" w:hAnsi="宋体"/>
          <w:color w:val="auto"/>
          <w:szCs w:val="21"/>
        </w:rPr>
      </w:pPr>
    </w:p>
    <w:p w14:paraId="44DC13D4">
      <w:pPr>
        <w:spacing w:line="360" w:lineRule="auto"/>
        <w:rPr>
          <w:rFonts w:ascii="宋体" w:hAnsi="宋体"/>
          <w:color w:val="auto"/>
          <w:szCs w:val="21"/>
        </w:rPr>
      </w:pPr>
      <w:r>
        <w:rPr>
          <w:rFonts w:hint="eastAsia" w:ascii="宋体" w:hAnsi="宋体"/>
          <w:color w:val="auto"/>
          <w:szCs w:val="21"/>
        </w:rPr>
        <w:t xml:space="preserve">法定代表人                          法定代表人                      </w:t>
      </w:r>
    </w:p>
    <w:p w14:paraId="1C34E180">
      <w:pPr>
        <w:spacing w:line="360" w:lineRule="auto"/>
        <w:rPr>
          <w:rFonts w:ascii="宋体" w:hAnsi="宋体"/>
          <w:color w:val="auto"/>
          <w:szCs w:val="21"/>
        </w:rPr>
      </w:pPr>
    </w:p>
    <w:p w14:paraId="4618EDBF">
      <w:pPr>
        <w:spacing w:line="360" w:lineRule="auto"/>
        <w:rPr>
          <w:rFonts w:ascii="宋体" w:hAnsi="宋体"/>
          <w:color w:val="auto"/>
          <w:szCs w:val="21"/>
        </w:rPr>
      </w:pPr>
    </w:p>
    <w:p w14:paraId="5B6F1C4C">
      <w:pPr>
        <w:spacing w:line="360" w:lineRule="auto"/>
        <w:rPr>
          <w:rFonts w:ascii="宋体" w:hAnsi="宋体"/>
          <w:color w:val="auto"/>
          <w:szCs w:val="21"/>
        </w:rPr>
      </w:pPr>
      <w:r>
        <w:rPr>
          <w:rFonts w:hint="eastAsia" w:ascii="宋体" w:hAnsi="宋体"/>
          <w:color w:val="auto"/>
          <w:szCs w:val="21"/>
        </w:rPr>
        <w:t>或其授权的代理人：                  或授权的代理人：</w:t>
      </w:r>
    </w:p>
    <w:p w14:paraId="7E141AA3">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w:t>
      </w:r>
      <w:r>
        <w:rPr>
          <w:rFonts w:ascii="宋体" w:hAnsi="宋体"/>
          <w:color w:val="auto"/>
          <w:szCs w:val="21"/>
        </w:rPr>
        <w:t>9</w:t>
      </w:r>
      <w:r>
        <w:rPr>
          <w:rFonts w:hint="eastAsia" w:ascii="宋体" w:hAnsi="宋体"/>
          <w:color w:val="auto"/>
          <w:szCs w:val="21"/>
        </w:rPr>
        <w:t>：</w:t>
      </w:r>
    </w:p>
    <w:p w14:paraId="07FDE8A7">
      <w:pPr>
        <w:spacing w:beforeLines="50" w:afterLines="50" w:line="480" w:lineRule="auto"/>
        <w:jc w:val="center"/>
        <w:rPr>
          <w:rFonts w:ascii="宋体" w:hAnsi="宋体"/>
          <w:color w:val="auto"/>
          <w:szCs w:val="21"/>
        </w:rPr>
      </w:pPr>
      <w:bookmarkStart w:id="1817" w:name="_Toc448406299"/>
      <w:bookmarkStart w:id="1818" w:name="_Toc435690184"/>
      <w:bookmarkStart w:id="1819" w:name="_Toc435689499"/>
      <w:bookmarkStart w:id="1820" w:name="_Toc239510288"/>
      <w:bookmarkStart w:id="1821" w:name="_Toc336680145"/>
      <w:bookmarkStart w:id="1822" w:name="_Toc247431422"/>
      <w:r>
        <w:rPr>
          <w:rFonts w:hint="eastAsia" w:ascii="宋体" w:hAnsi="宋体"/>
          <w:color w:val="auto"/>
          <w:szCs w:val="21"/>
        </w:rPr>
        <w:t>安全管理协议</w:t>
      </w:r>
      <w:bookmarkEnd w:id="1817"/>
      <w:bookmarkEnd w:id="1818"/>
      <w:bookmarkEnd w:id="1819"/>
      <w:bookmarkEnd w:id="1820"/>
      <w:bookmarkEnd w:id="1821"/>
      <w:bookmarkEnd w:id="1822"/>
    </w:p>
    <w:p w14:paraId="16A37103">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1FE7C388">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4D392725">
      <w:pPr>
        <w:spacing w:line="360" w:lineRule="auto"/>
        <w:ind w:firstLine="420" w:firstLineChars="200"/>
        <w:jc w:val="left"/>
        <w:rPr>
          <w:rFonts w:ascii="宋体" w:hAnsi="宋体"/>
          <w:color w:val="auto"/>
          <w:szCs w:val="21"/>
        </w:rPr>
      </w:pPr>
      <w:r>
        <w:rPr>
          <w:rFonts w:hint="eastAsia" w:ascii="宋体" w:hAnsi="宋体"/>
          <w:color w:val="auto"/>
          <w:szCs w:val="21"/>
        </w:rPr>
        <w:t>为了确保实现</w:t>
      </w:r>
      <w:r>
        <w:rPr>
          <w:rFonts w:hint="eastAsia" w:ascii="宋体" w:hAnsi="宋体"/>
          <w:color w:val="auto"/>
          <w:szCs w:val="21"/>
          <w:u w:val="single"/>
        </w:rPr>
        <w:t xml:space="preserve">        </w:t>
      </w:r>
      <w:r>
        <w:rPr>
          <w:rFonts w:hint="eastAsia" w:ascii="宋体" w:hAnsi="宋体"/>
          <w:color w:val="auto"/>
          <w:szCs w:val="21"/>
        </w:rPr>
        <w:t>安全生产目标，进一步明确双方的安全管理责任，加强安全生产管理工作的协调、管理力度，</w:t>
      </w:r>
      <w:r>
        <w:rPr>
          <w:rFonts w:hint="eastAsia" w:ascii="宋体" w:hAnsi="宋体"/>
          <w:color w:val="auto"/>
          <w:szCs w:val="21"/>
          <w:u w:val="single"/>
        </w:rPr>
        <w:t xml:space="preserve">        </w:t>
      </w:r>
      <w:r>
        <w:rPr>
          <w:rFonts w:hint="eastAsia" w:ascii="宋体" w:hAnsi="宋体"/>
          <w:color w:val="auto"/>
          <w:szCs w:val="21"/>
        </w:rPr>
        <w:t>（以下简称“发包人”）与</w:t>
      </w:r>
      <w:r>
        <w:rPr>
          <w:rFonts w:hint="eastAsia" w:ascii="宋体" w:hAnsi="宋体"/>
          <w:color w:val="auto"/>
          <w:szCs w:val="21"/>
          <w:u w:val="single"/>
        </w:rPr>
        <w:t xml:space="preserve">        </w:t>
      </w:r>
      <w:r>
        <w:rPr>
          <w:rFonts w:hint="eastAsia" w:ascii="宋体" w:hAnsi="宋体"/>
          <w:color w:val="auto"/>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2D09EEB">
      <w:pPr>
        <w:spacing w:line="360" w:lineRule="auto"/>
        <w:ind w:firstLine="420" w:firstLineChars="200"/>
        <w:rPr>
          <w:rFonts w:ascii="宋体" w:hAnsi="宋体"/>
          <w:color w:val="auto"/>
          <w:szCs w:val="21"/>
        </w:rPr>
      </w:pPr>
      <w:bookmarkStart w:id="1823" w:name="_Toc532375700"/>
      <w:bookmarkStart w:id="1824" w:name="_Toc247431423"/>
      <w:bookmarkStart w:id="1825" w:name="_Toc247418263"/>
      <w:bookmarkStart w:id="1826" w:name="_Toc239510289"/>
      <w:r>
        <w:rPr>
          <w:rFonts w:hint="eastAsia" w:ascii="宋体" w:hAnsi="宋体"/>
          <w:color w:val="auto"/>
          <w:szCs w:val="21"/>
        </w:rPr>
        <w:t>一、协议有效期限</w:t>
      </w:r>
      <w:bookmarkEnd w:id="1823"/>
      <w:bookmarkEnd w:id="1824"/>
      <w:bookmarkEnd w:id="1825"/>
      <w:bookmarkEnd w:id="1826"/>
    </w:p>
    <w:p w14:paraId="575D4FF2">
      <w:pPr>
        <w:spacing w:line="360" w:lineRule="auto"/>
        <w:ind w:firstLine="420" w:firstLineChars="200"/>
        <w:jc w:val="left"/>
        <w:rPr>
          <w:rFonts w:ascii="宋体" w:hAnsi="宋体"/>
          <w:color w:val="auto"/>
          <w:szCs w:val="21"/>
        </w:rPr>
      </w:pPr>
      <w:r>
        <w:rPr>
          <w:rFonts w:hint="eastAsia" w:ascii="宋体" w:hAnsi="宋体"/>
          <w:color w:val="auto"/>
          <w:szCs w:val="21"/>
        </w:rPr>
        <w:t>本协议中所涉及的安全管理责任自合同签订之日起开始生效，至合同工程全部完工验收且经发包人与承包人签订移交协议生效后之日终止。</w:t>
      </w:r>
    </w:p>
    <w:p w14:paraId="3AED21DA">
      <w:pPr>
        <w:spacing w:line="360" w:lineRule="auto"/>
        <w:ind w:firstLine="420" w:firstLineChars="200"/>
        <w:rPr>
          <w:rFonts w:ascii="宋体" w:hAnsi="宋体"/>
          <w:color w:val="auto"/>
          <w:szCs w:val="21"/>
        </w:rPr>
      </w:pPr>
      <w:bookmarkStart w:id="1827" w:name="_Toc247431424"/>
      <w:bookmarkStart w:id="1828" w:name="_Toc532375701"/>
      <w:bookmarkStart w:id="1829" w:name="_Toc247418264"/>
      <w:bookmarkStart w:id="1830" w:name="_Toc239510290"/>
      <w:r>
        <w:rPr>
          <w:rFonts w:hint="eastAsia" w:ascii="宋体" w:hAnsi="宋体"/>
          <w:color w:val="auto"/>
          <w:szCs w:val="21"/>
        </w:rPr>
        <w:t>二、责任目标</w:t>
      </w:r>
      <w:bookmarkEnd w:id="1827"/>
      <w:bookmarkEnd w:id="1828"/>
      <w:bookmarkEnd w:id="1829"/>
      <w:bookmarkEnd w:id="1830"/>
    </w:p>
    <w:p w14:paraId="3394799A">
      <w:pPr>
        <w:spacing w:line="360" w:lineRule="auto"/>
        <w:ind w:firstLine="420" w:firstLineChars="200"/>
        <w:jc w:val="left"/>
        <w:rPr>
          <w:rFonts w:ascii="宋体" w:hAnsi="宋体"/>
          <w:color w:val="auto"/>
          <w:szCs w:val="21"/>
        </w:rPr>
      </w:pPr>
      <w:r>
        <w:rPr>
          <w:rFonts w:hint="eastAsia" w:ascii="宋体" w:hAnsi="宋体"/>
          <w:color w:val="auto"/>
          <w:szCs w:val="21"/>
        </w:rPr>
        <w:t>（一）承包人承诺承担和履行合同和发包人所规定的安全责任，且满足要求。</w:t>
      </w:r>
    </w:p>
    <w:p w14:paraId="6F17C2C9">
      <w:pPr>
        <w:spacing w:line="360" w:lineRule="auto"/>
        <w:ind w:firstLine="420" w:firstLineChars="200"/>
        <w:jc w:val="left"/>
        <w:rPr>
          <w:rFonts w:ascii="宋体" w:hAnsi="宋体"/>
          <w:color w:val="auto"/>
          <w:szCs w:val="21"/>
        </w:rPr>
      </w:pPr>
      <w:r>
        <w:rPr>
          <w:rFonts w:hint="eastAsia" w:ascii="宋体" w:hAnsi="宋体"/>
          <w:color w:val="auto"/>
          <w:szCs w:val="21"/>
        </w:rPr>
        <w:t>（二）承包人的安全控制目标是确保本工程在实施过程中：</w:t>
      </w:r>
    </w:p>
    <w:p w14:paraId="551A5E2E">
      <w:pPr>
        <w:spacing w:line="360" w:lineRule="auto"/>
        <w:ind w:firstLine="420" w:firstLineChars="200"/>
        <w:jc w:val="left"/>
        <w:rPr>
          <w:rFonts w:ascii="宋体" w:hAnsi="宋体"/>
          <w:color w:val="auto"/>
          <w:szCs w:val="21"/>
        </w:rPr>
      </w:pPr>
      <w:r>
        <w:rPr>
          <w:rFonts w:hint="eastAsia" w:ascii="宋体" w:hAnsi="宋体"/>
          <w:color w:val="auto"/>
          <w:szCs w:val="21"/>
        </w:rPr>
        <w:t>1．不发生人身重伤事故；</w:t>
      </w:r>
    </w:p>
    <w:p w14:paraId="64AF4F4D">
      <w:pPr>
        <w:spacing w:line="360" w:lineRule="auto"/>
        <w:ind w:firstLine="420" w:firstLineChars="200"/>
        <w:jc w:val="left"/>
        <w:rPr>
          <w:rFonts w:ascii="宋体" w:hAnsi="宋体"/>
          <w:color w:val="auto"/>
          <w:szCs w:val="21"/>
        </w:rPr>
      </w:pPr>
      <w:r>
        <w:rPr>
          <w:rFonts w:hint="eastAsia" w:ascii="宋体" w:hAnsi="宋体"/>
          <w:color w:val="auto"/>
          <w:szCs w:val="21"/>
        </w:rPr>
        <w:t>2．不发生火灾事故；</w:t>
      </w:r>
    </w:p>
    <w:p w14:paraId="33FA3829">
      <w:pPr>
        <w:spacing w:line="360" w:lineRule="auto"/>
        <w:ind w:firstLine="420" w:firstLineChars="200"/>
        <w:jc w:val="left"/>
        <w:rPr>
          <w:rFonts w:ascii="宋体" w:hAnsi="宋体"/>
          <w:color w:val="auto"/>
          <w:szCs w:val="21"/>
        </w:rPr>
      </w:pPr>
      <w:r>
        <w:rPr>
          <w:rFonts w:hint="eastAsia" w:ascii="宋体" w:hAnsi="宋体"/>
          <w:color w:val="auto"/>
          <w:szCs w:val="21"/>
        </w:rPr>
        <w:t>3．不发生负有同等及以上事故责任的造成人身重伤的一般交通事故；</w:t>
      </w:r>
    </w:p>
    <w:p w14:paraId="1837F096">
      <w:pPr>
        <w:spacing w:line="360" w:lineRule="auto"/>
        <w:ind w:firstLine="420" w:firstLineChars="200"/>
        <w:jc w:val="left"/>
        <w:rPr>
          <w:rFonts w:ascii="宋体" w:hAnsi="宋体"/>
          <w:color w:val="auto"/>
          <w:szCs w:val="21"/>
        </w:rPr>
      </w:pPr>
      <w:r>
        <w:rPr>
          <w:rFonts w:hint="eastAsia" w:ascii="宋体" w:hAnsi="宋体"/>
          <w:color w:val="auto"/>
          <w:szCs w:val="21"/>
        </w:rPr>
        <w:t>4．不发生集体食物中毒事件（同时5人及以上的食物中毒）；</w:t>
      </w:r>
    </w:p>
    <w:p w14:paraId="08A78D6E">
      <w:pPr>
        <w:spacing w:line="360" w:lineRule="auto"/>
        <w:ind w:firstLine="420" w:firstLineChars="200"/>
        <w:jc w:val="left"/>
        <w:rPr>
          <w:rFonts w:ascii="宋体" w:hAnsi="宋体"/>
          <w:color w:val="auto"/>
          <w:szCs w:val="21"/>
        </w:rPr>
      </w:pPr>
      <w:r>
        <w:rPr>
          <w:rFonts w:hint="eastAsia" w:ascii="宋体" w:hAnsi="宋体"/>
          <w:color w:val="auto"/>
          <w:szCs w:val="21"/>
        </w:rPr>
        <w:t>5．不发生流行性传染病 （无甲型传染病、其他常见传染病未形成多人同时患病）；</w:t>
      </w:r>
    </w:p>
    <w:p w14:paraId="73BFFD86">
      <w:pPr>
        <w:spacing w:line="360" w:lineRule="auto"/>
        <w:ind w:firstLine="420" w:firstLineChars="200"/>
        <w:jc w:val="left"/>
        <w:rPr>
          <w:rFonts w:ascii="宋体" w:hAnsi="宋体"/>
          <w:color w:val="auto"/>
          <w:szCs w:val="21"/>
        </w:rPr>
      </w:pPr>
      <w:r>
        <w:rPr>
          <w:rFonts w:hint="eastAsia" w:ascii="宋体" w:hAnsi="宋体"/>
          <w:color w:val="auto"/>
          <w:szCs w:val="21"/>
        </w:rPr>
        <w:t>6．不发生重大环境污染事件（生活、工业垃圾及其他污染物造成环境污染和大面积水土流失）；</w:t>
      </w:r>
    </w:p>
    <w:p w14:paraId="6314F04D">
      <w:pPr>
        <w:spacing w:line="360" w:lineRule="auto"/>
        <w:ind w:firstLine="420" w:firstLineChars="200"/>
        <w:jc w:val="left"/>
        <w:rPr>
          <w:rFonts w:ascii="宋体" w:hAnsi="宋体"/>
          <w:color w:val="auto"/>
          <w:szCs w:val="21"/>
        </w:rPr>
      </w:pPr>
      <w:r>
        <w:rPr>
          <w:rFonts w:hint="eastAsia" w:ascii="宋体" w:hAnsi="宋体"/>
          <w:color w:val="auto"/>
          <w:szCs w:val="21"/>
        </w:rPr>
        <w:t>7．不发生对施工区附近生产、生活造成重大影响的事件（如造成重大设备损坏、重大财产损失、人员伤害等）；</w:t>
      </w:r>
    </w:p>
    <w:p w14:paraId="7B577AE0">
      <w:pPr>
        <w:spacing w:line="360" w:lineRule="auto"/>
        <w:ind w:firstLine="420" w:firstLineChars="200"/>
        <w:jc w:val="left"/>
        <w:rPr>
          <w:rFonts w:ascii="宋体" w:hAnsi="宋体"/>
          <w:color w:val="auto"/>
          <w:szCs w:val="21"/>
        </w:rPr>
      </w:pPr>
      <w:r>
        <w:rPr>
          <w:rFonts w:hint="eastAsia" w:ascii="宋体" w:hAnsi="宋体"/>
          <w:color w:val="auto"/>
          <w:szCs w:val="21"/>
        </w:rPr>
        <w:t>8．不发生治安保卫事件（构成刑事拘留及以上的事件、盗窃直接损失超过1万元人民币的事件）。</w:t>
      </w:r>
    </w:p>
    <w:p w14:paraId="39DA5896">
      <w:pPr>
        <w:spacing w:line="360" w:lineRule="auto"/>
        <w:ind w:firstLine="420" w:firstLineChars="200"/>
        <w:jc w:val="left"/>
        <w:rPr>
          <w:rFonts w:ascii="宋体" w:hAnsi="宋体"/>
          <w:color w:val="auto"/>
          <w:szCs w:val="21"/>
        </w:rPr>
      </w:pPr>
      <w:bookmarkStart w:id="1831" w:name="_Toc247418265"/>
      <w:bookmarkStart w:id="1832" w:name="_Toc247431425"/>
      <w:bookmarkStart w:id="1833" w:name="_Toc239510291"/>
      <w:r>
        <w:rPr>
          <w:rFonts w:hint="eastAsia" w:ascii="宋体" w:hAnsi="宋体"/>
          <w:color w:val="auto"/>
          <w:szCs w:val="21"/>
        </w:rPr>
        <w:t>（三）承包人承诺在施工中控制以下安全事故的发生：</w:t>
      </w:r>
      <w:bookmarkEnd w:id="1831"/>
      <w:bookmarkEnd w:id="1832"/>
      <w:bookmarkEnd w:id="1833"/>
    </w:p>
    <w:p w14:paraId="266C3CB5">
      <w:pPr>
        <w:spacing w:line="360" w:lineRule="auto"/>
        <w:ind w:firstLine="420" w:firstLineChars="200"/>
        <w:jc w:val="left"/>
        <w:rPr>
          <w:rFonts w:ascii="宋体" w:hAnsi="宋体"/>
          <w:color w:val="auto"/>
          <w:szCs w:val="21"/>
        </w:rPr>
      </w:pPr>
      <w:r>
        <w:rPr>
          <w:rFonts w:hint="eastAsia" w:ascii="宋体" w:hAnsi="宋体"/>
          <w:color w:val="auto"/>
          <w:szCs w:val="21"/>
        </w:rPr>
        <w:t>1．人员轻伤事故。</w:t>
      </w:r>
    </w:p>
    <w:p w14:paraId="7148C23B">
      <w:pPr>
        <w:spacing w:line="360" w:lineRule="auto"/>
        <w:ind w:firstLine="420" w:firstLineChars="200"/>
        <w:jc w:val="left"/>
        <w:rPr>
          <w:rFonts w:ascii="宋体" w:hAnsi="宋体"/>
          <w:color w:val="auto"/>
          <w:szCs w:val="21"/>
        </w:rPr>
      </w:pPr>
      <w:r>
        <w:rPr>
          <w:rFonts w:hint="eastAsia" w:ascii="宋体" w:hAnsi="宋体"/>
          <w:color w:val="auto"/>
          <w:szCs w:val="21"/>
        </w:rPr>
        <w:t>2．负有同等及以上事故责任的人身轻伤交通事故。</w:t>
      </w:r>
    </w:p>
    <w:p w14:paraId="2883CD65">
      <w:pPr>
        <w:spacing w:line="360" w:lineRule="auto"/>
        <w:ind w:firstLine="420" w:firstLineChars="200"/>
        <w:jc w:val="left"/>
        <w:rPr>
          <w:rFonts w:ascii="宋体" w:hAnsi="宋体"/>
          <w:color w:val="auto"/>
          <w:szCs w:val="21"/>
        </w:rPr>
      </w:pPr>
      <w:r>
        <w:rPr>
          <w:rFonts w:hint="eastAsia" w:ascii="宋体" w:hAnsi="宋体"/>
          <w:color w:val="auto"/>
          <w:szCs w:val="21"/>
        </w:rPr>
        <w:t>3．其他安全未遂事故和异常事件。</w:t>
      </w:r>
    </w:p>
    <w:p w14:paraId="75FB3B61">
      <w:pPr>
        <w:spacing w:line="360" w:lineRule="auto"/>
        <w:ind w:firstLine="420" w:firstLineChars="200"/>
        <w:rPr>
          <w:rFonts w:ascii="宋体" w:hAnsi="宋体"/>
          <w:color w:val="auto"/>
          <w:szCs w:val="21"/>
        </w:rPr>
      </w:pPr>
      <w:bookmarkStart w:id="1834" w:name="_Toc247418266"/>
      <w:bookmarkStart w:id="1835" w:name="_Toc247431426"/>
      <w:bookmarkStart w:id="1836" w:name="_Toc239510292"/>
      <w:bookmarkStart w:id="1837" w:name="_Toc532375702"/>
      <w:r>
        <w:rPr>
          <w:rFonts w:hint="eastAsia" w:ascii="宋体" w:hAnsi="宋体"/>
          <w:color w:val="auto"/>
          <w:szCs w:val="21"/>
        </w:rPr>
        <w:t>三、安全责任</w:t>
      </w:r>
      <w:bookmarkEnd w:id="1834"/>
      <w:bookmarkEnd w:id="1835"/>
      <w:bookmarkEnd w:id="1836"/>
      <w:bookmarkEnd w:id="1837"/>
    </w:p>
    <w:p w14:paraId="2118D5B4">
      <w:pPr>
        <w:spacing w:line="360" w:lineRule="auto"/>
        <w:ind w:firstLine="420" w:firstLineChars="200"/>
        <w:jc w:val="left"/>
        <w:rPr>
          <w:rFonts w:ascii="宋体" w:hAnsi="宋体"/>
          <w:color w:val="auto"/>
          <w:szCs w:val="21"/>
        </w:rPr>
      </w:pPr>
      <w:r>
        <w:rPr>
          <w:rFonts w:hint="eastAsia" w:ascii="宋体" w:hAnsi="宋体"/>
          <w:color w:val="auto"/>
          <w:szCs w:val="21"/>
        </w:rPr>
        <w:t>1．承包人负有安全生产的管理责任和直接责任。</w:t>
      </w:r>
    </w:p>
    <w:p w14:paraId="2D9B4DF6">
      <w:pPr>
        <w:spacing w:line="360" w:lineRule="auto"/>
        <w:ind w:firstLine="420" w:firstLineChars="200"/>
        <w:jc w:val="left"/>
        <w:rPr>
          <w:rFonts w:ascii="宋体" w:hAnsi="宋体"/>
          <w:color w:val="auto"/>
          <w:szCs w:val="21"/>
        </w:rPr>
      </w:pPr>
      <w:r>
        <w:rPr>
          <w:rFonts w:hint="eastAsia" w:ascii="宋体" w:hAnsi="宋体"/>
          <w:color w:val="auto"/>
          <w:szCs w:val="21"/>
        </w:rPr>
        <w:t>2．承包人的法人或签署合同的公司总经理或受委托的代理人对合同安全负有全面的领导责任。</w:t>
      </w:r>
    </w:p>
    <w:p w14:paraId="5520E6BA">
      <w:pPr>
        <w:spacing w:line="360" w:lineRule="auto"/>
        <w:ind w:firstLine="420" w:firstLineChars="200"/>
        <w:jc w:val="left"/>
        <w:rPr>
          <w:rFonts w:ascii="宋体" w:hAnsi="宋体"/>
          <w:color w:val="auto"/>
          <w:szCs w:val="21"/>
        </w:rPr>
      </w:pPr>
      <w:r>
        <w:rPr>
          <w:rFonts w:hint="eastAsia" w:ascii="宋体" w:hAnsi="宋体"/>
          <w:color w:val="auto"/>
          <w:szCs w:val="21"/>
        </w:rPr>
        <w:t>3．承包人项目经理对施工现场的安全工作负有全面的直接领导责任。</w:t>
      </w:r>
    </w:p>
    <w:p w14:paraId="2285D852">
      <w:pPr>
        <w:spacing w:line="360" w:lineRule="auto"/>
        <w:ind w:firstLine="420" w:firstLineChars="200"/>
        <w:jc w:val="left"/>
        <w:rPr>
          <w:rFonts w:ascii="宋体" w:hAnsi="宋体"/>
          <w:color w:val="auto"/>
          <w:szCs w:val="21"/>
        </w:rPr>
      </w:pPr>
      <w:r>
        <w:rPr>
          <w:rFonts w:hint="eastAsia" w:ascii="宋体" w:hAnsi="宋体"/>
          <w:color w:val="auto"/>
          <w:szCs w:val="21"/>
        </w:rPr>
        <w:t>4．承包人保证执行“谁施工、谁负责”的施工安全原则。</w:t>
      </w:r>
    </w:p>
    <w:p w14:paraId="72449DD6">
      <w:pPr>
        <w:spacing w:line="360" w:lineRule="auto"/>
        <w:ind w:firstLine="420" w:firstLineChars="200"/>
        <w:jc w:val="left"/>
        <w:rPr>
          <w:rFonts w:ascii="宋体" w:hAnsi="宋体"/>
          <w:color w:val="auto"/>
          <w:szCs w:val="21"/>
        </w:rPr>
      </w:pPr>
      <w:r>
        <w:rPr>
          <w:rFonts w:hint="eastAsia" w:ascii="宋体" w:hAnsi="宋体"/>
          <w:color w:val="auto"/>
          <w:szCs w:val="21"/>
        </w:rPr>
        <w:t>5．承包人保证服从发包人对安全工作的统一协调和管理。</w:t>
      </w:r>
    </w:p>
    <w:p w14:paraId="017769DD">
      <w:pPr>
        <w:spacing w:line="360" w:lineRule="auto"/>
        <w:ind w:firstLine="420" w:firstLineChars="200"/>
        <w:jc w:val="left"/>
        <w:rPr>
          <w:rFonts w:ascii="宋体" w:hAnsi="宋体"/>
          <w:color w:val="auto"/>
          <w:szCs w:val="21"/>
        </w:rPr>
      </w:pPr>
      <w:r>
        <w:rPr>
          <w:rFonts w:hint="eastAsia" w:ascii="宋体" w:hAnsi="宋体"/>
          <w:color w:val="auto"/>
          <w:szCs w:val="21"/>
        </w:rPr>
        <w:t>6．承包人保证对本工程项目安全生产条件及其管理资源自行投入，保证安全资金的专款专用。</w:t>
      </w:r>
    </w:p>
    <w:p w14:paraId="366D8B60">
      <w:pPr>
        <w:spacing w:line="360" w:lineRule="auto"/>
        <w:ind w:firstLine="420" w:firstLineChars="200"/>
        <w:jc w:val="left"/>
        <w:rPr>
          <w:rFonts w:ascii="宋体" w:hAnsi="宋体"/>
          <w:color w:val="auto"/>
          <w:szCs w:val="21"/>
        </w:rPr>
      </w:pPr>
      <w:r>
        <w:rPr>
          <w:rFonts w:hint="eastAsia" w:ascii="宋体" w:hAnsi="宋体"/>
          <w:color w:val="auto"/>
          <w:szCs w:val="21"/>
        </w:rPr>
        <w:t>7．承包人保证建立本工程项目的安全管理体系及安全保证体系（注：项目安全管理大纲/手册、管理性的程序文件等）。</w:t>
      </w:r>
    </w:p>
    <w:p w14:paraId="31B449A3">
      <w:pPr>
        <w:spacing w:line="360" w:lineRule="auto"/>
        <w:ind w:firstLine="420" w:firstLineChars="200"/>
        <w:jc w:val="left"/>
        <w:rPr>
          <w:rFonts w:ascii="宋体" w:hAnsi="宋体"/>
          <w:color w:val="auto"/>
          <w:szCs w:val="21"/>
        </w:rPr>
      </w:pPr>
      <w:r>
        <w:rPr>
          <w:rFonts w:hint="eastAsia" w:ascii="宋体" w:hAnsi="宋体"/>
          <w:color w:val="auto"/>
          <w:szCs w:val="21"/>
        </w:rPr>
        <w:t>8．承包人保证现场的安全管理专职人员必须持有建设主管部门安全生产培训考核合格证书。</w:t>
      </w:r>
    </w:p>
    <w:p w14:paraId="03226DE9">
      <w:pPr>
        <w:spacing w:line="360" w:lineRule="auto"/>
        <w:ind w:firstLine="420" w:firstLineChars="200"/>
        <w:jc w:val="left"/>
        <w:rPr>
          <w:rFonts w:ascii="宋体" w:hAnsi="宋体"/>
          <w:color w:val="auto"/>
          <w:szCs w:val="21"/>
        </w:rPr>
      </w:pPr>
      <w:r>
        <w:rPr>
          <w:rFonts w:hint="eastAsia" w:ascii="宋体" w:hAnsi="宋体"/>
          <w:color w:val="auto"/>
          <w:szCs w:val="21"/>
        </w:rPr>
        <w:t>9．承包人保证为现场所有工作人员（含分包商员工及劳务人员）配备符合国家标准的有承包人和/或其下属分包商标志的个人基本劳动保护用品。</w:t>
      </w:r>
    </w:p>
    <w:p w14:paraId="5E812527">
      <w:pPr>
        <w:spacing w:line="360" w:lineRule="auto"/>
        <w:ind w:firstLine="420" w:firstLineChars="200"/>
        <w:jc w:val="left"/>
        <w:rPr>
          <w:rFonts w:ascii="宋体" w:hAnsi="宋体"/>
          <w:color w:val="auto"/>
          <w:szCs w:val="21"/>
        </w:rPr>
      </w:pPr>
      <w:r>
        <w:rPr>
          <w:rFonts w:hint="eastAsia" w:ascii="宋体" w:hAnsi="宋体"/>
          <w:color w:val="auto"/>
          <w:szCs w:val="21"/>
        </w:rPr>
        <w:t>10．承包人保证按照国家法律规定为现场所有工作人员（含分包商员工及劳务人员）购买意外伤害保险。</w:t>
      </w:r>
    </w:p>
    <w:p w14:paraId="7D040864">
      <w:pPr>
        <w:spacing w:line="360" w:lineRule="auto"/>
        <w:ind w:firstLine="420" w:firstLineChars="200"/>
        <w:jc w:val="left"/>
        <w:rPr>
          <w:rFonts w:ascii="宋体" w:hAnsi="宋体"/>
          <w:color w:val="auto"/>
          <w:szCs w:val="21"/>
        </w:rPr>
      </w:pPr>
      <w:r>
        <w:rPr>
          <w:rFonts w:hint="eastAsia" w:ascii="宋体" w:hAnsi="宋体"/>
          <w:color w:val="auto"/>
          <w:szCs w:val="21"/>
        </w:rPr>
        <w:t>11．承包人保证施工生活营地（包括自建的和租用的营地）满足消防、安全用电、卫生防疫、防暴雨、防雷击等方面的安全要求。</w:t>
      </w:r>
    </w:p>
    <w:p w14:paraId="61704617">
      <w:pPr>
        <w:spacing w:line="360" w:lineRule="auto"/>
        <w:ind w:firstLine="420" w:firstLineChars="200"/>
        <w:jc w:val="left"/>
        <w:rPr>
          <w:rFonts w:ascii="宋体" w:hAnsi="宋体"/>
          <w:color w:val="auto"/>
          <w:szCs w:val="21"/>
        </w:rPr>
      </w:pPr>
      <w:r>
        <w:rPr>
          <w:rFonts w:hint="eastAsia" w:ascii="宋体" w:hAnsi="宋体"/>
          <w:color w:val="auto"/>
          <w:szCs w:val="21"/>
        </w:rPr>
        <w:t>12．承包人保证对带入现场的设备、工具、材料按照国家法规和标准进行检测、试验，并持有法定部门出具的检验证书。</w:t>
      </w:r>
    </w:p>
    <w:p w14:paraId="22A341F5">
      <w:pPr>
        <w:spacing w:line="360" w:lineRule="auto"/>
        <w:ind w:firstLine="420" w:firstLineChars="200"/>
        <w:jc w:val="left"/>
        <w:rPr>
          <w:rFonts w:ascii="宋体" w:hAnsi="宋体"/>
          <w:color w:val="auto"/>
          <w:szCs w:val="21"/>
        </w:rPr>
      </w:pPr>
      <w:r>
        <w:rPr>
          <w:rFonts w:hint="eastAsia" w:ascii="宋体" w:hAnsi="宋体"/>
          <w:color w:val="auto"/>
          <w:szCs w:val="21"/>
        </w:rPr>
        <w:t>13．承包人保证制订施工现场的文明施工措施，保护环境、树木和植被，保持施工现场的良好秩序和整洁的作业环境。</w:t>
      </w:r>
    </w:p>
    <w:p w14:paraId="1C468C78">
      <w:pPr>
        <w:spacing w:line="360" w:lineRule="auto"/>
        <w:ind w:firstLine="420" w:firstLineChars="200"/>
        <w:jc w:val="left"/>
        <w:rPr>
          <w:rFonts w:ascii="宋体" w:hAnsi="宋体"/>
          <w:color w:val="auto"/>
          <w:szCs w:val="21"/>
        </w:rPr>
      </w:pPr>
      <w:r>
        <w:rPr>
          <w:rFonts w:hint="eastAsia" w:ascii="宋体" w:hAnsi="宋体"/>
          <w:color w:val="auto"/>
          <w:szCs w:val="21"/>
        </w:rPr>
        <w:t>14．承包人负责在施工过程中与当地政府、周边群众及其他承包商保持良好的沟通和交流。承包人遇到与周边群众发生纠纷时，应负责协调工作，确保工程能够顺利进行。</w:t>
      </w:r>
    </w:p>
    <w:p w14:paraId="391A8756">
      <w:pPr>
        <w:spacing w:line="360" w:lineRule="auto"/>
        <w:ind w:firstLine="420" w:firstLineChars="200"/>
        <w:rPr>
          <w:rFonts w:ascii="宋体" w:hAnsi="宋体"/>
          <w:color w:val="auto"/>
          <w:szCs w:val="21"/>
        </w:rPr>
      </w:pPr>
      <w:bookmarkStart w:id="1838" w:name="_Toc247431427"/>
      <w:bookmarkStart w:id="1839" w:name="_Toc247418267"/>
      <w:bookmarkStart w:id="1840" w:name="_Toc532375703"/>
      <w:bookmarkStart w:id="1841" w:name="_Toc239510293"/>
      <w:r>
        <w:rPr>
          <w:rFonts w:hint="eastAsia" w:ascii="宋体" w:hAnsi="宋体"/>
          <w:color w:val="auto"/>
          <w:szCs w:val="21"/>
        </w:rPr>
        <w:t>四、接口及协调</w:t>
      </w:r>
      <w:bookmarkEnd w:id="1838"/>
      <w:bookmarkEnd w:id="1839"/>
      <w:bookmarkEnd w:id="1840"/>
      <w:bookmarkEnd w:id="1841"/>
    </w:p>
    <w:p w14:paraId="43C9F8F1">
      <w:pPr>
        <w:spacing w:line="360" w:lineRule="auto"/>
        <w:ind w:firstLine="420" w:firstLineChars="200"/>
        <w:jc w:val="left"/>
        <w:rPr>
          <w:rFonts w:ascii="宋体" w:hAnsi="宋体"/>
          <w:color w:val="auto"/>
          <w:szCs w:val="21"/>
        </w:rPr>
      </w:pPr>
      <w:r>
        <w:rPr>
          <w:rFonts w:hint="eastAsia" w:ascii="宋体" w:hAnsi="宋体"/>
          <w:color w:val="auto"/>
          <w:szCs w:val="21"/>
        </w:rPr>
        <w:t>1．发包人委托监理公司对该工程实施监理，监理公司在安全管理方面代表发包人行使监督检查职能，承包人必须给予配合和支持。</w:t>
      </w:r>
    </w:p>
    <w:p w14:paraId="488C8DFA">
      <w:pPr>
        <w:spacing w:line="360" w:lineRule="auto"/>
        <w:ind w:firstLine="420" w:firstLineChars="200"/>
        <w:jc w:val="left"/>
        <w:rPr>
          <w:rFonts w:ascii="宋体" w:hAnsi="宋体"/>
          <w:color w:val="auto"/>
          <w:szCs w:val="21"/>
        </w:rPr>
      </w:pPr>
      <w:r>
        <w:rPr>
          <w:rFonts w:hint="eastAsia" w:ascii="宋体" w:hAnsi="宋体"/>
          <w:color w:val="auto"/>
          <w:szCs w:val="21"/>
        </w:rPr>
        <w:t>2．承包人人员、车辆的出入，带入现场的设备、机具、材料，在现场使用的或直接管理的办公、生活、生产性设施的安全管理须满足发包人现场管理的基本要求。</w:t>
      </w:r>
    </w:p>
    <w:p w14:paraId="701617DD">
      <w:pPr>
        <w:spacing w:line="360" w:lineRule="auto"/>
        <w:ind w:firstLine="420" w:firstLineChars="200"/>
        <w:jc w:val="left"/>
        <w:rPr>
          <w:rFonts w:ascii="宋体" w:hAnsi="宋体"/>
          <w:color w:val="auto"/>
          <w:szCs w:val="21"/>
        </w:rPr>
      </w:pPr>
      <w:r>
        <w:rPr>
          <w:rFonts w:hint="eastAsia" w:ascii="宋体" w:hAnsi="宋体"/>
          <w:color w:val="auto"/>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0225385E">
      <w:pPr>
        <w:spacing w:line="360" w:lineRule="auto"/>
        <w:ind w:firstLine="420" w:firstLineChars="200"/>
        <w:jc w:val="left"/>
        <w:rPr>
          <w:rFonts w:ascii="宋体" w:hAnsi="宋体"/>
          <w:color w:val="auto"/>
          <w:szCs w:val="21"/>
        </w:rPr>
      </w:pPr>
      <w:r>
        <w:rPr>
          <w:rFonts w:hint="eastAsia" w:ascii="宋体" w:hAnsi="宋体"/>
          <w:color w:val="auto"/>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4C8002A">
      <w:pPr>
        <w:spacing w:line="360" w:lineRule="auto"/>
        <w:ind w:firstLine="420" w:firstLineChars="200"/>
        <w:jc w:val="left"/>
        <w:rPr>
          <w:rFonts w:ascii="宋体" w:hAnsi="宋体"/>
          <w:color w:val="auto"/>
          <w:szCs w:val="21"/>
        </w:rPr>
      </w:pPr>
      <w:r>
        <w:rPr>
          <w:rFonts w:hint="eastAsia" w:ascii="宋体" w:hAnsi="宋体"/>
          <w:color w:val="auto"/>
          <w:szCs w:val="21"/>
        </w:rPr>
        <w:t>5．承包人指定的专职安全管理人员应与发包人委托的监理公司建立联系，在业务上接受发包人委托的监理公司的协调和指导。</w:t>
      </w:r>
    </w:p>
    <w:p w14:paraId="2A29D441">
      <w:pPr>
        <w:spacing w:line="360" w:lineRule="auto"/>
        <w:ind w:firstLine="420" w:firstLineChars="200"/>
        <w:jc w:val="left"/>
        <w:rPr>
          <w:rFonts w:ascii="宋体" w:hAnsi="宋体"/>
          <w:color w:val="auto"/>
          <w:szCs w:val="21"/>
        </w:rPr>
      </w:pPr>
      <w:r>
        <w:rPr>
          <w:rFonts w:hint="eastAsia" w:ascii="宋体" w:hAnsi="宋体"/>
          <w:color w:val="auto"/>
          <w:szCs w:val="21"/>
        </w:rPr>
        <w:t>6．开工后承包人的专职安全管理人员应按照发包人委托的监理公司的规定，定期报送安全月度快报、季报、年报和各种专项事故报告等。</w:t>
      </w:r>
    </w:p>
    <w:p w14:paraId="0FA34B86">
      <w:pPr>
        <w:spacing w:line="360" w:lineRule="auto"/>
        <w:ind w:firstLine="420" w:firstLineChars="200"/>
        <w:jc w:val="left"/>
        <w:rPr>
          <w:rFonts w:ascii="宋体" w:hAnsi="宋体"/>
          <w:color w:val="auto"/>
          <w:szCs w:val="21"/>
        </w:rPr>
      </w:pPr>
      <w:r>
        <w:rPr>
          <w:rFonts w:hint="eastAsia" w:ascii="宋体" w:hAnsi="宋体"/>
          <w:color w:val="auto"/>
          <w:szCs w:val="21"/>
        </w:rPr>
        <w:t>7．在工程实体未全部正式移交发包人施工管理部门之前，承包人依旧对施工范围内的安全管理负责。</w:t>
      </w:r>
    </w:p>
    <w:p w14:paraId="28D474C0">
      <w:pPr>
        <w:spacing w:line="360" w:lineRule="auto"/>
        <w:ind w:firstLine="420" w:firstLineChars="200"/>
        <w:rPr>
          <w:rFonts w:ascii="宋体" w:hAnsi="宋体"/>
          <w:color w:val="auto"/>
          <w:szCs w:val="21"/>
        </w:rPr>
      </w:pPr>
      <w:bookmarkStart w:id="1842" w:name="_Toc532375704"/>
      <w:bookmarkStart w:id="1843" w:name="_Toc239510294"/>
      <w:bookmarkStart w:id="1844" w:name="_Toc247418268"/>
      <w:bookmarkStart w:id="1845" w:name="_Toc247431428"/>
      <w:r>
        <w:rPr>
          <w:rFonts w:hint="eastAsia" w:ascii="宋体" w:hAnsi="宋体"/>
          <w:color w:val="auto"/>
          <w:szCs w:val="21"/>
        </w:rPr>
        <w:t>五、安全资质审查</w:t>
      </w:r>
      <w:bookmarkEnd w:id="1842"/>
      <w:bookmarkEnd w:id="1843"/>
      <w:bookmarkEnd w:id="1844"/>
      <w:bookmarkEnd w:id="1845"/>
    </w:p>
    <w:p w14:paraId="62DEF221">
      <w:pPr>
        <w:spacing w:line="360" w:lineRule="auto"/>
        <w:ind w:firstLine="420" w:firstLineChars="200"/>
        <w:jc w:val="left"/>
        <w:rPr>
          <w:rFonts w:ascii="宋体" w:hAnsi="宋体"/>
          <w:color w:val="auto"/>
          <w:szCs w:val="21"/>
        </w:rPr>
      </w:pPr>
      <w:r>
        <w:rPr>
          <w:rFonts w:hint="eastAsia" w:ascii="宋体" w:hAnsi="宋体"/>
          <w:color w:val="auto"/>
          <w:szCs w:val="21"/>
        </w:rPr>
        <w:t>承包人在项目开工前5个工作天内向发包人委托的监理公司提供以下安全资质供审查和存档：</w:t>
      </w:r>
    </w:p>
    <w:p w14:paraId="348FB735">
      <w:pPr>
        <w:spacing w:line="360" w:lineRule="auto"/>
        <w:ind w:firstLine="420" w:firstLineChars="200"/>
        <w:jc w:val="left"/>
        <w:rPr>
          <w:rFonts w:ascii="宋体" w:hAnsi="宋体"/>
          <w:color w:val="auto"/>
          <w:szCs w:val="21"/>
        </w:rPr>
      </w:pPr>
      <w:r>
        <w:rPr>
          <w:rFonts w:hint="eastAsia" w:ascii="宋体" w:hAnsi="宋体"/>
          <w:color w:val="auto"/>
          <w:szCs w:val="21"/>
        </w:rPr>
        <w:t>1．企业安全生产许可证书复印件。</w:t>
      </w:r>
    </w:p>
    <w:p w14:paraId="1C6D9E04">
      <w:pPr>
        <w:spacing w:line="360" w:lineRule="auto"/>
        <w:ind w:firstLine="420" w:firstLineChars="200"/>
        <w:jc w:val="left"/>
        <w:rPr>
          <w:rFonts w:ascii="宋体" w:hAnsi="宋体"/>
          <w:color w:val="auto"/>
          <w:szCs w:val="21"/>
        </w:rPr>
      </w:pPr>
      <w:r>
        <w:rPr>
          <w:rFonts w:hint="eastAsia" w:ascii="宋体" w:hAnsi="宋体"/>
          <w:color w:val="auto"/>
          <w:szCs w:val="21"/>
        </w:rPr>
        <w:t>2．企业近三年的施工简历及安全施工业绩证明文件。</w:t>
      </w:r>
    </w:p>
    <w:p w14:paraId="25C9B349">
      <w:pPr>
        <w:spacing w:line="360" w:lineRule="auto"/>
        <w:ind w:firstLine="420" w:firstLineChars="200"/>
        <w:jc w:val="left"/>
        <w:rPr>
          <w:rFonts w:ascii="宋体" w:hAnsi="宋体"/>
          <w:color w:val="auto"/>
          <w:szCs w:val="21"/>
        </w:rPr>
      </w:pPr>
      <w:r>
        <w:rPr>
          <w:rFonts w:hint="eastAsia" w:ascii="宋体" w:hAnsi="宋体"/>
          <w:color w:val="auto"/>
          <w:szCs w:val="21"/>
        </w:rPr>
        <w:t>3．企业主要安全管理人员（包括项目经理、专职安全管理人员）经建设主管部门安全生产知识考核合格证书。</w:t>
      </w:r>
    </w:p>
    <w:p w14:paraId="148B3D68">
      <w:pPr>
        <w:spacing w:line="360" w:lineRule="auto"/>
        <w:ind w:firstLine="420" w:firstLineChars="200"/>
        <w:jc w:val="left"/>
        <w:rPr>
          <w:rFonts w:ascii="宋体" w:hAnsi="宋体"/>
          <w:color w:val="auto"/>
          <w:szCs w:val="21"/>
        </w:rPr>
      </w:pPr>
      <w:r>
        <w:rPr>
          <w:rFonts w:hint="eastAsia" w:ascii="宋体" w:hAnsi="宋体"/>
          <w:color w:val="auto"/>
          <w:szCs w:val="21"/>
        </w:rPr>
        <w:t>4．特种作业人员资格证书。</w:t>
      </w:r>
    </w:p>
    <w:p w14:paraId="65BC165D">
      <w:pPr>
        <w:spacing w:line="360" w:lineRule="auto"/>
        <w:ind w:firstLine="420" w:firstLineChars="200"/>
        <w:jc w:val="left"/>
        <w:rPr>
          <w:rFonts w:ascii="宋体" w:hAnsi="宋体"/>
          <w:color w:val="auto"/>
          <w:szCs w:val="21"/>
        </w:rPr>
      </w:pPr>
      <w:r>
        <w:rPr>
          <w:rFonts w:hint="eastAsia" w:ascii="宋体" w:hAnsi="宋体"/>
          <w:color w:val="auto"/>
          <w:szCs w:val="21"/>
        </w:rPr>
        <w:t>5．项目安全管理机构及其人员配备（承包人必须配有专职的安全员）。</w:t>
      </w:r>
    </w:p>
    <w:p w14:paraId="548CB5FC">
      <w:pPr>
        <w:spacing w:line="360" w:lineRule="auto"/>
        <w:ind w:firstLine="420" w:firstLineChars="200"/>
        <w:jc w:val="left"/>
        <w:rPr>
          <w:rFonts w:ascii="宋体" w:hAnsi="宋体"/>
          <w:color w:val="auto"/>
          <w:szCs w:val="21"/>
        </w:rPr>
      </w:pPr>
      <w:r>
        <w:rPr>
          <w:rFonts w:hint="eastAsia" w:ascii="宋体" w:hAnsi="宋体"/>
          <w:color w:val="auto"/>
          <w:szCs w:val="21"/>
        </w:rPr>
        <w:t>6．适用于项目的安全管理体系及保证体系文件（安全管理大纲及管理程序文件）。</w:t>
      </w:r>
    </w:p>
    <w:p w14:paraId="0139C4A2">
      <w:pPr>
        <w:spacing w:line="360" w:lineRule="auto"/>
        <w:ind w:firstLine="420" w:firstLineChars="200"/>
        <w:rPr>
          <w:rFonts w:ascii="宋体" w:hAnsi="宋体"/>
          <w:color w:val="auto"/>
          <w:szCs w:val="21"/>
        </w:rPr>
      </w:pPr>
      <w:bookmarkStart w:id="1846" w:name="_Toc247418269"/>
      <w:bookmarkStart w:id="1847" w:name="_Toc239510295"/>
      <w:bookmarkStart w:id="1848" w:name="_Toc532375705"/>
      <w:bookmarkStart w:id="1849" w:name="_Toc247431429"/>
      <w:r>
        <w:rPr>
          <w:rFonts w:hint="eastAsia" w:ascii="宋体" w:hAnsi="宋体"/>
          <w:color w:val="auto"/>
          <w:szCs w:val="21"/>
        </w:rPr>
        <w:t>六、人员基本素质</w:t>
      </w:r>
      <w:bookmarkEnd w:id="1846"/>
      <w:bookmarkEnd w:id="1847"/>
      <w:bookmarkEnd w:id="1848"/>
      <w:bookmarkEnd w:id="1849"/>
    </w:p>
    <w:p w14:paraId="19C40773">
      <w:pPr>
        <w:spacing w:line="360" w:lineRule="auto"/>
        <w:ind w:firstLine="420" w:firstLineChars="200"/>
        <w:jc w:val="left"/>
        <w:rPr>
          <w:rFonts w:ascii="宋体" w:hAnsi="宋体"/>
          <w:color w:val="auto"/>
          <w:szCs w:val="21"/>
        </w:rPr>
      </w:pPr>
      <w:r>
        <w:rPr>
          <w:rFonts w:hint="eastAsia" w:ascii="宋体" w:hAnsi="宋体"/>
          <w:color w:val="auto"/>
          <w:szCs w:val="21"/>
        </w:rPr>
        <w:t>承包人提供的人员必须满足下列要求：</w:t>
      </w:r>
    </w:p>
    <w:p w14:paraId="23D2B50B">
      <w:pPr>
        <w:spacing w:line="360" w:lineRule="auto"/>
        <w:ind w:firstLine="420" w:firstLineChars="200"/>
        <w:jc w:val="left"/>
        <w:rPr>
          <w:rFonts w:ascii="宋体" w:hAnsi="宋体"/>
          <w:color w:val="auto"/>
          <w:szCs w:val="21"/>
        </w:rPr>
      </w:pPr>
      <w:r>
        <w:rPr>
          <w:rFonts w:hint="eastAsia" w:ascii="宋体" w:hAnsi="宋体"/>
          <w:color w:val="auto"/>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DCE7CEA">
      <w:pPr>
        <w:spacing w:line="360" w:lineRule="auto"/>
        <w:ind w:firstLine="420" w:firstLineChars="200"/>
        <w:jc w:val="left"/>
        <w:rPr>
          <w:rFonts w:ascii="宋体" w:hAnsi="宋体"/>
          <w:color w:val="auto"/>
          <w:szCs w:val="21"/>
        </w:rPr>
      </w:pPr>
      <w:r>
        <w:rPr>
          <w:rFonts w:hint="eastAsia" w:ascii="宋体" w:hAnsi="宋体"/>
          <w:color w:val="auto"/>
          <w:szCs w:val="21"/>
        </w:rPr>
        <w:t>2．无刑事案件牵连。</w:t>
      </w:r>
    </w:p>
    <w:p w14:paraId="4BB48A7C">
      <w:pPr>
        <w:spacing w:line="360" w:lineRule="auto"/>
        <w:ind w:firstLine="420" w:firstLineChars="200"/>
        <w:jc w:val="left"/>
        <w:rPr>
          <w:rFonts w:ascii="宋体" w:hAnsi="宋体"/>
          <w:color w:val="auto"/>
          <w:szCs w:val="21"/>
        </w:rPr>
      </w:pPr>
      <w:r>
        <w:rPr>
          <w:rFonts w:hint="eastAsia" w:ascii="宋体" w:hAnsi="宋体"/>
          <w:color w:val="auto"/>
          <w:szCs w:val="21"/>
        </w:rPr>
        <w:t>3．无吸毒、酗酒、赌博、嫖娼等恶习及违法行为。</w:t>
      </w:r>
    </w:p>
    <w:p w14:paraId="7C0B1AC3">
      <w:pPr>
        <w:spacing w:line="360" w:lineRule="auto"/>
        <w:ind w:firstLine="420" w:firstLineChars="200"/>
        <w:rPr>
          <w:rFonts w:ascii="宋体" w:hAnsi="宋体"/>
          <w:color w:val="auto"/>
          <w:szCs w:val="21"/>
        </w:rPr>
      </w:pPr>
      <w:bookmarkStart w:id="1850" w:name="_Toc247431430"/>
      <w:bookmarkStart w:id="1851" w:name="_Toc247418270"/>
      <w:bookmarkStart w:id="1852" w:name="_Toc239510296"/>
      <w:bookmarkStart w:id="1853" w:name="_Toc532375706"/>
      <w:r>
        <w:rPr>
          <w:rFonts w:hint="eastAsia" w:ascii="宋体" w:hAnsi="宋体"/>
          <w:color w:val="auto"/>
          <w:szCs w:val="21"/>
        </w:rPr>
        <w:t>七、劳动保护</w:t>
      </w:r>
      <w:bookmarkEnd w:id="1850"/>
      <w:bookmarkEnd w:id="1851"/>
      <w:bookmarkEnd w:id="1852"/>
      <w:bookmarkEnd w:id="1853"/>
    </w:p>
    <w:p w14:paraId="2808ACFD">
      <w:pPr>
        <w:spacing w:line="360" w:lineRule="auto"/>
        <w:ind w:firstLine="420" w:firstLineChars="200"/>
        <w:jc w:val="left"/>
        <w:rPr>
          <w:rFonts w:ascii="宋体" w:hAnsi="宋体"/>
          <w:color w:val="auto"/>
          <w:szCs w:val="21"/>
        </w:rPr>
      </w:pPr>
      <w:r>
        <w:rPr>
          <w:rFonts w:hint="eastAsia" w:ascii="宋体" w:hAnsi="宋体"/>
          <w:color w:val="auto"/>
          <w:szCs w:val="21"/>
        </w:rPr>
        <w:t>1．承包人负责为本单位任何用工形式的员工提供个人劳动保护用品（包括工作服、安全帽、安全鞋等）。</w:t>
      </w:r>
    </w:p>
    <w:p w14:paraId="7D5D753E">
      <w:pPr>
        <w:spacing w:line="360" w:lineRule="auto"/>
        <w:ind w:firstLine="420" w:firstLineChars="200"/>
        <w:jc w:val="left"/>
        <w:rPr>
          <w:rFonts w:ascii="宋体" w:hAnsi="宋体"/>
          <w:color w:val="auto"/>
          <w:szCs w:val="21"/>
        </w:rPr>
      </w:pPr>
      <w:r>
        <w:rPr>
          <w:rFonts w:hint="eastAsia" w:ascii="宋体" w:hAnsi="宋体"/>
          <w:color w:val="auto"/>
          <w:szCs w:val="21"/>
        </w:rPr>
        <w:t>2．承包人负责向特殊工种的员工提供特殊劳动保护，否则不得从事特殊工种作业。</w:t>
      </w:r>
    </w:p>
    <w:p w14:paraId="7900B1E5">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3．发包人委托的监理公司有权检查承包人的个人劳动保护用品是否符合国家的相应标准。</w:t>
      </w:r>
    </w:p>
    <w:p w14:paraId="7A1D6CB0">
      <w:pPr>
        <w:spacing w:line="360" w:lineRule="auto"/>
        <w:ind w:firstLine="420" w:firstLineChars="200"/>
        <w:jc w:val="left"/>
        <w:rPr>
          <w:rFonts w:ascii="宋体" w:hAnsi="宋体"/>
          <w:color w:val="auto"/>
          <w:szCs w:val="21"/>
        </w:rPr>
      </w:pPr>
      <w:r>
        <w:rPr>
          <w:rFonts w:hint="eastAsia" w:ascii="宋体" w:hAnsi="宋体"/>
          <w:color w:val="auto"/>
          <w:szCs w:val="21"/>
        </w:rPr>
        <w:t>4． 承包人在特殊风险场所作业而需要特殊防护用品或安全仪表时，必须在上述防护用品全部到位后才能开工。</w:t>
      </w:r>
    </w:p>
    <w:p w14:paraId="38AE81CC">
      <w:pPr>
        <w:spacing w:line="360" w:lineRule="auto"/>
        <w:ind w:firstLine="420" w:firstLineChars="200"/>
        <w:jc w:val="left"/>
        <w:rPr>
          <w:rFonts w:ascii="宋体" w:hAnsi="宋体"/>
          <w:color w:val="auto"/>
          <w:szCs w:val="21"/>
        </w:rPr>
      </w:pPr>
      <w:r>
        <w:rPr>
          <w:rFonts w:hint="eastAsia" w:ascii="宋体" w:hAnsi="宋体"/>
          <w:color w:val="auto"/>
          <w:szCs w:val="21"/>
        </w:rPr>
        <w:t>5．承包人应配备临时安全围栏、警示带、警告标志、防火布等集体防护用品。</w:t>
      </w:r>
    </w:p>
    <w:p w14:paraId="673F25F8">
      <w:pPr>
        <w:spacing w:line="360" w:lineRule="auto"/>
        <w:ind w:firstLine="420" w:firstLineChars="200"/>
        <w:rPr>
          <w:rFonts w:ascii="宋体" w:hAnsi="宋体"/>
          <w:color w:val="auto"/>
          <w:szCs w:val="21"/>
        </w:rPr>
      </w:pPr>
      <w:bookmarkStart w:id="1854" w:name="_Toc247418271"/>
      <w:bookmarkStart w:id="1855" w:name="_Toc239510297"/>
      <w:bookmarkStart w:id="1856" w:name="_Toc532375707"/>
      <w:bookmarkStart w:id="1857" w:name="_Toc247431431"/>
      <w:r>
        <w:rPr>
          <w:rFonts w:hint="eastAsia" w:ascii="宋体" w:hAnsi="宋体"/>
          <w:color w:val="auto"/>
          <w:szCs w:val="21"/>
        </w:rPr>
        <w:t>八、施工机具与材料</w:t>
      </w:r>
      <w:bookmarkEnd w:id="1854"/>
      <w:bookmarkEnd w:id="1855"/>
      <w:bookmarkEnd w:id="1856"/>
      <w:bookmarkEnd w:id="1857"/>
    </w:p>
    <w:p w14:paraId="63E2B415">
      <w:pPr>
        <w:spacing w:line="360" w:lineRule="auto"/>
        <w:ind w:firstLine="420" w:firstLineChars="200"/>
        <w:jc w:val="left"/>
        <w:rPr>
          <w:rFonts w:ascii="宋体" w:hAnsi="宋体"/>
          <w:color w:val="auto"/>
          <w:szCs w:val="21"/>
        </w:rPr>
      </w:pPr>
      <w:r>
        <w:rPr>
          <w:rFonts w:hint="eastAsia" w:ascii="宋体" w:hAnsi="宋体"/>
          <w:color w:val="auto"/>
          <w:szCs w:val="21"/>
        </w:rPr>
        <w:t>1．承包人对带入现场的施工机械和工器具的安全负责。</w:t>
      </w:r>
    </w:p>
    <w:p w14:paraId="2B4888EC">
      <w:pPr>
        <w:spacing w:line="360" w:lineRule="auto"/>
        <w:ind w:firstLine="420" w:firstLineChars="200"/>
        <w:jc w:val="left"/>
        <w:rPr>
          <w:rFonts w:ascii="宋体" w:hAnsi="宋体"/>
          <w:color w:val="auto"/>
          <w:szCs w:val="21"/>
        </w:rPr>
      </w:pPr>
      <w:r>
        <w:rPr>
          <w:rFonts w:hint="eastAsia" w:ascii="宋体" w:hAnsi="宋体"/>
          <w:color w:val="auto"/>
          <w:szCs w:val="21"/>
        </w:rPr>
        <w:t>2．对于承包人带入现场的特殊工器具，如起重设备、索具、机动车辆、压缩气瓶等，承包人必须按国家法规和标准进行检测、试验，并持有法定部门出具的检验证书。</w:t>
      </w:r>
    </w:p>
    <w:p w14:paraId="1BFAFF61">
      <w:pPr>
        <w:spacing w:line="360" w:lineRule="auto"/>
        <w:ind w:firstLine="420" w:firstLineChars="200"/>
        <w:jc w:val="left"/>
        <w:rPr>
          <w:rFonts w:ascii="宋体" w:hAnsi="宋体"/>
          <w:color w:val="auto"/>
          <w:szCs w:val="21"/>
        </w:rPr>
      </w:pPr>
      <w:r>
        <w:rPr>
          <w:rFonts w:hint="eastAsia" w:ascii="宋体" w:hAnsi="宋体"/>
          <w:color w:val="auto"/>
          <w:szCs w:val="21"/>
        </w:rPr>
        <w:t>3．对于不属于法定检测的工器具，承包人也必须建立相应的管理、检测制度，这些工器具包括登高工具、脚手架材料、电动工具、安全防护设备及用具等。</w:t>
      </w:r>
    </w:p>
    <w:p w14:paraId="541F52A4">
      <w:pPr>
        <w:spacing w:line="360" w:lineRule="auto"/>
        <w:ind w:firstLine="420" w:firstLineChars="200"/>
        <w:rPr>
          <w:rFonts w:ascii="宋体" w:hAnsi="宋体"/>
          <w:color w:val="auto"/>
          <w:szCs w:val="21"/>
        </w:rPr>
      </w:pPr>
      <w:bookmarkStart w:id="1858" w:name="_Toc247431432"/>
      <w:bookmarkStart w:id="1859" w:name="_Toc239510298"/>
      <w:bookmarkStart w:id="1860" w:name="_Toc532375708"/>
      <w:bookmarkStart w:id="1861" w:name="_Toc247418272"/>
      <w:r>
        <w:rPr>
          <w:rFonts w:hint="eastAsia" w:ascii="宋体" w:hAnsi="宋体"/>
          <w:color w:val="auto"/>
          <w:szCs w:val="21"/>
        </w:rPr>
        <w:t>九、开工前安全条件检查</w:t>
      </w:r>
      <w:bookmarkEnd w:id="1858"/>
      <w:bookmarkEnd w:id="1859"/>
      <w:bookmarkEnd w:id="1860"/>
      <w:bookmarkEnd w:id="1861"/>
    </w:p>
    <w:p w14:paraId="6CE317A7">
      <w:pPr>
        <w:spacing w:line="360" w:lineRule="auto"/>
        <w:ind w:firstLine="420" w:firstLineChars="200"/>
        <w:jc w:val="left"/>
        <w:rPr>
          <w:rFonts w:ascii="宋体" w:hAnsi="宋体"/>
          <w:color w:val="auto"/>
          <w:szCs w:val="21"/>
        </w:rPr>
      </w:pPr>
      <w:r>
        <w:rPr>
          <w:rFonts w:hint="eastAsia" w:ascii="宋体" w:hAnsi="宋体"/>
          <w:color w:val="auto"/>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E27B25E">
      <w:pPr>
        <w:spacing w:line="360" w:lineRule="auto"/>
        <w:ind w:firstLine="420" w:firstLineChars="200"/>
        <w:jc w:val="left"/>
        <w:rPr>
          <w:rFonts w:ascii="宋体" w:hAnsi="宋体"/>
          <w:color w:val="auto"/>
          <w:szCs w:val="21"/>
        </w:rPr>
      </w:pPr>
      <w:r>
        <w:rPr>
          <w:rFonts w:hint="eastAsia" w:ascii="宋体" w:hAnsi="宋体"/>
          <w:color w:val="auto"/>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18A549E">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0ABB0C67">
      <w:pPr>
        <w:spacing w:line="360" w:lineRule="auto"/>
        <w:ind w:firstLine="420" w:firstLineChars="200"/>
        <w:rPr>
          <w:rFonts w:ascii="宋体" w:hAnsi="宋体"/>
          <w:color w:val="auto"/>
          <w:szCs w:val="21"/>
        </w:rPr>
      </w:pPr>
      <w:bookmarkStart w:id="1862" w:name="_Toc247418273"/>
      <w:bookmarkStart w:id="1863" w:name="_Toc532375709"/>
      <w:bookmarkStart w:id="1864" w:name="_Toc239510299"/>
      <w:bookmarkStart w:id="1865" w:name="_Toc247431433"/>
      <w:r>
        <w:rPr>
          <w:rFonts w:hint="eastAsia" w:ascii="宋体" w:hAnsi="宋体"/>
          <w:color w:val="auto"/>
          <w:szCs w:val="21"/>
        </w:rPr>
        <w:t>十、安全监督</w:t>
      </w:r>
      <w:bookmarkEnd w:id="1862"/>
      <w:bookmarkEnd w:id="1863"/>
      <w:bookmarkEnd w:id="1864"/>
      <w:bookmarkEnd w:id="1865"/>
    </w:p>
    <w:p w14:paraId="1C354412">
      <w:pPr>
        <w:spacing w:line="360" w:lineRule="auto"/>
        <w:ind w:firstLine="420" w:firstLineChars="200"/>
        <w:jc w:val="left"/>
        <w:rPr>
          <w:rFonts w:ascii="宋体" w:hAnsi="宋体"/>
          <w:color w:val="auto"/>
          <w:szCs w:val="21"/>
        </w:rPr>
      </w:pPr>
      <w:r>
        <w:rPr>
          <w:rFonts w:hint="eastAsia" w:ascii="宋体" w:hAnsi="宋体"/>
          <w:color w:val="auto"/>
          <w:szCs w:val="21"/>
        </w:rPr>
        <w:t>1．承包人应配备有满足项目安全管理需要的专职安全管理人员。</w:t>
      </w:r>
    </w:p>
    <w:p w14:paraId="1DB2C4DF">
      <w:pPr>
        <w:spacing w:line="360" w:lineRule="auto"/>
        <w:ind w:firstLine="420" w:firstLineChars="200"/>
        <w:jc w:val="left"/>
        <w:rPr>
          <w:rFonts w:ascii="宋体" w:hAnsi="宋体"/>
          <w:color w:val="auto"/>
          <w:szCs w:val="21"/>
        </w:rPr>
      </w:pPr>
      <w:r>
        <w:rPr>
          <w:rFonts w:hint="eastAsia" w:ascii="宋体" w:hAnsi="宋体"/>
          <w:color w:val="auto"/>
          <w:szCs w:val="21"/>
        </w:rPr>
        <w:t>2．承包人的专职安全管理人员必须持建设主管部门颁发的安全生产知识考核合格证书。</w:t>
      </w:r>
    </w:p>
    <w:p w14:paraId="50FEDE78">
      <w:pPr>
        <w:spacing w:line="360" w:lineRule="auto"/>
        <w:ind w:firstLine="420" w:firstLineChars="200"/>
        <w:jc w:val="left"/>
        <w:rPr>
          <w:rFonts w:ascii="宋体" w:hAnsi="宋体"/>
          <w:color w:val="auto"/>
          <w:szCs w:val="21"/>
        </w:rPr>
      </w:pPr>
      <w:r>
        <w:rPr>
          <w:rFonts w:hint="eastAsia" w:ascii="宋体" w:hAnsi="宋体"/>
          <w:color w:val="auto"/>
          <w:szCs w:val="21"/>
        </w:rPr>
        <w:t>3．承包人的专职安全管理人员在业务上接受发包人委托的监理公司和发包人安全管理部门的协调和指导。</w:t>
      </w:r>
    </w:p>
    <w:p w14:paraId="26CD714B">
      <w:pPr>
        <w:spacing w:line="360" w:lineRule="auto"/>
        <w:ind w:firstLine="420" w:firstLineChars="200"/>
        <w:jc w:val="left"/>
        <w:rPr>
          <w:rFonts w:ascii="宋体" w:hAnsi="宋体"/>
          <w:color w:val="auto"/>
          <w:szCs w:val="21"/>
        </w:rPr>
      </w:pPr>
      <w:r>
        <w:rPr>
          <w:rFonts w:hint="eastAsia" w:ascii="宋体" w:hAnsi="宋体"/>
          <w:color w:val="auto"/>
          <w:szCs w:val="21"/>
        </w:rPr>
        <w:t>4．承包人应建立班前安全交底制度；施工期间坚持开展安全检查和日常安全监督并形成相应的记录。</w:t>
      </w:r>
    </w:p>
    <w:p w14:paraId="6521D197">
      <w:pPr>
        <w:spacing w:line="360" w:lineRule="auto"/>
        <w:ind w:firstLine="420" w:firstLineChars="200"/>
        <w:jc w:val="left"/>
        <w:rPr>
          <w:rFonts w:ascii="宋体" w:hAnsi="宋体"/>
          <w:color w:val="auto"/>
          <w:szCs w:val="21"/>
        </w:rPr>
      </w:pPr>
      <w:r>
        <w:rPr>
          <w:rFonts w:hint="eastAsia" w:ascii="宋体" w:hAnsi="宋体"/>
          <w:color w:val="auto"/>
          <w:szCs w:val="21"/>
        </w:rPr>
        <w:t>5．承包人应在每个作业区任命兼职安全员，赋予兼职安全员相应的授权和义务，并对兼职安全员进行定期考核。</w:t>
      </w:r>
    </w:p>
    <w:p w14:paraId="0E3590C4">
      <w:pPr>
        <w:spacing w:line="360" w:lineRule="auto"/>
        <w:ind w:firstLine="420" w:firstLineChars="200"/>
        <w:jc w:val="left"/>
        <w:rPr>
          <w:rFonts w:ascii="宋体" w:hAnsi="宋体"/>
          <w:color w:val="auto"/>
          <w:szCs w:val="21"/>
        </w:rPr>
      </w:pPr>
      <w:r>
        <w:rPr>
          <w:rFonts w:hint="eastAsia" w:ascii="宋体" w:hAnsi="宋体"/>
          <w:color w:val="auto"/>
          <w:szCs w:val="21"/>
        </w:rPr>
        <w:t>6．承包人应接受和配合发包人专业部门及委托的监理公司的监督与安全评价。</w:t>
      </w:r>
    </w:p>
    <w:p w14:paraId="04D33BED">
      <w:pPr>
        <w:spacing w:line="360" w:lineRule="auto"/>
        <w:ind w:firstLine="420" w:firstLineChars="200"/>
        <w:jc w:val="left"/>
        <w:rPr>
          <w:rFonts w:ascii="宋体" w:hAnsi="宋体"/>
          <w:color w:val="auto"/>
          <w:szCs w:val="21"/>
        </w:rPr>
      </w:pPr>
      <w:r>
        <w:rPr>
          <w:rFonts w:hint="eastAsia" w:ascii="宋体" w:hAnsi="宋体"/>
          <w:color w:val="auto"/>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B95A8FE">
      <w:pPr>
        <w:spacing w:line="360" w:lineRule="auto"/>
        <w:ind w:firstLine="420" w:firstLineChars="200"/>
        <w:rPr>
          <w:rFonts w:ascii="宋体" w:hAnsi="宋体"/>
          <w:color w:val="auto"/>
          <w:szCs w:val="21"/>
        </w:rPr>
      </w:pPr>
      <w:bookmarkStart w:id="1866" w:name="_Toc239510300"/>
      <w:bookmarkStart w:id="1867" w:name="_Toc532375710"/>
      <w:bookmarkStart w:id="1868" w:name="_Toc247431434"/>
      <w:bookmarkStart w:id="1869" w:name="_Toc247418274"/>
      <w:r>
        <w:rPr>
          <w:rFonts w:hint="eastAsia" w:ascii="宋体" w:hAnsi="宋体"/>
          <w:color w:val="auto"/>
          <w:szCs w:val="21"/>
        </w:rPr>
        <w:t>十一、安全培训与授权</w:t>
      </w:r>
      <w:bookmarkEnd w:id="1866"/>
      <w:bookmarkEnd w:id="1867"/>
      <w:bookmarkEnd w:id="1868"/>
      <w:bookmarkEnd w:id="1869"/>
    </w:p>
    <w:p w14:paraId="39ECB7F0">
      <w:pPr>
        <w:spacing w:line="360" w:lineRule="auto"/>
        <w:ind w:firstLine="420" w:firstLineChars="200"/>
        <w:jc w:val="left"/>
        <w:rPr>
          <w:rFonts w:ascii="宋体" w:hAnsi="宋体"/>
          <w:color w:val="auto"/>
          <w:szCs w:val="21"/>
        </w:rPr>
      </w:pPr>
      <w:r>
        <w:rPr>
          <w:rFonts w:hint="eastAsia" w:ascii="宋体" w:hAnsi="宋体"/>
          <w:color w:val="auto"/>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7C8036C1">
      <w:pPr>
        <w:spacing w:line="360" w:lineRule="auto"/>
        <w:ind w:firstLine="420" w:firstLineChars="200"/>
        <w:jc w:val="left"/>
        <w:rPr>
          <w:rFonts w:ascii="宋体" w:hAnsi="宋体"/>
          <w:color w:val="auto"/>
          <w:szCs w:val="21"/>
        </w:rPr>
      </w:pPr>
      <w:r>
        <w:rPr>
          <w:rFonts w:hint="eastAsia" w:ascii="宋体" w:hAnsi="宋体"/>
          <w:color w:val="auto"/>
          <w:szCs w:val="21"/>
        </w:rPr>
        <w:t>2．承包人应在特殊工种之外的其他工种中，筛选出高风险工种，并对其开展针对性的专题安全培训。</w:t>
      </w:r>
    </w:p>
    <w:p w14:paraId="7700E103">
      <w:pPr>
        <w:spacing w:line="360" w:lineRule="auto"/>
        <w:ind w:firstLine="420" w:firstLineChars="200"/>
        <w:jc w:val="left"/>
        <w:rPr>
          <w:rFonts w:ascii="宋体" w:hAnsi="宋体"/>
          <w:color w:val="auto"/>
          <w:szCs w:val="21"/>
        </w:rPr>
      </w:pPr>
      <w:r>
        <w:rPr>
          <w:rFonts w:hint="eastAsia" w:ascii="宋体" w:hAnsi="宋体"/>
          <w:color w:val="auto"/>
          <w:szCs w:val="21"/>
        </w:rPr>
        <w:t>3．承包人应组织 “入场培训”和考核。发包人委托的监理公司有权监督培训、考核情况或组织抽查考核。</w:t>
      </w:r>
    </w:p>
    <w:p w14:paraId="7F066886">
      <w:pPr>
        <w:spacing w:line="360" w:lineRule="auto"/>
        <w:ind w:firstLine="420" w:firstLineChars="200"/>
        <w:jc w:val="left"/>
        <w:rPr>
          <w:rFonts w:ascii="宋体" w:hAnsi="宋体"/>
          <w:color w:val="auto"/>
          <w:szCs w:val="21"/>
        </w:rPr>
      </w:pPr>
      <w:r>
        <w:rPr>
          <w:rFonts w:hint="eastAsia" w:ascii="宋体" w:hAnsi="宋体"/>
          <w:color w:val="auto"/>
          <w:szCs w:val="21"/>
        </w:rPr>
        <w:t>4．承包人应建立安全培训和考核机制，编制培训教材和培训滚动计划。承包人应组织安全考试/考核，建立培训考核记录，发包人委托的监理公司有权查看这些记录。</w:t>
      </w:r>
    </w:p>
    <w:p w14:paraId="567397D3">
      <w:pPr>
        <w:spacing w:line="360" w:lineRule="auto"/>
        <w:ind w:firstLine="420" w:firstLineChars="200"/>
        <w:rPr>
          <w:rFonts w:ascii="宋体" w:hAnsi="宋体"/>
          <w:color w:val="auto"/>
          <w:szCs w:val="21"/>
        </w:rPr>
      </w:pPr>
      <w:bookmarkStart w:id="1870" w:name="_Toc239510301"/>
      <w:bookmarkStart w:id="1871" w:name="_Toc247431435"/>
      <w:bookmarkStart w:id="1872" w:name="_Toc247418275"/>
      <w:bookmarkStart w:id="1873" w:name="_Toc532375711"/>
      <w:r>
        <w:rPr>
          <w:rFonts w:hint="eastAsia" w:ascii="宋体" w:hAnsi="宋体"/>
          <w:color w:val="auto"/>
          <w:szCs w:val="21"/>
        </w:rPr>
        <w:t>十二、职业健康与卫生防疫</w:t>
      </w:r>
      <w:bookmarkEnd w:id="1870"/>
      <w:bookmarkEnd w:id="1871"/>
      <w:bookmarkEnd w:id="1872"/>
      <w:bookmarkEnd w:id="1873"/>
    </w:p>
    <w:p w14:paraId="075CF19B">
      <w:pPr>
        <w:spacing w:line="360" w:lineRule="auto"/>
        <w:ind w:firstLine="420" w:firstLineChars="200"/>
        <w:jc w:val="left"/>
        <w:rPr>
          <w:rFonts w:ascii="宋体" w:hAnsi="宋体"/>
          <w:color w:val="auto"/>
          <w:szCs w:val="21"/>
        </w:rPr>
      </w:pPr>
      <w:r>
        <w:rPr>
          <w:rFonts w:hint="eastAsia" w:ascii="宋体" w:hAnsi="宋体"/>
          <w:color w:val="auto"/>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7EBC0679">
      <w:pPr>
        <w:spacing w:line="360" w:lineRule="auto"/>
        <w:ind w:firstLine="420" w:firstLineChars="200"/>
        <w:jc w:val="left"/>
        <w:rPr>
          <w:rFonts w:ascii="宋体" w:hAnsi="宋体"/>
          <w:color w:val="auto"/>
          <w:szCs w:val="21"/>
        </w:rPr>
      </w:pPr>
      <w:r>
        <w:rPr>
          <w:rFonts w:hint="eastAsia" w:ascii="宋体" w:hAnsi="宋体"/>
          <w:color w:val="auto"/>
          <w:szCs w:val="21"/>
        </w:rPr>
        <w:t>2．承包人应保证卫生防疫基本设施的投入，以满足医疗、急救的要求，建立外部医疗支持渠道。</w:t>
      </w:r>
    </w:p>
    <w:p w14:paraId="355EC60F">
      <w:pPr>
        <w:spacing w:line="360" w:lineRule="auto"/>
        <w:ind w:firstLine="420" w:firstLineChars="200"/>
        <w:jc w:val="left"/>
        <w:rPr>
          <w:rFonts w:ascii="宋体" w:hAnsi="宋体"/>
          <w:color w:val="auto"/>
          <w:szCs w:val="21"/>
        </w:rPr>
      </w:pPr>
      <w:r>
        <w:rPr>
          <w:rFonts w:hint="eastAsia" w:ascii="宋体" w:hAnsi="宋体"/>
          <w:color w:val="auto"/>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33159044">
      <w:pPr>
        <w:spacing w:line="360" w:lineRule="auto"/>
        <w:ind w:firstLine="420" w:firstLineChars="200"/>
        <w:rPr>
          <w:rFonts w:ascii="宋体" w:hAnsi="宋体"/>
          <w:color w:val="auto"/>
          <w:szCs w:val="21"/>
        </w:rPr>
      </w:pPr>
      <w:bookmarkStart w:id="1874" w:name="_Toc247431436"/>
      <w:bookmarkStart w:id="1875" w:name="_Toc247418276"/>
      <w:bookmarkStart w:id="1876" w:name="_Toc532375712"/>
      <w:bookmarkStart w:id="1877" w:name="_Toc239510302"/>
      <w:r>
        <w:rPr>
          <w:rFonts w:hint="eastAsia" w:ascii="宋体" w:hAnsi="宋体"/>
          <w:color w:val="auto"/>
          <w:szCs w:val="21"/>
        </w:rPr>
        <w:t>十三、文明施工与环保要求</w:t>
      </w:r>
      <w:bookmarkEnd w:id="1874"/>
      <w:bookmarkEnd w:id="1875"/>
      <w:bookmarkEnd w:id="1876"/>
      <w:bookmarkEnd w:id="1877"/>
    </w:p>
    <w:p w14:paraId="6617E284">
      <w:pPr>
        <w:spacing w:line="360" w:lineRule="auto"/>
        <w:ind w:firstLine="420" w:firstLineChars="200"/>
        <w:jc w:val="left"/>
        <w:rPr>
          <w:rFonts w:ascii="宋体" w:hAnsi="宋体"/>
          <w:color w:val="auto"/>
          <w:szCs w:val="21"/>
        </w:rPr>
      </w:pPr>
      <w:r>
        <w:rPr>
          <w:rFonts w:hint="eastAsia" w:ascii="宋体" w:hAnsi="宋体"/>
          <w:color w:val="auto"/>
          <w:szCs w:val="21"/>
        </w:rPr>
        <w:t>1．承包人需制订施工现场的文明施工措施，保持良好的施工现场秩序。施工现场的物料堆放要摆放整齐，安全标志和宣传标志要清楚醒目，废料、废物要分类收集，安全通道要畅通。</w:t>
      </w:r>
    </w:p>
    <w:p w14:paraId="1914FF32">
      <w:pPr>
        <w:spacing w:line="360" w:lineRule="auto"/>
        <w:ind w:firstLine="420" w:firstLineChars="200"/>
        <w:jc w:val="left"/>
        <w:rPr>
          <w:rFonts w:ascii="宋体" w:hAnsi="宋体"/>
          <w:color w:val="auto"/>
          <w:szCs w:val="21"/>
        </w:rPr>
      </w:pPr>
      <w:r>
        <w:rPr>
          <w:rFonts w:hint="eastAsia" w:ascii="宋体" w:hAnsi="宋体"/>
          <w:color w:val="auto"/>
          <w:szCs w:val="21"/>
        </w:rPr>
        <w:t>2．承包人作业时应避免建筑材料抛洒、飞扬、流淌；应尽可能降低噪音、震动。</w:t>
      </w:r>
    </w:p>
    <w:p w14:paraId="4CDF7475">
      <w:pPr>
        <w:spacing w:line="360" w:lineRule="auto"/>
        <w:ind w:firstLine="420" w:firstLineChars="200"/>
        <w:jc w:val="left"/>
        <w:rPr>
          <w:rFonts w:ascii="宋体" w:hAnsi="宋体"/>
          <w:color w:val="auto"/>
          <w:szCs w:val="21"/>
        </w:rPr>
      </w:pPr>
      <w:r>
        <w:rPr>
          <w:rFonts w:hint="eastAsia" w:ascii="宋体" w:hAnsi="宋体"/>
          <w:color w:val="auto"/>
          <w:szCs w:val="21"/>
        </w:rPr>
        <w:t>3．承包人应根据实际需要，在施工现场布置临时卫生设施（洗手间、卫生间等），施工作业不破坏环境卫生，不污染现场环境。</w:t>
      </w:r>
    </w:p>
    <w:p w14:paraId="474CD4DE">
      <w:pPr>
        <w:spacing w:line="360" w:lineRule="auto"/>
        <w:ind w:firstLine="420" w:firstLineChars="200"/>
        <w:jc w:val="left"/>
        <w:rPr>
          <w:rFonts w:ascii="宋体" w:hAnsi="宋体"/>
          <w:color w:val="auto"/>
          <w:szCs w:val="21"/>
        </w:rPr>
      </w:pPr>
      <w:r>
        <w:rPr>
          <w:rFonts w:hint="eastAsia" w:ascii="宋体" w:hAnsi="宋体"/>
          <w:color w:val="auto"/>
          <w:szCs w:val="21"/>
        </w:rPr>
        <w:t>4．承包人在施工中应充分重视对环境的保护，保护绿色植被，保护古树。施工如需伤害古树，必须报告发包人委托的监理公司，在未得到指令前，禁止擅自伤害古树。</w:t>
      </w:r>
    </w:p>
    <w:p w14:paraId="623A0059">
      <w:pPr>
        <w:spacing w:line="360" w:lineRule="auto"/>
        <w:ind w:firstLine="420" w:firstLineChars="200"/>
        <w:jc w:val="left"/>
        <w:rPr>
          <w:rFonts w:ascii="宋体" w:hAnsi="宋体"/>
          <w:color w:val="auto"/>
          <w:szCs w:val="21"/>
        </w:rPr>
      </w:pPr>
      <w:r>
        <w:rPr>
          <w:rFonts w:hint="eastAsia" w:ascii="宋体" w:hAnsi="宋体"/>
          <w:color w:val="auto"/>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CAEC675">
      <w:pPr>
        <w:spacing w:line="360" w:lineRule="auto"/>
        <w:ind w:firstLine="420" w:firstLineChars="200"/>
        <w:jc w:val="left"/>
        <w:rPr>
          <w:rFonts w:ascii="宋体" w:hAnsi="宋体"/>
          <w:color w:val="auto"/>
          <w:szCs w:val="21"/>
        </w:rPr>
      </w:pPr>
      <w:r>
        <w:rPr>
          <w:rFonts w:hint="eastAsia" w:ascii="宋体" w:hAnsi="宋体"/>
          <w:color w:val="auto"/>
          <w:szCs w:val="21"/>
        </w:rPr>
        <w:t>6．承包人在施工中应禁止向环境，排放工业污水、生活污水、废油或其他有害物质。</w:t>
      </w:r>
    </w:p>
    <w:p w14:paraId="0FAFED6B">
      <w:pPr>
        <w:spacing w:line="360" w:lineRule="auto"/>
        <w:ind w:firstLine="420" w:firstLineChars="200"/>
        <w:jc w:val="left"/>
        <w:rPr>
          <w:rFonts w:ascii="宋体" w:hAnsi="宋体"/>
          <w:color w:val="auto"/>
          <w:szCs w:val="21"/>
        </w:rPr>
      </w:pPr>
      <w:r>
        <w:rPr>
          <w:rFonts w:hint="eastAsia" w:ascii="宋体" w:hAnsi="宋体"/>
          <w:color w:val="auto"/>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E213D8E">
      <w:pPr>
        <w:spacing w:line="360" w:lineRule="auto"/>
        <w:ind w:firstLine="420" w:firstLineChars="200"/>
        <w:rPr>
          <w:rFonts w:ascii="宋体" w:hAnsi="宋体"/>
          <w:color w:val="auto"/>
          <w:szCs w:val="21"/>
        </w:rPr>
      </w:pPr>
      <w:bookmarkStart w:id="1878" w:name="_Toc239510303"/>
      <w:bookmarkStart w:id="1879" w:name="_Toc247418277"/>
      <w:bookmarkStart w:id="1880" w:name="_Toc247431437"/>
      <w:bookmarkStart w:id="1881" w:name="_Toc532375713"/>
      <w:r>
        <w:rPr>
          <w:rFonts w:hint="eastAsia" w:ascii="宋体" w:hAnsi="宋体"/>
          <w:color w:val="auto"/>
          <w:szCs w:val="21"/>
        </w:rPr>
        <w:t>十四、工程风险管理与事故预防</w:t>
      </w:r>
      <w:bookmarkEnd w:id="1878"/>
      <w:bookmarkEnd w:id="1879"/>
      <w:bookmarkEnd w:id="1880"/>
      <w:bookmarkEnd w:id="1881"/>
    </w:p>
    <w:p w14:paraId="7B301B31">
      <w:pPr>
        <w:spacing w:line="360" w:lineRule="auto"/>
        <w:ind w:firstLine="420" w:firstLineChars="200"/>
        <w:jc w:val="left"/>
        <w:rPr>
          <w:rFonts w:ascii="宋体" w:hAnsi="宋体"/>
          <w:color w:val="auto"/>
          <w:szCs w:val="21"/>
        </w:rPr>
      </w:pPr>
      <w:bookmarkStart w:id="1882" w:name="_Toc247418278"/>
      <w:bookmarkStart w:id="1883" w:name="_Toc239510304"/>
      <w:bookmarkStart w:id="1884" w:name="_Toc247431438"/>
      <w:r>
        <w:rPr>
          <w:rFonts w:hint="eastAsia" w:ascii="宋体" w:hAnsi="宋体"/>
          <w:color w:val="auto"/>
          <w:szCs w:val="21"/>
        </w:rPr>
        <w:t>（一）基本要求</w:t>
      </w:r>
      <w:bookmarkEnd w:id="1882"/>
      <w:bookmarkEnd w:id="1883"/>
      <w:bookmarkEnd w:id="1884"/>
    </w:p>
    <w:p w14:paraId="2D2DFDEB">
      <w:pPr>
        <w:spacing w:line="360" w:lineRule="auto"/>
        <w:ind w:firstLine="420" w:firstLineChars="200"/>
        <w:jc w:val="left"/>
        <w:rPr>
          <w:rFonts w:ascii="宋体" w:hAnsi="宋体"/>
          <w:color w:val="auto"/>
          <w:szCs w:val="21"/>
        </w:rPr>
      </w:pPr>
      <w:bookmarkStart w:id="1885" w:name="_Toc532375714"/>
      <w:r>
        <w:rPr>
          <w:rFonts w:hint="eastAsia" w:ascii="宋体" w:hAnsi="宋体"/>
          <w:color w:val="auto"/>
          <w:szCs w:val="21"/>
        </w:rPr>
        <w:t>1．承包人应对施工过程进行全面、深入的危险源识别和风险分析。在施工安全组织设计中提供危险源及重要危险源清单、作业风险分析报告，该报告应包括（但不限于）如下信息：</w:t>
      </w:r>
      <w:bookmarkEnd w:id="1885"/>
    </w:p>
    <w:p w14:paraId="624E02F8">
      <w:pPr>
        <w:spacing w:line="360" w:lineRule="auto"/>
        <w:ind w:firstLine="420" w:firstLineChars="200"/>
        <w:jc w:val="left"/>
        <w:rPr>
          <w:rFonts w:ascii="宋体" w:hAnsi="宋体"/>
          <w:color w:val="auto"/>
          <w:szCs w:val="21"/>
        </w:rPr>
      </w:pPr>
      <w:r>
        <w:rPr>
          <w:rFonts w:hint="eastAsia" w:ascii="宋体" w:hAnsi="宋体"/>
          <w:color w:val="auto"/>
          <w:szCs w:val="21"/>
        </w:rPr>
        <w:t>（1）高风险作业和工种清单：作业名称、类别和数量、主要事故风险。</w:t>
      </w:r>
    </w:p>
    <w:p w14:paraId="4746EC36">
      <w:pPr>
        <w:spacing w:line="360" w:lineRule="auto"/>
        <w:ind w:firstLine="420" w:firstLineChars="200"/>
        <w:jc w:val="left"/>
        <w:rPr>
          <w:rFonts w:ascii="宋体" w:hAnsi="宋体"/>
          <w:color w:val="auto"/>
          <w:szCs w:val="21"/>
        </w:rPr>
      </w:pPr>
      <w:r>
        <w:rPr>
          <w:rFonts w:hint="eastAsia" w:ascii="宋体" w:hAnsi="宋体"/>
          <w:color w:val="auto"/>
          <w:szCs w:val="21"/>
        </w:rPr>
        <w:t>（2）施工能源和机械的种类、数量和主要事故风险。</w:t>
      </w:r>
    </w:p>
    <w:p w14:paraId="657B1B9E">
      <w:pPr>
        <w:spacing w:line="360" w:lineRule="auto"/>
        <w:ind w:firstLine="420" w:firstLineChars="200"/>
        <w:jc w:val="left"/>
        <w:rPr>
          <w:rFonts w:ascii="宋体" w:hAnsi="宋体"/>
          <w:color w:val="auto"/>
          <w:szCs w:val="21"/>
        </w:rPr>
      </w:pPr>
      <w:r>
        <w:rPr>
          <w:rFonts w:hint="eastAsia" w:ascii="宋体" w:hAnsi="宋体"/>
          <w:color w:val="auto"/>
          <w:szCs w:val="21"/>
        </w:rPr>
        <w:t>（3）施工作业条件的类型和主要事故风险。</w:t>
      </w:r>
    </w:p>
    <w:p w14:paraId="13BEC9EC">
      <w:pPr>
        <w:spacing w:line="360" w:lineRule="auto"/>
        <w:ind w:firstLine="420" w:firstLineChars="200"/>
        <w:jc w:val="left"/>
        <w:rPr>
          <w:rFonts w:ascii="宋体" w:hAnsi="宋体"/>
          <w:color w:val="auto"/>
          <w:szCs w:val="21"/>
        </w:rPr>
      </w:pPr>
      <w:r>
        <w:rPr>
          <w:rFonts w:hint="eastAsia" w:ascii="宋体" w:hAnsi="宋体"/>
          <w:color w:val="auto"/>
          <w:szCs w:val="21"/>
        </w:rPr>
        <w:t>（4）主要工艺过程（或施工活动）的类别及其相关的事故风险。</w:t>
      </w:r>
    </w:p>
    <w:p w14:paraId="2D835EBF">
      <w:pPr>
        <w:spacing w:line="360" w:lineRule="auto"/>
        <w:ind w:firstLine="420" w:firstLineChars="200"/>
        <w:jc w:val="left"/>
        <w:rPr>
          <w:rFonts w:ascii="宋体" w:hAnsi="宋体"/>
          <w:color w:val="auto"/>
          <w:szCs w:val="21"/>
        </w:rPr>
      </w:pPr>
      <w:r>
        <w:rPr>
          <w:rFonts w:hint="eastAsia" w:ascii="宋体" w:hAnsi="宋体"/>
          <w:color w:val="auto"/>
          <w:szCs w:val="21"/>
        </w:rPr>
        <w:t>（5）主要火灾危险（可燃物、点火源）。</w:t>
      </w:r>
    </w:p>
    <w:p w14:paraId="474AC94B">
      <w:pPr>
        <w:spacing w:line="360" w:lineRule="auto"/>
        <w:ind w:firstLine="420" w:firstLineChars="200"/>
        <w:jc w:val="left"/>
        <w:rPr>
          <w:rFonts w:ascii="宋体" w:hAnsi="宋体"/>
          <w:color w:val="auto"/>
          <w:szCs w:val="21"/>
        </w:rPr>
      </w:pPr>
      <w:r>
        <w:rPr>
          <w:rFonts w:hint="eastAsia" w:ascii="宋体" w:hAnsi="宋体"/>
          <w:color w:val="auto"/>
          <w:szCs w:val="21"/>
        </w:rPr>
        <w:t>（6）主要自然灾害（洪水、大风、雷暴、暴雨、地质灾害等）。</w:t>
      </w:r>
    </w:p>
    <w:p w14:paraId="47F01647">
      <w:pPr>
        <w:spacing w:line="360" w:lineRule="auto"/>
        <w:ind w:firstLine="420" w:firstLineChars="200"/>
        <w:jc w:val="left"/>
        <w:rPr>
          <w:rFonts w:ascii="宋体" w:hAnsi="宋体"/>
          <w:color w:val="auto"/>
          <w:szCs w:val="21"/>
        </w:rPr>
      </w:pPr>
      <w:r>
        <w:rPr>
          <w:rFonts w:hint="eastAsia" w:ascii="宋体" w:hAnsi="宋体"/>
          <w:color w:val="auto"/>
          <w:szCs w:val="21"/>
        </w:rPr>
        <w:t>（7）主要环境保护事件（有害垃圾、机械的跑冒滴漏、原材料流失、水土流失等）。</w:t>
      </w:r>
    </w:p>
    <w:p w14:paraId="193861EC">
      <w:pPr>
        <w:spacing w:line="360" w:lineRule="auto"/>
        <w:ind w:firstLine="420" w:firstLineChars="200"/>
        <w:jc w:val="left"/>
        <w:rPr>
          <w:rFonts w:ascii="宋体" w:hAnsi="宋体"/>
          <w:color w:val="auto"/>
          <w:szCs w:val="21"/>
        </w:rPr>
      </w:pPr>
      <w:r>
        <w:rPr>
          <w:rFonts w:hint="eastAsia" w:ascii="宋体" w:hAnsi="宋体"/>
          <w:color w:val="auto"/>
          <w:szCs w:val="21"/>
        </w:rPr>
        <w:t>（8）其他。</w:t>
      </w:r>
    </w:p>
    <w:p w14:paraId="313386DB">
      <w:pPr>
        <w:spacing w:line="360" w:lineRule="auto"/>
        <w:ind w:firstLine="420" w:firstLineChars="200"/>
        <w:jc w:val="left"/>
        <w:rPr>
          <w:rFonts w:ascii="宋体" w:hAnsi="宋体"/>
          <w:color w:val="auto"/>
          <w:szCs w:val="21"/>
        </w:rPr>
      </w:pPr>
      <w:r>
        <w:rPr>
          <w:rFonts w:hint="eastAsia" w:ascii="宋体" w:hAnsi="宋体"/>
          <w:color w:val="auto"/>
          <w:szCs w:val="21"/>
        </w:rPr>
        <w:t>2．承包人应针对识别出的危险源制定有针对性的事故预防措施并确保在施工中得到有效落实。</w:t>
      </w:r>
    </w:p>
    <w:p w14:paraId="3D6539FC">
      <w:pPr>
        <w:spacing w:line="360" w:lineRule="auto"/>
        <w:ind w:firstLine="420" w:firstLineChars="200"/>
        <w:jc w:val="left"/>
        <w:rPr>
          <w:rFonts w:ascii="宋体" w:hAnsi="宋体"/>
          <w:color w:val="auto"/>
          <w:szCs w:val="21"/>
        </w:rPr>
      </w:pPr>
      <w:r>
        <w:rPr>
          <w:rFonts w:hint="eastAsia" w:ascii="宋体" w:hAnsi="宋体"/>
          <w:color w:val="auto"/>
          <w:szCs w:val="21"/>
        </w:rPr>
        <w:t>3．承包人应建立日常施工活动的动态作业风险分析和安全交底制度。该制度应明确规定风险分析的方法、责任和交底的内容、时间及记录。</w:t>
      </w:r>
    </w:p>
    <w:p w14:paraId="7DE36297">
      <w:pPr>
        <w:spacing w:line="360" w:lineRule="auto"/>
        <w:ind w:firstLine="420" w:firstLineChars="200"/>
        <w:jc w:val="left"/>
        <w:rPr>
          <w:rFonts w:ascii="宋体" w:hAnsi="宋体"/>
          <w:color w:val="auto"/>
          <w:szCs w:val="21"/>
        </w:rPr>
      </w:pPr>
      <w:bookmarkStart w:id="1886" w:name="_Toc239510305"/>
      <w:bookmarkStart w:id="1887" w:name="_Toc247431439"/>
      <w:bookmarkStart w:id="1888" w:name="_Toc247418279"/>
      <w:r>
        <w:rPr>
          <w:rFonts w:hint="eastAsia" w:ascii="宋体" w:hAnsi="宋体"/>
          <w:color w:val="auto"/>
          <w:szCs w:val="21"/>
        </w:rPr>
        <w:t>（二）现场作业基本安全条件</w:t>
      </w:r>
      <w:bookmarkEnd w:id="1886"/>
      <w:bookmarkEnd w:id="1887"/>
      <w:bookmarkEnd w:id="1888"/>
    </w:p>
    <w:p w14:paraId="2ABC43DF">
      <w:pPr>
        <w:spacing w:line="360" w:lineRule="auto"/>
        <w:ind w:firstLine="420" w:firstLineChars="200"/>
        <w:jc w:val="left"/>
        <w:rPr>
          <w:rFonts w:ascii="宋体" w:hAnsi="宋体"/>
          <w:color w:val="auto"/>
          <w:szCs w:val="21"/>
        </w:rPr>
      </w:pPr>
      <w:r>
        <w:rPr>
          <w:rFonts w:hint="eastAsia" w:ascii="宋体" w:hAnsi="宋体"/>
          <w:color w:val="auto"/>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C140968">
      <w:pPr>
        <w:spacing w:line="360" w:lineRule="auto"/>
        <w:ind w:firstLine="420" w:firstLineChars="200"/>
        <w:rPr>
          <w:rFonts w:ascii="宋体" w:hAnsi="宋体"/>
          <w:color w:val="auto"/>
          <w:szCs w:val="21"/>
        </w:rPr>
      </w:pPr>
      <w:bookmarkStart w:id="1889" w:name="_Toc247418280"/>
      <w:bookmarkStart w:id="1890" w:name="_Toc247431440"/>
      <w:bookmarkStart w:id="1891" w:name="_Toc239510306"/>
      <w:bookmarkStart w:id="1892" w:name="_Toc532375715"/>
      <w:r>
        <w:rPr>
          <w:rFonts w:hint="eastAsia" w:ascii="宋体" w:hAnsi="宋体"/>
          <w:color w:val="auto"/>
          <w:szCs w:val="21"/>
        </w:rPr>
        <w:t>十五、事故报告与应急救援</w:t>
      </w:r>
      <w:bookmarkEnd w:id="1889"/>
      <w:bookmarkEnd w:id="1890"/>
      <w:bookmarkEnd w:id="1891"/>
      <w:bookmarkEnd w:id="1892"/>
    </w:p>
    <w:p w14:paraId="27292605">
      <w:pPr>
        <w:spacing w:line="360" w:lineRule="auto"/>
        <w:ind w:firstLine="420" w:firstLineChars="200"/>
        <w:jc w:val="left"/>
        <w:rPr>
          <w:rFonts w:ascii="宋体" w:hAnsi="宋体"/>
          <w:color w:val="auto"/>
          <w:szCs w:val="21"/>
        </w:rPr>
      </w:pPr>
      <w:r>
        <w:rPr>
          <w:rFonts w:hint="eastAsia" w:ascii="宋体" w:hAnsi="宋体"/>
          <w:color w:val="auto"/>
          <w:szCs w:val="21"/>
        </w:rPr>
        <w:t>1．承包人应制定对于未遂事故及以上级别的安全事件和事故，定期报送安全月度快报、季报、年报和各种专项事故报告等。</w:t>
      </w:r>
    </w:p>
    <w:p w14:paraId="2AE9D5C3">
      <w:pPr>
        <w:spacing w:line="360" w:lineRule="auto"/>
        <w:ind w:firstLine="420" w:firstLineChars="200"/>
        <w:jc w:val="left"/>
        <w:rPr>
          <w:rFonts w:ascii="宋体" w:hAnsi="宋体"/>
          <w:color w:val="auto"/>
          <w:szCs w:val="21"/>
        </w:rPr>
      </w:pPr>
      <w:r>
        <w:rPr>
          <w:rFonts w:hint="eastAsia" w:ascii="宋体" w:hAnsi="宋体"/>
          <w:color w:val="auto"/>
          <w:szCs w:val="21"/>
        </w:rPr>
        <w:t>2．承包人应建立安全事故统计记录、未遂事故统计记录、违章统计记录，并根据统计情况进行分析，并就分析结果制定相应的预防措施。</w:t>
      </w:r>
    </w:p>
    <w:p w14:paraId="47599525">
      <w:pPr>
        <w:spacing w:line="360" w:lineRule="auto"/>
        <w:ind w:firstLine="420" w:firstLineChars="200"/>
        <w:jc w:val="left"/>
        <w:rPr>
          <w:rFonts w:ascii="宋体" w:hAnsi="宋体"/>
          <w:color w:val="auto"/>
          <w:szCs w:val="21"/>
        </w:rPr>
      </w:pPr>
      <w:r>
        <w:rPr>
          <w:rFonts w:hint="eastAsia" w:ascii="宋体" w:hAnsi="宋体"/>
          <w:color w:val="auto"/>
          <w:szCs w:val="21"/>
        </w:rPr>
        <w:t>3．承包人应建立事故应急救援机制，明确事故处置的基本原则，即现场发生事故时，首先抢救生命，向救援组织报警，并采取措施限制事故扩大。</w:t>
      </w:r>
    </w:p>
    <w:p w14:paraId="23ABE86B">
      <w:pPr>
        <w:spacing w:line="360" w:lineRule="auto"/>
        <w:ind w:firstLine="420" w:firstLineChars="200"/>
        <w:jc w:val="left"/>
        <w:rPr>
          <w:rFonts w:ascii="宋体" w:hAnsi="宋体"/>
          <w:color w:val="auto"/>
          <w:szCs w:val="21"/>
        </w:rPr>
      </w:pPr>
      <w:r>
        <w:rPr>
          <w:rFonts w:hint="eastAsia" w:ascii="宋体" w:hAnsi="宋体"/>
          <w:color w:val="auto"/>
          <w:szCs w:val="21"/>
        </w:rPr>
        <w:t>4．承包人应建立相应的应急响应组织，以便能迅速处理突发意外。</w:t>
      </w:r>
    </w:p>
    <w:p w14:paraId="70882271">
      <w:pPr>
        <w:spacing w:line="360" w:lineRule="auto"/>
        <w:ind w:firstLine="420" w:firstLineChars="200"/>
        <w:jc w:val="left"/>
        <w:rPr>
          <w:rFonts w:ascii="宋体" w:hAnsi="宋体"/>
          <w:color w:val="auto"/>
          <w:szCs w:val="21"/>
        </w:rPr>
      </w:pPr>
      <w:r>
        <w:rPr>
          <w:rFonts w:hint="eastAsia" w:ascii="宋体" w:hAnsi="宋体"/>
          <w:color w:val="auto"/>
          <w:szCs w:val="21"/>
        </w:rPr>
        <w:t>5．承包人应建立专项应急响应预案，包括重大人身伤亡事故的救护预案、火灾响应预案、“四防”预案（防风、防冻、防雷、防暴雨）、重大疫病防护预案、环境污染防护预案、地质灾害防护预案等。</w:t>
      </w:r>
    </w:p>
    <w:p w14:paraId="684A1CFE">
      <w:pPr>
        <w:spacing w:line="360" w:lineRule="auto"/>
        <w:ind w:firstLine="420" w:firstLineChars="200"/>
        <w:jc w:val="left"/>
        <w:rPr>
          <w:rFonts w:ascii="宋体" w:hAnsi="宋体"/>
          <w:color w:val="auto"/>
          <w:szCs w:val="21"/>
        </w:rPr>
      </w:pPr>
      <w:r>
        <w:rPr>
          <w:rFonts w:hint="eastAsia" w:ascii="宋体" w:hAnsi="宋体"/>
          <w:color w:val="auto"/>
          <w:szCs w:val="21"/>
        </w:rPr>
        <w:t>6．承包人应对应急预案进行适当演练，保证应急预案的可操作性。</w:t>
      </w:r>
    </w:p>
    <w:p w14:paraId="68698C83">
      <w:pPr>
        <w:spacing w:line="360" w:lineRule="auto"/>
        <w:ind w:firstLine="420" w:firstLineChars="200"/>
        <w:jc w:val="left"/>
        <w:rPr>
          <w:rFonts w:ascii="宋体" w:hAnsi="宋体"/>
          <w:color w:val="auto"/>
          <w:szCs w:val="21"/>
        </w:rPr>
      </w:pPr>
      <w:r>
        <w:rPr>
          <w:rFonts w:hint="eastAsia" w:ascii="宋体" w:hAnsi="宋体"/>
          <w:color w:val="auto"/>
          <w:szCs w:val="21"/>
        </w:rPr>
        <w:t>7．在工地的其他施工单位发生重大事故时，承包人应无条件立即配合、支持事故抢险。</w:t>
      </w:r>
    </w:p>
    <w:p w14:paraId="14C937C7">
      <w:pPr>
        <w:spacing w:line="360" w:lineRule="auto"/>
        <w:ind w:firstLine="420" w:firstLineChars="200"/>
        <w:jc w:val="left"/>
        <w:rPr>
          <w:rFonts w:ascii="宋体" w:hAnsi="宋体"/>
          <w:color w:val="auto"/>
          <w:szCs w:val="21"/>
        </w:rPr>
      </w:pPr>
      <w:r>
        <w:rPr>
          <w:rFonts w:hint="eastAsia" w:ascii="宋体" w:hAnsi="宋体"/>
          <w:color w:val="auto"/>
          <w:szCs w:val="21"/>
        </w:rPr>
        <w:t>8．承包人必须为事故处置支付各项费用，包括受伤者的抚恤、补偿等费用，并按合同要求赔偿对发包人造成的损失。</w:t>
      </w:r>
    </w:p>
    <w:p w14:paraId="21DFFC07">
      <w:pPr>
        <w:spacing w:line="360" w:lineRule="auto"/>
        <w:ind w:firstLine="420" w:firstLineChars="200"/>
        <w:jc w:val="left"/>
        <w:rPr>
          <w:rFonts w:ascii="宋体" w:hAnsi="宋体"/>
          <w:color w:val="auto"/>
          <w:szCs w:val="21"/>
        </w:rPr>
      </w:pPr>
      <w:r>
        <w:rPr>
          <w:rFonts w:hint="eastAsia" w:ascii="宋体" w:hAnsi="宋体"/>
          <w:color w:val="auto"/>
          <w:szCs w:val="21"/>
        </w:rPr>
        <w:t>9．由于发包人原因而造成的事故，发包人应负责按事故的具体损失情况给予承包人经济赔偿。</w:t>
      </w:r>
    </w:p>
    <w:p w14:paraId="74AA3D75">
      <w:pPr>
        <w:spacing w:line="360" w:lineRule="auto"/>
        <w:ind w:firstLine="420" w:firstLineChars="200"/>
        <w:jc w:val="left"/>
        <w:rPr>
          <w:rFonts w:ascii="宋体" w:hAnsi="宋体"/>
          <w:color w:val="auto"/>
          <w:szCs w:val="21"/>
        </w:rPr>
      </w:pPr>
      <w:r>
        <w:rPr>
          <w:rFonts w:hint="eastAsia" w:ascii="宋体" w:hAnsi="宋体"/>
          <w:color w:val="auto"/>
          <w:szCs w:val="21"/>
        </w:rPr>
        <w:t>10．涉及承包人员工的伤害事故，承包人除要报告发包人委托的监理公司外，还应负责按照国家、行业和本单位上级公司的要求，上报事故。</w:t>
      </w:r>
    </w:p>
    <w:p w14:paraId="15AAC0CB">
      <w:pPr>
        <w:spacing w:line="360" w:lineRule="auto"/>
        <w:ind w:firstLine="420" w:firstLineChars="200"/>
        <w:rPr>
          <w:rFonts w:ascii="宋体" w:hAnsi="宋体"/>
          <w:color w:val="auto"/>
          <w:szCs w:val="21"/>
        </w:rPr>
      </w:pPr>
      <w:bookmarkStart w:id="1893" w:name="_Toc247431441"/>
      <w:bookmarkStart w:id="1894" w:name="_Toc532375716"/>
      <w:bookmarkStart w:id="1895" w:name="_Toc247418281"/>
      <w:bookmarkStart w:id="1896" w:name="_Toc239510307"/>
      <w:r>
        <w:rPr>
          <w:rFonts w:hint="eastAsia" w:ascii="宋体" w:hAnsi="宋体"/>
          <w:color w:val="auto"/>
          <w:szCs w:val="21"/>
        </w:rPr>
        <w:t>十六、安全业绩考核</w:t>
      </w:r>
      <w:bookmarkEnd w:id="1893"/>
      <w:bookmarkEnd w:id="1894"/>
      <w:bookmarkEnd w:id="1895"/>
      <w:bookmarkEnd w:id="1896"/>
    </w:p>
    <w:p w14:paraId="57E40DB8">
      <w:pPr>
        <w:spacing w:line="360" w:lineRule="auto"/>
        <w:ind w:firstLine="420" w:firstLineChars="200"/>
        <w:jc w:val="left"/>
        <w:rPr>
          <w:rFonts w:ascii="宋体" w:hAnsi="宋体"/>
          <w:color w:val="auto"/>
          <w:szCs w:val="21"/>
        </w:rPr>
      </w:pPr>
      <w:r>
        <w:rPr>
          <w:rFonts w:hint="eastAsia" w:ascii="宋体" w:hAnsi="宋体"/>
          <w:color w:val="auto"/>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1754ECC6">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0F075">
            <w:pPr>
              <w:spacing w:line="360" w:lineRule="auto"/>
              <w:ind w:firstLine="420" w:firstLineChars="200"/>
              <w:jc w:val="left"/>
              <w:rPr>
                <w:rFonts w:ascii="宋体" w:hAnsi="宋体"/>
                <w:color w:val="auto"/>
                <w:szCs w:val="21"/>
              </w:rPr>
            </w:pPr>
            <w:r>
              <w:rPr>
                <w:rFonts w:hint="eastAsia" w:ascii="宋体" w:hAnsi="宋体"/>
                <w:color w:val="auto"/>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B1D4CD">
            <w:pPr>
              <w:spacing w:line="360" w:lineRule="auto"/>
              <w:ind w:firstLine="420" w:firstLineChars="200"/>
              <w:jc w:val="left"/>
              <w:rPr>
                <w:rFonts w:ascii="宋体" w:hAnsi="宋体"/>
                <w:color w:val="auto"/>
                <w:szCs w:val="21"/>
              </w:rPr>
            </w:pPr>
            <w:r>
              <w:rPr>
                <w:rFonts w:hint="eastAsia" w:ascii="宋体" w:hAnsi="宋体"/>
                <w:color w:val="auto"/>
                <w:szCs w:val="21"/>
              </w:rPr>
              <w:t>违约金额</w:t>
            </w:r>
          </w:p>
        </w:tc>
      </w:tr>
      <w:tr w14:paraId="7D14F33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9E3F3E">
            <w:pPr>
              <w:spacing w:line="360" w:lineRule="auto"/>
              <w:ind w:firstLine="420" w:firstLineChars="200"/>
              <w:jc w:val="left"/>
              <w:rPr>
                <w:rFonts w:ascii="宋体" w:hAnsi="宋体"/>
                <w:color w:val="auto"/>
                <w:szCs w:val="21"/>
              </w:rPr>
            </w:pPr>
            <w:r>
              <w:rPr>
                <w:rFonts w:hint="eastAsia" w:ascii="宋体" w:hAnsi="宋体"/>
                <w:color w:val="auto"/>
                <w:szCs w:val="21"/>
              </w:rPr>
              <w:t>较大事故</w:t>
            </w:r>
          </w:p>
        </w:tc>
        <w:tc>
          <w:tcPr>
            <w:tcW w:w="3765" w:type="dxa"/>
            <w:tcBorders>
              <w:top w:val="single" w:color="auto" w:sz="8" w:space="0"/>
              <w:left w:val="nil"/>
              <w:bottom w:val="single" w:color="auto" w:sz="8" w:space="0"/>
              <w:right w:val="single" w:color="auto" w:sz="8" w:space="0"/>
            </w:tcBorders>
            <w:vAlign w:val="center"/>
          </w:tcPr>
          <w:p w14:paraId="26A8B55A">
            <w:pPr>
              <w:spacing w:line="360" w:lineRule="auto"/>
              <w:ind w:firstLine="420" w:firstLineChars="200"/>
              <w:jc w:val="left"/>
              <w:rPr>
                <w:rFonts w:ascii="宋体" w:hAnsi="宋体"/>
                <w:color w:val="auto"/>
                <w:szCs w:val="21"/>
              </w:rPr>
            </w:pPr>
            <w:r>
              <w:rPr>
                <w:rFonts w:hint="eastAsia" w:ascii="宋体" w:hAnsi="宋体"/>
                <w:color w:val="auto"/>
                <w:kern w:val="0"/>
                <w:szCs w:val="21"/>
              </w:rPr>
              <w:t>签约合同价</w:t>
            </w:r>
            <w:r>
              <w:rPr>
                <w:rFonts w:hint="eastAsia" w:ascii="宋体" w:hAnsi="宋体"/>
                <w:color w:val="auto"/>
                <w:szCs w:val="21"/>
              </w:rPr>
              <w:t>的0.5‰</w:t>
            </w:r>
          </w:p>
        </w:tc>
      </w:tr>
      <w:tr w14:paraId="3313E2EA">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8F17B7">
            <w:pPr>
              <w:spacing w:line="360" w:lineRule="auto"/>
              <w:ind w:firstLine="420" w:firstLineChars="200"/>
              <w:jc w:val="left"/>
              <w:rPr>
                <w:rFonts w:ascii="宋体" w:hAnsi="宋体"/>
                <w:color w:val="auto"/>
                <w:szCs w:val="21"/>
              </w:rPr>
            </w:pPr>
            <w:r>
              <w:rPr>
                <w:rFonts w:hint="eastAsia" w:ascii="宋体" w:hAnsi="宋体"/>
                <w:color w:val="auto"/>
                <w:szCs w:val="21"/>
              </w:rPr>
              <w:t>重大事故</w:t>
            </w:r>
          </w:p>
        </w:tc>
        <w:tc>
          <w:tcPr>
            <w:tcW w:w="3765" w:type="dxa"/>
            <w:tcBorders>
              <w:top w:val="single" w:color="auto" w:sz="8" w:space="0"/>
              <w:left w:val="nil"/>
              <w:bottom w:val="single" w:color="auto" w:sz="8" w:space="0"/>
              <w:right w:val="single" w:color="auto" w:sz="8" w:space="0"/>
            </w:tcBorders>
            <w:vAlign w:val="center"/>
          </w:tcPr>
          <w:p w14:paraId="524C8719">
            <w:pPr>
              <w:spacing w:line="360" w:lineRule="auto"/>
              <w:ind w:firstLine="420" w:firstLineChars="200"/>
              <w:jc w:val="left"/>
              <w:rPr>
                <w:rFonts w:ascii="宋体" w:hAnsi="宋体"/>
                <w:color w:val="auto"/>
                <w:szCs w:val="21"/>
              </w:rPr>
            </w:pPr>
            <w:r>
              <w:rPr>
                <w:rFonts w:hint="eastAsia" w:ascii="宋体" w:hAnsi="宋体"/>
                <w:color w:val="auto"/>
                <w:szCs w:val="21"/>
              </w:rPr>
              <w:t>签约合同价的2‰</w:t>
            </w:r>
          </w:p>
        </w:tc>
      </w:tr>
      <w:tr w14:paraId="6DDFD54B">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4CBAA7">
            <w:pPr>
              <w:spacing w:line="360" w:lineRule="auto"/>
              <w:ind w:firstLine="420" w:firstLineChars="200"/>
              <w:jc w:val="left"/>
              <w:rPr>
                <w:rFonts w:ascii="宋体" w:hAnsi="宋体"/>
                <w:color w:val="auto"/>
                <w:szCs w:val="21"/>
              </w:rPr>
            </w:pPr>
            <w:r>
              <w:rPr>
                <w:rFonts w:hint="eastAsia" w:ascii="宋体" w:hAnsi="宋体"/>
                <w:color w:val="auto"/>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52388C4E">
            <w:pPr>
              <w:spacing w:line="360" w:lineRule="auto"/>
              <w:ind w:firstLine="420" w:firstLineChars="200"/>
              <w:jc w:val="left"/>
              <w:rPr>
                <w:rFonts w:ascii="宋体" w:hAnsi="宋体"/>
                <w:color w:val="auto"/>
                <w:szCs w:val="21"/>
              </w:rPr>
            </w:pPr>
            <w:r>
              <w:rPr>
                <w:rFonts w:hint="eastAsia" w:ascii="宋体" w:hAnsi="宋体"/>
                <w:color w:val="auto"/>
                <w:szCs w:val="21"/>
              </w:rPr>
              <w:t>签约合同价的4‰</w:t>
            </w:r>
          </w:p>
        </w:tc>
      </w:tr>
    </w:tbl>
    <w:p w14:paraId="25A0A27D">
      <w:pPr>
        <w:spacing w:line="360" w:lineRule="auto"/>
        <w:ind w:firstLine="420" w:firstLineChars="200"/>
        <w:jc w:val="left"/>
        <w:rPr>
          <w:rFonts w:ascii="宋体" w:hAnsi="宋体"/>
          <w:color w:val="auto"/>
          <w:szCs w:val="21"/>
        </w:rPr>
      </w:pPr>
      <w:r>
        <w:rPr>
          <w:rFonts w:hint="eastAsia" w:ascii="宋体" w:hAnsi="宋体"/>
          <w:color w:val="auto"/>
          <w:szCs w:val="21"/>
        </w:rPr>
        <w:t>（1）较大事故，是指造成3人以上10人以下死亡，或者10人以上50人以下重伤，或者1000万元以上5000万元以下直接经济损失的事故；</w:t>
      </w:r>
    </w:p>
    <w:p w14:paraId="729A142E">
      <w:pPr>
        <w:spacing w:line="360" w:lineRule="auto"/>
        <w:ind w:firstLine="420" w:firstLineChars="200"/>
        <w:jc w:val="left"/>
        <w:rPr>
          <w:rFonts w:ascii="宋体" w:hAnsi="宋体"/>
          <w:color w:val="auto"/>
          <w:szCs w:val="21"/>
        </w:rPr>
      </w:pPr>
      <w:r>
        <w:rPr>
          <w:rFonts w:hint="eastAsia" w:ascii="宋体" w:hAnsi="宋体"/>
          <w:color w:val="auto"/>
          <w:szCs w:val="21"/>
        </w:rPr>
        <w:t>（2）重大事故，是指造成10人以上30人以下死亡，或者50人以上100人以下重伤，或者5000万元以上1亿元以下直接经济损失的事故；</w:t>
      </w:r>
    </w:p>
    <w:p w14:paraId="1D21DB51">
      <w:pPr>
        <w:spacing w:line="360" w:lineRule="auto"/>
        <w:ind w:firstLine="420" w:firstLineChars="200"/>
        <w:jc w:val="left"/>
        <w:rPr>
          <w:rFonts w:ascii="宋体" w:hAnsi="宋体"/>
          <w:color w:val="auto"/>
          <w:szCs w:val="21"/>
        </w:rPr>
      </w:pPr>
      <w:r>
        <w:rPr>
          <w:rFonts w:hint="eastAsia" w:ascii="宋体" w:hAnsi="宋体"/>
          <w:color w:val="auto"/>
          <w:szCs w:val="21"/>
        </w:rPr>
        <w:t>（3）特别重大事故，是指造成30人以上死亡，或者100人以上重伤（包括急性工业中毒，下同），或者1亿元以上直接经济损失的事故；</w:t>
      </w:r>
    </w:p>
    <w:p w14:paraId="060639E4">
      <w:pPr>
        <w:spacing w:line="276" w:lineRule="auto"/>
        <w:ind w:firstLine="420" w:firstLineChars="200"/>
        <w:jc w:val="left"/>
        <w:rPr>
          <w:rFonts w:ascii="宋体" w:hAnsi="宋体"/>
          <w:color w:val="auto"/>
          <w:szCs w:val="21"/>
        </w:rPr>
      </w:pPr>
      <w:r>
        <w:rPr>
          <w:rFonts w:hint="eastAsia" w:ascii="宋体" w:hAnsi="宋体"/>
          <w:color w:val="auto"/>
          <w:szCs w:val="21"/>
        </w:rPr>
        <w:t>（4）所称的“以上”包括本数，所称的“以下”不包括本数。</w:t>
      </w:r>
    </w:p>
    <w:p w14:paraId="6AA22EA1">
      <w:pPr>
        <w:spacing w:line="276" w:lineRule="auto"/>
        <w:ind w:firstLine="420" w:firstLineChars="200"/>
        <w:jc w:val="left"/>
        <w:rPr>
          <w:rFonts w:ascii="宋体" w:hAnsi="宋体"/>
          <w:color w:val="auto"/>
          <w:szCs w:val="21"/>
        </w:rPr>
      </w:pPr>
      <w:r>
        <w:rPr>
          <w:rFonts w:hint="eastAsia" w:ascii="宋体" w:hAnsi="宋体"/>
          <w:color w:val="auto"/>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7658ADA">
      <w:pPr>
        <w:spacing w:line="276" w:lineRule="auto"/>
        <w:ind w:firstLine="420" w:firstLineChars="200"/>
        <w:rPr>
          <w:rFonts w:ascii="宋体" w:hAnsi="宋体"/>
          <w:color w:val="auto"/>
          <w:szCs w:val="21"/>
        </w:rPr>
      </w:pPr>
      <w:bookmarkStart w:id="1897" w:name="_Toc532375717"/>
      <w:bookmarkStart w:id="1898" w:name="_Toc247418282"/>
      <w:bookmarkStart w:id="1899" w:name="_Toc247431442"/>
      <w:bookmarkStart w:id="1900" w:name="_Toc239510308"/>
      <w:r>
        <w:rPr>
          <w:rFonts w:hint="eastAsia" w:ascii="宋体" w:hAnsi="宋体"/>
          <w:color w:val="auto"/>
          <w:szCs w:val="21"/>
        </w:rPr>
        <w:t>十七、协议条款的修订</w:t>
      </w:r>
      <w:bookmarkEnd w:id="1897"/>
      <w:bookmarkEnd w:id="1898"/>
      <w:bookmarkEnd w:id="1899"/>
      <w:bookmarkEnd w:id="1900"/>
    </w:p>
    <w:p w14:paraId="0C6FD6D8">
      <w:pPr>
        <w:spacing w:line="276" w:lineRule="auto"/>
        <w:ind w:firstLine="420" w:firstLineChars="200"/>
        <w:jc w:val="left"/>
        <w:rPr>
          <w:rFonts w:ascii="宋体" w:hAnsi="宋体"/>
          <w:color w:val="auto"/>
          <w:szCs w:val="21"/>
        </w:rPr>
      </w:pPr>
      <w:r>
        <w:rPr>
          <w:rFonts w:hint="eastAsia" w:ascii="宋体" w:hAnsi="宋体"/>
          <w:color w:val="auto"/>
          <w:szCs w:val="21"/>
        </w:rPr>
        <w:t>在项目实施过程中，经双方友好协商，本协议的有关条款也可做出相应的修改。</w:t>
      </w:r>
    </w:p>
    <w:p w14:paraId="14C65921">
      <w:pPr>
        <w:spacing w:line="276" w:lineRule="auto"/>
        <w:ind w:firstLine="420" w:firstLineChars="200"/>
        <w:jc w:val="left"/>
        <w:rPr>
          <w:rFonts w:ascii="宋体" w:hAnsi="宋体"/>
          <w:color w:val="auto"/>
          <w:szCs w:val="21"/>
        </w:rPr>
      </w:pPr>
      <w:r>
        <w:rPr>
          <w:rFonts w:hint="eastAsia" w:ascii="宋体" w:hAnsi="宋体"/>
          <w:color w:val="auto"/>
          <w:szCs w:val="21"/>
        </w:rPr>
        <w:t>本工程安全管理协议，由发包人、承包人双方在施工承包合同签订后7天内共同签署，作为施工合同附件。</w:t>
      </w:r>
    </w:p>
    <w:p w14:paraId="2EDA028B">
      <w:pPr>
        <w:spacing w:line="360" w:lineRule="auto"/>
        <w:ind w:firstLine="420" w:firstLineChars="200"/>
        <w:jc w:val="left"/>
        <w:rPr>
          <w:rFonts w:ascii="宋体" w:hAnsi="宋体"/>
          <w:color w:val="auto"/>
          <w:szCs w:val="21"/>
        </w:rPr>
      </w:pPr>
      <w:r>
        <w:rPr>
          <w:rFonts w:hint="eastAsia" w:ascii="宋体" w:hAnsi="宋体"/>
          <w:color w:val="auto"/>
          <w:szCs w:val="21"/>
        </w:rPr>
        <w:t>发  包  人（公章）：</w:t>
      </w:r>
      <w:r>
        <w:rPr>
          <w:rFonts w:hint="eastAsia" w:ascii="宋体" w:hAnsi="宋体" w:cs="宋体"/>
          <w:color w:val="auto"/>
          <w:szCs w:val="21"/>
          <w:u w:val="single"/>
        </w:rPr>
        <w:t xml:space="preserve">                       </w:t>
      </w:r>
    </w:p>
    <w:p w14:paraId="0A63B875">
      <w:pPr>
        <w:spacing w:line="360" w:lineRule="auto"/>
        <w:ind w:firstLine="420" w:firstLineChars="200"/>
        <w:jc w:val="left"/>
        <w:rPr>
          <w:rFonts w:ascii="宋体" w:hAnsi="宋体"/>
          <w:color w:val="auto"/>
          <w:szCs w:val="21"/>
        </w:rPr>
      </w:pPr>
      <w:r>
        <w:rPr>
          <w:rFonts w:hint="eastAsia" w:ascii="宋体" w:hAnsi="宋体"/>
          <w:color w:val="auto"/>
          <w:szCs w:val="21"/>
        </w:rPr>
        <w:t>法定代表人（签字）：</w:t>
      </w:r>
      <w:r>
        <w:rPr>
          <w:rFonts w:hint="eastAsia" w:ascii="宋体" w:hAnsi="宋体" w:cs="宋体"/>
          <w:color w:val="auto"/>
          <w:szCs w:val="21"/>
          <w:u w:val="single"/>
        </w:rPr>
        <w:t xml:space="preserve">                       </w:t>
      </w:r>
      <w:r>
        <w:rPr>
          <w:rFonts w:hint="eastAsia" w:ascii="宋体" w:hAnsi="宋体"/>
          <w:color w:val="auto"/>
          <w:szCs w:val="21"/>
        </w:rPr>
        <w:t xml:space="preserve">  </w:t>
      </w:r>
    </w:p>
    <w:p w14:paraId="010E1298">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或其委托代理人（签字）：</w:t>
      </w:r>
      <w:r>
        <w:rPr>
          <w:rFonts w:hint="eastAsia" w:ascii="宋体" w:hAnsi="宋体" w:cs="宋体"/>
          <w:color w:val="auto"/>
          <w:szCs w:val="21"/>
          <w:u w:val="single"/>
        </w:rPr>
        <w:t xml:space="preserve">                   </w:t>
      </w:r>
      <w:r>
        <w:rPr>
          <w:rFonts w:hint="eastAsia" w:ascii="宋体" w:hAnsi="宋体"/>
          <w:color w:val="auto"/>
          <w:szCs w:val="21"/>
        </w:rPr>
        <w:t xml:space="preserve">  </w:t>
      </w:r>
    </w:p>
    <w:p w14:paraId="0DE4843D">
      <w:pPr>
        <w:spacing w:line="360" w:lineRule="auto"/>
        <w:ind w:firstLine="420" w:firstLineChars="200"/>
        <w:jc w:val="left"/>
        <w:rPr>
          <w:rFonts w:ascii="宋体" w:hAnsi="宋体"/>
          <w:color w:val="auto"/>
          <w:szCs w:val="21"/>
        </w:rPr>
      </w:pPr>
    </w:p>
    <w:p w14:paraId="0F60F41E">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人（公章）：</w:t>
      </w:r>
      <w:r>
        <w:rPr>
          <w:rFonts w:hint="eastAsia" w:ascii="宋体" w:hAnsi="宋体" w:cs="宋体"/>
          <w:color w:val="auto"/>
          <w:szCs w:val="21"/>
          <w:u w:val="single"/>
        </w:rPr>
        <w:t xml:space="preserve">                       </w:t>
      </w:r>
    </w:p>
    <w:p w14:paraId="614109B8">
      <w:pPr>
        <w:spacing w:line="360" w:lineRule="auto"/>
        <w:ind w:firstLine="420" w:firstLineChars="200"/>
        <w:jc w:val="left"/>
        <w:rPr>
          <w:rFonts w:ascii="宋体" w:hAnsi="宋体"/>
          <w:color w:val="auto"/>
          <w:szCs w:val="21"/>
        </w:rPr>
      </w:pPr>
      <w:r>
        <w:rPr>
          <w:rFonts w:hint="eastAsia" w:ascii="宋体" w:hAnsi="宋体"/>
          <w:color w:val="auto"/>
          <w:szCs w:val="21"/>
        </w:rPr>
        <w:t>法定代表人（签字）：</w:t>
      </w:r>
      <w:r>
        <w:rPr>
          <w:rFonts w:hint="eastAsia" w:ascii="宋体" w:hAnsi="宋体" w:cs="宋体"/>
          <w:color w:val="auto"/>
          <w:szCs w:val="21"/>
          <w:u w:val="single"/>
        </w:rPr>
        <w:t xml:space="preserve">                       </w:t>
      </w:r>
    </w:p>
    <w:p w14:paraId="496CA497">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或其委托代理人（签字）：</w:t>
      </w:r>
      <w:r>
        <w:rPr>
          <w:rFonts w:hint="eastAsia" w:ascii="宋体" w:hAnsi="宋体" w:cs="宋体"/>
          <w:color w:val="auto"/>
          <w:szCs w:val="21"/>
          <w:u w:val="single"/>
        </w:rPr>
        <w:t xml:space="preserve">                   </w:t>
      </w:r>
    </w:p>
    <w:p w14:paraId="38D63DB0">
      <w:pPr>
        <w:snapToGrid w:val="0"/>
        <w:spacing w:line="360" w:lineRule="auto"/>
        <w:jc w:val="left"/>
        <w:rPr>
          <w:rFonts w:ascii="宋体" w:hAnsi="宋体"/>
          <w:color w:val="auto"/>
          <w:kern w:val="0"/>
          <w:szCs w:val="21"/>
        </w:rPr>
      </w:pPr>
      <w:r>
        <w:rPr>
          <w:rFonts w:hint="eastAsia" w:ascii="宋体" w:hAnsi="宋体"/>
          <w:color w:val="auto"/>
          <w:szCs w:val="21"/>
        </w:rPr>
        <w:br w:type="page"/>
      </w:r>
    </w:p>
    <w:p w14:paraId="7229D62A">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10</w:t>
      </w:r>
      <w:r>
        <w:rPr>
          <w:rFonts w:hint="eastAsia" w:ascii="宋体" w:hAnsi="宋体"/>
          <w:color w:val="auto"/>
          <w:szCs w:val="21"/>
        </w:rPr>
        <w:t>：</w:t>
      </w:r>
    </w:p>
    <w:p w14:paraId="32FBA1BF">
      <w:pPr>
        <w:spacing w:beforeLines="50" w:afterLines="50" w:line="480" w:lineRule="auto"/>
        <w:jc w:val="center"/>
        <w:rPr>
          <w:rFonts w:ascii="宋体" w:hAnsi="宋体"/>
          <w:color w:val="auto"/>
          <w:szCs w:val="21"/>
        </w:rPr>
      </w:pPr>
      <w:r>
        <w:rPr>
          <w:rFonts w:hint="eastAsia" w:ascii="宋体" w:hAnsi="宋体"/>
          <w:color w:val="auto"/>
          <w:szCs w:val="21"/>
        </w:rPr>
        <w:t>保障农民工工资支付协议</w:t>
      </w:r>
    </w:p>
    <w:p w14:paraId="48BA5E58">
      <w:pPr>
        <w:snapToGrid w:val="0"/>
        <w:spacing w:line="480" w:lineRule="auto"/>
        <w:rPr>
          <w:rFonts w:ascii="宋体" w:hAnsi="宋体"/>
          <w:color w:val="auto"/>
          <w:szCs w:val="21"/>
        </w:rPr>
      </w:pPr>
      <w:r>
        <w:rPr>
          <w:rFonts w:hint="eastAsia" w:ascii="宋体" w:hAnsi="宋体"/>
          <w:color w:val="auto"/>
          <w:szCs w:val="21"/>
        </w:rPr>
        <w:t xml:space="preserve"> 发包人：</w:t>
      </w:r>
      <w:r>
        <w:rPr>
          <w:rFonts w:hint="eastAsia" w:ascii="宋体" w:hAnsi="宋体" w:cs="宋体"/>
          <w:color w:val="auto"/>
          <w:szCs w:val="21"/>
          <w:u w:val="single"/>
        </w:rPr>
        <w:t xml:space="preserve">                                 </w:t>
      </w:r>
      <w:r>
        <w:rPr>
          <w:rFonts w:hint="eastAsia" w:ascii="宋体" w:hAnsi="宋体"/>
          <w:color w:val="auto"/>
          <w:szCs w:val="21"/>
        </w:rPr>
        <w:t>（发包人）</w:t>
      </w:r>
    </w:p>
    <w:p w14:paraId="06635322">
      <w:pPr>
        <w:snapToGrid w:val="0"/>
        <w:spacing w:line="360" w:lineRule="auto"/>
        <w:rPr>
          <w:rFonts w:ascii="宋体" w:hAnsi="宋体"/>
          <w:color w:val="auto"/>
          <w:szCs w:val="21"/>
        </w:rPr>
      </w:pPr>
      <w:r>
        <w:rPr>
          <w:rFonts w:hint="eastAsia" w:ascii="宋体" w:hAnsi="宋体"/>
          <w:color w:val="auto"/>
          <w:szCs w:val="21"/>
        </w:rPr>
        <w:t xml:space="preserve"> 承包人：</w:t>
      </w:r>
      <w:r>
        <w:rPr>
          <w:rFonts w:hint="eastAsia" w:ascii="宋体" w:hAnsi="宋体" w:cs="宋体"/>
          <w:color w:val="auto"/>
          <w:szCs w:val="21"/>
          <w:u w:val="single"/>
        </w:rPr>
        <w:t xml:space="preserve">                                 </w:t>
      </w:r>
      <w:r>
        <w:rPr>
          <w:rFonts w:hint="eastAsia" w:ascii="宋体" w:hAnsi="宋体"/>
          <w:color w:val="auto"/>
          <w:szCs w:val="21"/>
        </w:rPr>
        <w:t>（承包人）</w:t>
      </w:r>
    </w:p>
    <w:p w14:paraId="50476E89">
      <w:pPr>
        <w:spacing w:line="360" w:lineRule="auto"/>
        <w:ind w:firstLine="420" w:firstLineChars="200"/>
        <w:rPr>
          <w:rFonts w:ascii="宋体" w:hAnsi="宋体"/>
          <w:color w:val="auto"/>
          <w:szCs w:val="21"/>
        </w:rPr>
      </w:pPr>
      <w:r>
        <w:rPr>
          <w:rFonts w:hint="eastAsia" w:ascii="宋体" w:hAnsi="宋体"/>
          <w:color w:val="auto"/>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659AE972">
      <w:pPr>
        <w:spacing w:line="360" w:lineRule="auto"/>
        <w:ind w:firstLine="420" w:firstLineChars="200"/>
        <w:rPr>
          <w:rFonts w:ascii="宋体" w:hAnsi="宋体"/>
          <w:color w:val="auto"/>
          <w:szCs w:val="21"/>
        </w:rPr>
      </w:pPr>
      <w:r>
        <w:rPr>
          <w:rFonts w:hint="eastAsia" w:ascii="宋体" w:hAnsi="宋体"/>
          <w:color w:val="auto"/>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5947973D">
      <w:pPr>
        <w:spacing w:line="360" w:lineRule="auto"/>
        <w:ind w:firstLine="420" w:firstLineChars="200"/>
        <w:rPr>
          <w:rFonts w:ascii="宋体" w:hAnsi="宋体"/>
          <w:color w:val="auto"/>
          <w:szCs w:val="21"/>
        </w:rPr>
      </w:pPr>
      <w:r>
        <w:rPr>
          <w:rFonts w:hint="eastAsia" w:ascii="宋体" w:hAnsi="宋体"/>
          <w:color w:val="auto"/>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34D8F8FB">
      <w:pPr>
        <w:spacing w:line="360" w:lineRule="auto"/>
        <w:ind w:firstLine="420" w:firstLineChars="200"/>
        <w:rPr>
          <w:rFonts w:ascii="宋体" w:hAnsi="宋体"/>
          <w:color w:val="auto"/>
          <w:szCs w:val="21"/>
        </w:rPr>
      </w:pPr>
      <w:r>
        <w:rPr>
          <w:rFonts w:hint="eastAsia" w:ascii="宋体" w:hAnsi="宋体"/>
          <w:color w:val="auto"/>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7E8FF8DE">
      <w:pPr>
        <w:spacing w:line="360" w:lineRule="auto"/>
        <w:ind w:firstLine="420" w:firstLineChars="200"/>
        <w:rPr>
          <w:rFonts w:ascii="宋体" w:hAnsi="宋体"/>
          <w:color w:val="auto"/>
          <w:szCs w:val="21"/>
        </w:rPr>
      </w:pPr>
      <w:r>
        <w:rPr>
          <w:rFonts w:hint="eastAsia" w:ascii="宋体" w:hAnsi="宋体"/>
          <w:color w:val="auto"/>
          <w:szCs w:val="21"/>
        </w:rPr>
        <w:t>四、若发现承包人有下列事项的，发包人在支付当期进度款时暂扣当期应支付进度款5%比例的款项。</w:t>
      </w:r>
      <w:r>
        <w:rPr>
          <w:rFonts w:hint="eastAsia" w:ascii="宋体" w:hAnsi="宋体"/>
          <w:color w:val="auto"/>
          <w:szCs w:val="21"/>
        </w:rPr>
        <w:br w:type="textWrapping"/>
      </w:r>
      <w:r>
        <w:rPr>
          <w:rFonts w:hint="eastAsia" w:ascii="宋体" w:hAnsi="宋体"/>
          <w:color w:val="auto"/>
          <w:szCs w:val="21"/>
        </w:rPr>
        <w:t xml:space="preserve">    （一）现场检查发现项目存在拖欠农民工工资情况并经核查属实的；</w:t>
      </w:r>
    </w:p>
    <w:p w14:paraId="2F9A73BF">
      <w:pPr>
        <w:spacing w:line="360" w:lineRule="auto"/>
        <w:ind w:firstLine="420" w:firstLineChars="200"/>
        <w:rPr>
          <w:rFonts w:ascii="宋体" w:hAnsi="宋体"/>
          <w:color w:val="auto"/>
          <w:szCs w:val="21"/>
        </w:rPr>
      </w:pPr>
      <w:r>
        <w:rPr>
          <w:rFonts w:hint="eastAsia" w:ascii="宋体" w:hAnsi="宋体"/>
          <w:color w:val="auto"/>
          <w:szCs w:val="21"/>
        </w:rPr>
        <w:t>（二）相关行政管理部门检查发现存在拖欠农民工工资情况并经核查属实的；</w:t>
      </w:r>
      <w:r>
        <w:rPr>
          <w:rFonts w:hint="eastAsia" w:ascii="宋体" w:hAnsi="宋体"/>
          <w:color w:val="auto"/>
          <w:szCs w:val="21"/>
        </w:rPr>
        <w:br w:type="textWrapping"/>
      </w:r>
      <w:r>
        <w:rPr>
          <w:rFonts w:hint="eastAsia" w:ascii="宋体" w:hAnsi="宋体"/>
          <w:color w:val="auto"/>
          <w:szCs w:val="21"/>
        </w:rPr>
        <w:t xml:space="preserve">    （三）有拖欠农民工工资投诉事项并经核查属实的。</w:t>
      </w:r>
      <w:r>
        <w:rPr>
          <w:rFonts w:hint="eastAsia" w:ascii="宋体" w:hAnsi="宋体"/>
          <w:color w:val="auto"/>
          <w:szCs w:val="21"/>
        </w:rPr>
        <w:br w:type="textWrapping"/>
      </w:r>
      <w:r>
        <w:rPr>
          <w:rFonts w:hint="eastAsia" w:ascii="宋体" w:hAnsi="宋体"/>
          <w:color w:val="auto"/>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29B4E3A2">
      <w:pPr>
        <w:tabs>
          <w:tab w:val="left" w:pos="1080"/>
          <w:tab w:val="left" w:pos="1260"/>
          <w:tab w:val="left" w:pos="1440"/>
        </w:tabs>
        <w:spacing w:line="360" w:lineRule="auto"/>
        <w:ind w:firstLine="420" w:firstLineChars="200"/>
        <w:rPr>
          <w:rFonts w:ascii="宋体" w:hAnsi="宋体"/>
          <w:snapToGrid w:val="0"/>
          <w:color w:val="auto"/>
          <w:spacing w:val="-4"/>
          <w:kern w:val="0"/>
          <w:szCs w:val="21"/>
        </w:rPr>
      </w:pPr>
      <w:r>
        <w:rPr>
          <w:rFonts w:hint="eastAsia" w:ascii="宋体" w:hAnsi="宋体"/>
          <w:color w:val="auto"/>
          <w:szCs w:val="21"/>
        </w:rPr>
        <w:t>六、本协议经双方法定代表人或委托代理人签字并加盖公章后生效，履行完毕后自然失效。</w:t>
      </w:r>
    </w:p>
    <w:p w14:paraId="2232040A">
      <w:pPr>
        <w:spacing w:line="360" w:lineRule="auto"/>
        <w:ind w:firstLine="420" w:firstLineChars="200"/>
        <w:rPr>
          <w:rFonts w:ascii="宋体" w:hAnsi="宋体"/>
          <w:color w:val="auto"/>
          <w:szCs w:val="21"/>
        </w:rPr>
      </w:pPr>
      <w:r>
        <w:rPr>
          <w:rFonts w:hint="eastAsia" w:ascii="宋体" w:hAnsi="宋体"/>
          <w:color w:val="auto"/>
          <w:szCs w:val="21"/>
        </w:rPr>
        <w:t>附件：</w:t>
      </w:r>
    </w:p>
    <w:p w14:paraId="5632F370">
      <w:pPr>
        <w:spacing w:line="360" w:lineRule="auto"/>
        <w:ind w:firstLine="420" w:firstLineChars="200"/>
        <w:rPr>
          <w:rFonts w:ascii="宋体" w:hAnsi="宋体"/>
          <w:color w:val="auto"/>
          <w:szCs w:val="21"/>
        </w:rPr>
      </w:pPr>
      <w:r>
        <w:rPr>
          <w:rFonts w:hint="eastAsia" w:ascii="宋体" w:hAnsi="宋体"/>
          <w:color w:val="auto"/>
          <w:szCs w:val="21"/>
        </w:rPr>
        <w:t>1、关于农民工工资发放情况的说明表</w:t>
      </w:r>
    </w:p>
    <w:p w14:paraId="0ED3B0D8">
      <w:pPr>
        <w:pStyle w:val="2"/>
        <w:spacing w:line="360" w:lineRule="auto"/>
        <w:ind w:firstLine="420" w:firstLineChars="200"/>
        <w:rPr>
          <w:rFonts w:ascii="宋体" w:hAnsi="宋体"/>
          <w:color w:val="auto"/>
          <w:szCs w:val="21"/>
        </w:rPr>
      </w:pPr>
    </w:p>
    <w:p w14:paraId="1E69A7D8">
      <w:pPr>
        <w:pStyle w:val="2"/>
        <w:spacing w:line="360" w:lineRule="auto"/>
        <w:ind w:firstLine="420" w:firstLineChars="200"/>
        <w:rPr>
          <w:rFonts w:ascii="宋体" w:hAnsi="宋体"/>
          <w:color w:val="auto"/>
          <w:szCs w:val="21"/>
        </w:rPr>
      </w:pPr>
    </w:p>
    <w:p w14:paraId="4A60E55D">
      <w:pPr>
        <w:pStyle w:val="2"/>
        <w:spacing w:line="360" w:lineRule="auto"/>
        <w:ind w:firstLine="420" w:firstLineChars="200"/>
        <w:rPr>
          <w:rFonts w:ascii="宋体" w:hAnsi="宋体"/>
          <w:color w:val="auto"/>
          <w:szCs w:val="21"/>
        </w:rPr>
      </w:pPr>
    </w:p>
    <w:p w14:paraId="36BDA6D3">
      <w:pPr>
        <w:spacing w:line="360" w:lineRule="auto"/>
        <w:ind w:firstLine="420" w:firstLineChars="200"/>
        <w:rPr>
          <w:rFonts w:ascii="宋体" w:hAnsi="宋体"/>
          <w:color w:val="auto"/>
          <w:szCs w:val="21"/>
        </w:rPr>
      </w:pPr>
      <w:r>
        <w:rPr>
          <w:rFonts w:hint="eastAsia" w:ascii="宋体" w:hAnsi="宋体"/>
          <w:color w:val="auto"/>
          <w:szCs w:val="21"/>
        </w:rPr>
        <w:t>（以下无正文）</w:t>
      </w:r>
    </w:p>
    <w:p w14:paraId="6CC15C64">
      <w:pPr>
        <w:spacing w:line="360" w:lineRule="auto"/>
        <w:ind w:firstLine="420" w:firstLineChars="200"/>
        <w:rPr>
          <w:rFonts w:ascii="宋体" w:hAnsi="宋体"/>
          <w:color w:val="auto"/>
          <w:szCs w:val="21"/>
        </w:rPr>
      </w:pPr>
    </w:p>
    <w:p w14:paraId="09F94D62">
      <w:pPr>
        <w:spacing w:line="360" w:lineRule="auto"/>
        <w:ind w:firstLine="420" w:firstLineChars="200"/>
        <w:rPr>
          <w:rFonts w:ascii="宋体" w:hAnsi="宋体"/>
          <w:color w:val="auto"/>
          <w:szCs w:val="21"/>
        </w:rPr>
      </w:pPr>
    </w:p>
    <w:p w14:paraId="6AE6D943">
      <w:pPr>
        <w:pStyle w:val="2"/>
        <w:spacing w:line="360" w:lineRule="auto"/>
        <w:rPr>
          <w:rFonts w:ascii="宋体" w:hAnsi="宋体"/>
          <w:color w:val="auto"/>
          <w:szCs w:val="21"/>
        </w:rPr>
      </w:pPr>
    </w:p>
    <w:p w14:paraId="3D5B6059">
      <w:pPr>
        <w:spacing w:line="360" w:lineRule="auto"/>
        <w:rPr>
          <w:rFonts w:ascii="宋体" w:hAnsi="宋体"/>
          <w:color w:val="auto"/>
          <w:szCs w:val="21"/>
        </w:rPr>
      </w:pPr>
      <w:r>
        <w:rPr>
          <w:rFonts w:hint="eastAsia" w:ascii="宋体" w:hAnsi="宋体"/>
          <w:color w:val="auto"/>
          <w:szCs w:val="21"/>
        </w:rPr>
        <w:t>发包人：</w:t>
      </w:r>
      <w:r>
        <w:rPr>
          <w:rFonts w:hint="eastAsia" w:ascii="宋体" w:hAnsi="宋体" w:cs="宋体"/>
          <w:color w:val="auto"/>
          <w:szCs w:val="21"/>
          <w:u w:val="single"/>
        </w:rPr>
        <w:t xml:space="preserve">       </w:t>
      </w:r>
      <w:r>
        <w:rPr>
          <w:rFonts w:hint="eastAsia" w:ascii="宋体" w:hAnsi="宋体"/>
          <w:color w:val="auto"/>
          <w:szCs w:val="21"/>
        </w:rPr>
        <w:t>（发包人）</w:t>
      </w:r>
    </w:p>
    <w:p w14:paraId="347D7D80">
      <w:pPr>
        <w:spacing w:line="360" w:lineRule="auto"/>
        <w:rPr>
          <w:rFonts w:ascii="宋体" w:hAnsi="宋体"/>
          <w:color w:val="auto"/>
          <w:szCs w:val="21"/>
        </w:rPr>
      </w:pPr>
      <w:r>
        <w:rPr>
          <w:rFonts w:hint="eastAsia" w:ascii="宋体" w:hAnsi="宋体"/>
          <w:color w:val="auto"/>
          <w:szCs w:val="21"/>
        </w:rPr>
        <w:t>法定代表人：</w:t>
      </w:r>
      <w:r>
        <w:rPr>
          <w:rFonts w:hint="eastAsia" w:ascii="宋体" w:hAnsi="宋体" w:cs="宋体"/>
          <w:color w:val="auto"/>
          <w:szCs w:val="21"/>
          <w:u w:val="single"/>
        </w:rPr>
        <w:t xml:space="preserve">       </w:t>
      </w:r>
    </w:p>
    <w:p w14:paraId="1AEBB10D">
      <w:pPr>
        <w:spacing w:line="360" w:lineRule="auto"/>
        <w:rPr>
          <w:rFonts w:ascii="宋体" w:hAnsi="宋体"/>
          <w:color w:val="auto"/>
          <w:szCs w:val="21"/>
        </w:rPr>
      </w:pPr>
      <w:r>
        <w:rPr>
          <w:rFonts w:hint="eastAsia" w:ascii="宋体" w:hAnsi="宋体"/>
          <w:color w:val="auto"/>
          <w:szCs w:val="21"/>
        </w:rPr>
        <w:t>或委托代理人：</w:t>
      </w:r>
      <w:r>
        <w:rPr>
          <w:rFonts w:hint="eastAsia" w:ascii="宋体" w:hAnsi="宋体" w:cs="宋体"/>
          <w:color w:val="auto"/>
          <w:szCs w:val="21"/>
          <w:u w:val="single"/>
        </w:rPr>
        <w:t xml:space="preserve">       </w:t>
      </w:r>
    </w:p>
    <w:p w14:paraId="1E228931">
      <w:pPr>
        <w:spacing w:line="360" w:lineRule="auto"/>
        <w:rPr>
          <w:rFonts w:ascii="宋体" w:hAnsi="宋体"/>
          <w:color w:val="auto"/>
          <w:szCs w:val="21"/>
        </w:rPr>
      </w:pPr>
      <w:r>
        <w:rPr>
          <w:rFonts w:hint="eastAsia" w:ascii="宋体" w:hAnsi="宋体"/>
          <w:color w:val="auto"/>
          <w:szCs w:val="21"/>
        </w:rPr>
        <w:t>联系人：</w:t>
      </w:r>
      <w:r>
        <w:rPr>
          <w:rFonts w:hint="eastAsia" w:ascii="宋体" w:hAnsi="宋体" w:cs="宋体"/>
          <w:color w:val="auto"/>
          <w:szCs w:val="21"/>
          <w:u w:val="single"/>
        </w:rPr>
        <w:t xml:space="preserve">       </w:t>
      </w:r>
    </w:p>
    <w:p w14:paraId="07E9CF2D">
      <w:pPr>
        <w:spacing w:line="360" w:lineRule="auto"/>
        <w:rPr>
          <w:rFonts w:ascii="宋体" w:hAnsi="宋体"/>
          <w:color w:val="auto"/>
          <w:szCs w:val="21"/>
        </w:rPr>
      </w:pPr>
    </w:p>
    <w:p w14:paraId="5614904D">
      <w:pPr>
        <w:spacing w:line="360" w:lineRule="auto"/>
        <w:rPr>
          <w:rFonts w:ascii="宋体" w:hAnsi="宋体"/>
          <w:color w:val="auto"/>
          <w:szCs w:val="21"/>
        </w:rPr>
      </w:pPr>
    </w:p>
    <w:p w14:paraId="736A8C68">
      <w:pPr>
        <w:spacing w:line="360" w:lineRule="auto"/>
        <w:rPr>
          <w:rFonts w:ascii="宋体" w:hAnsi="宋体"/>
          <w:color w:val="auto"/>
          <w:szCs w:val="21"/>
        </w:rPr>
      </w:pPr>
    </w:p>
    <w:p w14:paraId="18B4CE56">
      <w:pPr>
        <w:spacing w:line="360" w:lineRule="auto"/>
        <w:rPr>
          <w:rFonts w:ascii="宋体" w:hAnsi="宋体"/>
          <w:color w:val="auto"/>
          <w:szCs w:val="21"/>
        </w:rPr>
      </w:pPr>
      <w:r>
        <w:rPr>
          <w:rFonts w:hint="eastAsia" w:ascii="宋体" w:hAnsi="宋体"/>
          <w:color w:val="auto"/>
          <w:szCs w:val="21"/>
        </w:rPr>
        <w:t>承包人：</w:t>
      </w:r>
      <w:r>
        <w:rPr>
          <w:rFonts w:hint="eastAsia" w:ascii="宋体" w:hAnsi="宋体" w:cs="宋体"/>
          <w:color w:val="auto"/>
          <w:szCs w:val="21"/>
          <w:u w:val="single"/>
        </w:rPr>
        <w:t xml:space="preserve">       </w:t>
      </w:r>
      <w:r>
        <w:rPr>
          <w:rFonts w:hint="eastAsia" w:ascii="宋体" w:hAnsi="宋体"/>
          <w:color w:val="auto"/>
          <w:szCs w:val="21"/>
        </w:rPr>
        <w:t>（承包人）</w:t>
      </w:r>
    </w:p>
    <w:p w14:paraId="0038E934">
      <w:pPr>
        <w:spacing w:line="360" w:lineRule="auto"/>
        <w:rPr>
          <w:rFonts w:ascii="宋体" w:hAnsi="宋体"/>
          <w:color w:val="auto"/>
          <w:szCs w:val="21"/>
        </w:rPr>
      </w:pPr>
      <w:r>
        <w:rPr>
          <w:rFonts w:hint="eastAsia" w:ascii="宋体" w:hAnsi="宋体"/>
          <w:color w:val="auto"/>
          <w:szCs w:val="21"/>
        </w:rPr>
        <w:t>法定代表人：</w:t>
      </w:r>
      <w:r>
        <w:rPr>
          <w:rFonts w:hint="eastAsia" w:ascii="宋体" w:hAnsi="宋体" w:cs="宋体"/>
          <w:color w:val="auto"/>
          <w:szCs w:val="21"/>
          <w:u w:val="single"/>
        </w:rPr>
        <w:t xml:space="preserve">       </w:t>
      </w:r>
    </w:p>
    <w:p w14:paraId="14C80A8C">
      <w:pPr>
        <w:spacing w:line="360" w:lineRule="auto"/>
        <w:rPr>
          <w:rFonts w:ascii="宋体" w:hAnsi="宋体"/>
          <w:color w:val="auto"/>
          <w:szCs w:val="21"/>
        </w:rPr>
      </w:pPr>
      <w:r>
        <w:rPr>
          <w:rFonts w:hint="eastAsia" w:ascii="宋体" w:hAnsi="宋体"/>
          <w:color w:val="auto"/>
          <w:szCs w:val="21"/>
        </w:rPr>
        <w:t>或委托代理人：</w:t>
      </w:r>
      <w:r>
        <w:rPr>
          <w:rFonts w:hint="eastAsia" w:ascii="宋体" w:hAnsi="宋体" w:cs="宋体"/>
          <w:color w:val="auto"/>
          <w:szCs w:val="21"/>
          <w:u w:val="single"/>
        </w:rPr>
        <w:t xml:space="preserve">       </w:t>
      </w:r>
    </w:p>
    <w:p w14:paraId="65FD254B">
      <w:pPr>
        <w:spacing w:line="360" w:lineRule="auto"/>
        <w:rPr>
          <w:rFonts w:ascii="宋体" w:hAnsi="宋体"/>
          <w:color w:val="auto"/>
          <w:szCs w:val="21"/>
        </w:rPr>
      </w:pPr>
      <w:r>
        <w:rPr>
          <w:rFonts w:hint="eastAsia" w:ascii="宋体" w:hAnsi="宋体"/>
          <w:color w:val="auto"/>
          <w:szCs w:val="21"/>
        </w:rPr>
        <w:t>联系人：</w:t>
      </w:r>
      <w:r>
        <w:rPr>
          <w:rFonts w:hint="eastAsia" w:ascii="宋体" w:hAnsi="宋体" w:cs="宋体"/>
          <w:color w:val="auto"/>
          <w:szCs w:val="21"/>
          <w:u w:val="single"/>
        </w:rPr>
        <w:t xml:space="preserve">       </w:t>
      </w:r>
    </w:p>
    <w:p w14:paraId="5B97445D">
      <w:pPr>
        <w:snapToGrid w:val="0"/>
        <w:spacing w:line="360" w:lineRule="auto"/>
        <w:ind w:firstLine="560"/>
        <w:rPr>
          <w:rFonts w:ascii="宋体" w:hAnsi="宋体"/>
          <w:color w:val="auto"/>
          <w:szCs w:val="21"/>
        </w:rPr>
      </w:pPr>
    </w:p>
    <w:p w14:paraId="0650A226">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保障农民工工资支付协议附件1：</w:t>
      </w:r>
    </w:p>
    <w:p w14:paraId="310179DA">
      <w:pPr>
        <w:widowControl/>
        <w:snapToGrid w:val="0"/>
        <w:spacing w:after="100" w:afterAutospacing="1" w:line="480" w:lineRule="auto"/>
        <w:jc w:val="center"/>
        <w:rPr>
          <w:rFonts w:ascii="宋体" w:hAnsi="宋体"/>
          <w:color w:val="auto"/>
          <w:szCs w:val="21"/>
        </w:rPr>
      </w:pPr>
      <w:r>
        <w:rPr>
          <w:rFonts w:hint="eastAsia" w:ascii="宋体" w:hAnsi="宋体"/>
          <w:color w:val="auto"/>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7D98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159CA6B7">
            <w:pPr>
              <w:widowControl/>
              <w:snapToGrid w:val="0"/>
              <w:spacing w:after="100" w:afterAutospacing="1" w:line="400" w:lineRule="exact"/>
              <w:jc w:val="left"/>
              <w:rPr>
                <w:rFonts w:ascii="宋体" w:hAnsi="宋体"/>
                <w:color w:val="auto"/>
                <w:kern w:val="0"/>
                <w:szCs w:val="21"/>
              </w:rPr>
            </w:pPr>
            <w:r>
              <w:rPr>
                <w:rFonts w:hint="eastAsia" w:ascii="宋体" w:hAnsi="宋体"/>
                <w:color w:val="auto"/>
                <w:kern w:val="0"/>
                <w:szCs w:val="21"/>
              </w:rPr>
              <w:t>工程名称：</w:t>
            </w:r>
          </w:p>
        </w:tc>
      </w:tr>
      <w:tr w14:paraId="268E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0F8D1320">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施工单位：</w:t>
            </w:r>
          </w:p>
        </w:tc>
        <w:tc>
          <w:tcPr>
            <w:tcW w:w="6201" w:type="dxa"/>
          </w:tcPr>
          <w:p w14:paraId="7899ACC1">
            <w:pPr>
              <w:widowControl/>
              <w:snapToGrid w:val="0"/>
              <w:spacing w:after="100" w:afterAutospacing="1" w:line="400" w:lineRule="exact"/>
              <w:rPr>
                <w:rFonts w:ascii="宋体" w:hAnsi="宋体"/>
                <w:color w:val="auto"/>
                <w:kern w:val="0"/>
                <w:szCs w:val="21"/>
              </w:rPr>
            </w:pPr>
          </w:p>
        </w:tc>
      </w:tr>
      <w:tr w14:paraId="582B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727AB5E5">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监理单位：</w:t>
            </w:r>
          </w:p>
        </w:tc>
        <w:tc>
          <w:tcPr>
            <w:tcW w:w="6201" w:type="dxa"/>
          </w:tcPr>
          <w:p w14:paraId="6D138B43">
            <w:pPr>
              <w:widowControl/>
              <w:snapToGrid w:val="0"/>
              <w:spacing w:after="100" w:afterAutospacing="1" w:line="400" w:lineRule="exact"/>
              <w:rPr>
                <w:rFonts w:ascii="宋体" w:hAnsi="宋体"/>
                <w:color w:val="auto"/>
                <w:kern w:val="0"/>
                <w:szCs w:val="21"/>
              </w:rPr>
            </w:pPr>
          </w:p>
        </w:tc>
      </w:tr>
      <w:tr w14:paraId="4D2B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3F003009">
            <w:pPr>
              <w:widowControl/>
              <w:snapToGrid w:val="0"/>
              <w:spacing w:after="100" w:afterAutospacing="1" w:line="400" w:lineRule="exact"/>
              <w:rPr>
                <w:rFonts w:ascii="宋体" w:hAnsi="宋体"/>
                <w:color w:val="auto"/>
                <w:kern w:val="0"/>
                <w:szCs w:val="21"/>
                <w:u w:val="single"/>
              </w:rPr>
            </w:pPr>
          </w:p>
          <w:p w14:paraId="0812F20D">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（项目业主单位名称）：</w:t>
            </w:r>
            <w:r>
              <w:rPr>
                <w:rFonts w:hint="eastAsia" w:ascii="宋体" w:hAnsi="宋体"/>
                <w:color w:val="auto"/>
                <w:kern w:val="0"/>
                <w:szCs w:val="21"/>
                <w:u w:val="single"/>
              </w:rPr>
              <w:br w:type="textWrapping"/>
            </w:r>
            <w:r>
              <w:rPr>
                <w:rFonts w:hint="eastAsia" w:ascii="宋体" w:hAnsi="宋体"/>
                <w:color w:val="auto"/>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rPr>
              <w:br w:type="textWrapping"/>
            </w:r>
          </w:p>
          <w:p w14:paraId="25EE37B8">
            <w:pPr>
              <w:widowControl/>
              <w:snapToGrid w:val="0"/>
              <w:spacing w:after="100" w:afterAutospacing="1" w:line="400" w:lineRule="exact"/>
              <w:ind w:firstLine="1260" w:firstLineChars="600"/>
              <w:rPr>
                <w:rFonts w:ascii="宋体" w:hAnsi="宋体"/>
                <w:color w:val="auto"/>
                <w:kern w:val="0"/>
                <w:szCs w:val="21"/>
                <w:u w:val="single"/>
              </w:rPr>
            </w:pPr>
            <w:r>
              <w:rPr>
                <w:rFonts w:hint="eastAsia" w:ascii="宋体" w:hAnsi="宋体"/>
                <w:color w:val="auto"/>
                <w:kern w:val="0"/>
                <w:szCs w:val="21"/>
              </w:rPr>
              <w:t>施工单位项目负责人签字（加盖项目章）：</w:t>
            </w:r>
            <w:r>
              <w:rPr>
                <w:rFonts w:hint="eastAsia" w:ascii="宋体" w:hAnsi="宋体"/>
                <w:color w:val="auto"/>
                <w:kern w:val="0"/>
                <w:szCs w:val="21"/>
                <w:u w:val="single"/>
              </w:rPr>
              <w:t xml:space="preserve">        </w:t>
            </w:r>
          </w:p>
        </w:tc>
      </w:tr>
      <w:tr w14:paraId="4206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7752E0A4">
            <w:pPr>
              <w:widowControl/>
              <w:snapToGrid w:val="0"/>
              <w:spacing w:after="100" w:afterAutospacing="1" w:line="400" w:lineRule="exact"/>
              <w:jc w:val="center"/>
              <w:rPr>
                <w:rFonts w:ascii="宋体" w:hAnsi="宋体" w:cs="宋体"/>
                <w:color w:val="auto"/>
                <w:kern w:val="0"/>
                <w:szCs w:val="21"/>
              </w:rPr>
            </w:pPr>
            <w:r>
              <w:rPr>
                <w:rFonts w:hint="eastAsia" w:ascii="宋体" w:hAnsi="宋体" w:cs="宋体"/>
                <w:color w:val="auto"/>
                <w:kern w:val="0"/>
                <w:szCs w:val="21"/>
              </w:rPr>
              <w:t>监理单位意见：</w:t>
            </w:r>
          </w:p>
        </w:tc>
        <w:tc>
          <w:tcPr>
            <w:tcW w:w="6201" w:type="dxa"/>
          </w:tcPr>
          <w:p w14:paraId="2B6326DA">
            <w:pPr>
              <w:widowControl/>
              <w:snapToGrid w:val="0"/>
              <w:spacing w:after="100" w:afterAutospacing="1" w:line="400" w:lineRule="exact"/>
              <w:rPr>
                <w:rFonts w:ascii="宋体" w:hAnsi="宋体"/>
                <w:color w:val="auto"/>
                <w:kern w:val="0"/>
                <w:szCs w:val="21"/>
                <w:u w:val="single"/>
              </w:rPr>
            </w:pPr>
          </w:p>
          <w:p w14:paraId="3835991F">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总监签字并加盖项目章：</w:t>
            </w:r>
            <w:r>
              <w:rPr>
                <w:rFonts w:hint="eastAsia" w:ascii="宋体" w:hAnsi="宋体"/>
                <w:color w:val="auto"/>
                <w:kern w:val="0"/>
                <w:szCs w:val="21"/>
                <w:u w:val="single"/>
              </w:rPr>
              <w:t xml:space="preserve">        </w:t>
            </w:r>
          </w:p>
        </w:tc>
      </w:tr>
      <w:tr w14:paraId="6016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7CB4D0AF">
            <w:pPr>
              <w:widowControl/>
              <w:snapToGrid w:val="0"/>
              <w:spacing w:after="100" w:afterAutospacing="1" w:line="400" w:lineRule="exact"/>
              <w:jc w:val="center"/>
              <w:rPr>
                <w:rFonts w:ascii="宋体" w:hAnsi="宋体"/>
                <w:color w:val="auto"/>
                <w:kern w:val="0"/>
                <w:szCs w:val="21"/>
              </w:rPr>
            </w:pPr>
            <w:r>
              <w:rPr>
                <w:rFonts w:hint="eastAsia" w:ascii="宋体" w:hAnsi="宋体"/>
                <w:color w:val="auto"/>
                <w:kern w:val="0"/>
                <w:szCs w:val="21"/>
              </w:rPr>
              <w:t>工程部项目负责人意见：</w:t>
            </w:r>
          </w:p>
        </w:tc>
        <w:tc>
          <w:tcPr>
            <w:tcW w:w="6201" w:type="dxa"/>
          </w:tcPr>
          <w:p w14:paraId="212397F2">
            <w:pPr>
              <w:widowControl/>
              <w:snapToGrid w:val="0"/>
              <w:spacing w:after="100" w:afterAutospacing="1" w:line="400" w:lineRule="exact"/>
              <w:rPr>
                <w:rFonts w:ascii="宋体" w:hAnsi="宋体"/>
                <w:color w:val="auto"/>
                <w:kern w:val="0"/>
                <w:szCs w:val="21"/>
                <w:u w:val="single"/>
              </w:rPr>
            </w:pPr>
          </w:p>
          <w:p w14:paraId="0CE34D62">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项目负责人签字：</w:t>
            </w:r>
            <w:r>
              <w:rPr>
                <w:rFonts w:hint="eastAsia" w:ascii="宋体" w:hAnsi="宋体"/>
                <w:color w:val="auto"/>
                <w:kern w:val="0"/>
                <w:szCs w:val="21"/>
                <w:u w:val="single"/>
              </w:rPr>
              <w:t xml:space="preserve">        </w:t>
            </w:r>
          </w:p>
        </w:tc>
      </w:tr>
    </w:tbl>
    <w:p w14:paraId="408D410F">
      <w:pPr>
        <w:pStyle w:val="2"/>
        <w:rPr>
          <w:rFonts w:ascii="宋体" w:hAnsi="宋体"/>
          <w:color w:val="auto"/>
          <w:sz w:val="24"/>
        </w:rPr>
      </w:pPr>
    </w:p>
    <w:p w14:paraId="2661C10E">
      <w:pPr>
        <w:pStyle w:val="2"/>
        <w:rPr>
          <w:rFonts w:ascii="宋体" w:hAnsi="宋体"/>
          <w:color w:val="auto"/>
          <w:sz w:val="24"/>
        </w:rPr>
      </w:pPr>
    </w:p>
    <w:p w14:paraId="466DF967">
      <w:pPr>
        <w:pStyle w:val="2"/>
        <w:rPr>
          <w:rFonts w:ascii="宋体" w:hAnsi="宋体"/>
          <w:color w:val="auto"/>
          <w:sz w:val="24"/>
        </w:rPr>
      </w:pPr>
    </w:p>
    <w:p w14:paraId="527662A6">
      <w:pPr>
        <w:pStyle w:val="2"/>
        <w:rPr>
          <w:rFonts w:ascii="宋体" w:hAnsi="宋体"/>
          <w:color w:val="auto"/>
          <w:sz w:val="24"/>
        </w:rPr>
      </w:pPr>
    </w:p>
    <w:p w14:paraId="46511F77">
      <w:pPr>
        <w:pStyle w:val="2"/>
        <w:rPr>
          <w:rFonts w:ascii="宋体" w:hAnsi="宋体"/>
          <w:color w:val="auto"/>
          <w:sz w:val="24"/>
        </w:rPr>
      </w:pPr>
    </w:p>
    <w:p w14:paraId="6BA377D0">
      <w:pPr>
        <w:pStyle w:val="2"/>
        <w:rPr>
          <w:rFonts w:ascii="宋体" w:hAnsi="宋体"/>
          <w:color w:val="auto"/>
          <w:sz w:val="24"/>
        </w:rPr>
      </w:pPr>
    </w:p>
    <w:p w14:paraId="47DAE389">
      <w:pPr>
        <w:pStyle w:val="2"/>
        <w:rPr>
          <w:rFonts w:ascii="宋体" w:hAnsi="宋体"/>
          <w:color w:val="auto"/>
          <w:sz w:val="24"/>
        </w:rPr>
      </w:pPr>
    </w:p>
    <w:p w14:paraId="4BEE5D2A">
      <w:pPr>
        <w:pStyle w:val="2"/>
        <w:rPr>
          <w:rFonts w:ascii="宋体" w:hAnsi="宋体"/>
          <w:color w:val="auto"/>
          <w:sz w:val="24"/>
        </w:rPr>
      </w:pPr>
    </w:p>
    <w:p w14:paraId="35C4E1B8">
      <w:pPr>
        <w:pStyle w:val="2"/>
        <w:rPr>
          <w:rFonts w:ascii="宋体" w:hAnsi="宋体"/>
          <w:color w:val="auto"/>
          <w:sz w:val="24"/>
        </w:rPr>
      </w:pPr>
    </w:p>
    <w:p w14:paraId="55BB9272">
      <w:pPr>
        <w:pStyle w:val="2"/>
        <w:rPr>
          <w:rFonts w:ascii="宋体" w:hAnsi="宋体"/>
          <w:color w:val="auto"/>
          <w:sz w:val="24"/>
        </w:rPr>
      </w:pPr>
    </w:p>
    <w:p w14:paraId="73CA51E2">
      <w:pPr>
        <w:pStyle w:val="2"/>
        <w:rPr>
          <w:rFonts w:ascii="宋体" w:hAnsi="宋体"/>
          <w:color w:val="auto"/>
          <w:szCs w:val="20"/>
        </w:rPr>
      </w:pPr>
      <w:r>
        <w:rPr>
          <w:rFonts w:ascii="宋体" w:hAnsi="宋体"/>
          <w:color w:val="auto"/>
          <w:sz w:val="24"/>
        </w:rPr>
        <w:br w:type="page"/>
      </w:r>
      <w:bookmarkEnd w:id="424"/>
      <w:bookmarkStart w:id="1901" w:name="招标文件05章工程量清单"/>
      <w:bookmarkEnd w:id="1901"/>
    </w:p>
    <w:p w14:paraId="4A44CFC2">
      <w:pPr>
        <w:pStyle w:val="3"/>
        <w:spacing w:before="0" w:after="0" w:line="360" w:lineRule="auto"/>
        <w:jc w:val="center"/>
        <w:rPr>
          <w:rFonts w:ascii="宋体" w:hAnsi="宋体"/>
          <w:color w:val="auto"/>
        </w:rPr>
      </w:pPr>
      <w:bookmarkStart w:id="1902" w:name="_Toc534185822"/>
      <w:bookmarkStart w:id="1903" w:name="_Toc430530513"/>
      <w:bookmarkStart w:id="1904" w:name="_Toc509218843"/>
      <w:bookmarkStart w:id="1905" w:name="_Toc287620797"/>
      <w:bookmarkStart w:id="1906" w:name="_Toc287607855"/>
      <w:bookmarkStart w:id="1907" w:name="_Toc12440"/>
      <w:r>
        <w:rPr>
          <w:rFonts w:hint="eastAsia" w:ascii="宋体" w:hAnsi="宋体"/>
          <w:color w:val="auto"/>
        </w:rPr>
        <w:t>第五章  工程量清单</w:t>
      </w:r>
      <w:bookmarkEnd w:id="1902"/>
      <w:bookmarkEnd w:id="1903"/>
      <w:bookmarkEnd w:id="1904"/>
      <w:bookmarkEnd w:id="1905"/>
      <w:bookmarkEnd w:id="1906"/>
      <w:bookmarkEnd w:id="1907"/>
      <w:bookmarkStart w:id="1908" w:name="招标文件05章工程量清单01"/>
      <w:bookmarkEnd w:id="1908"/>
      <w:bookmarkStart w:id="1909" w:name="_Toc287620798"/>
      <w:bookmarkStart w:id="1910" w:name="_Toc430530514"/>
      <w:bookmarkStart w:id="1911" w:name="_Toc224103477"/>
      <w:bookmarkStart w:id="1912" w:name="_Toc287607856"/>
      <w:bookmarkStart w:id="1913" w:name="_Toc277082638"/>
    </w:p>
    <w:bookmarkEnd w:id="1909"/>
    <w:bookmarkEnd w:id="1910"/>
    <w:bookmarkEnd w:id="1911"/>
    <w:bookmarkEnd w:id="1912"/>
    <w:bookmarkEnd w:id="1913"/>
    <w:p w14:paraId="0161F319">
      <w:pPr>
        <w:snapToGrid w:val="0"/>
        <w:spacing w:line="360" w:lineRule="auto"/>
        <w:jc w:val="center"/>
        <w:rPr>
          <w:rFonts w:ascii="宋体" w:hAnsi="宋体"/>
          <w:color w:val="auto"/>
          <w:sz w:val="24"/>
        </w:rPr>
      </w:pPr>
    </w:p>
    <w:p w14:paraId="711A3215">
      <w:pPr>
        <w:snapToGrid w:val="0"/>
        <w:spacing w:line="360" w:lineRule="auto"/>
        <w:jc w:val="center"/>
        <w:rPr>
          <w:rFonts w:ascii="宋体" w:hAnsi="宋体"/>
          <w:color w:val="auto"/>
          <w:szCs w:val="21"/>
        </w:rPr>
      </w:pPr>
      <w:r>
        <w:rPr>
          <w:rFonts w:hint="eastAsia" w:ascii="宋体" w:hAnsi="宋体"/>
          <w:color w:val="auto"/>
          <w:szCs w:val="20"/>
        </w:rPr>
        <w:t>在</w:t>
      </w:r>
      <w:r>
        <w:rPr>
          <w:rFonts w:hint="eastAsia" w:ascii="方正仿宋_GBK" w:hAnsi="宋体" w:eastAsia="方正仿宋_GBK"/>
          <w:color w:val="auto"/>
          <w:sz w:val="24"/>
        </w:rPr>
        <w:t>重庆</w:t>
      </w:r>
      <w:r>
        <w:rPr>
          <w:rFonts w:hint="eastAsia" w:ascii="方正仿宋_GBK" w:hAnsi="宋体" w:eastAsia="方正仿宋_GBK"/>
          <w:color w:val="auto"/>
          <w:sz w:val="24"/>
          <w:lang w:bidi="en-US"/>
        </w:rPr>
        <w:t>经开区投资集团官方</w:t>
      </w:r>
      <w:r>
        <w:rPr>
          <w:rFonts w:ascii="方正仿宋_GBK" w:hAnsi="宋体" w:eastAsia="方正仿宋_GBK"/>
          <w:color w:val="auto"/>
          <w:sz w:val="24"/>
          <w:lang w:bidi="en-US"/>
        </w:rPr>
        <w:t>网</w:t>
      </w:r>
      <w:r>
        <w:rPr>
          <w:rFonts w:hint="eastAsia" w:ascii="方正仿宋_GBK" w:hAnsi="宋体" w:eastAsia="方正仿宋_GBK"/>
          <w:color w:val="auto"/>
          <w:sz w:val="24"/>
          <w:lang w:bidi="en-US"/>
        </w:rPr>
        <w:t>站</w:t>
      </w:r>
      <w:r>
        <w:rPr>
          <w:rFonts w:ascii="方正仿宋_GBK" w:hAnsi="宋体" w:eastAsia="方正仿宋_GBK"/>
          <w:color w:val="auto"/>
          <w:sz w:val="24"/>
          <w:lang w:bidi="en-US"/>
        </w:rPr>
        <w:t>（http://www.cetzig.com/）</w:t>
      </w:r>
      <w:r>
        <w:rPr>
          <w:rFonts w:hint="eastAsia" w:ascii="宋体" w:hAnsi="宋体"/>
          <w:color w:val="auto"/>
          <w:szCs w:val="20"/>
        </w:rPr>
        <w:t>下载。</w:t>
      </w:r>
    </w:p>
    <w:p w14:paraId="2D7DE243">
      <w:pPr>
        <w:ind w:right="561"/>
        <w:rPr>
          <w:rFonts w:ascii="宋体" w:hAnsi="宋体"/>
          <w:color w:val="auto"/>
          <w:szCs w:val="21"/>
        </w:rPr>
      </w:pPr>
      <w:r>
        <w:rPr>
          <w:rFonts w:ascii="宋体" w:hAnsi="宋体"/>
          <w:color w:val="auto"/>
          <w:sz w:val="24"/>
        </w:rPr>
        <w:br w:type="page"/>
      </w:r>
    </w:p>
    <w:p w14:paraId="00B0EE96">
      <w:pPr>
        <w:pStyle w:val="3"/>
        <w:spacing w:before="0" w:after="0" w:line="360" w:lineRule="auto"/>
        <w:jc w:val="center"/>
        <w:rPr>
          <w:rFonts w:ascii="宋体" w:hAnsi="宋体"/>
          <w:color w:val="auto"/>
          <w:sz w:val="52"/>
          <w:szCs w:val="52"/>
        </w:rPr>
      </w:pPr>
      <w:bookmarkStart w:id="1914" w:name="_Toc18984"/>
      <w:bookmarkStart w:id="1915" w:name="_Toc534185823"/>
      <w:bookmarkStart w:id="1916" w:name="_Toc509218844"/>
      <w:r>
        <w:rPr>
          <w:rFonts w:ascii="宋体" w:hAnsi="宋体"/>
          <w:color w:val="auto"/>
          <w:sz w:val="52"/>
          <w:szCs w:val="52"/>
        </w:rPr>
        <w:t>第 二 卷</w:t>
      </w:r>
      <w:bookmarkEnd w:id="1914"/>
      <w:bookmarkEnd w:id="1915"/>
      <w:bookmarkEnd w:id="1916"/>
    </w:p>
    <w:p w14:paraId="37CB446D">
      <w:pPr>
        <w:spacing w:line="360" w:lineRule="auto"/>
        <w:rPr>
          <w:rFonts w:ascii="宋体" w:hAnsi="宋体"/>
          <w:color w:val="auto"/>
          <w:szCs w:val="20"/>
        </w:rPr>
      </w:pPr>
      <w:r>
        <w:rPr>
          <w:rFonts w:ascii="宋体" w:hAnsi="宋体"/>
          <w:color w:val="auto"/>
          <w:szCs w:val="20"/>
        </w:rPr>
        <w:br w:type="page"/>
      </w:r>
    </w:p>
    <w:p w14:paraId="2C65620D">
      <w:pPr>
        <w:pStyle w:val="3"/>
        <w:spacing w:line="360" w:lineRule="auto"/>
        <w:jc w:val="center"/>
        <w:rPr>
          <w:rFonts w:ascii="宋体" w:hAnsi="宋体"/>
          <w:color w:val="auto"/>
        </w:rPr>
      </w:pPr>
      <w:bookmarkStart w:id="1917" w:name="招标文件06章图纸"/>
      <w:bookmarkEnd w:id="1917"/>
      <w:bookmarkStart w:id="1918" w:name="_Toc5006"/>
      <w:bookmarkStart w:id="1919" w:name="_Toc509218846"/>
      <w:bookmarkStart w:id="1920" w:name="_Toc287620803"/>
      <w:bookmarkStart w:id="1921" w:name="_Toc430530519"/>
      <w:bookmarkStart w:id="1922" w:name="_Toc534185825"/>
      <w:bookmarkStart w:id="1923" w:name="_Toc287607861"/>
      <w:r>
        <w:rPr>
          <w:rFonts w:hint="eastAsia" w:ascii="宋体" w:hAnsi="宋体"/>
          <w:color w:val="auto"/>
        </w:rPr>
        <w:t>第六章  图纸</w:t>
      </w:r>
      <w:bookmarkEnd w:id="1918"/>
      <w:bookmarkEnd w:id="1919"/>
      <w:bookmarkEnd w:id="1920"/>
      <w:bookmarkEnd w:id="1921"/>
      <w:bookmarkEnd w:id="1922"/>
      <w:bookmarkEnd w:id="1923"/>
    </w:p>
    <w:p w14:paraId="3221DAB8">
      <w:pPr>
        <w:spacing w:line="360" w:lineRule="auto"/>
        <w:jc w:val="center"/>
        <w:rPr>
          <w:rFonts w:ascii="宋体" w:hAnsi="宋体"/>
          <w:color w:val="auto"/>
          <w:szCs w:val="20"/>
        </w:rPr>
      </w:pPr>
      <w:r>
        <w:rPr>
          <w:rFonts w:hint="eastAsia" w:ascii="宋体" w:hAnsi="宋体"/>
          <w:color w:val="auto"/>
          <w:szCs w:val="20"/>
        </w:rPr>
        <w:t>在</w:t>
      </w:r>
      <w:r>
        <w:rPr>
          <w:rFonts w:hint="eastAsia" w:ascii="方正仿宋_GBK" w:hAnsi="宋体" w:eastAsia="方正仿宋_GBK"/>
          <w:color w:val="auto"/>
          <w:sz w:val="24"/>
        </w:rPr>
        <w:t>重庆</w:t>
      </w:r>
      <w:r>
        <w:rPr>
          <w:rFonts w:hint="eastAsia" w:ascii="方正仿宋_GBK" w:hAnsi="宋体" w:eastAsia="方正仿宋_GBK"/>
          <w:color w:val="auto"/>
          <w:sz w:val="24"/>
          <w:lang w:bidi="en-US"/>
        </w:rPr>
        <w:t>经开区投资集团官方</w:t>
      </w:r>
      <w:r>
        <w:rPr>
          <w:rFonts w:ascii="方正仿宋_GBK" w:hAnsi="宋体" w:eastAsia="方正仿宋_GBK"/>
          <w:color w:val="auto"/>
          <w:sz w:val="24"/>
          <w:lang w:bidi="en-US"/>
        </w:rPr>
        <w:t>网</w:t>
      </w:r>
      <w:r>
        <w:rPr>
          <w:rFonts w:hint="eastAsia" w:ascii="方正仿宋_GBK" w:hAnsi="宋体" w:eastAsia="方正仿宋_GBK"/>
          <w:color w:val="auto"/>
          <w:sz w:val="24"/>
          <w:lang w:bidi="en-US"/>
        </w:rPr>
        <w:t>站</w:t>
      </w:r>
      <w:r>
        <w:rPr>
          <w:rFonts w:ascii="方正仿宋_GBK" w:hAnsi="宋体" w:eastAsia="方正仿宋_GBK"/>
          <w:color w:val="auto"/>
          <w:sz w:val="24"/>
          <w:lang w:bidi="en-US"/>
        </w:rPr>
        <w:t>（http://www.cetzig.com/）</w:t>
      </w:r>
      <w:r>
        <w:rPr>
          <w:rFonts w:hint="eastAsia" w:ascii="宋体" w:hAnsi="宋体"/>
          <w:color w:val="auto"/>
          <w:szCs w:val="20"/>
        </w:rPr>
        <w:t>下载。</w:t>
      </w:r>
    </w:p>
    <w:p w14:paraId="73A10426">
      <w:pPr>
        <w:spacing w:line="360" w:lineRule="auto"/>
        <w:rPr>
          <w:rFonts w:ascii="宋体" w:hAnsi="宋体"/>
          <w:color w:val="auto"/>
          <w:szCs w:val="20"/>
        </w:rPr>
      </w:pPr>
      <w:bookmarkStart w:id="1924" w:name="招标文件06章图纸01"/>
      <w:bookmarkEnd w:id="1924"/>
      <w:bookmarkStart w:id="1925" w:name="_Toc287620804"/>
      <w:bookmarkStart w:id="1926" w:name="_Toc430530520"/>
    </w:p>
    <w:bookmarkEnd w:id="1925"/>
    <w:bookmarkEnd w:id="1926"/>
    <w:p w14:paraId="7B5DCEFB">
      <w:pPr>
        <w:spacing w:line="360" w:lineRule="auto"/>
        <w:rPr>
          <w:rFonts w:ascii="宋体" w:hAnsi="宋体"/>
          <w:color w:val="auto"/>
        </w:rPr>
      </w:pPr>
      <w:r>
        <w:rPr>
          <w:rFonts w:ascii="宋体" w:hAnsi="宋体"/>
          <w:color w:val="auto"/>
          <w:szCs w:val="20"/>
        </w:rPr>
        <w:br w:type="page"/>
      </w:r>
    </w:p>
    <w:p w14:paraId="3A26A21D">
      <w:pPr>
        <w:pStyle w:val="3"/>
        <w:spacing w:before="0" w:after="0" w:line="360" w:lineRule="auto"/>
        <w:jc w:val="center"/>
        <w:rPr>
          <w:rFonts w:ascii="宋体" w:hAnsi="宋体"/>
          <w:color w:val="auto"/>
          <w:sz w:val="52"/>
          <w:szCs w:val="52"/>
        </w:rPr>
      </w:pPr>
      <w:bookmarkStart w:id="1927" w:name="_Toc1031"/>
      <w:r>
        <w:rPr>
          <w:rFonts w:hint="eastAsia" w:ascii="宋体" w:hAnsi="宋体"/>
          <w:color w:val="auto"/>
          <w:sz w:val="52"/>
          <w:szCs w:val="52"/>
        </w:rPr>
        <w:t>第 三 卷</w:t>
      </w:r>
      <w:bookmarkEnd w:id="1927"/>
      <w:bookmarkStart w:id="1928" w:name="_Toc509218847"/>
      <w:bookmarkStart w:id="1929" w:name="_Toc536619968"/>
      <w:bookmarkStart w:id="1930" w:name="_Toc536628344"/>
      <w:bookmarkStart w:id="1931" w:name="_Toc536796850"/>
      <w:bookmarkStart w:id="1932" w:name="_Toc536620100"/>
      <w:bookmarkStart w:id="1933" w:name="_Toc536797255"/>
      <w:bookmarkStart w:id="1934" w:name="_Toc536797390"/>
      <w:bookmarkStart w:id="1935" w:name="_Toc536796986"/>
      <w:bookmarkStart w:id="1936" w:name="_Toc536621880"/>
      <w:bookmarkStart w:id="1937" w:name="_Toc536797121"/>
      <w:bookmarkStart w:id="1938" w:name="_Toc13211764"/>
      <w:bookmarkStart w:id="1939" w:name="_Toc13210772"/>
      <w:bookmarkStart w:id="1940" w:name="_Toc13211206"/>
      <w:bookmarkStart w:id="1941" w:name="_Toc534185826"/>
    </w:p>
    <w:bookmarkEnd w:id="1928"/>
    <w:p w14:paraId="396F8DBB">
      <w:pPr>
        <w:rPr>
          <w:color w:val="auto"/>
        </w:rPr>
      </w:pPr>
      <w:r>
        <w:rPr>
          <w:color w:val="auto"/>
        </w:rPr>
        <w:br w:type="page"/>
      </w:r>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14:paraId="07E639FF">
      <w:pPr>
        <w:pStyle w:val="3"/>
        <w:spacing w:line="360" w:lineRule="auto"/>
        <w:jc w:val="center"/>
        <w:rPr>
          <w:rFonts w:ascii="宋体" w:hAnsi="宋体"/>
          <w:color w:val="auto"/>
        </w:rPr>
      </w:pPr>
      <w:bookmarkStart w:id="1942" w:name="招标文件07章技术标准和要求"/>
      <w:bookmarkEnd w:id="1942"/>
      <w:bookmarkStart w:id="1943" w:name="_Toc24524"/>
      <w:r>
        <w:rPr>
          <w:rFonts w:ascii="宋体" w:hAnsi="宋体"/>
          <w:color w:val="auto"/>
        </w:rPr>
        <w:t>第七章</w:t>
      </w:r>
      <w:r>
        <w:rPr>
          <w:rFonts w:hint="eastAsia" w:ascii="宋体" w:hAnsi="宋体"/>
          <w:color w:val="auto"/>
        </w:rPr>
        <w:t xml:space="preserve">  </w:t>
      </w:r>
      <w:r>
        <w:rPr>
          <w:rFonts w:ascii="宋体" w:hAnsi="宋体"/>
          <w:color w:val="auto"/>
        </w:rPr>
        <w:t>技术标准和要求</w:t>
      </w:r>
      <w:bookmarkEnd w:id="1943"/>
      <w:bookmarkStart w:id="1944" w:name="招标文件07章技术标准和要求01"/>
      <w:bookmarkEnd w:id="1944"/>
      <w:bookmarkStart w:id="1945" w:name="_Toc287620808"/>
      <w:bookmarkStart w:id="1946" w:name="_Toc430530524"/>
    </w:p>
    <w:bookmarkEnd w:id="1945"/>
    <w:bookmarkEnd w:id="1946"/>
    <w:p w14:paraId="6F552326">
      <w:pPr>
        <w:spacing w:line="360" w:lineRule="auto"/>
        <w:jc w:val="center"/>
        <w:rPr>
          <w:rStyle w:val="54"/>
          <w:color w:val="auto"/>
        </w:rPr>
      </w:pPr>
      <w:r>
        <w:rPr>
          <w:rFonts w:hint="eastAsia" w:ascii="宋体" w:hAnsi="宋体"/>
          <w:color w:val="auto"/>
          <w:szCs w:val="21"/>
        </w:rPr>
        <w:t>无。</w:t>
      </w:r>
    </w:p>
    <w:p w14:paraId="7495C369">
      <w:pPr>
        <w:spacing w:line="360" w:lineRule="auto"/>
        <w:rPr>
          <w:rFonts w:ascii="宋体" w:hAnsi="宋体"/>
          <w:color w:val="auto"/>
        </w:rPr>
      </w:pPr>
      <w:r>
        <w:rPr>
          <w:rFonts w:ascii="宋体" w:hAnsi="宋体"/>
          <w:color w:val="auto"/>
        </w:rPr>
        <w:br w:type="page"/>
      </w:r>
    </w:p>
    <w:p w14:paraId="14142F35">
      <w:pPr>
        <w:pStyle w:val="3"/>
        <w:spacing w:before="0" w:after="0" w:line="360" w:lineRule="auto"/>
        <w:jc w:val="center"/>
        <w:rPr>
          <w:rFonts w:ascii="宋体" w:hAnsi="宋体"/>
          <w:color w:val="auto"/>
          <w:sz w:val="52"/>
          <w:szCs w:val="52"/>
        </w:rPr>
      </w:pPr>
      <w:bookmarkStart w:id="1947" w:name="_Toc534185827"/>
      <w:bookmarkStart w:id="1948" w:name="_Toc509218849"/>
      <w:bookmarkStart w:id="1949" w:name="_Toc19295"/>
      <w:r>
        <w:rPr>
          <w:rFonts w:ascii="宋体" w:hAnsi="宋体"/>
          <w:color w:val="auto"/>
          <w:sz w:val="52"/>
          <w:szCs w:val="52"/>
        </w:rPr>
        <w:t>第 四 卷</w:t>
      </w:r>
      <w:bookmarkEnd w:id="1947"/>
      <w:bookmarkEnd w:id="1948"/>
      <w:bookmarkEnd w:id="1949"/>
      <w:bookmarkStart w:id="1950" w:name="_Toc13211209"/>
      <w:bookmarkStart w:id="1951" w:name="_Toc509218850"/>
      <w:bookmarkStart w:id="1952" w:name="_Toc536621883"/>
      <w:bookmarkStart w:id="1953" w:name="_Toc536796853"/>
      <w:bookmarkStart w:id="1954" w:name="_Toc13211767"/>
      <w:bookmarkStart w:id="1955" w:name="_Toc536797258"/>
      <w:bookmarkStart w:id="1956" w:name="_Toc536628347"/>
      <w:bookmarkStart w:id="1957" w:name="_Toc536620102"/>
      <w:bookmarkStart w:id="1958" w:name="_Toc536796989"/>
      <w:bookmarkStart w:id="1959" w:name="_Toc536797124"/>
      <w:bookmarkStart w:id="1960" w:name="_Toc536619970"/>
      <w:bookmarkStart w:id="1961" w:name="_Toc534185828"/>
      <w:bookmarkStart w:id="1962" w:name="_Toc13210775"/>
      <w:bookmarkStart w:id="1963" w:name="_Toc536797393"/>
    </w:p>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14:paraId="09DB7398">
      <w:pPr>
        <w:rPr>
          <w:color w:val="auto"/>
        </w:rPr>
      </w:pPr>
      <w:r>
        <w:rPr>
          <w:color w:val="auto"/>
        </w:rPr>
        <w:br w:type="page"/>
      </w:r>
      <w:bookmarkStart w:id="1964" w:name="招标文件08章投标文件格式"/>
      <w:bookmarkEnd w:id="1964"/>
      <w:bookmarkStart w:id="1965" w:name="_Toc287607865"/>
      <w:bookmarkStart w:id="1966" w:name="_Toc287620812"/>
    </w:p>
    <w:p w14:paraId="03E550EC">
      <w:pPr>
        <w:pStyle w:val="3"/>
        <w:spacing w:line="360" w:lineRule="auto"/>
        <w:jc w:val="center"/>
        <w:rPr>
          <w:rFonts w:ascii="宋体" w:hAnsi="宋体"/>
          <w:color w:val="auto"/>
        </w:rPr>
      </w:pPr>
      <w:bookmarkStart w:id="1967" w:name="_Toc509218852"/>
      <w:bookmarkStart w:id="1968" w:name="_Toc534185829"/>
      <w:bookmarkStart w:id="1969" w:name="_Toc14509"/>
      <w:bookmarkStart w:id="1970" w:name="_Toc430530528"/>
      <w:r>
        <w:rPr>
          <w:rFonts w:hint="eastAsia" w:ascii="宋体" w:hAnsi="宋体"/>
          <w:color w:val="auto"/>
        </w:rPr>
        <w:t>第八章  投标文件格式</w:t>
      </w:r>
      <w:bookmarkEnd w:id="1965"/>
      <w:bookmarkEnd w:id="1966"/>
      <w:bookmarkEnd w:id="1967"/>
      <w:bookmarkEnd w:id="1968"/>
      <w:bookmarkEnd w:id="1969"/>
      <w:bookmarkEnd w:id="1970"/>
    </w:p>
    <w:p w14:paraId="0D69CE59">
      <w:pPr>
        <w:spacing w:line="360" w:lineRule="auto"/>
        <w:rPr>
          <w:rFonts w:ascii="宋体" w:hAnsi="宋体"/>
          <w:color w:val="auto"/>
          <w:sz w:val="32"/>
          <w:szCs w:val="32"/>
        </w:rPr>
      </w:pPr>
    </w:p>
    <w:p w14:paraId="56FAE9A6">
      <w:pPr>
        <w:spacing w:line="360" w:lineRule="auto"/>
        <w:jc w:val="center"/>
        <w:rPr>
          <w:rFonts w:ascii="宋体" w:hAnsi="宋体"/>
          <w:color w:val="auto"/>
          <w:sz w:val="36"/>
          <w:szCs w:val="36"/>
        </w:rPr>
      </w:pPr>
      <w:r>
        <w:rPr>
          <w:rFonts w:ascii="宋体" w:hAnsi="宋体"/>
          <w:color w:val="auto"/>
          <w:szCs w:val="20"/>
        </w:rPr>
        <w:br w:type="page"/>
      </w:r>
      <w:bookmarkStart w:id="1971" w:name="_Toc224103493"/>
      <w:r>
        <w:rPr>
          <w:rFonts w:hint="eastAsia" w:ascii="宋体" w:hAnsi="宋体"/>
          <w:color w:val="auto"/>
          <w:sz w:val="36"/>
          <w:szCs w:val="36"/>
        </w:rPr>
        <w:t>目  录</w:t>
      </w:r>
      <w:bookmarkEnd w:id="1971"/>
    </w:p>
    <w:p w14:paraId="22B24D8E">
      <w:pPr>
        <w:spacing w:line="360" w:lineRule="auto"/>
        <w:jc w:val="center"/>
        <w:rPr>
          <w:rFonts w:ascii="宋体" w:hAnsi="宋体"/>
          <w:color w:val="auto"/>
          <w:szCs w:val="20"/>
        </w:rPr>
      </w:pPr>
    </w:p>
    <w:p w14:paraId="70CD6739">
      <w:pPr>
        <w:spacing w:line="360" w:lineRule="auto"/>
        <w:rPr>
          <w:rFonts w:ascii="宋体" w:hAnsi="宋体"/>
          <w:b/>
          <w:color w:val="auto"/>
        </w:rPr>
      </w:pPr>
      <w:r>
        <w:rPr>
          <w:rFonts w:hint="eastAsia" w:ascii="宋体" w:hAnsi="宋体"/>
          <w:b/>
          <w:color w:val="auto"/>
        </w:rPr>
        <w:t>一</w:t>
      </w:r>
      <w:r>
        <w:rPr>
          <w:rFonts w:ascii="宋体" w:hAnsi="宋体"/>
          <w:b/>
          <w:color w:val="auto"/>
        </w:rPr>
        <w:t>、投标函部分</w:t>
      </w:r>
    </w:p>
    <w:p w14:paraId="5A38DFFF">
      <w:pPr>
        <w:spacing w:line="360" w:lineRule="auto"/>
        <w:ind w:firstLine="420" w:firstLineChars="200"/>
        <w:rPr>
          <w:rFonts w:ascii="宋体" w:hAnsi="宋体"/>
          <w:color w:val="auto"/>
        </w:rPr>
      </w:pPr>
      <w:r>
        <w:rPr>
          <w:rFonts w:ascii="宋体" w:hAnsi="宋体"/>
          <w:color w:val="auto"/>
        </w:rPr>
        <w:t>（一）投标函</w:t>
      </w:r>
    </w:p>
    <w:p w14:paraId="2E350E0F">
      <w:pPr>
        <w:spacing w:line="360" w:lineRule="auto"/>
        <w:ind w:firstLine="420" w:firstLineChars="200"/>
        <w:rPr>
          <w:rFonts w:ascii="宋体" w:hAnsi="宋体"/>
          <w:color w:val="auto"/>
        </w:rPr>
      </w:pPr>
      <w:r>
        <w:rPr>
          <w:rFonts w:ascii="宋体" w:hAnsi="宋体"/>
          <w:color w:val="auto"/>
        </w:rPr>
        <w:t>（二）投标函附录</w:t>
      </w:r>
    </w:p>
    <w:p w14:paraId="31E9319B">
      <w:pPr>
        <w:spacing w:line="360" w:lineRule="auto"/>
        <w:ind w:firstLine="420" w:firstLineChars="200"/>
        <w:rPr>
          <w:rFonts w:ascii="宋体" w:hAnsi="宋体"/>
          <w:color w:val="auto"/>
        </w:rPr>
      </w:pPr>
      <w:r>
        <w:rPr>
          <w:rFonts w:ascii="宋体" w:hAnsi="宋体"/>
          <w:color w:val="auto"/>
        </w:rPr>
        <w:t>（三）</w:t>
      </w:r>
      <w:r>
        <w:rPr>
          <w:rFonts w:hint="eastAsia" w:ascii="宋体" w:hAnsi="宋体"/>
          <w:color w:val="auto"/>
        </w:rPr>
        <w:t>法定代表人身份证明或附有法定代表人身份证明的授权委托书</w:t>
      </w:r>
    </w:p>
    <w:p w14:paraId="473C64D7">
      <w:pPr>
        <w:spacing w:line="360" w:lineRule="auto"/>
        <w:ind w:firstLine="420" w:firstLineChars="200"/>
        <w:rPr>
          <w:rFonts w:ascii="宋体" w:hAnsi="宋体"/>
          <w:color w:val="auto"/>
        </w:rPr>
      </w:pPr>
      <w:r>
        <w:rPr>
          <w:rFonts w:ascii="宋体" w:hAnsi="宋体"/>
          <w:color w:val="auto"/>
        </w:rPr>
        <w:t>（四）</w:t>
      </w:r>
      <w:r>
        <w:rPr>
          <w:rFonts w:hint="eastAsia" w:ascii="宋体" w:hAnsi="宋体"/>
          <w:color w:val="auto"/>
        </w:rPr>
        <w:t>低价风险担保缴纳承诺书（如有）</w:t>
      </w:r>
    </w:p>
    <w:p w14:paraId="51D0E370">
      <w:pPr>
        <w:spacing w:line="360" w:lineRule="auto"/>
        <w:ind w:firstLine="420" w:firstLineChars="200"/>
        <w:rPr>
          <w:rFonts w:ascii="宋体" w:hAnsi="宋体"/>
          <w:color w:val="auto"/>
        </w:rPr>
      </w:pPr>
      <w:r>
        <w:rPr>
          <w:rFonts w:ascii="宋体" w:hAnsi="宋体"/>
          <w:color w:val="auto"/>
        </w:rPr>
        <w:t>（五）联合体协议书</w:t>
      </w:r>
      <w:r>
        <w:rPr>
          <w:rFonts w:hint="eastAsia" w:ascii="宋体" w:hAnsi="宋体"/>
          <w:color w:val="auto"/>
        </w:rPr>
        <w:t>（如有）</w:t>
      </w:r>
    </w:p>
    <w:p w14:paraId="44B8E739">
      <w:pPr>
        <w:spacing w:line="360" w:lineRule="auto"/>
        <w:rPr>
          <w:rFonts w:ascii="宋体" w:hAnsi="宋体"/>
          <w:b/>
          <w:color w:val="auto"/>
        </w:rPr>
      </w:pPr>
      <w:r>
        <w:rPr>
          <w:rFonts w:hint="eastAsia" w:ascii="宋体" w:hAnsi="宋体"/>
          <w:b/>
          <w:color w:val="auto"/>
        </w:rPr>
        <w:t>二</w:t>
      </w:r>
      <w:r>
        <w:rPr>
          <w:rFonts w:ascii="宋体" w:hAnsi="宋体"/>
          <w:b/>
          <w:color w:val="auto"/>
        </w:rPr>
        <w:t>、</w:t>
      </w:r>
      <w:r>
        <w:rPr>
          <w:rFonts w:hint="eastAsia" w:ascii="宋体" w:hAnsi="宋体"/>
          <w:b/>
          <w:color w:val="auto"/>
        </w:rPr>
        <w:t>经济</w:t>
      </w:r>
      <w:r>
        <w:rPr>
          <w:rFonts w:ascii="宋体" w:hAnsi="宋体"/>
          <w:b/>
          <w:color w:val="auto"/>
        </w:rPr>
        <w:t>部分</w:t>
      </w:r>
    </w:p>
    <w:p w14:paraId="0962BA70">
      <w:pPr>
        <w:spacing w:line="360" w:lineRule="auto"/>
        <w:ind w:firstLine="420" w:firstLineChars="200"/>
        <w:rPr>
          <w:rFonts w:ascii="宋体" w:hAnsi="宋体"/>
          <w:color w:val="auto"/>
        </w:rPr>
      </w:pPr>
      <w:r>
        <w:rPr>
          <w:rFonts w:ascii="宋体" w:hAnsi="宋体"/>
          <w:color w:val="auto"/>
        </w:rPr>
        <w:t>已标价工程量清单</w:t>
      </w:r>
    </w:p>
    <w:p w14:paraId="46562EEE">
      <w:pPr>
        <w:spacing w:line="360" w:lineRule="auto"/>
        <w:rPr>
          <w:rFonts w:ascii="宋体" w:hAnsi="宋体"/>
          <w:b/>
          <w:color w:val="auto"/>
        </w:rPr>
      </w:pPr>
      <w:r>
        <w:rPr>
          <w:rFonts w:hint="eastAsia" w:ascii="宋体" w:hAnsi="宋体"/>
          <w:b/>
          <w:color w:val="auto"/>
        </w:rPr>
        <w:t>三</w:t>
      </w:r>
      <w:r>
        <w:rPr>
          <w:rFonts w:ascii="宋体" w:hAnsi="宋体"/>
          <w:b/>
          <w:color w:val="auto"/>
        </w:rPr>
        <w:t>、技术部分（不设置</w:t>
      </w:r>
      <w:r>
        <w:rPr>
          <w:rFonts w:hint="eastAsia" w:ascii="宋体" w:hAnsi="宋体"/>
          <w:b/>
          <w:color w:val="auto"/>
        </w:rPr>
        <w:t>技术方案</w:t>
      </w:r>
      <w:r>
        <w:rPr>
          <w:rFonts w:ascii="宋体" w:hAnsi="宋体"/>
          <w:b/>
          <w:color w:val="auto"/>
        </w:rPr>
        <w:t>评审的不设此部分）</w:t>
      </w:r>
    </w:p>
    <w:p w14:paraId="34426D98">
      <w:pPr>
        <w:spacing w:line="360" w:lineRule="auto"/>
        <w:ind w:firstLine="420" w:firstLineChars="200"/>
        <w:rPr>
          <w:rFonts w:ascii="宋体" w:hAnsi="宋体"/>
          <w:color w:val="auto"/>
        </w:rPr>
      </w:pPr>
      <w:r>
        <w:rPr>
          <w:rFonts w:hint="eastAsia" w:ascii="宋体" w:hAnsi="宋体"/>
          <w:color w:val="auto"/>
        </w:rPr>
        <w:t>技术方案</w:t>
      </w:r>
    </w:p>
    <w:p w14:paraId="38388037">
      <w:pPr>
        <w:spacing w:line="360" w:lineRule="auto"/>
        <w:ind w:firstLine="420" w:firstLineChars="200"/>
        <w:rPr>
          <w:rFonts w:ascii="宋体" w:hAnsi="宋体"/>
          <w:color w:val="auto"/>
        </w:rPr>
      </w:pPr>
      <w:r>
        <w:rPr>
          <w:rFonts w:ascii="宋体" w:hAnsi="宋体"/>
          <w:color w:val="auto"/>
        </w:rPr>
        <w:t>附表一</w:t>
      </w:r>
      <w:r>
        <w:rPr>
          <w:rFonts w:hint="eastAsia" w:ascii="宋体" w:hAnsi="宋体"/>
          <w:color w:val="auto"/>
        </w:rPr>
        <w:t xml:space="preserve"> </w:t>
      </w:r>
      <w:r>
        <w:rPr>
          <w:rFonts w:ascii="宋体" w:hAnsi="宋体"/>
          <w:color w:val="auto"/>
        </w:rPr>
        <w:t>拟投入本标段的主要施工设备表</w:t>
      </w:r>
    </w:p>
    <w:p w14:paraId="1D4251A4">
      <w:pPr>
        <w:spacing w:line="360" w:lineRule="auto"/>
        <w:ind w:firstLine="420" w:firstLineChars="200"/>
        <w:rPr>
          <w:rFonts w:ascii="宋体" w:hAnsi="宋体"/>
          <w:color w:val="auto"/>
        </w:rPr>
      </w:pPr>
      <w:r>
        <w:rPr>
          <w:rFonts w:ascii="宋体" w:hAnsi="宋体"/>
          <w:color w:val="auto"/>
        </w:rPr>
        <w:t>附表二</w:t>
      </w:r>
      <w:r>
        <w:rPr>
          <w:rFonts w:hint="eastAsia" w:ascii="宋体" w:hAnsi="宋体"/>
          <w:color w:val="auto"/>
        </w:rPr>
        <w:t xml:space="preserve"> </w:t>
      </w:r>
      <w:r>
        <w:rPr>
          <w:rFonts w:ascii="宋体" w:hAnsi="宋体"/>
          <w:color w:val="auto"/>
        </w:rPr>
        <w:t>拟配备本标段的试验和检测仪器设备表</w:t>
      </w:r>
    </w:p>
    <w:p w14:paraId="025B97DD">
      <w:pPr>
        <w:spacing w:line="360" w:lineRule="auto"/>
        <w:ind w:firstLine="420" w:firstLineChars="200"/>
        <w:rPr>
          <w:rFonts w:ascii="宋体" w:hAnsi="宋体"/>
          <w:color w:val="auto"/>
        </w:rPr>
      </w:pPr>
      <w:r>
        <w:rPr>
          <w:rFonts w:ascii="宋体" w:hAnsi="宋体"/>
          <w:color w:val="auto"/>
        </w:rPr>
        <w:t>附表三</w:t>
      </w:r>
      <w:r>
        <w:rPr>
          <w:rFonts w:hint="eastAsia" w:ascii="宋体" w:hAnsi="宋体"/>
          <w:color w:val="auto"/>
        </w:rPr>
        <w:t xml:space="preserve"> </w:t>
      </w:r>
      <w:r>
        <w:rPr>
          <w:rFonts w:ascii="宋体" w:hAnsi="宋体"/>
          <w:color w:val="auto"/>
        </w:rPr>
        <w:t>劳动力计划表</w:t>
      </w:r>
    </w:p>
    <w:p w14:paraId="1E791DEA">
      <w:pPr>
        <w:spacing w:line="360" w:lineRule="auto"/>
        <w:ind w:firstLine="420" w:firstLineChars="200"/>
        <w:rPr>
          <w:rFonts w:ascii="宋体" w:hAnsi="宋体"/>
          <w:color w:val="auto"/>
        </w:rPr>
      </w:pPr>
      <w:r>
        <w:rPr>
          <w:rFonts w:ascii="宋体" w:hAnsi="宋体"/>
          <w:color w:val="auto"/>
        </w:rPr>
        <w:t>附表四</w:t>
      </w:r>
      <w:r>
        <w:rPr>
          <w:rFonts w:hint="eastAsia" w:ascii="宋体" w:hAnsi="宋体"/>
          <w:color w:val="auto"/>
        </w:rPr>
        <w:t xml:space="preserve"> </w:t>
      </w:r>
      <w:r>
        <w:rPr>
          <w:rFonts w:ascii="宋体" w:hAnsi="宋体"/>
          <w:color w:val="auto"/>
        </w:rPr>
        <w:t>计划开、竣工日期和施工进度网络图</w:t>
      </w:r>
    </w:p>
    <w:p w14:paraId="0D91AF4D">
      <w:pPr>
        <w:spacing w:line="360" w:lineRule="auto"/>
        <w:ind w:firstLine="420" w:firstLineChars="200"/>
        <w:rPr>
          <w:rFonts w:ascii="宋体" w:hAnsi="宋体"/>
          <w:color w:val="auto"/>
        </w:rPr>
      </w:pPr>
      <w:r>
        <w:rPr>
          <w:rFonts w:ascii="宋体" w:hAnsi="宋体"/>
          <w:color w:val="auto"/>
        </w:rPr>
        <w:t>附表五</w:t>
      </w:r>
      <w:r>
        <w:rPr>
          <w:rFonts w:hint="eastAsia" w:ascii="宋体" w:hAnsi="宋体"/>
          <w:color w:val="auto"/>
        </w:rPr>
        <w:t xml:space="preserve"> </w:t>
      </w:r>
      <w:r>
        <w:rPr>
          <w:rFonts w:ascii="宋体" w:hAnsi="宋体"/>
          <w:color w:val="auto"/>
        </w:rPr>
        <w:t>施工总平面图</w:t>
      </w:r>
    </w:p>
    <w:p w14:paraId="32EA8C26">
      <w:pPr>
        <w:spacing w:line="360" w:lineRule="auto"/>
        <w:ind w:firstLine="420" w:firstLineChars="200"/>
        <w:rPr>
          <w:rFonts w:ascii="宋体" w:hAnsi="宋体"/>
          <w:color w:val="auto"/>
        </w:rPr>
      </w:pPr>
      <w:r>
        <w:rPr>
          <w:rFonts w:ascii="宋体" w:hAnsi="宋体"/>
          <w:color w:val="auto"/>
        </w:rPr>
        <w:t>附表六</w:t>
      </w:r>
      <w:r>
        <w:rPr>
          <w:rFonts w:hint="eastAsia" w:ascii="宋体" w:hAnsi="宋体"/>
          <w:color w:val="auto"/>
        </w:rPr>
        <w:t xml:space="preserve"> </w:t>
      </w:r>
      <w:r>
        <w:rPr>
          <w:rFonts w:ascii="宋体" w:hAnsi="宋体"/>
          <w:color w:val="auto"/>
        </w:rPr>
        <w:t>临时用地表</w:t>
      </w:r>
    </w:p>
    <w:p w14:paraId="29A49344">
      <w:pPr>
        <w:spacing w:line="360" w:lineRule="auto"/>
        <w:rPr>
          <w:rFonts w:ascii="宋体" w:hAnsi="宋体"/>
          <w:b/>
          <w:color w:val="auto"/>
        </w:rPr>
      </w:pPr>
      <w:r>
        <w:rPr>
          <w:rFonts w:hint="eastAsia" w:ascii="宋体" w:hAnsi="宋体"/>
          <w:b/>
          <w:color w:val="auto"/>
        </w:rPr>
        <w:t>四</w:t>
      </w:r>
      <w:r>
        <w:rPr>
          <w:rFonts w:ascii="宋体" w:hAnsi="宋体"/>
          <w:b/>
          <w:color w:val="auto"/>
        </w:rPr>
        <w:t>、</w:t>
      </w:r>
      <w:r>
        <w:rPr>
          <w:rFonts w:hint="eastAsia" w:ascii="宋体" w:hAnsi="宋体"/>
          <w:b/>
          <w:color w:val="auto"/>
        </w:rPr>
        <w:t>资格审查部分</w:t>
      </w:r>
    </w:p>
    <w:p w14:paraId="4CEC01E0">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65E0C50A">
      <w:pPr>
        <w:spacing w:line="360" w:lineRule="auto"/>
        <w:ind w:firstLine="420" w:firstLineChars="200"/>
        <w:rPr>
          <w:rFonts w:ascii="宋体" w:hAnsi="宋体"/>
          <w:color w:val="auto"/>
        </w:rPr>
      </w:pPr>
      <w:r>
        <w:rPr>
          <w:rFonts w:ascii="宋体" w:hAnsi="宋体"/>
          <w:color w:val="auto"/>
        </w:rPr>
        <w:t>（二）联合体协议书</w:t>
      </w:r>
      <w:r>
        <w:rPr>
          <w:rFonts w:hint="eastAsia" w:ascii="宋体" w:hAnsi="宋体"/>
          <w:color w:val="auto"/>
        </w:rPr>
        <w:t>（如有）</w:t>
      </w:r>
    </w:p>
    <w:p w14:paraId="3F3CDB24">
      <w:pPr>
        <w:spacing w:line="360" w:lineRule="auto"/>
        <w:ind w:firstLine="420" w:firstLineChars="200"/>
        <w:rPr>
          <w:rFonts w:ascii="宋体" w:hAnsi="宋体"/>
          <w:color w:val="auto"/>
        </w:rPr>
      </w:pPr>
      <w:r>
        <w:rPr>
          <w:rFonts w:ascii="宋体" w:hAnsi="宋体"/>
          <w:color w:val="auto"/>
        </w:rPr>
        <w:t>（三）投标人基本情况表</w:t>
      </w:r>
    </w:p>
    <w:p w14:paraId="7982F62F">
      <w:pPr>
        <w:spacing w:line="360" w:lineRule="auto"/>
        <w:ind w:firstLine="420" w:firstLineChars="200"/>
        <w:rPr>
          <w:rFonts w:ascii="宋体" w:hAnsi="宋体"/>
          <w:color w:val="auto"/>
        </w:rPr>
      </w:pPr>
      <w:r>
        <w:rPr>
          <w:rFonts w:ascii="宋体" w:hAnsi="宋体"/>
          <w:color w:val="auto"/>
        </w:rPr>
        <w:t>（四）项目管理机构</w:t>
      </w:r>
    </w:p>
    <w:p w14:paraId="378F4BE0">
      <w:pPr>
        <w:spacing w:line="360" w:lineRule="auto"/>
        <w:ind w:firstLine="420" w:firstLineChars="200"/>
        <w:rPr>
          <w:rFonts w:ascii="宋体" w:hAnsi="宋体"/>
          <w:color w:val="auto"/>
        </w:rPr>
      </w:pPr>
      <w:r>
        <w:rPr>
          <w:rFonts w:ascii="宋体" w:hAnsi="宋体"/>
          <w:color w:val="auto"/>
        </w:rPr>
        <w:t>（五）近年财务状况表</w:t>
      </w:r>
    </w:p>
    <w:p w14:paraId="54E4673B">
      <w:pPr>
        <w:spacing w:line="360" w:lineRule="auto"/>
        <w:ind w:firstLine="420" w:firstLineChars="200"/>
        <w:rPr>
          <w:rFonts w:ascii="宋体" w:hAnsi="宋体"/>
          <w:color w:val="auto"/>
        </w:rPr>
      </w:pPr>
      <w:r>
        <w:rPr>
          <w:rFonts w:ascii="宋体" w:hAnsi="宋体"/>
          <w:color w:val="auto"/>
        </w:rPr>
        <w:t>（六）类似项目情况表</w:t>
      </w:r>
    </w:p>
    <w:p w14:paraId="6F0B19BC">
      <w:pPr>
        <w:spacing w:line="360" w:lineRule="auto"/>
        <w:ind w:firstLine="420" w:firstLineChars="200"/>
        <w:rPr>
          <w:rFonts w:ascii="宋体" w:hAnsi="宋体"/>
          <w:color w:val="auto"/>
        </w:rPr>
      </w:pPr>
      <w:r>
        <w:rPr>
          <w:rFonts w:ascii="宋体" w:hAnsi="宋体"/>
          <w:color w:val="auto"/>
        </w:rPr>
        <w:t>（七）</w:t>
      </w:r>
      <w:r>
        <w:rPr>
          <w:rFonts w:hint="eastAsia" w:ascii="宋体" w:hAnsi="宋体"/>
          <w:color w:val="auto"/>
        </w:rPr>
        <w:t>承诺</w:t>
      </w:r>
    </w:p>
    <w:p w14:paraId="4B5CEA02">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八</w:t>
      </w:r>
      <w:r>
        <w:rPr>
          <w:rFonts w:ascii="宋体" w:hAnsi="宋体"/>
          <w:color w:val="auto"/>
        </w:rPr>
        <w:t>）其他资料</w:t>
      </w:r>
    </w:p>
    <w:p w14:paraId="4E0DF623">
      <w:pPr>
        <w:autoSpaceDE w:val="0"/>
        <w:autoSpaceDN w:val="0"/>
        <w:adjustRightInd w:val="0"/>
        <w:spacing w:line="276" w:lineRule="auto"/>
        <w:ind w:right="-23"/>
        <w:jc w:val="left"/>
        <w:rPr>
          <w:rFonts w:ascii="宋体" w:hAnsi="宋体"/>
          <w:color w:val="auto"/>
          <w:kern w:val="0"/>
          <w:szCs w:val="21"/>
          <w:u w:val="single"/>
        </w:rPr>
      </w:pPr>
      <w:r>
        <w:rPr>
          <w:rFonts w:ascii="宋体" w:hAnsi="宋体"/>
          <w:b/>
          <w:color w:val="auto"/>
          <w:kern w:val="0"/>
          <w:sz w:val="24"/>
        </w:rPr>
        <w:br w:type="page"/>
      </w:r>
      <w:bookmarkStart w:id="1972" w:name="_Toc430530529"/>
      <w:bookmarkStart w:id="1973" w:name="_Toc277082642"/>
      <w:bookmarkStart w:id="1974" w:name="_Toc287607866"/>
      <w:bookmarkStart w:id="1975" w:name="_Toc224103494"/>
      <w:bookmarkStart w:id="1976" w:name="_Toc287620813"/>
    </w:p>
    <w:p w14:paraId="7B9071BB">
      <w:pPr>
        <w:pStyle w:val="4"/>
        <w:spacing w:line="360" w:lineRule="auto"/>
        <w:jc w:val="center"/>
        <w:rPr>
          <w:rFonts w:ascii="宋体" w:hAnsi="宋体"/>
          <w:b w:val="0"/>
          <w:bCs w:val="0"/>
          <w:color w:val="auto"/>
          <w:sz w:val="44"/>
          <w:szCs w:val="44"/>
        </w:rPr>
      </w:pPr>
      <w:bookmarkStart w:id="1977" w:name="_Toc6817"/>
      <w:r>
        <w:rPr>
          <w:rFonts w:hint="eastAsia" w:ascii="宋体" w:hAnsi="宋体"/>
          <w:b w:val="0"/>
          <w:bCs w:val="0"/>
          <w:color w:val="auto"/>
          <w:sz w:val="44"/>
          <w:szCs w:val="44"/>
        </w:rPr>
        <w:t>一、投标函部分</w:t>
      </w:r>
      <w:bookmarkEnd w:id="1972"/>
      <w:bookmarkEnd w:id="1973"/>
      <w:bookmarkEnd w:id="1974"/>
      <w:bookmarkEnd w:id="1975"/>
      <w:bookmarkEnd w:id="1976"/>
      <w:bookmarkEnd w:id="1977"/>
    </w:p>
    <w:p w14:paraId="5BA4EBE5">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7D7080BD">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2F82A01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38B8E6A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3F532CE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2B8A38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AC348E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B5DFF2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1AE02426">
      <w:pPr>
        <w:autoSpaceDE w:val="0"/>
        <w:autoSpaceDN w:val="0"/>
        <w:adjustRightInd w:val="0"/>
        <w:snapToGrid w:val="0"/>
        <w:spacing w:line="360" w:lineRule="auto"/>
        <w:jc w:val="left"/>
        <w:rPr>
          <w:rFonts w:ascii="宋体" w:hAnsi="宋体"/>
          <w:color w:val="auto"/>
          <w:kern w:val="0"/>
          <w:sz w:val="16"/>
          <w:szCs w:val="16"/>
        </w:rPr>
      </w:pPr>
    </w:p>
    <w:p w14:paraId="59C22743">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5F443BCD">
      <w:pPr>
        <w:autoSpaceDE w:val="0"/>
        <w:autoSpaceDN w:val="0"/>
        <w:adjustRightInd w:val="0"/>
        <w:snapToGrid w:val="0"/>
        <w:spacing w:line="360" w:lineRule="auto"/>
        <w:jc w:val="left"/>
        <w:rPr>
          <w:rFonts w:ascii="宋体" w:hAnsi="宋体"/>
          <w:b/>
          <w:color w:val="auto"/>
          <w:kern w:val="0"/>
          <w:sz w:val="20"/>
          <w:szCs w:val="20"/>
        </w:rPr>
      </w:pPr>
    </w:p>
    <w:p w14:paraId="28E9A964">
      <w:pPr>
        <w:autoSpaceDE w:val="0"/>
        <w:autoSpaceDN w:val="0"/>
        <w:adjustRightInd w:val="0"/>
        <w:snapToGrid w:val="0"/>
        <w:spacing w:line="360" w:lineRule="auto"/>
        <w:jc w:val="left"/>
        <w:rPr>
          <w:rFonts w:ascii="宋体" w:hAnsi="宋体"/>
          <w:b/>
          <w:color w:val="auto"/>
          <w:kern w:val="0"/>
          <w:sz w:val="20"/>
          <w:szCs w:val="20"/>
        </w:rPr>
      </w:pPr>
    </w:p>
    <w:p w14:paraId="457AEF60">
      <w:pPr>
        <w:autoSpaceDE w:val="0"/>
        <w:autoSpaceDN w:val="0"/>
        <w:adjustRightInd w:val="0"/>
        <w:snapToGrid w:val="0"/>
        <w:spacing w:line="360" w:lineRule="auto"/>
        <w:jc w:val="left"/>
        <w:rPr>
          <w:rFonts w:ascii="宋体" w:hAnsi="宋体"/>
          <w:b/>
          <w:color w:val="auto"/>
          <w:kern w:val="0"/>
          <w:sz w:val="20"/>
          <w:szCs w:val="20"/>
        </w:rPr>
      </w:pPr>
    </w:p>
    <w:p w14:paraId="3E63F7A7">
      <w:pPr>
        <w:autoSpaceDE w:val="0"/>
        <w:autoSpaceDN w:val="0"/>
        <w:adjustRightInd w:val="0"/>
        <w:snapToGrid w:val="0"/>
        <w:spacing w:line="360" w:lineRule="auto"/>
        <w:jc w:val="left"/>
        <w:rPr>
          <w:rFonts w:ascii="宋体" w:hAnsi="宋体"/>
          <w:b/>
          <w:color w:val="auto"/>
          <w:kern w:val="0"/>
          <w:sz w:val="20"/>
          <w:szCs w:val="20"/>
        </w:rPr>
      </w:pPr>
    </w:p>
    <w:p w14:paraId="703EB9B9">
      <w:pPr>
        <w:autoSpaceDE w:val="0"/>
        <w:autoSpaceDN w:val="0"/>
        <w:adjustRightInd w:val="0"/>
        <w:snapToGrid w:val="0"/>
        <w:spacing w:line="360" w:lineRule="auto"/>
        <w:jc w:val="left"/>
        <w:rPr>
          <w:rFonts w:ascii="宋体" w:hAnsi="宋体"/>
          <w:b/>
          <w:color w:val="auto"/>
          <w:kern w:val="0"/>
          <w:sz w:val="20"/>
          <w:szCs w:val="20"/>
        </w:rPr>
      </w:pPr>
    </w:p>
    <w:p w14:paraId="7967F2A6">
      <w:pPr>
        <w:autoSpaceDE w:val="0"/>
        <w:autoSpaceDN w:val="0"/>
        <w:adjustRightInd w:val="0"/>
        <w:snapToGrid w:val="0"/>
        <w:spacing w:line="360" w:lineRule="auto"/>
        <w:jc w:val="left"/>
        <w:rPr>
          <w:rFonts w:ascii="宋体" w:hAnsi="宋体"/>
          <w:b/>
          <w:color w:val="auto"/>
          <w:kern w:val="0"/>
          <w:sz w:val="20"/>
          <w:szCs w:val="20"/>
        </w:rPr>
      </w:pPr>
    </w:p>
    <w:p w14:paraId="19290371">
      <w:pPr>
        <w:autoSpaceDE w:val="0"/>
        <w:autoSpaceDN w:val="0"/>
        <w:adjustRightInd w:val="0"/>
        <w:snapToGrid w:val="0"/>
        <w:spacing w:line="360" w:lineRule="auto"/>
        <w:jc w:val="left"/>
        <w:rPr>
          <w:rFonts w:ascii="宋体" w:hAnsi="宋体"/>
          <w:b/>
          <w:color w:val="auto"/>
          <w:kern w:val="0"/>
          <w:sz w:val="20"/>
          <w:szCs w:val="20"/>
        </w:rPr>
      </w:pPr>
    </w:p>
    <w:p w14:paraId="06988024">
      <w:pPr>
        <w:autoSpaceDE w:val="0"/>
        <w:autoSpaceDN w:val="0"/>
        <w:adjustRightInd w:val="0"/>
        <w:snapToGrid w:val="0"/>
        <w:spacing w:line="360" w:lineRule="auto"/>
        <w:jc w:val="left"/>
        <w:rPr>
          <w:rFonts w:ascii="宋体" w:hAnsi="宋体"/>
          <w:b/>
          <w:color w:val="auto"/>
          <w:kern w:val="0"/>
          <w:sz w:val="20"/>
          <w:szCs w:val="20"/>
        </w:rPr>
      </w:pPr>
    </w:p>
    <w:p w14:paraId="0B637208">
      <w:pPr>
        <w:autoSpaceDE w:val="0"/>
        <w:autoSpaceDN w:val="0"/>
        <w:adjustRightInd w:val="0"/>
        <w:snapToGrid w:val="0"/>
        <w:spacing w:line="360" w:lineRule="auto"/>
        <w:jc w:val="left"/>
        <w:rPr>
          <w:rFonts w:ascii="宋体" w:hAnsi="宋体"/>
          <w:b/>
          <w:color w:val="auto"/>
          <w:kern w:val="0"/>
          <w:sz w:val="20"/>
          <w:szCs w:val="20"/>
        </w:rPr>
      </w:pPr>
    </w:p>
    <w:p w14:paraId="50BC2028">
      <w:pPr>
        <w:autoSpaceDE w:val="0"/>
        <w:autoSpaceDN w:val="0"/>
        <w:adjustRightInd w:val="0"/>
        <w:snapToGrid w:val="0"/>
        <w:spacing w:line="360" w:lineRule="auto"/>
        <w:jc w:val="left"/>
        <w:rPr>
          <w:rFonts w:ascii="宋体" w:hAnsi="宋体"/>
          <w:b/>
          <w:color w:val="auto"/>
          <w:kern w:val="0"/>
          <w:sz w:val="20"/>
          <w:szCs w:val="20"/>
        </w:rPr>
      </w:pPr>
    </w:p>
    <w:p w14:paraId="63D3D05D">
      <w:pPr>
        <w:autoSpaceDE w:val="0"/>
        <w:autoSpaceDN w:val="0"/>
        <w:adjustRightInd w:val="0"/>
        <w:snapToGrid w:val="0"/>
        <w:spacing w:line="360" w:lineRule="auto"/>
        <w:jc w:val="left"/>
        <w:rPr>
          <w:rFonts w:ascii="宋体" w:hAnsi="宋体"/>
          <w:b/>
          <w:color w:val="auto"/>
          <w:kern w:val="0"/>
          <w:sz w:val="20"/>
          <w:szCs w:val="20"/>
        </w:rPr>
      </w:pPr>
    </w:p>
    <w:p w14:paraId="21202868">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73E1E31F">
      <w:pPr>
        <w:tabs>
          <w:tab w:val="left" w:pos="6080"/>
          <w:tab w:val="left" w:pos="6640"/>
        </w:tabs>
        <w:autoSpaceDE w:val="0"/>
        <w:autoSpaceDN w:val="0"/>
        <w:adjustRightInd w:val="0"/>
        <w:snapToGrid w:val="0"/>
        <w:spacing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签字</w:t>
      </w:r>
      <w:r>
        <w:rPr>
          <w:rFonts w:ascii="宋体" w:hAnsi="宋体"/>
          <w:color w:val="auto"/>
          <w:w w:val="99"/>
          <w:kern w:val="0"/>
          <w:sz w:val="28"/>
          <w:szCs w:val="28"/>
        </w:rPr>
        <w:t>或盖章）</w:t>
      </w:r>
    </w:p>
    <w:p w14:paraId="52E2C1FF">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5D47C7D7">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206087B9">
      <w:pPr>
        <w:autoSpaceDE w:val="0"/>
        <w:autoSpaceDN w:val="0"/>
        <w:adjustRightInd w:val="0"/>
        <w:snapToGrid w:val="0"/>
        <w:spacing w:line="360" w:lineRule="auto"/>
        <w:jc w:val="left"/>
        <w:rPr>
          <w:rFonts w:ascii="宋体" w:hAnsi="宋体"/>
          <w:color w:val="auto"/>
          <w:kern w:val="0"/>
          <w:sz w:val="24"/>
          <w:szCs w:val="21"/>
        </w:rPr>
      </w:pPr>
    </w:p>
    <w:p w14:paraId="480024FA">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6A2743AD">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（二）投标函附录</w:t>
      </w:r>
    </w:p>
    <w:p w14:paraId="6BC751EE">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（三）</w:t>
      </w:r>
      <w:r>
        <w:rPr>
          <w:rFonts w:hint="eastAsia" w:ascii="宋体" w:hAnsi="宋体"/>
          <w:color w:val="auto"/>
          <w:kern w:val="0"/>
          <w:sz w:val="24"/>
        </w:rPr>
        <w:t>法定代表人身份证明或附有法定代表人身份证明的授权委托书</w:t>
      </w:r>
    </w:p>
    <w:p w14:paraId="53AF5804">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（四）</w:t>
      </w:r>
      <w:r>
        <w:rPr>
          <w:rFonts w:hint="eastAsia" w:ascii="宋体" w:hAnsi="宋体"/>
          <w:color w:val="auto"/>
          <w:kern w:val="0"/>
          <w:sz w:val="24"/>
        </w:rPr>
        <w:t>低价风险担保缴纳承诺书（如有）</w:t>
      </w:r>
    </w:p>
    <w:p w14:paraId="42188AEF">
      <w:pPr>
        <w:autoSpaceDE w:val="0"/>
        <w:autoSpaceDN w:val="0"/>
        <w:adjustRightIn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（五）</w:t>
      </w:r>
      <w:r>
        <w:rPr>
          <w:rFonts w:ascii="宋体" w:hAnsi="宋体"/>
          <w:color w:val="auto"/>
          <w:kern w:val="0"/>
          <w:sz w:val="24"/>
        </w:rPr>
        <w:t>联合体协议书</w:t>
      </w:r>
      <w:r>
        <w:rPr>
          <w:rFonts w:hint="eastAsia" w:ascii="宋体" w:hAnsi="宋体"/>
          <w:color w:val="auto"/>
          <w:kern w:val="0"/>
          <w:sz w:val="24"/>
        </w:rPr>
        <w:t>（如有）</w:t>
      </w:r>
    </w:p>
    <w:p w14:paraId="17AFD8E8">
      <w:pPr>
        <w:pStyle w:val="5"/>
        <w:spacing w:before="0" w:after="0" w:line="240" w:lineRule="auto"/>
        <w:jc w:val="center"/>
        <w:rPr>
          <w:rFonts w:ascii="宋体" w:hAnsi="宋体"/>
          <w:b w:val="0"/>
          <w:color w:val="auto"/>
        </w:rPr>
      </w:pPr>
      <w:bookmarkStart w:id="1978" w:name="_Toc287607867"/>
      <w:bookmarkStart w:id="1979" w:name="_Toc277082643"/>
      <w:bookmarkStart w:id="1980" w:name="_Toc430530530"/>
      <w:bookmarkStart w:id="1981" w:name="_Toc287620814"/>
      <w:bookmarkStart w:id="1982" w:name="_Toc509218854"/>
      <w:bookmarkStart w:id="1983" w:name="_Toc224103495"/>
      <w:bookmarkStart w:id="1984" w:name="_Toc534185831"/>
      <w:r>
        <w:rPr>
          <w:rFonts w:ascii="宋体" w:hAnsi="宋体"/>
          <w:color w:val="auto"/>
        </w:rPr>
        <w:br w:type="page"/>
      </w:r>
      <w:bookmarkStart w:id="1985" w:name="_Toc2394"/>
      <w:r>
        <w:rPr>
          <w:rFonts w:hint="eastAsia" w:ascii="宋体" w:hAnsi="宋体"/>
          <w:b w:val="0"/>
          <w:bCs w:val="0"/>
          <w:color w:val="auto"/>
        </w:rPr>
        <w:t>（一）投标函</w:t>
      </w:r>
      <w:bookmarkEnd w:id="1978"/>
      <w:bookmarkEnd w:id="1979"/>
      <w:bookmarkEnd w:id="1980"/>
      <w:bookmarkEnd w:id="1981"/>
      <w:bookmarkEnd w:id="1982"/>
      <w:bookmarkEnd w:id="1983"/>
      <w:bookmarkEnd w:id="1984"/>
      <w:bookmarkEnd w:id="1985"/>
    </w:p>
    <w:p w14:paraId="3D217B82">
      <w:pPr>
        <w:tabs>
          <w:tab w:val="left" w:pos="2640"/>
        </w:tabs>
        <w:autoSpaceDE w:val="0"/>
        <w:autoSpaceDN w:val="0"/>
        <w:adjustRightInd w:val="0"/>
        <w:spacing w:line="40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rPr>
        <w:t>采购</w:t>
      </w:r>
      <w:r>
        <w:rPr>
          <w:rFonts w:ascii="宋体" w:hAnsi="宋体"/>
          <w:snapToGrid w:val="0"/>
          <w:color w:val="auto"/>
          <w:kern w:val="0"/>
          <w:szCs w:val="21"/>
          <w:u w:val="single"/>
        </w:rPr>
        <w:t>人名称）</w:t>
      </w:r>
      <w:r>
        <w:rPr>
          <w:rFonts w:ascii="宋体" w:hAnsi="宋体"/>
          <w:snapToGrid w:val="0"/>
          <w:color w:val="auto"/>
          <w:kern w:val="0"/>
          <w:szCs w:val="21"/>
        </w:rPr>
        <w:t>：</w:t>
      </w:r>
    </w:p>
    <w:p w14:paraId="565770BF">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rPr>
        <w:t>采购</w:t>
      </w:r>
      <w:r>
        <w:rPr>
          <w:rFonts w:ascii="宋体" w:hAnsi="宋体"/>
          <w:snapToGrid w:val="0"/>
          <w:color w:val="auto"/>
          <w:kern w:val="0"/>
          <w:szCs w:val="21"/>
        </w:rPr>
        <w:t>文件的全部内容，愿意以人民币（大写）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）的投标总报价进行报价，其中</w:t>
      </w:r>
      <w:r>
        <w:rPr>
          <w:rFonts w:ascii="宋体" w:hAnsi="宋体"/>
          <w:snapToGrid w:val="0"/>
          <w:color w:val="auto"/>
          <w:kern w:val="0"/>
        </w:rPr>
        <w:t>安全文明施工费暂定金额为人民币</w:t>
      </w:r>
      <w:r>
        <w:rPr>
          <w:rFonts w:ascii="宋体" w:hAnsi="宋体"/>
          <w:snapToGrid w:val="0"/>
          <w:color w:val="auto"/>
          <w:kern w:val="0"/>
          <w:u w:val="single"/>
        </w:rPr>
        <w:t xml:space="preserve">        </w:t>
      </w:r>
      <w:r>
        <w:rPr>
          <w:rFonts w:ascii="宋体" w:hAnsi="宋体"/>
          <w:snapToGrid w:val="0"/>
          <w:color w:val="auto"/>
          <w:kern w:val="0"/>
        </w:rPr>
        <w:t>万元</w:t>
      </w:r>
      <w:r>
        <w:rPr>
          <w:rFonts w:ascii="宋体" w:hAnsi="宋体"/>
          <w:snapToGrid w:val="0"/>
          <w:color w:val="auto"/>
          <w:kern w:val="0"/>
          <w:szCs w:val="21"/>
        </w:rPr>
        <w:t>，该工程</w:t>
      </w:r>
      <w:r>
        <w:rPr>
          <w:rFonts w:ascii="宋体" w:hAnsi="宋体"/>
          <w:snapToGrid w:val="0"/>
          <w:color w:val="auto"/>
          <w:kern w:val="0"/>
        </w:rPr>
        <w:t>项目经理为</w:t>
      </w:r>
      <w:r>
        <w:rPr>
          <w:rFonts w:hint="eastAsia" w:ascii="宋体" w:hAnsi="宋体"/>
          <w:snapToGrid w:val="0"/>
          <w:color w:val="auto"/>
          <w:kern w:val="0"/>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按合同约定实施和完成承包工程，修补工程中的任何缺陷，工程质量达到</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 xml:space="preserve"> 。</w:t>
      </w:r>
    </w:p>
    <w:p w14:paraId="65ED8A48">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我方承诺在投标有效期内不修改、撤销投标文件。</w:t>
      </w:r>
    </w:p>
    <w:p w14:paraId="688E6FD8">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14:paraId="6CDBAE1F">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14:paraId="2A89B4D0">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14:paraId="192F1DBE">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w:t>
      </w:r>
      <w:r>
        <w:rPr>
          <w:rFonts w:hint="eastAsia" w:ascii="宋体" w:hAnsi="宋体"/>
          <w:snapToGrid w:val="0"/>
          <w:color w:val="auto"/>
          <w:kern w:val="0"/>
          <w:szCs w:val="21"/>
        </w:rPr>
        <w:t>采购</w:t>
      </w:r>
      <w:r>
        <w:rPr>
          <w:rFonts w:ascii="宋体" w:hAnsi="宋体"/>
          <w:snapToGrid w:val="0"/>
          <w:color w:val="auto"/>
          <w:kern w:val="0"/>
          <w:szCs w:val="21"/>
        </w:rPr>
        <w:t>文件规定向你方递交履约担保。</w:t>
      </w:r>
    </w:p>
    <w:p w14:paraId="6E289104">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（4）我方承诺在合同约定的期限内完成并移交全部合同工程。</w:t>
      </w:r>
    </w:p>
    <w:p w14:paraId="16085585">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w:t>
      </w:r>
      <w:r>
        <w:rPr>
          <w:rFonts w:hint="eastAsia" w:ascii="宋体" w:hAnsi="宋体"/>
          <w:snapToGrid w:val="0"/>
          <w:color w:val="auto"/>
          <w:kern w:val="0"/>
          <w:szCs w:val="21"/>
        </w:rPr>
        <w:t>采购</w:t>
      </w:r>
      <w:r>
        <w:rPr>
          <w:rFonts w:ascii="宋体" w:hAnsi="宋体"/>
          <w:snapToGrid w:val="0"/>
          <w:color w:val="auto"/>
          <w:kern w:val="0"/>
          <w:szCs w:val="21"/>
        </w:rPr>
        <w:t>文件及附件、</w:t>
      </w:r>
      <w:r>
        <w:rPr>
          <w:rFonts w:hint="eastAsia" w:ascii="宋体" w:hAnsi="宋体"/>
          <w:snapToGrid w:val="0"/>
          <w:color w:val="auto"/>
          <w:kern w:val="0"/>
          <w:szCs w:val="21"/>
        </w:rPr>
        <w:t>澄清</w:t>
      </w:r>
      <w:r>
        <w:rPr>
          <w:rFonts w:ascii="宋体" w:hAnsi="宋体"/>
          <w:snapToGrid w:val="0"/>
          <w:color w:val="auto"/>
          <w:kern w:val="0"/>
          <w:szCs w:val="21"/>
        </w:rPr>
        <w:t>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64C59827">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31EAC14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3DF54C1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签字</w:t>
      </w:r>
      <w:r>
        <w:rPr>
          <w:rFonts w:ascii="宋体" w:hAnsi="宋体"/>
          <w:snapToGrid w:val="0"/>
          <w:color w:val="auto"/>
          <w:kern w:val="0"/>
          <w:szCs w:val="21"/>
        </w:rPr>
        <w:t>或盖章）</w:t>
      </w:r>
    </w:p>
    <w:p w14:paraId="253F10C4">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31FB9D5F">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78F74BC7">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608F6D54">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495BD664">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0B652932">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14:paraId="06CEA19F">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53E9F8E8">
      <w:pPr>
        <w:tabs>
          <w:tab w:val="left" w:pos="8300"/>
        </w:tabs>
        <w:autoSpaceDE w:val="0"/>
        <w:autoSpaceDN w:val="0"/>
        <w:adjustRightInd w:val="0"/>
        <w:spacing w:line="400" w:lineRule="exact"/>
        <w:ind w:firstLine="420" w:firstLineChars="200"/>
        <w:jc w:val="right"/>
        <w:rPr>
          <w:rFonts w:ascii="宋体" w:hAnsi="宋体"/>
          <w:color w:val="auto"/>
          <w:kern w:val="0"/>
          <w:szCs w:val="21"/>
        </w:rPr>
      </w:pPr>
    </w:p>
    <w:p w14:paraId="37E8F2FF">
      <w:pPr>
        <w:tabs>
          <w:tab w:val="left" w:pos="8300"/>
        </w:tabs>
        <w:autoSpaceDE w:val="0"/>
        <w:autoSpaceDN w:val="0"/>
        <w:adjustRightInd w:val="0"/>
        <w:spacing w:line="40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注：联合体投标的，应在本投标函第6条中列明联合体全体成员的单位全称；要求加盖单位法人章的地方由联合体牵头人使用 CA 数字证书加盖单位电子印章即可。</w:t>
      </w:r>
    </w:p>
    <w:p w14:paraId="1B5F7D01">
      <w:pPr>
        <w:pStyle w:val="5"/>
        <w:spacing w:before="0" w:after="0" w:line="240" w:lineRule="auto"/>
        <w:jc w:val="center"/>
        <w:rPr>
          <w:rFonts w:ascii="宋体" w:hAnsi="宋体"/>
          <w:snapToGrid w:val="0"/>
          <w:color w:val="auto"/>
          <w:kern w:val="0"/>
          <w:szCs w:val="21"/>
        </w:rPr>
      </w:pPr>
      <w:bookmarkStart w:id="1986" w:name="_Toc287620815"/>
      <w:bookmarkStart w:id="1987" w:name="_Toc287607868"/>
      <w:bookmarkStart w:id="1988" w:name="_Toc224103496"/>
      <w:bookmarkStart w:id="1989" w:name="_Toc430530531"/>
      <w:bookmarkStart w:id="1990" w:name="_Toc277082644"/>
      <w:r>
        <w:rPr>
          <w:rFonts w:ascii="宋体" w:hAnsi="宋体"/>
          <w:color w:val="auto"/>
          <w:sz w:val="28"/>
        </w:rPr>
        <w:br w:type="page"/>
      </w:r>
      <w:bookmarkStart w:id="1991" w:name="_Toc509218855"/>
      <w:bookmarkStart w:id="1992" w:name="_Toc2276"/>
      <w:bookmarkStart w:id="1993" w:name="_Toc534185832"/>
      <w:r>
        <w:rPr>
          <w:rFonts w:ascii="宋体" w:hAnsi="宋体"/>
          <w:b w:val="0"/>
          <w:bCs w:val="0"/>
          <w:color w:val="auto"/>
        </w:rPr>
        <w:t>（二）投标函附录</w:t>
      </w:r>
      <w:bookmarkEnd w:id="1986"/>
      <w:bookmarkEnd w:id="1987"/>
      <w:bookmarkEnd w:id="1988"/>
      <w:bookmarkEnd w:id="1989"/>
      <w:bookmarkEnd w:id="1990"/>
      <w:bookmarkEnd w:id="1991"/>
      <w:bookmarkEnd w:id="1992"/>
      <w:bookmarkEnd w:id="199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3739BC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71A9845">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14:paraId="6034BE93">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343721F6">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4162EBB6">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14:paraId="6B41D533">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26927D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D769D7D">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w:t>
            </w:r>
          </w:p>
        </w:tc>
        <w:tc>
          <w:tcPr>
            <w:tcW w:w="2582" w:type="dxa"/>
            <w:vAlign w:val="center"/>
          </w:tcPr>
          <w:p w14:paraId="4E402C08">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项目经理</w:t>
            </w:r>
          </w:p>
        </w:tc>
        <w:tc>
          <w:tcPr>
            <w:tcW w:w="2388" w:type="dxa"/>
            <w:vAlign w:val="center"/>
          </w:tcPr>
          <w:p w14:paraId="5BB7EA96">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1.1.2.8</w:t>
            </w:r>
          </w:p>
        </w:tc>
        <w:tc>
          <w:tcPr>
            <w:tcW w:w="2987" w:type="dxa"/>
            <w:vAlign w:val="center"/>
          </w:tcPr>
          <w:p w14:paraId="229646E6">
            <w:pPr>
              <w:tabs>
                <w:tab w:val="left" w:pos="2190"/>
              </w:tabs>
              <w:autoSpaceDE w:val="0"/>
              <w:autoSpaceDN w:val="0"/>
              <w:adjustRightInd w:val="0"/>
              <w:jc w:val="center"/>
              <w:rPr>
                <w:rFonts w:ascii="宋体" w:hAnsi="宋体"/>
                <w:snapToGrid w:val="0"/>
                <w:color w:val="auto"/>
                <w:kern w:val="0"/>
                <w:szCs w:val="21"/>
                <w:u w:val="single"/>
              </w:rPr>
            </w:pPr>
            <w:r>
              <w:rPr>
                <w:rFonts w:ascii="宋体" w:hAnsi="宋体"/>
                <w:snapToGrid w:val="0"/>
                <w:color w:val="auto"/>
                <w:kern w:val="0"/>
                <w:szCs w:val="21"/>
              </w:rPr>
              <w:t>姓名：</w:t>
            </w:r>
            <w:r>
              <w:rPr>
                <w:rFonts w:hint="eastAsia" w:ascii="宋体" w:hAnsi="宋体"/>
                <w:snapToGrid w:val="0"/>
                <w:color w:val="auto"/>
                <w:kern w:val="0"/>
                <w:szCs w:val="21"/>
              </w:rPr>
              <w:t xml:space="preserve">    </w:t>
            </w:r>
          </w:p>
        </w:tc>
        <w:tc>
          <w:tcPr>
            <w:tcW w:w="792" w:type="dxa"/>
            <w:vAlign w:val="center"/>
          </w:tcPr>
          <w:p w14:paraId="377A21D5">
            <w:pPr>
              <w:autoSpaceDE w:val="0"/>
              <w:autoSpaceDN w:val="0"/>
              <w:adjustRightInd w:val="0"/>
              <w:jc w:val="center"/>
              <w:rPr>
                <w:rFonts w:ascii="宋体" w:hAnsi="宋体"/>
                <w:snapToGrid w:val="0"/>
                <w:color w:val="auto"/>
                <w:kern w:val="0"/>
                <w:szCs w:val="21"/>
              </w:rPr>
            </w:pPr>
          </w:p>
        </w:tc>
      </w:tr>
      <w:tr w14:paraId="411539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803C24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2</w:t>
            </w:r>
          </w:p>
        </w:tc>
        <w:tc>
          <w:tcPr>
            <w:tcW w:w="2582" w:type="dxa"/>
            <w:vAlign w:val="center"/>
          </w:tcPr>
          <w:p w14:paraId="2A51C502">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36B73071">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1.1.4.3</w:t>
            </w:r>
          </w:p>
        </w:tc>
        <w:tc>
          <w:tcPr>
            <w:tcW w:w="2987" w:type="dxa"/>
            <w:vAlign w:val="center"/>
          </w:tcPr>
          <w:p w14:paraId="4541C1DD">
            <w:pPr>
              <w:tabs>
                <w:tab w:val="left" w:pos="1560"/>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天数：</w:t>
            </w:r>
            <w:r>
              <w:rPr>
                <w:rFonts w:hint="eastAsia" w:ascii="宋体" w:hAnsi="宋体"/>
                <w:snapToGrid w:val="0"/>
                <w:color w:val="auto"/>
                <w:kern w:val="0"/>
                <w:szCs w:val="21"/>
                <w:u w:val="single"/>
              </w:rPr>
              <w:t xml:space="preserve">    </w:t>
            </w:r>
          </w:p>
        </w:tc>
        <w:tc>
          <w:tcPr>
            <w:tcW w:w="792" w:type="dxa"/>
            <w:vAlign w:val="center"/>
          </w:tcPr>
          <w:p w14:paraId="3027A3D5">
            <w:pPr>
              <w:autoSpaceDE w:val="0"/>
              <w:autoSpaceDN w:val="0"/>
              <w:adjustRightInd w:val="0"/>
              <w:jc w:val="center"/>
              <w:rPr>
                <w:rFonts w:ascii="宋体" w:hAnsi="宋体"/>
                <w:snapToGrid w:val="0"/>
                <w:color w:val="auto"/>
                <w:kern w:val="0"/>
                <w:szCs w:val="21"/>
              </w:rPr>
            </w:pPr>
          </w:p>
        </w:tc>
      </w:tr>
      <w:tr w14:paraId="45AF93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5AF530A">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w:t>
            </w:r>
          </w:p>
        </w:tc>
        <w:tc>
          <w:tcPr>
            <w:tcW w:w="2582" w:type="dxa"/>
            <w:vAlign w:val="center"/>
          </w:tcPr>
          <w:p w14:paraId="2C67CA49">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缺陷责任期</w:t>
            </w:r>
          </w:p>
        </w:tc>
        <w:tc>
          <w:tcPr>
            <w:tcW w:w="2388" w:type="dxa"/>
            <w:vAlign w:val="center"/>
          </w:tcPr>
          <w:p w14:paraId="401F3D33">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1.1.4.4</w:t>
            </w:r>
          </w:p>
        </w:tc>
        <w:tc>
          <w:tcPr>
            <w:tcW w:w="2987" w:type="dxa"/>
            <w:vAlign w:val="center"/>
          </w:tcPr>
          <w:p w14:paraId="64894900">
            <w:pPr>
              <w:autoSpaceDE w:val="0"/>
              <w:autoSpaceDN w:val="0"/>
              <w:adjustRightInd w:val="0"/>
              <w:jc w:val="center"/>
              <w:rPr>
                <w:rFonts w:ascii="宋体" w:hAnsi="宋体"/>
                <w:snapToGrid w:val="0"/>
                <w:color w:val="auto"/>
                <w:kern w:val="0"/>
                <w:szCs w:val="21"/>
              </w:rPr>
            </w:pPr>
          </w:p>
        </w:tc>
        <w:tc>
          <w:tcPr>
            <w:tcW w:w="792" w:type="dxa"/>
            <w:vAlign w:val="center"/>
          </w:tcPr>
          <w:p w14:paraId="1B4AD03A">
            <w:pPr>
              <w:autoSpaceDE w:val="0"/>
              <w:autoSpaceDN w:val="0"/>
              <w:adjustRightInd w:val="0"/>
              <w:jc w:val="center"/>
              <w:rPr>
                <w:rFonts w:ascii="宋体" w:hAnsi="宋体"/>
                <w:snapToGrid w:val="0"/>
                <w:color w:val="auto"/>
                <w:kern w:val="0"/>
                <w:szCs w:val="21"/>
              </w:rPr>
            </w:pPr>
          </w:p>
        </w:tc>
      </w:tr>
      <w:tr w14:paraId="105772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6A1E5F9">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4</w:t>
            </w:r>
          </w:p>
        </w:tc>
        <w:tc>
          <w:tcPr>
            <w:tcW w:w="2582" w:type="dxa"/>
            <w:vAlign w:val="center"/>
          </w:tcPr>
          <w:p w14:paraId="5C8ECF4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3F7BBA2B">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3.5</w:t>
            </w:r>
          </w:p>
        </w:tc>
        <w:tc>
          <w:tcPr>
            <w:tcW w:w="2987" w:type="dxa"/>
            <w:vAlign w:val="center"/>
          </w:tcPr>
          <w:p w14:paraId="726864BE">
            <w:pPr>
              <w:autoSpaceDE w:val="0"/>
              <w:autoSpaceDN w:val="0"/>
              <w:adjustRightInd w:val="0"/>
              <w:jc w:val="center"/>
              <w:rPr>
                <w:rFonts w:ascii="宋体" w:hAnsi="宋体"/>
                <w:snapToGrid w:val="0"/>
                <w:color w:val="auto"/>
                <w:kern w:val="0"/>
                <w:szCs w:val="21"/>
              </w:rPr>
            </w:pPr>
          </w:p>
        </w:tc>
        <w:tc>
          <w:tcPr>
            <w:tcW w:w="792" w:type="dxa"/>
            <w:vAlign w:val="center"/>
          </w:tcPr>
          <w:p w14:paraId="78B94444">
            <w:pPr>
              <w:autoSpaceDE w:val="0"/>
              <w:autoSpaceDN w:val="0"/>
              <w:adjustRightInd w:val="0"/>
              <w:jc w:val="center"/>
              <w:rPr>
                <w:rFonts w:ascii="宋体" w:hAnsi="宋体"/>
                <w:snapToGrid w:val="0"/>
                <w:color w:val="auto"/>
                <w:kern w:val="0"/>
                <w:szCs w:val="21"/>
              </w:rPr>
            </w:pPr>
          </w:p>
        </w:tc>
      </w:tr>
      <w:tr w14:paraId="21B958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BB71F0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7697EB9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392DA5BD">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2EE7F21B">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3E0E2DA8">
            <w:pPr>
              <w:autoSpaceDE w:val="0"/>
              <w:autoSpaceDN w:val="0"/>
              <w:adjustRightInd w:val="0"/>
              <w:jc w:val="center"/>
              <w:rPr>
                <w:rFonts w:ascii="宋体" w:hAnsi="宋体"/>
                <w:snapToGrid w:val="0"/>
                <w:color w:val="auto"/>
                <w:kern w:val="0"/>
                <w:szCs w:val="21"/>
              </w:rPr>
            </w:pPr>
          </w:p>
        </w:tc>
      </w:tr>
      <w:tr w14:paraId="70D9B9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F103CB6">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7726274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6DD23AD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58073A15">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7F137809">
            <w:pPr>
              <w:autoSpaceDE w:val="0"/>
              <w:autoSpaceDN w:val="0"/>
              <w:adjustRightInd w:val="0"/>
              <w:jc w:val="center"/>
              <w:rPr>
                <w:rFonts w:ascii="宋体" w:hAnsi="宋体"/>
                <w:snapToGrid w:val="0"/>
                <w:color w:val="auto"/>
                <w:kern w:val="0"/>
                <w:szCs w:val="21"/>
              </w:rPr>
            </w:pPr>
          </w:p>
        </w:tc>
      </w:tr>
    </w:tbl>
    <w:p w14:paraId="09C51E93">
      <w:pPr>
        <w:spacing w:line="360" w:lineRule="auto"/>
        <w:rPr>
          <w:rFonts w:ascii="宋体" w:hAnsi="宋体"/>
          <w:snapToGrid w:val="0"/>
          <w:color w:val="auto"/>
          <w:w w:val="99"/>
        </w:rPr>
      </w:pPr>
    </w:p>
    <w:p w14:paraId="19FB7E9E">
      <w:pPr>
        <w:spacing w:line="360" w:lineRule="auto"/>
        <w:rPr>
          <w:rFonts w:ascii="宋体" w:hAnsi="宋体"/>
          <w:snapToGrid w:val="0"/>
          <w:color w:val="auto"/>
          <w:kern w:val="0"/>
          <w:sz w:val="32"/>
          <w:szCs w:val="32"/>
        </w:rPr>
      </w:pPr>
    </w:p>
    <w:p w14:paraId="1A97260C">
      <w:pPr>
        <w:spacing w:line="360" w:lineRule="auto"/>
        <w:rPr>
          <w:rFonts w:ascii="宋体" w:hAnsi="宋体"/>
          <w:snapToGrid w:val="0"/>
          <w:color w:val="auto"/>
        </w:rPr>
      </w:pPr>
    </w:p>
    <w:p w14:paraId="6618C78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7BA64FCF">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1FA19785">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签字</w:t>
      </w:r>
      <w:r>
        <w:rPr>
          <w:rFonts w:ascii="宋体" w:hAnsi="宋体"/>
          <w:snapToGrid w:val="0"/>
          <w:color w:val="auto"/>
          <w:kern w:val="0"/>
          <w:szCs w:val="21"/>
        </w:rPr>
        <w:t xml:space="preserve">或盖章） </w:t>
      </w:r>
    </w:p>
    <w:p w14:paraId="68064611">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4D6CFCAB">
      <w:pPr>
        <w:pStyle w:val="5"/>
        <w:spacing w:before="0" w:after="0" w:line="240" w:lineRule="auto"/>
        <w:jc w:val="center"/>
        <w:rPr>
          <w:rFonts w:ascii="宋体" w:hAnsi="宋体"/>
          <w:snapToGrid w:val="0"/>
          <w:color w:val="auto"/>
          <w:kern w:val="0"/>
          <w:szCs w:val="21"/>
        </w:rPr>
      </w:pPr>
      <w:r>
        <w:rPr>
          <w:rFonts w:ascii="宋体" w:hAnsi="宋体"/>
          <w:snapToGrid w:val="0"/>
          <w:color w:val="auto"/>
        </w:rPr>
        <w:br w:type="page"/>
      </w:r>
      <w:bookmarkStart w:id="1994" w:name="_Toc287607869"/>
      <w:bookmarkStart w:id="1995" w:name="_Toc287620816"/>
      <w:bookmarkStart w:id="1996" w:name="_Toc19159"/>
      <w:bookmarkStart w:id="1997" w:name="_Toc224103497"/>
      <w:bookmarkStart w:id="1998" w:name="_Toc277082645"/>
      <w:bookmarkStart w:id="1999" w:name="_Toc430530532"/>
      <w:r>
        <w:rPr>
          <w:rFonts w:ascii="宋体" w:hAnsi="宋体"/>
          <w:b w:val="0"/>
          <w:bCs w:val="0"/>
          <w:color w:val="auto"/>
        </w:rPr>
        <w:t>（三）</w:t>
      </w:r>
      <w:r>
        <w:rPr>
          <w:rFonts w:hint="eastAsia" w:ascii="宋体" w:hAnsi="宋体"/>
          <w:b w:val="0"/>
          <w:bCs w:val="0"/>
          <w:color w:val="auto"/>
        </w:rPr>
        <w:t>法定代表人身份证明或附有法定代表人身份证明的授权委托书</w:t>
      </w:r>
      <w:bookmarkEnd w:id="1994"/>
      <w:bookmarkEnd w:id="1995"/>
      <w:bookmarkEnd w:id="1996"/>
      <w:bookmarkEnd w:id="1997"/>
      <w:bookmarkEnd w:id="1998"/>
      <w:bookmarkEnd w:id="1999"/>
    </w:p>
    <w:p w14:paraId="4614AB55">
      <w:pPr>
        <w:spacing w:line="480" w:lineRule="auto"/>
        <w:jc w:val="center"/>
        <w:rPr>
          <w:rFonts w:ascii="宋体" w:hAnsi="宋体"/>
          <w:color w:val="auto"/>
          <w:sz w:val="28"/>
        </w:rPr>
      </w:pPr>
      <w:r>
        <w:rPr>
          <w:rFonts w:hint="eastAsia" w:ascii="宋体" w:hAnsi="宋体"/>
          <w:color w:val="auto"/>
          <w:sz w:val="28"/>
        </w:rPr>
        <w:t>法定代表人身份证明</w:t>
      </w:r>
    </w:p>
    <w:p w14:paraId="219F15ED">
      <w:pPr>
        <w:spacing w:line="480" w:lineRule="auto"/>
        <w:jc w:val="center"/>
        <w:rPr>
          <w:rFonts w:ascii="宋体" w:hAnsi="宋体"/>
          <w:color w:val="auto"/>
        </w:rPr>
      </w:pPr>
    </w:p>
    <w:p w14:paraId="023692E4">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389E7B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AEB407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2E8AFA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556A86C6">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225ADB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0C8AA294">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25CFA4C5">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6BBBF26F">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附：法定代表人身份证明扫描件（双面）</w:t>
      </w:r>
    </w:p>
    <w:p w14:paraId="50B0D590">
      <w:pPr>
        <w:autoSpaceDE w:val="0"/>
        <w:autoSpaceDN w:val="0"/>
        <w:adjustRightInd w:val="0"/>
        <w:snapToGrid w:val="0"/>
        <w:spacing w:line="360" w:lineRule="auto"/>
        <w:jc w:val="left"/>
        <w:rPr>
          <w:rFonts w:ascii="宋体" w:hAnsi="宋体"/>
          <w:color w:val="auto"/>
          <w:szCs w:val="21"/>
        </w:rPr>
      </w:pPr>
    </w:p>
    <w:p w14:paraId="5A48221E">
      <w:pPr>
        <w:pStyle w:val="2"/>
        <w:spacing w:after="0" w:line="360" w:lineRule="auto"/>
        <w:rPr>
          <w:rFonts w:ascii="宋体" w:hAnsi="宋体"/>
          <w:color w:val="auto"/>
          <w:szCs w:val="21"/>
        </w:rPr>
      </w:pPr>
    </w:p>
    <w:p w14:paraId="673BB732">
      <w:pPr>
        <w:pStyle w:val="2"/>
        <w:spacing w:after="0" w:line="360" w:lineRule="auto"/>
        <w:rPr>
          <w:rFonts w:ascii="宋体" w:hAnsi="宋体"/>
          <w:color w:val="auto"/>
          <w:szCs w:val="21"/>
        </w:rPr>
      </w:pPr>
    </w:p>
    <w:p w14:paraId="34F99D98">
      <w:pPr>
        <w:pStyle w:val="2"/>
        <w:spacing w:after="0" w:line="360" w:lineRule="auto"/>
        <w:rPr>
          <w:rFonts w:ascii="宋体" w:hAnsi="宋体"/>
          <w:color w:val="auto"/>
          <w:szCs w:val="21"/>
        </w:rPr>
      </w:pPr>
    </w:p>
    <w:p w14:paraId="1F42258B">
      <w:pPr>
        <w:pStyle w:val="2"/>
        <w:spacing w:after="0" w:line="360" w:lineRule="auto"/>
        <w:rPr>
          <w:rFonts w:ascii="宋体" w:hAnsi="宋体"/>
          <w:color w:val="auto"/>
          <w:szCs w:val="21"/>
        </w:rPr>
      </w:pPr>
    </w:p>
    <w:p w14:paraId="5F5BC878">
      <w:pPr>
        <w:pStyle w:val="2"/>
        <w:spacing w:after="0" w:line="360" w:lineRule="auto"/>
        <w:rPr>
          <w:rFonts w:ascii="宋体" w:hAnsi="宋体"/>
          <w:color w:val="auto"/>
          <w:szCs w:val="21"/>
        </w:rPr>
      </w:pPr>
    </w:p>
    <w:p w14:paraId="4EA50126">
      <w:pPr>
        <w:tabs>
          <w:tab w:val="left" w:pos="5475"/>
        </w:tabs>
        <w:autoSpaceDE w:val="0"/>
        <w:autoSpaceDN w:val="0"/>
        <w:adjustRightInd w:val="0"/>
        <w:snapToGrid w:val="0"/>
        <w:spacing w:line="480" w:lineRule="auto"/>
        <w:ind w:firstLine="372" w:firstLineChars="186"/>
        <w:jc w:val="left"/>
        <w:rPr>
          <w:rFonts w:ascii="宋体" w:hAnsi="宋体"/>
          <w:color w:val="auto"/>
          <w:kern w:val="0"/>
          <w:sz w:val="20"/>
          <w:szCs w:val="20"/>
        </w:rPr>
      </w:pPr>
    </w:p>
    <w:p w14:paraId="1C19387B">
      <w:pPr>
        <w:tabs>
          <w:tab w:val="left" w:pos="5460"/>
        </w:tabs>
        <w:autoSpaceDE w:val="0"/>
        <w:autoSpaceDN w:val="0"/>
        <w:adjustRightInd w:val="0"/>
        <w:snapToGrid w:val="0"/>
        <w:spacing w:line="480" w:lineRule="auto"/>
        <w:ind w:firstLine="21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5CAF0BD6">
      <w:pPr>
        <w:autoSpaceDE w:val="0"/>
        <w:autoSpaceDN w:val="0"/>
        <w:adjustRightInd w:val="0"/>
        <w:snapToGrid w:val="0"/>
        <w:spacing w:line="480" w:lineRule="auto"/>
        <w:jc w:val="left"/>
        <w:rPr>
          <w:rFonts w:ascii="宋体" w:hAnsi="宋体"/>
          <w:color w:val="auto"/>
          <w:kern w:val="0"/>
          <w:sz w:val="20"/>
          <w:szCs w:val="20"/>
        </w:rPr>
      </w:pPr>
    </w:p>
    <w:p w14:paraId="587332C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72952BE4">
      <w:pPr>
        <w:autoSpaceDE w:val="0"/>
        <w:autoSpaceDN w:val="0"/>
        <w:adjustRightInd w:val="0"/>
        <w:snapToGrid w:val="0"/>
        <w:spacing w:line="360" w:lineRule="auto"/>
        <w:jc w:val="left"/>
        <w:rPr>
          <w:rFonts w:ascii="宋体" w:hAnsi="宋体"/>
          <w:color w:val="auto"/>
          <w:kern w:val="0"/>
        </w:rPr>
      </w:pPr>
    </w:p>
    <w:p w14:paraId="5E8B796D">
      <w:pPr>
        <w:autoSpaceDE w:val="0"/>
        <w:autoSpaceDN w:val="0"/>
        <w:adjustRightInd w:val="0"/>
        <w:snapToGrid w:val="0"/>
        <w:spacing w:line="360" w:lineRule="auto"/>
        <w:jc w:val="left"/>
        <w:rPr>
          <w:rFonts w:ascii="宋体" w:hAnsi="宋体"/>
          <w:color w:val="auto"/>
          <w:kern w:val="0"/>
        </w:rPr>
      </w:pPr>
    </w:p>
    <w:p w14:paraId="14A9D9A7">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2BCC31A3">
      <w:pPr>
        <w:spacing w:line="360" w:lineRule="auto"/>
        <w:ind w:firstLine="420" w:firstLineChars="200"/>
        <w:rPr>
          <w:rFonts w:ascii="宋体" w:hAnsi="宋体"/>
          <w:color w:val="auto"/>
        </w:rPr>
      </w:pPr>
    </w:p>
    <w:p w14:paraId="7ACB85BD">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rPr>
      </w:pPr>
      <w:r>
        <w:rPr>
          <w:rFonts w:ascii="宋体" w:hAnsi="宋体"/>
          <w:color w:val="auto"/>
          <w:kern w:val="0"/>
        </w:rPr>
        <w:br w:type="page"/>
      </w:r>
      <w:r>
        <w:rPr>
          <w:rFonts w:ascii="宋体" w:hAnsi="宋体"/>
          <w:snapToGrid w:val="0"/>
          <w:color w:val="auto"/>
          <w:kern w:val="0"/>
          <w:sz w:val="32"/>
          <w:szCs w:val="32"/>
        </w:rPr>
        <w:t>授权委托书</w:t>
      </w:r>
    </w:p>
    <w:p w14:paraId="2D2233E7">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1FD1172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4F35313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265A12C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341BCF6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64165449">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签字</w:t>
      </w:r>
      <w:r>
        <w:rPr>
          <w:rFonts w:ascii="宋体" w:hAnsi="宋体"/>
          <w:color w:val="auto"/>
          <w:kern w:val="0"/>
          <w:szCs w:val="21"/>
        </w:rPr>
        <w:t>或盖章）</w:t>
      </w:r>
    </w:p>
    <w:p w14:paraId="03AFF99F">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5247A12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签字</w:t>
      </w:r>
      <w:r>
        <w:rPr>
          <w:rFonts w:ascii="宋体" w:hAnsi="宋体"/>
          <w:color w:val="auto"/>
          <w:kern w:val="0"/>
          <w:szCs w:val="21"/>
        </w:rPr>
        <w:t>）</w:t>
      </w:r>
    </w:p>
    <w:p w14:paraId="54BAD974">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C82260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523345C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6644BEE2">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14:paraId="5AD7739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09CB2A5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91F740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809283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AFE220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8D81DA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B691CE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6C3E231">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rPr>
      </w:pPr>
    </w:p>
    <w:p w14:paraId="5328C02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2F02126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BF78DBD">
      <w:pPr>
        <w:tabs>
          <w:tab w:val="left" w:pos="5760"/>
        </w:tabs>
        <w:autoSpaceDE w:val="0"/>
        <w:autoSpaceDN w:val="0"/>
        <w:adjustRightInd w:val="0"/>
        <w:spacing w:line="360" w:lineRule="auto"/>
        <w:ind w:firstLine="420" w:firstLineChars="200"/>
        <w:rPr>
          <w:rFonts w:ascii="宋体" w:hAnsi="宋体"/>
          <w:color w:val="auto"/>
          <w:kern w:val="0"/>
        </w:rPr>
      </w:pPr>
    </w:p>
    <w:p w14:paraId="00F2D8A0">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259461C6">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3FA8AB9E">
      <w:pPr>
        <w:spacing w:line="360" w:lineRule="auto"/>
        <w:ind w:firstLine="420" w:firstLineChars="200"/>
        <w:rPr>
          <w:rFonts w:ascii="宋体" w:hAnsi="宋体"/>
          <w:color w:val="auto"/>
        </w:rPr>
      </w:pPr>
      <w:r>
        <w:rPr>
          <w:rFonts w:ascii="宋体" w:hAnsi="宋体"/>
          <w:color w:val="auto"/>
        </w:rPr>
        <w:br w:type="page"/>
      </w:r>
    </w:p>
    <w:p w14:paraId="4B6B10EF">
      <w:pPr>
        <w:pStyle w:val="5"/>
        <w:spacing w:before="0" w:after="0" w:line="240" w:lineRule="auto"/>
        <w:jc w:val="center"/>
        <w:rPr>
          <w:rFonts w:ascii="宋体" w:hAnsi="宋体"/>
          <w:b w:val="0"/>
          <w:bCs w:val="0"/>
          <w:color w:val="auto"/>
        </w:rPr>
      </w:pPr>
      <w:bookmarkStart w:id="2000" w:name="_Toc224103498"/>
      <w:bookmarkStart w:id="2001" w:name="_Toc287620817"/>
      <w:bookmarkStart w:id="2002" w:name="_Toc287607870"/>
      <w:bookmarkStart w:id="2003" w:name="_Toc277082646"/>
      <w:bookmarkStart w:id="2004" w:name="_Toc6203"/>
      <w:bookmarkStart w:id="2005" w:name="_Toc430530533"/>
      <w:r>
        <w:rPr>
          <w:rFonts w:ascii="宋体" w:hAnsi="宋体"/>
          <w:b w:val="0"/>
          <w:bCs w:val="0"/>
          <w:color w:val="auto"/>
        </w:rPr>
        <w:t>（四）</w:t>
      </w:r>
      <w:bookmarkEnd w:id="2000"/>
      <w:bookmarkEnd w:id="2001"/>
      <w:bookmarkEnd w:id="2002"/>
      <w:bookmarkEnd w:id="2003"/>
      <w:bookmarkStart w:id="2006" w:name="_Toc224103499"/>
      <w:bookmarkStart w:id="2007" w:name="_Toc277082647"/>
      <w:bookmarkStart w:id="2008" w:name="_Toc287607871"/>
      <w:bookmarkStart w:id="2009" w:name="_Toc287620818"/>
      <w:r>
        <w:rPr>
          <w:rFonts w:hint="eastAsia" w:ascii="宋体" w:hAnsi="宋体"/>
          <w:b w:val="0"/>
          <w:bCs w:val="0"/>
          <w:color w:val="auto"/>
        </w:rPr>
        <w:t>低价风险担保缴纳承诺书</w:t>
      </w:r>
      <w:bookmarkEnd w:id="2004"/>
    </w:p>
    <w:p w14:paraId="16855092">
      <w:pPr>
        <w:autoSpaceDE w:val="0"/>
        <w:autoSpaceDN w:val="0"/>
        <w:adjustRightInd w:val="0"/>
        <w:snapToGrid w:val="0"/>
        <w:spacing w:line="360" w:lineRule="auto"/>
        <w:jc w:val="center"/>
        <w:rPr>
          <w:rFonts w:ascii="宋体" w:hAnsi="宋体"/>
          <w:snapToGrid w:val="0"/>
          <w:color w:val="auto"/>
          <w:kern w:val="0"/>
          <w:sz w:val="32"/>
          <w:szCs w:val="32"/>
        </w:rPr>
      </w:pPr>
    </w:p>
    <w:p w14:paraId="22BBB4FF">
      <w:pPr>
        <w:autoSpaceDE w:val="0"/>
        <w:autoSpaceDN w:val="0"/>
        <w:adjustRightInd w:val="0"/>
        <w:snapToGrid w:val="0"/>
        <w:spacing w:line="360" w:lineRule="auto"/>
        <w:jc w:val="center"/>
        <w:rPr>
          <w:rFonts w:ascii="宋体" w:hAnsi="宋体"/>
          <w:snapToGrid w:val="0"/>
          <w:color w:val="auto"/>
          <w:kern w:val="0"/>
          <w:sz w:val="32"/>
          <w:szCs w:val="32"/>
        </w:rPr>
      </w:pPr>
      <w:r>
        <w:rPr>
          <w:rFonts w:hint="eastAsia" w:ascii="宋体" w:hAnsi="宋体"/>
          <w:snapToGrid w:val="0"/>
          <w:color w:val="auto"/>
          <w:kern w:val="0"/>
          <w:sz w:val="32"/>
          <w:szCs w:val="32"/>
        </w:rPr>
        <w:t>（投标报价低于采购项目最高限价的85%时采用）</w:t>
      </w:r>
    </w:p>
    <w:p w14:paraId="66C401C1">
      <w:pPr>
        <w:autoSpaceDE w:val="0"/>
        <w:autoSpaceDN w:val="0"/>
        <w:adjustRightInd w:val="0"/>
        <w:snapToGrid w:val="0"/>
        <w:spacing w:line="360" w:lineRule="auto"/>
        <w:jc w:val="center"/>
        <w:rPr>
          <w:rFonts w:ascii="宋体" w:hAnsi="宋体"/>
          <w:snapToGrid w:val="0"/>
          <w:color w:val="auto"/>
          <w:kern w:val="0"/>
          <w:sz w:val="32"/>
          <w:szCs w:val="32"/>
        </w:rPr>
      </w:pPr>
    </w:p>
    <w:p w14:paraId="1AC0AD65">
      <w:pPr>
        <w:autoSpaceDE w:val="0"/>
        <w:autoSpaceDN w:val="0"/>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u w:val="single"/>
        </w:rPr>
        <w:t xml:space="preserve">        （采购人名称）</w:t>
      </w:r>
      <w:r>
        <w:rPr>
          <w:rFonts w:hint="eastAsia" w:ascii="宋体" w:hAnsi="宋体" w:cs="宋体"/>
          <w:snapToGrid w:val="0"/>
          <w:color w:val="auto"/>
          <w:kern w:val="0"/>
          <w:szCs w:val="21"/>
        </w:rPr>
        <w:t>：</w:t>
      </w:r>
    </w:p>
    <w:p w14:paraId="7D53DC82">
      <w:pPr>
        <w:autoSpaceDE w:val="0"/>
        <w:autoSpaceDN w:val="0"/>
        <w:adjustRightInd w:val="0"/>
        <w:snapToGri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我公司</w:t>
      </w:r>
      <w:r>
        <w:rPr>
          <w:rFonts w:hint="eastAsia" w:ascii="宋体" w:hAnsi="宋体" w:cs="宋体"/>
          <w:snapToGrid w:val="0"/>
          <w:color w:val="auto"/>
          <w:kern w:val="0"/>
          <w:szCs w:val="21"/>
          <w:u w:val="single"/>
        </w:rPr>
        <w:t xml:space="preserve">        （投标人名称）</w:t>
      </w:r>
      <w:r>
        <w:rPr>
          <w:rFonts w:hint="eastAsia" w:ascii="宋体" w:hAnsi="宋体" w:cs="宋体"/>
          <w:snapToGrid w:val="0"/>
          <w:color w:val="auto"/>
          <w:kern w:val="0"/>
          <w:szCs w:val="21"/>
        </w:rPr>
        <w:t>参加了你公司</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投标。我公司投标报价低于最高限价的85%，若获得中标资格，我公司承诺按照采购文件的规定递交低价风险担保。同时，我公司已落实低价风险担保的缴纳方案，承诺如采用保函形式缴纳低价风险担保，保函的格式和内容符合采购文件的要求。否则，我公司愿承担采购文件中约定的，因未按规定递交低价风险担保的相应责任。</w:t>
      </w:r>
    </w:p>
    <w:p w14:paraId="73CBC95B">
      <w:pPr>
        <w:autoSpaceDE w:val="0"/>
        <w:autoSpaceDN w:val="0"/>
        <w:adjustRightInd w:val="0"/>
        <w:snapToGrid w:val="0"/>
        <w:spacing w:line="360" w:lineRule="auto"/>
        <w:ind w:firstLine="640"/>
        <w:rPr>
          <w:rFonts w:ascii="宋体" w:hAnsi="宋体" w:cs="宋体"/>
          <w:snapToGrid w:val="0"/>
          <w:color w:val="auto"/>
          <w:kern w:val="0"/>
          <w:szCs w:val="21"/>
        </w:rPr>
      </w:pPr>
    </w:p>
    <w:p w14:paraId="21BA6164">
      <w:pPr>
        <w:autoSpaceDE w:val="0"/>
        <w:autoSpaceDN w:val="0"/>
        <w:adjustRightInd w:val="0"/>
        <w:snapToGrid w:val="0"/>
        <w:spacing w:line="360" w:lineRule="auto"/>
        <w:ind w:firstLine="640"/>
        <w:rPr>
          <w:rFonts w:ascii="宋体" w:hAnsi="宋体" w:cs="宋体"/>
          <w:snapToGrid w:val="0"/>
          <w:color w:val="auto"/>
          <w:kern w:val="0"/>
          <w:szCs w:val="21"/>
        </w:rPr>
      </w:pPr>
      <w:r>
        <w:rPr>
          <w:rFonts w:hint="eastAsia" w:ascii="宋体" w:hAnsi="宋体" w:cs="宋体"/>
          <w:snapToGrid w:val="0"/>
          <w:color w:val="auto"/>
          <w:kern w:val="0"/>
          <w:szCs w:val="21"/>
        </w:rPr>
        <w:t>特此承诺。</w:t>
      </w:r>
    </w:p>
    <w:p w14:paraId="4B49EE90">
      <w:pPr>
        <w:autoSpaceDE w:val="0"/>
        <w:autoSpaceDN w:val="0"/>
        <w:adjustRightInd w:val="0"/>
        <w:snapToGrid w:val="0"/>
        <w:spacing w:line="360" w:lineRule="auto"/>
        <w:ind w:firstLine="640"/>
        <w:rPr>
          <w:rFonts w:ascii="宋体" w:hAnsi="宋体" w:cs="宋体"/>
          <w:snapToGrid w:val="0"/>
          <w:color w:val="auto"/>
          <w:kern w:val="0"/>
          <w:sz w:val="32"/>
          <w:szCs w:val="32"/>
        </w:rPr>
      </w:pPr>
    </w:p>
    <w:p w14:paraId="3CDFF7EF">
      <w:pPr>
        <w:autoSpaceDE w:val="0"/>
        <w:autoSpaceDN w:val="0"/>
        <w:adjustRightInd w:val="0"/>
        <w:snapToGrid w:val="0"/>
        <w:spacing w:line="360" w:lineRule="auto"/>
        <w:ind w:firstLine="640"/>
        <w:rPr>
          <w:rFonts w:ascii="宋体" w:hAnsi="宋体" w:cs="宋体"/>
          <w:snapToGrid w:val="0"/>
          <w:color w:val="auto"/>
          <w:kern w:val="0"/>
          <w:sz w:val="32"/>
          <w:szCs w:val="32"/>
        </w:rPr>
      </w:pPr>
    </w:p>
    <w:p w14:paraId="1FBF8756">
      <w:pPr>
        <w:autoSpaceDE w:val="0"/>
        <w:autoSpaceDN w:val="0"/>
        <w:adjustRightInd w:val="0"/>
        <w:snapToGrid w:val="0"/>
        <w:spacing w:line="360" w:lineRule="auto"/>
        <w:ind w:firstLine="640"/>
        <w:rPr>
          <w:rFonts w:ascii="宋体" w:hAnsi="宋体" w:cs="宋体"/>
          <w:snapToGrid w:val="0"/>
          <w:color w:val="auto"/>
          <w:kern w:val="0"/>
          <w:sz w:val="32"/>
          <w:szCs w:val="32"/>
        </w:rPr>
      </w:pPr>
    </w:p>
    <w:p w14:paraId="7D0C3043">
      <w:pPr>
        <w:autoSpaceDE w:val="0"/>
        <w:autoSpaceDN w:val="0"/>
        <w:adjustRightInd w:val="0"/>
        <w:snapToGrid w:val="0"/>
        <w:spacing w:line="360" w:lineRule="auto"/>
        <w:ind w:firstLine="640"/>
        <w:rPr>
          <w:rFonts w:ascii="宋体" w:hAnsi="宋体" w:cs="宋体"/>
          <w:snapToGrid w:val="0"/>
          <w:color w:val="auto"/>
          <w:kern w:val="0"/>
          <w:sz w:val="32"/>
          <w:szCs w:val="32"/>
        </w:rPr>
      </w:pPr>
    </w:p>
    <w:p w14:paraId="7F369E16">
      <w:pPr>
        <w:autoSpaceDE w:val="0"/>
        <w:autoSpaceDN w:val="0"/>
        <w:adjustRightInd w:val="0"/>
        <w:snapToGrid w:val="0"/>
        <w:spacing w:line="360" w:lineRule="auto"/>
        <w:ind w:firstLine="640"/>
        <w:rPr>
          <w:rFonts w:ascii="宋体" w:hAnsi="宋体" w:cs="宋体"/>
          <w:snapToGrid w:val="0"/>
          <w:color w:val="auto"/>
          <w:kern w:val="0"/>
          <w:sz w:val="32"/>
          <w:szCs w:val="32"/>
        </w:rPr>
      </w:pPr>
    </w:p>
    <w:p w14:paraId="63E2EEC9">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65606F77">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签字</w:t>
      </w:r>
      <w:r>
        <w:rPr>
          <w:rFonts w:ascii="宋体" w:hAnsi="宋体"/>
          <w:color w:val="auto"/>
          <w:kern w:val="0"/>
          <w:szCs w:val="21"/>
        </w:rPr>
        <w:t>或盖章）</w:t>
      </w:r>
    </w:p>
    <w:p w14:paraId="51853DF6">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p>
    <w:p w14:paraId="4332FB75">
      <w:pPr>
        <w:tabs>
          <w:tab w:val="left" w:pos="3840"/>
          <w:tab w:val="left" w:pos="4780"/>
          <w:tab w:val="left" w:pos="5720"/>
        </w:tabs>
        <w:autoSpaceDE w:val="0"/>
        <w:autoSpaceDN w:val="0"/>
        <w:adjustRightInd w:val="0"/>
        <w:snapToGrid w:val="0"/>
        <w:spacing w:beforeLines="50" w:line="360" w:lineRule="auto"/>
        <w:ind w:right="420" w:firstLine="5565" w:firstLineChars="2650"/>
        <w:jc w:val="right"/>
        <w:rPr>
          <w:rFonts w:ascii="宋体" w:hAnsi="宋体"/>
          <w:snapToGrid w:val="0"/>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1059CE36">
      <w:pPr>
        <w:autoSpaceDE w:val="0"/>
        <w:autoSpaceDN w:val="0"/>
        <w:adjustRightInd w:val="0"/>
        <w:snapToGrid w:val="0"/>
        <w:spacing w:line="360" w:lineRule="auto"/>
        <w:ind w:firstLine="640"/>
        <w:rPr>
          <w:rFonts w:ascii="宋体" w:hAnsi="宋体" w:cs="宋体"/>
          <w:snapToGrid w:val="0"/>
          <w:color w:val="auto"/>
          <w:kern w:val="0"/>
          <w:sz w:val="32"/>
          <w:szCs w:val="32"/>
        </w:rPr>
      </w:pPr>
    </w:p>
    <w:p w14:paraId="680511C8">
      <w:pPr>
        <w:autoSpaceDE w:val="0"/>
        <w:autoSpaceDN w:val="0"/>
        <w:adjustRightInd w:val="0"/>
        <w:snapToGrid w:val="0"/>
        <w:spacing w:line="360" w:lineRule="auto"/>
        <w:jc w:val="center"/>
        <w:rPr>
          <w:rFonts w:ascii="宋体" w:hAnsi="宋体"/>
          <w:snapToGrid w:val="0"/>
          <w:color w:val="auto"/>
          <w:kern w:val="0"/>
          <w:sz w:val="32"/>
          <w:szCs w:val="32"/>
        </w:rPr>
      </w:pPr>
    </w:p>
    <w:p w14:paraId="5FA843C0">
      <w:pPr>
        <w:pStyle w:val="2"/>
        <w:rPr>
          <w:rFonts w:ascii="宋体" w:hAnsi="宋体"/>
          <w:snapToGrid w:val="0"/>
          <w:color w:val="auto"/>
          <w:kern w:val="0"/>
          <w:sz w:val="32"/>
          <w:szCs w:val="32"/>
        </w:rPr>
      </w:pPr>
      <w:r>
        <w:rPr>
          <w:rFonts w:ascii="宋体" w:hAnsi="宋体"/>
          <w:snapToGrid w:val="0"/>
          <w:color w:val="auto"/>
          <w:kern w:val="0"/>
          <w:sz w:val="32"/>
          <w:szCs w:val="32"/>
        </w:rPr>
        <w:br w:type="page"/>
      </w:r>
    </w:p>
    <w:p w14:paraId="45AD4BB9">
      <w:pPr>
        <w:pStyle w:val="5"/>
        <w:spacing w:before="0" w:after="0" w:line="240" w:lineRule="auto"/>
        <w:jc w:val="center"/>
        <w:rPr>
          <w:rFonts w:ascii="宋体" w:hAnsi="宋体"/>
          <w:b w:val="0"/>
          <w:bCs w:val="0"/>
          <w:color w:val="auto"/>
        </w:rPr>
      </w:pPr>
      <w:bookmarkStart w:id="2010" w:name="_Toc14213"/>
      <w:bookmarkStart w:id="2011" w:name="_Toc57820652"/>
      <w:r>
        <w:rPr>
          <w:rFonts w:hint="eastAsia" w:ascii="宋体" w:hAnsi="宋体"/>
          <w:b w:val="0"/>
          <w:bCs w:val="0"/>
          <w:color w:val="auto"/>
        </w:rPr>
        <w:t>（五）</w:t>
      </w:r>
      <w:r>
        <w:rPr>
          <w:rFonts w:ascii="宋体" w:hAnsi="宋体"/>
          <w:b w:val="0"/>
          <w:bCs w:val="0"/>
          <w:color w:val="auto"/>
        </w:rPr>
        <w:t>联合体协议书</w:t>
      </w:r>
      <w:bookmarkEnd w:id="2005"/>
      <w:bookmarkEnd w:id="2006"/>
      <w:bookmarkEnd w:id="2007"/>
      <w:bookmarkEnd w:id="2008"/>
      <w:bookmarkEnd w:id="2009"/>
      <w:r>
        <w:rPr>
          <w:rFonts w:hint="eastAsia" w:ascii="宋体" w:hAnsi="宋体"/>
          <w:b w:val="0"/>
          <w:bCs w:val="0"/>
          <w:color w:val="auto"/>
        </w:rPr>
        <w:t>（如有）</w:t>
      </w:r>
      <w:bookmarkEnd w:id="2010"/>
      <w:bookmarkEnd w:id="2011"/>
    </w:p>
    <w:p w14:paraId="402CE9D6">
      <w:pPr>
        <w:autoSpaceDE w:val="0"/>
        <w:autoSpaceDN w:val="0"/>
        <w:adjustRightInd w:val="0"/>
        <w:snapToGrid w:val="0"/>
        <w:spacing w:line="500" w:lineRule="exact"/>
        <w:ind w:firstLine="420" w:firstLineChars="200"/>
        <w:rPr>
          <w:rFonts w:ascii="宋体" w:hAnsi="宋体"/>
          <w:snapToGrid w:val="0"/>
          <w:color w:val="auto"/>
          <w:kern w:val="0"/>
          <w:szCs w:val="21"/>
        </w:rPr>
      </w:pP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（所有成员单位名称）</w:t>
      </w:r>
      <w:r>
        <w:rPr>
          <w:rFonts w:ascii="宋体" w:hAnsi="宋体"/>
          <w:snapToGrid w:val="0"/>
          <w:color w:val="auto"/>
          <w:kern w:val="0"/>
          <w:szCs w:val="21"/>
        </w:rPr>
        <w:t>自愿组成联合体，共同参加</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（项目名称）</w:t>
      </w:r>
      <w:r>
        <w:rPr>
          <w:rFonts w:ascii="宋体" w:hAnsi="宋体"/>
          <w:snapToGrid w:val="0"/>
          <w:color w:val="auto"/>
          <w:kern w:val="0"/>
          <w:szCs w:val="21"/>
        </w:rPr>
        <w:t>投标。现就联合体投标事宜订立如下协议。</w:t>
      </w:r>
    </w:p>
    <w:p w14:paraId="195DCBA3">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color w:val="auto"/>
          <w:kern w:val="0"/>
          <w:szCs w:val="21"/>
        </w:rPr>
      </w:pPr>
      <w:r>
        <w:rPr>
          <w:rFonts w:ascii="宋体" w:hAnsi="宋体"/>
          <w:snapToGrid w:val="0"/>
          <w:color w:val="auto"/>
          <w:kern w:val="0"/>
          <w:szCs w:val="21"/>
        </w:rPr>
        <w:t>1.</w:t>
      </w:r>
      <w:r>
        <w:rPr>
          <w:rFonts w:ascii="宋体" w:hAnsi="宋体"/>
          <w:snapToGrid w:val="0"/>
          <w:color w:val="auto"/>
          <w:kern w:val="0"/>
          <w:szCs w:val="21"/>
          <w:u w:val="single"/>
        </w:rPr>
        <w:tab/>
      </w:r>
      <w:r>
        <w:rPr>
          <w:rFonts w:ascii="宋体" w:hAnsi="宋体"/>
          <w:snapToGrid w:val="0"/>
          <w:color w:val="auto"/>
          <w:kern w:val="0"/>
          <w:szCs w:val="21"/>
          <w:u w:val="single"/>
        </w:rPr>
        <w:t>（某成员单位名称）</w:t>
      </w:r>
      <w:r>
        <w:rPr>
          <w:rFonts w:hint="eastAsia" w:ascii="宋体" w:hAnsi="宋体"/>
          <w:snapToGrid w:val="0"/>
          <w:color w:val="auto"/>
          <w:kern w:val="0"/>
          <w:szCs w:val="21"/>
        </w:rPr>
        <w:t>为</w:t>
      </w:r>
      <w:r>
        <w:rPr>
          <w:rFonts w:hint="eastAsia" w:ascii="宋体" w:hAnsi="宋体"/>
          <w:snapToGrid w:val="0"/>
          <w:color w:val="auto"/>
          <w:kern w:val="0"/>
          <w:szCs w:val="21"/>
          <w:u w:val="single"/>
        </w:rPr>
        <w:tab/>
      </w:r>
      <w:r>
        <w:rPr>
          <w:rFonts w:hint="eastAsia" w:ascii="宋体" w:hAnsi="宋体"/>
          <w:snapToGrid w:val="0"/>
          <w:color w:val="auto"/>
          <w:kern w:val="0"/>
          <w:szCs w:val="21"/>
          <w:u w:val="single"/>
        </w:rPr>
        <w:t xml:space="preserve">      （项目名称）</w:t>
      </w:r>
      <w:r>
        <w:rPr>
          <w:rFonts w:ascii="宋体" w:hAnsi="宋体"/>
          <w:snapToGrid w:val="0"/>
          <w:color w:val="auto"/>
          <w:kern w:val="0"/>
          <w:szCs w:val="21"/>
        </w:rPr>
        <w:t>联合体牵头人。由联合体牵头人单位递交投标保证金。</w:t>
      </w:r>
    </w:p>
    <w:p w14:paraId="221E4119">
      <w:pPr>
        <w:autoSpaceDE w:val="0"/>
        <w:autoSpaceDN w:val="0"/>
        <w:adjustRightInd w:val="0"/>
        <w:snapToGrid w:val="0"/>
        <w:spacing w:line="500" w:lineRule="exact"/>
        <w:ind w:firstLine="420"/>
        <w:rPr>
          <w:rFonts w:ascii="宋体" w:hAnsi="宋体"/>
          <w:snapToGrid w:val="0"/>
          <w:color w:val="auto"/>
          <w:kern w:val="0"/>
          <w:szCs w:val="21"/>
        </w:rPr>
      </w:pPr>
      <w:r>
        <w:rPr>
          <w:rFonts w:ascii="宋体" w:hAnsi="宋体"/>
          <w:snapToGrid w:val="0"/>
          <w:color w:val="auto"/>
          <w:kern w:val="0"/>
          <w:szCs w:val="21"/>
        </w:rPr>
        <w:t>2.联合体牵头人合法代表联合体各成员负责本</w:t>
      </w:r>
      <w:r>
        <w:rPr>
          <w:rFonts w:hint="eastAsia" w:ascii="宋体" w:hAnsi="宋体"/>
          <w:snapToGrid w:val="0"/>
          <w:color w:val="auto"/>
          <w:kern w:val="0"/>
          <w:szCs w:val="21"/>
        </w:rPr>
        <w:t>采购</w:t>
      </w:r>
      <w:r>
        <w:rPr>
          <w:rFonts w:ascii="宋体" w:hAnsi="宋体"/>
          <w:snapToGrid w:val="0"/>
          <w:color w:val="auto"/>
          <w:kern w:val="0"/>
          <w:szCs w:val="21"/>
        </w:rPr>
        <w:t>项目投标文件编制和合同谈判活动， 并代表联合体提交和接收相关的资料、信息及指示，并处理与之有关的一切事务，负责合同 实施阶段的主办、组织和协调工作。</w:t>
      </w:r>
    </w:p>
    <w:p w14:paraId="7E919F58">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3.联合体将严格按照</w:t>
      </w:r>
      <w:r>
        <w:rPr>
          <w:rFonts w:hint="eastAsia" w:ascii="宋体" w:hAnsi="宋体"/>
          <w:snapToGrid w:val="0"/>
          <w:color w:val="auto"/>
          <w:kern w:val="0"/>
          <w:szCs w:val="21"/>
        </w:rPr>
        <w:t>采购</w:t>
      </w:r>
      <w:r>
        <w:rPr>
          <w:rFonts w:ascii="宋体" w:hAnsi="宋体"/>
          <w:snapToGrid w:val="0"/>
          <w:color w:val="auto"/>
          <w:kern w:val="0"/>
          <w:szCs w:val="21"/>
        </w:rPr>
        <w:t>文件的各项要求，递交投标文件，履行合同，并对外承担连带责任。</w:t>
      </w:r>
    </w:p>
    <w:p w14:paraId="7C08C0F5">
      <w:pPr>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4.联合体牵头人代表联合体签署投标文件</w:t>
      </w:r>
      <w:r>
        <w:rPr>
          <w:rFonts w:ascii="宋体" w:hAnsi="宋体"/>
          <w:color w:val="auto"/>
          <w:spacing w:val="-19"/>
          <w:kern w:val="0"/>
          <w:szCs w:val="21"/>
        </w:rPr>
        <w:t>，</w:t>
      </w:r>
      <w:r>
        <w:rPr>
          <w:rFonts w:ascii="宋体" w:hAnsi="宋体"/>
          <w:color w:val="auto"/>
          <w:kern w:val="0"/>
          <w:szCs w:val="21"/>
        </w:rPr>
        <w:t>联合体牵头人的所有承诺均认为代表了联合体各成员。</w:t>
      </w:r>
    </w:p>
    <w:p w14:paraId="7DB9A0FA">
      <w:pPr>
        <w:autoSpaceDE w:val="0"/>
        <w:autoSpaceDN w:val="0"/>
        <w:adjustRightInd w:val="0"/>
        <w:spacing w:line="500" w:lineRule="exact"/>
        <w:ind w:firstLine="420" w:firstLineChars="200"/>
        <w:jc w:val="left"/>
        <w:rPr>
          <w:rFonts w:ascii="宋体" w:hAnsi="宋体"/>
          <w:color w:val="auto"/>
          <w:kern w:val="0"/>
          <w:szCs w:val="21"/>
        </w:rPr>
      </w:pPr>
      <w:r>
        <w:rPr>
          <w:rFonts w:ascii="宋体" w:hAnsi="宋体"/>
          <w:snapToGrid w:val="0"/>
          <w:color w:val="auto"/>
          <w:kern w:val="0"/>
          <w:szCs w:val="21"/>
        </w:rPr>
        <w:t>5.</w:t>
      </w:r>
      <w:r>
        <w:rPr>
          <w:rFonts w:ascii="宋体" w:hAnsi="宋体"/>
          <w:color w:val="auto"/>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6496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C8F3457">
            <w:pPr>
              <w:autoSpaceDE w:val="0"/>
              <w:autoSpaceDN w:val="0"/>
              <w:adjustRightInd w:val="0"/>
              <w:snapToGrid w:val="0"/>
              <w:spacing w:line="500" w:lineRule="exact"/>
              <w:jc w:val="center"/>
              <w:rPr>
                <w:rFonts w:ascii="宋体" w:hAnsi="宋体"/>
                <w:snapToGrid w:val="0"/>
                <w:color w:val="auto"/>
                <w:kern w:val="0"/>
                <w:szCs w:val="21"/>
              </w:rPr>
            </w:pPr>
            <w:r>
              <w:rPr>
                <w:rFonts w:ascii="宋体" w:hAnsi="宋体"/>
                <w:snapToGrid w:val="0"/>
                <w:color w:val="auto"/>
                <w:kern w:val="0"/>
                <w:szCs w:val="21"/>
              </w:rPr>
              <w:t>单位名称</w:t>
            </w:r>
          </w:p>
        </w:tc>
        <w:tc>
          <w:tcPr>
            <w:tcW w:w="2410" w:type="dxa"/>
          </w:tcPr>
          <w:p w14:paraId="782F6601">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14772C97">
            <w:pPr>
              <w:autoSpaceDE w:val="0"/>
              <w:autoSpaceDN w:val="0"/>
              <w:adjustRightInd w:val="0"/>
              <w:snapToGrid w:val="0"/>
              <w:spacing w:line="500" w:lineRule="exact"/>
              <w:jc w:val="center"/>
              <w:rPr>
                <w:rFonts w:ascii="宋体" w:hAnsi="宋体"/>
                <w:snapToGrid w:val="0"/>
                <w:color w:val="auto"/>
                <w:kern w:val="0"/>
                <w:szCs w:val="21"/>
              </w:rPr>
            </w:pPr>
            <w:r>
              <w:rPr>
                <w:rFonts w:ascii="宋体" w:hAnsi="宋体"/>
                <w:snapToGrid w:val="0"/>
                <w:color w:val="auto"/>
                <w:kern w:val="0"/>
                <w:szCs w:val="21"/>
              </w:rPr>
              <w:t>职责分工</w:t>
            </w:r>
          </w:p>
        </w:tc>
      </w:tr>
      <w:tr w14:paraId="3B43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1C3B50E">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联合体牵头人名称</w:t>
            </w:r>
          </w:p>
        </w:tc>
        <w:tc>
          <w:tcPr>
            <w:tcW w:w="2410" w:type="dxa"/>
          </w:tcPr>
          <w:p w14:paraId="29D369F4">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352E39CE">
            <w:pPr>
              <w:autoSpaceDE w:val="0"/>
              <w:autoSpaceDN w:val="0"/>
              <w:adjustRightInd w:val="0"/>
              <w:snapToGrid w:val="0"/>
              <w:spacing w:line="500" w:lineRule="exact"/>
              <w:ind w:firstLine="420"/>
              <w:jc w:val="left"/>
              <w:rPr>
                <w:rFonts w:ascii="宋体" w:hAnsi="宋体"/>
                <w:snapToGrid w:val="0"/>
                <w:color w:val="auto"/>
                <w:kern w:val="0"/>
                <w:szCs w:val="21"/>
              </w:rPr>
            </w:pPr>
          </w:p>
        </w:tc>
      </w:tr>
      <w:tr w14:paraId="6317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306BFCCC">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联合体其他成员单位一名称</w:t>
            </w:r>
          </w:p>
        </w:tc>
        <w:tc>
          <w:tcPr>
            <w:tcW w:w="2410" w:type="dxa"/>
          </w:tcPr>
          <w:p w14:paraId="35D4FF1D">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2EE0DB58">
            <w:pPr>
              <w:autoSpaceDE w:val="0"/>
              <w:autoSpaceDN w:val="0"/>
              <w:adjustRightInd w:val="0"/>
              <w:snapToGrid w:val="0"/>
              <w:spacing w:line="500" w:lineRule="exact"/>
              <w:ind w:firstLine="420"/>
              <w:jc w:val="left"/>
              <w:rPr>
                <w:rFonts w:ascii="宋体" w:hAnsi="宋体"/>
                <w:snapToGrid w:val="0"/>
                <w:color w:val="auto"/>
                <w:kern w:val="0"/>
                <w:szCs w:val="21"/>
              </w:rPr>
            </w:pPr>
          </w:p>
        </w:tc>
      </w:tr>
      <w:tr w14:paraId="25D4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405CFCE">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联合体其他成员单位二名称</w:t>
            </w:r>
          </w:p>
        </w:tc>
        <w:tc>
          <w:tcPr>
            <w:tcW w:w="2410" w:type="dxa"/>
          </w:tcPr>
          <w:p w14:paraId="41BBCF95">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40B80E3A">
            <w:pPr>
              <w:autoSpaceDE w:val="0"/>
              <w:autoSpaceDN w:val="0"/>
              <w:adjustRightInd w:val="0"/>
              <w:snapToGrid w:val="0"/>
              <w:spacing w:line="500" w:lineRule="exact"/>
              <w:ind w:firstLine="420"/>
              <w:jc w:val="left"/>
              <w:rPr>
                <w:rFonts w:ascii="宋体" w:hAnsi="宋体"/>
                <w:snapToGrid w:val="0"/>
                <w:color w:val="auto"/>
                <w:kern w:val="0"/>
                <w:szCs w:val="21"/>
              </w:rPr>
            </w:pPr>
          </w:p>
        </w:tc>
      </w:tr>
      <w:tr w14:paraId="0557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37935A90">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w:t>
            </w:r>
          </w:p>
        </w:tc>
        <w:tc>
          <w:tcPr>
            <w:tcW w:w="2410" w:type="dxa"/>
          </w:tcPr>
          <w:p w14:paraId="55A6086F">
            <w:pPr>
              <w:autoSpaceDE w:val="0"/>
              <w:autoSpaceDN w:val="0"/>
              <w:adjustRightInd w:val="0"/>
              <w:snapToGrid w:val="0"/>
              <w:spacing w:line="500" w:lineRule="exact"/>
              <w:ind w:firstLine="420"/>
              <w:jc w:val="left"/>
              <w:rPr>
                <w:rFonts w:ascii="宋体" w:hAnsi="宋体"/>
                <w:snapToGrid w:val="0"/>
                <w:color w:val="auto"/>
                <w:kern w:val="0"/>
                <w:szCs w:val="21"/>
              </w:rPr>
            </w:pPr>
          </w:p>
        </w:tc>
        <w:tc>
          <w:tcPr>
            <w:tcW w:w="2885" w:type="dxa"/>
          </w:tcPr>
          <w:p w14:paraId="6EB8E9C0">
            <w:pPr>
              <w:autoSpaceDE w:val="0"/>
              <w:autoSpaceDN w:val="0"/>
              <w:adjustRightInd w:val="0"/>
              <w:snapToGrid w:val="0"/>
              <w:spacing w:line="500" w:lineRule="exact"/>
              <w:ind w:firstLine="420"/>
              <w:jc w:val="left"/>
              <w:rPr>
                <w:rFonts w:ascii="宋体" w:hAnsi="宋体"/>
                <w:snapToGrid w:val="0"/>
                <w:color w:val="auto"/>
                <w:kern w:val="0"/>
                <w:szCs w:val="21"/>
              </w:rPr>
            </w:pPr>
          </w:p>
        </w:tc>
      </w:tr>
    </w:tbl>
    <w:p w14:paraId="3442EFED">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color w:val="auto"/>
          <w:spacing w:val="7"/>
          <w:kern w:val="0"/>
          <w:szCs w:val="21"/>
        </w:rPr>
      </w:pPr>
      <w:r>
        <w:rPr>
          <w:rFonts w:ascii="宋体" w:hAnsi="宋体"/>
          <w:color w:val="auto"/>
          <w:kern w:val="0"/>
          <w:szCs w:val="21"/>
        </w:rPr>
        <w:t>6</w:t>
      </w:r>
      <w:r>
        <w:rPr>
          <w:rFonts w:ascii="宋体" w:hAnsi="宋体"/>
          <w:color w:val="auto"/>
          <w:spacing w:val="7"/>
          <w:kern w:val="0"/>
          <w:szCs w:val="21"/>
        </w:rPr>
        <w:t>.</w:t>
      </w:r>
      <w:r>
        <w:rPr>
          <w:rFonts w:hint="eastAsia" w:ascii="宋体" w:hAnsi="宋体"/>
          <w:color w:val="auto"/>
          <w:spacing w:val="7"/>
          <w:kern w:val="0"/>
          <w:szCs w:val="21"/>
        </w:rPr>
        <w:t>由联合体牵头人委派本项目的委托代理人。</w:t>
      </w:r>
    </w:p>
    <w:p w14:paraId="26D6F13B">
      <w:pPr>
        <w:autoSpaceDE w:val="0"/>
        <w:autoSpaceDN w:val="0"/>
        <w:adjustRightInd w:val="0"/>
        <w:spacing w:line="500" w:lineRule="exact"/>
        <w:ind w:firstLine="448" w:firstLineChars="200"/>
        <w:jc w:val="left"/>
        <w:rPr>
          <w:rFonts w:ascii="宋体" w:hAnsi="宋体"/>
          <w:color w:val="auto"/>
          <w:kern w:val="0"/>
          <w:szCs w:val="21"/>
        </w:rPr>
      </w:pPr>
      <w:r>
        <w:rPr>
          <w:rFonts w:hint="eastAsia" w:ascii="宋体" w:hAnsi="宋体"/>
          <w:color w:val="auto"/>
          <w:spacing w:val="7"/>
          <w:kern w:val="0"/>
          <w:szCs w:val="21"/>
        </w:rPr>
        <w:t>7.</w:t>
      </w:r>
      <w:r>
        <w:rPr>
          <w:rFonts w:ascii="宋体" w:hAnsi="宋体"/>
          <w:color w:val="auto"/>
          <w:spacing w:val="7"/>
          <w:kern w:val="0"/>
          <w:szCs w:val="21"/>
        </w:rPr>
        <w:t>投标工作和联合体</w:t>
      </w:r>
      <w:r>
        <w:rPr>
          <w:rFonts w:ascii="宋体" w:hAnsi="宋体"/>
          <w:color w:val="auto"/>
          <w:spacing w:val="5"/>
          <w:kern w:val="0"/>
          <w:szCs w:val="21"/>
        </w:rPr>
        <w:t>在</w:t>
      </w:r>
      <w:r>
        <w:rPr>
          <w:rFonts w:ascii="宋体" w:hAnsi="宋体"/>
          <w:color w:val="auto"/>
          <w:spacing w:val="7"/>
          <w:kern w:val="0"/>
          <w:szCs w:val="21"/>
        </w:rPr>
        <w:t>中标后工程实施过</w:t>
      </w:r>
      <w:r>
        <w:rPr>
          <w:rFonts w:ascii="宋体" w:hAnsi="宋体"/>
          <w:color w:val="auto"/>
          <w:spacing w:val="5"/>
          <w:kern w:val="0"/>
          <w:szCs w:val="21"/>
        </w:rPr>
        <w:t>程</w:t>
      </w:r>
      <w:r>
        <w:rPr>
          <w:rFonts w:ascii="宋体" w:hAnsi="宋体"/>
          <w:color w:val="auto"/>
          <w:spacing w:val="7"/>
          <w:kern w:val="0"/>
          <w:szCs w:val="21"/>
        </w:rPr>
        <w:t>中的有关费用按各</w:t>
      </w:r>
      <w:r>
        <w:rPr>
          <w:rFonts w:ascii="宋体" w:hAnsi="宋体"/>
          <w:color w:val="auto"/>
          <w:spacing w:val="5"/>
          <w:kern w:val="0"/>
          <w:szCs w:val="21"/>
        </w:rPr>
        <w:t>自</w:t>
      </w:r>
      <w:r>
        <w:rPr>
          <w:rFonts w:ascii="宋体" w:hAnsi="宋体"/>
          <w:color w:val="auto"/>
          <w:spacing w:val="7"/>
          <w:kern w:val="0"/>
          <w:szCs w:val="21"/>
        </w:rPr>
        <w:t>承担的工作</w:t>
      </w:r>
      <w:r>
        <w:rPr>
          <w:rFonts w:ascii="宋体" w:hAnsi="宋体"/>
          <w:color w:val="auto"/>
          <w:kern w:val="0"/>
          <w:szCs w:val="21"/>
        </w:rPr>
        <w:t>量分摊。</w:t>
      </w:r>
    </w:p>
    <w:p w14:paraId="172860A0">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8</w:t>
      </w:r>
      <w:r>
        <w:rPr>
          <w:rFonts w:ascii="宋体" w:hAnsi="宋体"/>
          <w:snapToGrid w:val="0"/>
          <w:color w:val="auto"/>
          <w:kern w:val="0"/>
          <w:szCs w:val="21"/>
        </w:rPr>
        <w:t>.本协议书自签署之日起生效，合同履行完毕后自动失效。</w:t>
      </w:r>
    </w:p>
    <w:p w14:paraId="277722E1">
      <w:pPr>
        <w:autoSpaceDE w:val="0"/>
        <w:autoSpaceDN w:val="0"/>
        <w:adjustRightInd w:val="0"/>
        <w:snapToGrid w:val="0"/>
        <w:spacing w:line="500" w:lineRule="exact"/>
        <w:ind w:firstLine="390" w:firstLineChars="186"/>
        <w:jc w:val="left"/>
        <w:rPr>
          <w:rFonts w:ascii="宋体" w:hAnsi="宋体"/>
          <w:snapToGrid w:val="0"/>
          <w:color w:val="auto"/>
          <w:kern w:val="0"/>
          <w:szCs w:val="21"/>
        </w:rPr>
      </w:pPr>
      <w:r>
        <w:rPr>
          <w:rFonts w:hint="eastAsia" w:ascii="宋体" w:hAnsi="宋体"/>
          <w:snapToGrid w:val="0"/>
          <w:color w:val="auto"/>
          <w:kern w:val="0"/>
          <w:szCs w:val="21"/>
        </w:rPr>
        <w:t>9</w:t>
      </w:r>
      <w:r>
        <w:rPr>
          <w:rFonts w:ascii="宋体" w:hAnsi="宋体"/>
          <w:snapToGrid w:val="0"/>
          <w:color w:val="auto"/>
          <w:kern w:val="0"/>
          <w:szCs w:val="21"/>
        </w:rPr>
        <w:t>.本协议书一式</w:t>
      </w:r>
      <w:r>
        <w:rPr>
          <w:rFonts w:hint="eastAsia" w:ascii="宋体" w:hAnsi="宋体"/>
          <w:snapToGrid w:val="0"/>
          <w:color w:val="auto"/>
          <w:kern w:val="0"/>
          <w:szCs w:val="21"/>
          <w:u w:val="single"/>
        </w:rPr>
        <w:t xml:space="preserve">    </w:t>
      </w:r>
      <w:r>
        <w:rPr>
          <w:rFonts w:ascii="宋体" w:hAnsi="宋体"/>
          <w:snapToGrid w:val="0"/>
          <w:color w:val="auto"/>
          <w:kern w:val="0"/>
          <w:szCs w:val="21"/>
        </w:rPr>
        <w:t>份，联合体成员和</w:t>
      </w:r>
      <w:r>
        <w:rPr>
          <w:rFonts w:hint="eastAsia" w:ascii="宋体" w:hAnsi="宋体"/>
          <w:snapToGrid w:val="0"/>
          <w:color w:val="auto"/>
          <w:kern w:val="0"/>
          <w:szCs w:val="21"/>
        </w:rPr>
        <w:t>采购</w:t>
      </w:r>
      <w:r>
        <w:rPr>
          <w:rFonts w:ascii="宋体" w:hAnsi="宋体"/>
          <w:snapToGrid w:val="0"/>
          <w:color w:val="auto"/>
          <w:kern w:val="0"/>
          <w:szCs w:val="21"/>
        </w:rPr>
        <w:t>人各执</w:t>
      </w:r>
      <w:r>
        <w:rPr>
          <w:rFonts w:hint="eastAsia" w:ascii="宋体" w:hAnsi="宋体"/>
          <w:snapToGrid w:val="0"/>
          <w:color w:val="auto"/>
          <w:kern w:val="0"/>
          <w:szCs w:val="21"/>
          <w:u w:val="single"/>
        </w:rPr>
        <w:t xml:space="preserve">    </w:t>
      </w:r>
      <w:r>
        <w:rPr>
          <w:rFonts w:ascii="宋体" w:hAnsi="宋体"/>
          <w:snapToGrid w:val="0"/>
          <w:color w:val="auto"/>
          <w:kern w:val="0"/>
          <w:szCs w:val="21"/>
        </w:rPr>
        <w:t>份。</w:t>
      </w:r>
    </w:p>
    <w:p w14:paraId="4984384A">
      <w:pPr>
        <w:autoSpaceDE w:val="0"/>
        <w:autoSpaceDN w:val="0"/>
        <w:adjustRightInd w:val="0"/>
        <w:snapToGrid w:val="0"/>
        <w:spacing w:line="500" w:lineRule="exact"/>
        <w:ind w:firstLine="390" w:firstLineChars="186"/>
        <w:jc w:val="left"/>
        <w:rPr>
          <w:rFonts w:ascii="宋体" w:hAnsi="宋体"/>
          <w:snapToGrid w:val="0"/>
          <w:color w:val="auto"/>
          <w:kern w:val="0"/>
          <w:szCs w:val="21"/>
        </w:rPr>
      </w:pPr>
    </w:p>
    <w:p w14:paraId="545B713F">
      <w:pPr>
        <w:tabs>
          <w:tab w:val="left" w:pos="4840"/>
        </w:tabs>
        <w:autoSpaceDE w:val="0"/>
        <w:autoSpaceDN w:val="0"/>
        <w:adjustRightInd w:val="0"/>
        <w:snapToGrid w:val="0"/>
        <w:spacing w:line="50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牵头人名称：</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（盖单位法人章）</w:t>
      </w:r>
    </w:p>
    <w:p w14:paraId="0D368949">
      <w:pPr>
        <w:tabs>
          <w:tab w:val="left" w:pos="5260"/>
        </w:tabs>
        <w:autoSpaceDE w:val="0"/>
        <w:autoSpaceDN w:val="0"/>
        <w:adjustRightInd w:val="0"/>
        <w:snapToGrid w:val="0"/>
        <w:spacing w:line="500" w:lineRule="exact"/>
        <w:ind w:firstLine="420" w:firstLineChars="200"/>
        <w:jc w:val="left"/>
        <w:rPr>
          <w:rFonts w:ascii="宋体" w:hAnsi="宋体"/>
          <w:snapToGrid w:val="0"/>
          <w:color w:val="auto"/>
          <w:kern w:val="0"/>
          <w:szCs w:val="21"/>
        </w:rPr>
      </w:pPr>
      <w:r>
        <w:rPr>
          <w:rFonts w:ascii="宋体" w:hAnsi="宋体"/>
          <w:snapToGrid w:val="0"/>
          <w:color w:val="auto"/>
          <w:kern w:val="0"/>
          <w:position w:val="-2"/>
          <w:szCs w:val="21"/>
        </w:rPr>
        <w:t>法定代表人或其委托代理人：</w:t>
      </w:r>
      <w:r>
        <w:rPr>
          <w:rFonts w:hint="eastAsia" w:ascii="宋体" w:hAnsi="宋体"/>
          <w:snapToGrid w:val="0"/>
          <w:color w:val="auto"/>
          <w:kern w:val="0"/>
          <w:position w:val="-2"/>
          <w:szCs w:val="21"/>
          <w:u w:val="single"/>
        </w:rPr>
        <w:t xml:space="preserve">                                    </w:t>
      </w:r>
      <w:r>
        <w:rPr>
          <w:rFonts w:ascii="宋体" w:hAnsi="宋体"/>
          <w:snapToGrid w:val="0"/>
          <w:color w:val="auto"/>
          <w:kern w:val="0"/>
          <w:position w:val="-2"/>
          <w:szCs w:val="21"/>
        </w:rPr>
        <w:t>（</w:t>
      </w:r>
      <w:r>
        <w:rPr>
          <w:rFonts w:hint="eastAsia" w:ascii="宋体" w:hAnsi="宋体"/>
          <w:snapToGrid w:val="0"/>
          <w:color w:val="auto"/>
          <w:kern w:val="0"/>
          <w:szCs w:val="21"/>
        </w:rPr>
        <w:t>签字</w:t>
      </w:r>
      <w:r>
        <w:rPr>
          <w:rFonts w:ascii="宋体" w:hAnsi="宋体"/>
          <w:snapToGrid w:val="0"/>
          <w:color w:val="auto"/>
          <w:kern w:val="0"/>
          <w:szCs w:val="21"/>
        </w:rPr>
        <w:t>或盖章</w:t>
      </w:r>
      <w:r>
        <w:rPr>
          <w:rFonts w:ascii="宋体" w:hAnsi="宋体"/>
          <w:snapToGrid w:val="0"/>
          <w:color w:val="auto"/>
          <w:kern w:val="0"/>
          <w:position w:val="-2"/>
          <w:szCs w:val="21"/>
        </w:rPr>
        <w:t>）</w:t>
      </w:r>
    </w:p>
    <w:p w14:paraId="55F99D82">
      <w:pPr>
        <w:tabs>
          <w:tab w:val="left" w:pos="7890"/>
        </w:tabs>
        <w:autoSpaceDE w:val="0"/>
        <w:autoSpaceDN w:val="0"/>
        <w:adjustRightInd w:val="0"/>
        <w:spacing w:line="500" w:lineRule="exact"/>
        <w:ind w:firstLine="420" w:firstLineChars="200"/>
        <w:jc w:val="left"/>
        <w:rPr>
          <w:rFonts w:ascii="宋体" w:hAnsi="宋体"/>
          <w:color w:val="auto"/>
          <w:kern w:val="0"/>
          <w:szCs w:val="21"/>
        </w:rPr>
      </w:pPr>
      <w:r>
        <w:rPr>
          <w:rFonts w:hint="eastAsia" w:ascii="宋体" w:hAnsi="宋体"/>
          <w:color w:val="auto"/>
          <w:kern w:val="0"/>
          <w:szCs w:val="21"/>
        </w:rPr>
        <w:t>联合体其他成员单位</w:t>
      </w:r>
      <w:r>
        <w:rPr>
          <w:rFonts w:ascii="宋体" w:hAnsi="宋体"/>
          <w:color w:val="auto"/>
          <w:kern w:val="0"/>
          <w:szCs w:val="21"/>
        </w:rPr>
        <w:t>一名称：</w:t>
      </w:r>
      <w:r>
        <w:rPr>
          <w:rFonts w:hint="eastAsia" w:ascii="宋体" w:hAnsi="宋体"/>
          <w:color w:val="auto"/>
          <w:kern w:val="0"/>
          <w:szCs w:val="21"/>
          <w:u w:val="single"/>
        </w:rPr>
        <w:t xml:space="preserve">                                    </w:t>
      </w:r>
      <w:r>
        <w:rPr>
          <w:rFonts w:hint="eastAsia" w:ascii="宋体" w:hAnsi="宋体"/>
          <w:color w:val="auto"/>
          <w:kern w:val="0"/>
          <w:szCs w:val="21"/>
        </w:rPr>
        <w:t>（</w:t>
      </w:r>
      <w:r>
        <w:rPr>
          <w:rFonts w:ascii="宋体" w:hAnsi="宋体"/>
          <w:color w:val="auto"/>
          <w:kern w:val="0"/>
          <w:szCs w:val="21"/>
        </w:rPr>
        <w:t>盖单位法人章）</w:t>
      </w:r>
    </w:p>
    <w:p w14:paraId="3C4CE38C">
      <w:pPr>
        <w:tabs>
          <w:tab w:val="left" w:pos="7740"/>
        </w:tabs>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法定代表人或其委托代理人</w:t>
      </w:r>
      <w:r>
        <w:rPr>
          <w:rFonts w:hint="eastAsia" w:ascii="宋体" w:hAnsi="宋体"/>
          <w:color w:val="auto"/>
          <w:kern w:val="0"/>
          <w:szCs w:val="21"/>
        </w:rPr>
        <w:t>：</w:t>
      </w:r>
      <w:r>
        <w:rPr>
          <w:rFonts w:hint="eastAsia" w:ascii="宋体" w:hAnsi="宋体"/>
          <w:color w:val="auto"/>
          <w:kern w:val="0"/>
          <w:szCs w:val="21"/>
          <w:u w:val="single"/>
        </w:rPr>
        <w:t xml:space="preserve">                                    </w:t>
      </w:r>
      <w:r>
        <w:rPr>
          <w:rFonts w:ascii="宋体" w:hAnsi="宋体"/>
          <w:color w:val="auto"/>
          <w:spacing w:val="-1"/>
          <w:kern w:val="0"/>
          <w:szCs w:val="21"/>
        </w:rPr>
        <w:t>（</w:t>
      </w:r>
      <w:r>
        <w:rPr>
          <w:rFonts w:hint="eastAsia" w:ascii="宋体" w:hAnsi="宋体"/>
          <w:color w:val="auto"/>
          <w:kern w:val="0"/>
          <w:szCs w:val="21"/>
        </w:rPr>
        <w:t>签字</w:t>
      </w:r>
      <w:r>
        <w:rPr>
          <w:rFonts w:ascii="宋体" w:hAnsi="宋体"/>
          <w:snapToGrid w:val="0"/>
          <w:color w:val="auto"/>
          <w:kern w:val="0"/>
          <w:szCs w:val="21"/>
        </w:rPr>
        <w:t>或盖章</w:t>
      </w:r>
      <w:r>
        <w:rPr>
          <w:rFonts w:ascii="宋体" w:hAnsi="宋体"/>
          <w:color w:val="auto"/>
          <w:kern w:val="0"/>
          <w:szCs w:val="21"/>
        </w:rPr>
        <w:t>）</w:t>
      </w:r>
    </w:p>
    <w:p w14:paraId="32DA5E8E">
      <w:pPr>
        <w:tabs>
          <w:tab w:val="left" w:pos="7890"/>
        </w:tabs>
        <w:autoSpaceDE w:val="0"/>
        <w:autoSpaceDN w:val="0"/>
        <w:adjustRightInd w:val="0"/>
        <w:spacing w:line="500" w:lineRule="exact"/>
        <w:ind w:firstLine="420" w:firstLineChars="200"/>
        <w:jc w:val="left"/>
        <w:rPr>
          <w:rFonts w:ascii="宋体" w:hAnsi="宋体"/>
          <w:color w:val="auto"/>
          <w:kern w:val="0"/>
          <w:szCs w:val="21"/>
        </w:rPr>
      </w:pPr>
      <w:r>
        <w:rPr>
          <w:rFonts w:hint="eastAsia" w:ascii="宋体" w:hAnsi="宋体"/>
          <w:color w:val="auto"/>
          <w:kern w:val="0"/>
          <w:szCs w:val="21"/>
        </w:rPr>
        <w:t>联合体其他成员单位二</w:t>
      </w:r>
      <w:r>
        <w:rPr>
          <w:rFonts w:ascii="宋体" w:hAnsi="宋体"/>
          <w:color w:val="auto"/>
          <w:kern w:val="0"/>
          <w:szCs w:val="21"/>
        </w:rPr>
        <w:t>名称：</w:t>
      </w:r>
      <w:r>
        <w:rPr>
          <w:rFonts w:hint="eastAsia" w:ascii="宋体" w:hAnsi="宋体"/>
          <w:color w:val="auto"/>
          <w:kern w:val="0"/>
          <w:szCs w:val="21"/>
          <w:u w:val="single"/>
        </w:rPr>
        <w:t xml:space="preserve">                                    </w:t>
      </w:r>
      <w:r>
        <w:rPr>
          <w:rFonts w:hint="eastAsia" w:ascii="宋体" w:hAnsi="宋体"/>
          <w:color w:val="auto"/>
          <w:kern w:val="0"/>
          <w:szCs w:val="21"/>
        </w:rPr>
        <w:t>（</w:t>
      </w:r>
      <w:r>
        <w:rPr>
          <w:rFonts w:ascii="宋体" w:hAnsi="宋体"/>
          <w:color w:val="auto"/>
          <w:kern w:val="0"/>
          <w:szCs w:val="21"/>
        </w:rPr>
        <w:t>盖单位法人章）</w:t>
      </w:r>
    </w:p>
    <w:p w14:paraId="13DC81DB">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法定代表人或其委托代理人</w:t>
      </w:r>
      <w:r>
        <w:rPr>
          <w:rFonts w:hint="eastAsia" w:ascii="宋体" w:hAnsi="宋体"/>
          <w:color w:val="auto"/>
          <w:kern w:val="0"/>
          <w:szCs w:val="21"/>
        </w:rPr>
        <w:t>：</w:t>
      </w:r>
      <w:r>
        <w:rPr>
          <w:rFonts w:hint="eastAsia" w:ascii="宋体" w:hAnsi="宋体"/>
          <w:color w:val="auto"/>
          <w:kern w:val="0"/>
          <w:szCs w:val="21"/>
          <w:u w:val="single"/>
        </w:rPr>
        <w:t xml:space="preserve">                                    </w:t>
      </w:r>
      <w:r>
        <w:rPr>
          <w:rFonts w:ascii="宋体" w:hAnsi="宋体"/>
          <w:color w:val="auto"/>
          <w:spacing w:val="-1"/>
          <w:kern w:val="0"/>
          <w:szCs w:val="21"/>
        </w:rPr>
        <w:t>（</w:t>
      </w:r>
      <w:r>
        <w:rPr>
          <w:rFonts w:hint="eastAsia" w:ascii="宋体" w:hAnsi="宋体"/>
          <w:color w:val="auto"/>
          <w:kern w:val="0"/>
          <w:szCs w:val="21"/>
        </w:rPr>
        <w:t>签字</w:t>
      </w:r>
      <w:r>
        <w:rPr>
          <w:rFonts w:ascii="宋体" w:hAnsi="宋体"/>
          <w:snapToGrid w:val="0"/>
          <w:color w:val="auto"/>
          <w:kern w:val="0"/>
          <w:szCs w:val="21"/>
        </w:rPr>
        <w:t>或盖章</w:t>
      </w:r>
      <w:r>
        <w:rPr>
          <w:rFonts w:ascii="宋体" w:hAnsi="宋体"/>
          <w:color w:val="auto"/>
          <w:kern w:val="0"/>
          <w:szCs w:val="21"/>
        </w:rPr>
        <w:t>）</w:t>
      </w:r>
    </w:p>
    <w:p w14:paraId="6E792254">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w:t>
      </w:r>
    </w:p>
    <w:p w14:paraId="3CC4521D">
      <w:pPr>
        <w:tabs>
          <w:tab w:val="left" w:pos="3840"/>
          <w:tab w:val="left" w:pos="4780"/>
          <w:tab w:val="left" w:pos="5720"/>
        </w:tabs>
        <w:autoSpaceDE w:val="0"/>
        <w:autoSpaceDN w:val="0"/>
        <w:adjustRightInd w:val="0"/>
        <w:snapToGrid w:val="0"/>
        <w:spacing w:beforeLines="50" w:line="500" w:lineRule="exact"/>
        <w:ind w:right="420" w:firstLine="5565" w:firstLineChars="2650"/>
        <w:jc w:val="right"/>
        <w:rPr>
          <w:rFonts w:ascii="宋体" w:hAnsi="宋体"/>
          <w:snapToGrid w:val="0"/>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063A40AD">
      <w:pPr>
        <w:spacing w:line="360" w:lineRule="auto"/>
        <w:jc w:val="center"/>
        <w:rPr>
          <w:rFonts w:ascii="宋体" w:hAnsi="宋体"/>
          <w:snapToGrid w:val="0"/>
          <w:color w:val="auto"/>
          <w:szCs w:val="21"/>
        </w:rPr>
      </w:pPr>
    </w:p>
    <w:p w14:paraId="5EB7A3AA">
      <w:pPr>
        <w:spacing w:line="500" w:lineRule="exact"/>
        <w:ind w:firstLine="420" w:firstLineChars="200"/>
        <w:jc w:val="left"/>
        <w:rPr>
          <w:rFonts w:ascii="宋体" w:hAnsi="宋体"/>
          <w:snapToGrid w:val="0"/>
          <w:color w:val="auto"/>
          <w:szCs w:val="21"/>
        </w:rPr>
      </w:pPr>
      <w:r>
        <w:rPr>
          <w:rFonts w:ascii="宋体" w:hAnsi="宋体"/>
          <w:snapToGrid w:val="0"/>
          <w:color w:val="auto"/>
          <w:szCs w:val="21"/>
        </w:rPr>
        <w:t>注：</w:t>
      </w:r>
      <w:r>
        <w:rPr>
          <w:rFonts w:hint="eastAsia" w:ascii="宋体" w:hAnsi="宋体"/>
          <w:snapToGrid w:val="0"/>
          <w:color w:val="auto"/>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6A8B1179">
      <w:pPr>
        <w:spacing w:line="500" w:lineRule="exact"/>
        <w:ind w:firstLine="420" w:firstLineChars="200"/>
        <w:jc w:val="left"/>
        <w:rPr>
          <w:rFonts w:ascii="宋体" w:hAnsi="宋体"/>
          <w:b/>
          <w:color w:val="auto"/>
          <w:szCs w:val="21"/>
        </w:rPr>
      </w:pPr>
      <w:r>
        <w:rPr>
          <w:rFonts w:hint="eastAsia" w:ascii="宋体" w:hAnsi="宋体"/>
          <w:snapToGrid w:val="0"/>
          <w:color w:val="auto"/>
          <w:szCs w:val="21"/>
        </w:rPr>
        <w:t>2.本协议书由委托代理人签字或盖章的，应附法定代表人签字或盖章的授权委托书。</w:t>
      </w:r>
    </w:p>
    <w:p w14:paraId="464A5A01">
      <w:pPr>
        <w:tabs>
          <w:tab w:val="left" w:pos="2580"/>
          <w:tab w:val="left" w:pos="5940"/>
        </w:tabs>
        <w:autoSpaceDE w:val="0"/>
        <w:autoSpaceDN w:val="0"/>
        <w:adjustRightInd w:val="0"/>
        <w:snapToGrid w:val="0"/>
        <w:spacing w:line="360" w:lineRule="auto"/>
        <w:ind w:firstLine="2940"/>
        <w:jc w:val="left"/>
        <w:rPr>
          <w:rFonts w:ascii="宋体" w:hAnsi="宋体"/>
          <w:color w:val="auto"/>
        </w:rPr>
      </w:pPr>
      <w:bookmarkStart w:id="2012" w:name="_Toc224103500"/>
      <w:r>
        <w:rPr>
          <w:rFonts w:ascii="宋体" w:hAnsi="宋体"/>
          <w:color w:val="auto"/>
          <w:sz w:val="32"/>
          <w:szCs w:val="32"/>
        </w:rPr>
        <w:br w:type="page"/>
      </w:r>
      <w:bookmarkStart w:id="2013" w:name="_Toc287607872"/>
      <w:bookmarkStart w:id="2014" w:name="_Toc287620819"/>
      <w:bookmarkStart w:id="2015" w:name="_Toc430530534"/>
    </w:p>
    <w:p w14:paraId="0AD3F702">
      <w:pPr>
        <w:pStyle w:val="4"/>
        <w:spacing w:line="360" w:lineRule="auto"/>
        <w:jc w:val="center"/>
        <w:rPr>
          <w:rFonts w:ascii="宋体" w:hAnsi="宋体"/>
          <w:b w:val="0"/>
          <w:bCs w:val="0"/>
          <w:color w:val="auto"/>
          <w:sz w:val="44"/>
          <w:szCs w:val="44"/>
        </w:rPr>
      </w:pPr>
      <w:bookmarkStart w:id="2016" w:name="_Toc16312"/>
      <w:r>
        <w:rPr>
          <w:rFonts w:hint="eastAsia" w:ascii="宋体" w:hAnsi="宋体"/>
          <w:b w:val="0"/>
          <w:bCs w:val="0"/>
          <w:color w:val="auto"/>
          <w:sz w:val="44"/>
          <w:szCs w:val="44"/>
        </w:rPr>
        <w:t>二、经济部分</w:t>
      </w:r>
      <w:bookmarkEnd w:id="2012"/>
      <w:bookmarkEnd w:id="2013"/>
      <w:bookmarkEnd w:id="2014"/>
      <w:bookmarkEnd w:id="2015"/>
      <w:bookmarkEnd w:id="2016"/>
    </w:p>
    <w:p w14:paraId="288EC1DA">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14:paraId="5C70E9E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9A404A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0292A8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228A12F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249AD16">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164B7303">
      <w:pPr>
        <w:autoSpaceDE w:val="0"/>
        <w:autoSpaceDN w:val="0"/>
        <w:adjustRightInd w:val="0"/>
        <w:snapToGrid w:val="0"/>
        <w:spacing w:line="360" w:lineRule="auto"/>
        <w:jc w:val="left"/>
        <w:rPr>
          <w:rFonts w:ascii="宋体" w:hAnsi="宋体"/>
          <w:color w:val="auto"/>
          <w:kern w:val="0"/>
          <w:sz w:val="16"/>
          <w:szCs w:val="16"/>
        </w:rPr>
      </w:pPr>
    </w:p>
    <w:p w14:paraId="27C6D4F5">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3F6E4FD6">
      <w:pPr>
        <w:autoSpaceDE w:val="0"/>
        <w:autoSpaceDN w:val="0"/>
        <w:adjustRightInd w:val="0"/>
        <w:snapToGrid w:val="0"/>
        <w:spacing w:line="360" w:lineRule="auto"/>
        <w:jc w:val="left"/>
        <w:rPr>
          <w:rFonts w:ascii="宋体" w:hAnsi="宋体"/>
          <w:b/>
          <w:color w:val="auto"/>
          <w:kern w:val="0"/>
          <w:sz w:val="20"/>
          <w:szCs w:val="20"/>
        </w:rPr>
      </w:pPr>
    </w:p>
    <w:p w14:paraId="566D9DAE">
      <w:pPr>
        <w:autoSpaceDE w:val="0"/>
        <w:autoSpaceDN w:val="0"/>
        <w:adjustRightInd w:val="0"/>
        <w:snapToGrid w:val="0"/>
        <w:spacing w:line="360" w:lineRule="auto"/>
        <w:jc w:val="left"/>
        <w:rPr>
          <w:rFonts w:ascii="宋体" w:hAnsi="宋体"/>
          <w:b/>
          <w:color w:val="auto"/>
          <w:kern w:val="0"/>
          <w:sz w:val="20"/>
          <w:szCs w:val="20"/>
        </w:rPr>
      </w:pPr>
    </w:p>
    <w:p w14:paraId="4E67A91D">
      <w:pPr>
        <w:autoSpaceDE w:val="0"/>
        <w:autoSpaceDN w:val="0"/>
        <w:adjustRightInd w:val="0"/>
        <w:snapToGrid w:val="0"/>
        <w:spacing w:line="360" w:lineRule="auto"/>
        <w:jc w:val="left"/>
        <w:rPr>
          <w:rFonts w:ascii="宋体" w:hAnsi="宋体"/>
          <w:b/>
          <w:color w:val="auto"/>
          <w:kern w:val="0"/>
          <w:sz w:val="20"/>
          <w:szCs w:val="20"/>
        </w:rPr>
      </w:pPr>
    </w:p>
    <w:p w14:paraId="3228B28E">
      <w:pPr>
        <w:autoSpaceDE w:val="0"/>
        <w:autoSpaceDN w:val="0"/>
        <w:adjustRightInd w:val="0"/>
        <w:snapToGrid w:val="0"/>
        <w:spacing w:line="360" w:lineRule="auto"/>
        <w:jc w:val="left"/>
        <w:rPr>
          <w:rFonts w:ascii="宋体" w:hAnsi="宋体"/>
          <w:b/>
          <w:color w:val="auto"/>
          <w:kern w:val="0"/>
          <w:sz w:val="20"/>
          <w:szCs w:val="20"/>
        </w:rPr>
      </w:pPr>
    </w:p>
    <w:p w14:paraId="51449860">
      <w:pPr>
        <w:autoSpaceDE w:val="0"/>
        <w:autoSpaceDN w:val="0"/>
        <w:adjustRightInd w:val="0"/>
        <w:snapToGrid w:val="0"/>
        <w:spacing w:line="360" w:lineRule="auto"/>
        <w:jc w:val="left"/>
        <w:rPr>
          <w:rFonts w:ascii="宋体" w:hAnsi="宋体"/>
          <w:b/>
          <w:color w:val="auto"/>
          <w:kern w:val="0"/>
          <w:sz w:val="20"/>
          <w:szCs w:val="20"/>
        </w:rPr>
      </w:pPr>
    </w:p>
    <w:p w14:paraId="7C23BBF9">
      <w:pPr>
        <w:autoSpaceDE w:val="0"/>
        <w:autoSpaceDN w:val="0"/>
        <w:adjustRightInd w:val="0"/>
        <w:snapToGrid w:val="0"/>
        <w:spacing w:line="360" w:lineRule="auto"/>
        <w:jc w:val="left"/>
        <w:rPr>
          <w:rFonts w:ascii="宋体" w:hAnsi="宋体"/>
          <w:b/>
          <w:color w:val="auto"/>
          <w:kern w:val="0"/>
          <w:sz w:val="20"/>
          <w:szCs w:val="20"/>
        </w:rPr>
      </w:pPr>
    </w:p>
    <w:p w14:paraId="76AC6118">
      <w:pPr>
        <w:autoSpaceDE w:val="0"/>
        <w:autoSpaceDN w:val="0"/>
        <w:adjustRightInd w:val="0"/>
        <w:snapToGrid w:val="0"/>
        <w:spacing w:line="360" w:lineRule="auto"/>
        <w:jc w:val="left"/>
        <w:rPr>
          <w:rFonts w:ascii="宋体" w:hAnsi="宋体"/>
          <w:b/>
          <w:color w:val="auto"/>
          <w:kern w:val="0"/>
          <w:sz w:val="20"/>
          <w:szCs w:val="20"/>
        </w:rPr>
      </w:pPr>
    </w:p>
    <w:p w14:paraId="0DBA87A1">
      <w:pPr>
        <w:autoSpaceDE w:val="0"/>
        <w:autoSpaceDN w:val="0"/>
        <w:adjustRightInd w:val="0"/>
        <w:snapToGrid w:val="0"/>
        <w:spacing w:line="360" w:lineRule="auto"/>
        <w:jc w:val="left"/>
        <w:rPr>
          <w:rFonts w:ascii="宋体" w:hAnsi="宋体"/>
          <w:b/>
          <w:color w:val="auto"/>
          <w:kern w:val="0"/>
          <w:sz w:val="20"/>
          <w:szCs w:val="20"/>
        </w:rPr>
      </w:pPr>
    </w:p>
    <w:p w14:paraId="155A4CB6">
      <w:pPr>
        <w:autoSpaceDE w:val="0"/>
        <w:autoSpaceDN w:val="0"/>
        <w:adjustRightInd w:val="0"/>
        <w:snapToGrid w:val="0"/>
        <w:spacing w:line="360" w:lineRule="auto"/>
        <w:jc w:val="left"/>
        <w:rPr>
          <w:rFonts w:ascii="宋体" w:hAnsi="宋体"/>
          <w:b/>
          <w:color w:val="auto"/>
          <w:kern w:val="0"/>
          <w:sz w:val="20"/>
          <w:szCs w:val="20"/>
        </w:rPr>
      </w:pPr>
    </w:p>
    <w:p w14:paraId="3CA984B3">
      <w:pPr>
        <w:autoSpaceDE w:val="0"/>
        <w:autoSpaceDN w:val="0"/>
        <w:adjustRightInd w:val="0"/>
        <w:snapToGrid w:val="0"/>
        <w:spacing w:line="360" w:lineRule="auto"/>
        <w:jc w:val="left"/>
        <w:rPr>
          <w:rFonts w:ascii="宋体" w:hAnsi="宋体"/>
          <w:b/>
          <w:color w:val="auto"/>
          <w:kern w:val="0"/>
          <w:sz w:val="20"/>
          <w:szCs w:val="20"/>
        </w:rPr>
      </w:pPr>
    </w:p>
    <w:p w14:paraId="2D3656B6">
      <w:pPr>
        <w:autoSpaceDE w:val="0"/>
        <w:autoSpaceDN w:val="0"/>
        <w:adjustRightInd w:val="0"/>
        <w:snapToGrid w:val="0"/>
        <w:spacing w:line="360" w:lineRule="auto"/>
        <w:jc w:val="left"/>
        <w:rPr>
          <w:rFonts w:ascii="宋体" w:hAnsi="宋体"/>
          <w:b/>
          <w:color w:val="auto"/>
          <w:kern w:val="0"/>
          <w:sz w:val="20"/>
          <w:szCs w:val="20"/>
        </w:rPr>
      </w:pPr>
    </w:p>
    <w:p w14:paraId="7292D85D">
      <w:pPr>
        <w:autoSpaceDE w:val="0"/>
        <w:autoSpaceDN w:val="0"/>
        <w:adjustRightInd w:val="0"/>
        <w:snapToGrid w:val="0"/>
        <w:spacing w:line="360" w:lineRule="auto"/>
        <w:jc w:val="left"/>
        <w:rPr>
          <w:rFonts w:ascii="宋体" w:hAnsi="宋体"/>
          <w:b/>
          <w:color w:val="auto"/>
          <w:kern w:val="0"/>
          <w:sz w:val="20"/>
          <w:szCs w:val="20"/>
        </w:rPr>
      </w:pPr>
    </w:p>
    <w:p w14:paraId="2D925C4B">
      <w:pPr>
        <w:autoSpaceDE w:val="0"/>
        <w:autoSpaceDN w:val="0"/>
        <w:adjustRightInd w:val="0"/>
        <w:snapToGrid w:val="0"/>
        <w:spacing w:line="360" w:lineRule="auto"/>
        <w:jc w:val="left"/>
        <w:rPr>
          <w:rFonts w:ascii="宋体" w:hAnsi="宋体"/>
          <w:b/>
          <w:color w:val="auto"/>
          <w:kern w:val="0"/>
          <w:sz w:val="20"/>
          <w:szCs w:val="20"/>
        </w:rPr>
      </w:pPr>
    </w:p>
    <w:p w14:paraId="6D4DECCB">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55C9AB99">
      <w:pPr>
        <w:tabs>
          <w:tab w:val="left" w:pos="6080"/>
          <w:tab w:val="left" w:pos="6640"/>
        </w:tabs>
        <w:autoSpaceDE w:val="0"/>
        <w:autoSpaceDN w:val="0"/>
        <w:adjustRightInd w:val="0"/>
        <w:snapToGrid w:val="0"/>
        <w:spacing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签字</w:t>
      </w:r>
      <w:r>
        <w:rPr>
          <w:rFonts w:ascii="宋体" w:hAnsi="宋体"/>
          <w:color w:val="auto"/>
          <w:w w:val="99"/>
          <w:kern w:val="0"/>
          <w:sz w:val="28"/>
          <w:szCs w:val="28"/>
        </w:rPr>
        <w:t>或盖章）</w:t>
      </w:r>
    </w:p>
    <w:p w14:paraId="19B10DD7">
      <w:pPr>
        <w:tabs>
          <w:tab w:val="left" w:pos="3280"/>
          <w:tab w:val="left" w:pos="4680"/>
          <w:tab w:val="left" w:pos="6080"/>
        </w:tabs>
        <w:autoSpaceDE w:val="0"/>
        <w:autoSpaceDN w:val="0"/>
        <w:adjustRightInd w:val="0"/>
        <w:snapToGrid w:val="0"/>
        <w:spacing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3D9388AC">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14:paraId="789789E3">
      <w:pPr>
        <w:autoSpaceDE w:val="0"/>
        <w:autoSpaceDN w:val="0"/>
        <w:adjustRightInd w:val="0"/>
        <w:snapToGrid w:val="0"/>
        <w:spacing w:line="360" w:lineRule="auto"/>
        <w:jc w:val="center"/>
        <w:rPr>
          <w:rFonts w:ascii="宋体" w:hAnsi="宋体"/>
          <w:color w:val="auto"/>
          <w:kern w:val="0"/>
          <w:szCs w:val="21"/>
        </w:rPr>
      </w:pPr>
      <w:r>
        <w:rPr>
          <w:rFonts w:hint="eastAsia" w:ascii="宋体" w:hAnsi="宋体"/>
          <w:color w:val="auto"/>
          <w:kern w:val="0"/>
          <w:sz w:val="36"/>
          <w:szCs w:val="36"/>
        </w:rPr>
        <w:t>目  录</w:t>
      </w:r>
    </w:p>
    <w:p w14:paraId="4C5D2057">
      <w:pPr>
        <w:autoSpaceDE w:val="0"/>
        <w:autoSpaceDN w:val="0"/>
        <w:adjustRightInd w:val="0"/>
        <w:snapToGrid w:val="0"/>
        <w:spacing w:line="360" w:lineRule="auto"/>
        <w:jc w:val="left"/>
        <w:rPr>
          <w:rFonts w:ascii="宋体" w:hAnsi="宋体"/>
          <w:color w:val="auto"/>
          <w:kern w:val="0"/>
          <w:szCs w:val="21"/>
        </w:rPr>
      </w:pPr>
    </w:p>
    <w:p w14:paraId="62966E10">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14:paraId="381589FC">
      <w:pPr>
        <w:pStyle w:val="5"/>
        <w:spacing w:before="0" w:after="0" w:line="240" w:lineRule="auto"/>
        <w:jc w:val="center"/>
        <w:rPr>
          <w:rFonts w:ascii="宋体" w:hAnsi="宋体"/>
          <w:b w:val="0"/>
          <w:bCs w:val="0"/>
          <w:color w:val="auto"/>
        </w:rPr>
      </w:pPr>
      <w:bookmarkStart w:id="2017" w:name="_Toc224103501"/>
      <w:bookmarkStart w:id="2018" w:name="_Toc287607873"/>
      <w:bookmarkStart w:id="2019" w:name="_Toc287620820"/>
      <w:bookmarkStart w:id="2020" w:name="_Toc277082648"/>
      <w:bookmarkStart w:id="2021" w:name="_Toc430530535"/>
      <w:r>
        <w:rPr>
          <w:rFonts w:ascii="宋体" w:hAnsi="宋体"/>
          <w:b w:val="0"/>
          <w:bCs w:val="0"/>
          <w:color w:val="auto"/>
          <w:kern w:val="0"/>
          <w:sz w:val="21"/>
          <w:szCs w:val="21"/>
        </w:rPr>
        <w:br w:type="page"/>
      </w:r>
      <w:bookmarkStart w:id="2022" w:name="_Toc16279"/>
      <w:r>
        <w:rPr>
          <w:rFonts w:hint="eastAsia" w:ascii="宋体" w:hAnsi="宋体"/>
          <w:b w:val="0"/>
          <w:bCs w:val="0"/>
          <w:color w:val="auto"/>
        </w:rPr>
        <w:t>（一）已标价工程量清单</w:t>
      </w:r>
      <w:bookmarkEnd w:id="2017"/>
      <w:bookmarkEnd w:id="2018"/>
      <w:bookmarkEnd w:id="2019"/>
      <w:bookmarkEnd w:id="2020"/>
      <w:bookmarkEnd w:id="2021"/>
      <w:bookmarkEnd w:id="2022"/>
    </w:p>
    <w:p w14:paraId="5E4B89D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51AC5F4F">
      <w:pPr>
        <w:pStyle w:val="4"/>
        <w:spacing w:line="360" w:lineRule="auto"/>
        <w:rPr>
          <w:rFonts w:ascii="宋体" w:hAnsi="宋体"/>
          <w:color w:val="auto"/>
          <w:kern w:val="0"/>
          <w:sz w:val="24"/>
          <w:szCs w:val="21"/>
        </w:rPr>
      </w:pPr>
      <w:bookmarkStart w:id="2023" w:name="_Toc430530536"/>
      <w:bookmarkStart w:id="2024" w:name="_Toc224103502"/>
      <w:bookmarkStart w:id="2025" w:name="_Toc287620821"/>
      <w:bookmarkStart w:id="2026" w:name="_Toc287607874"/>
      <w:r>
        <w:rPr>
          <w:rFonts w:ascii="宋体" w:hAnsi="宋体"/>
          <w:color w:val="auto"/>
        </w:rPr>
        <w:br w:type="page"/>
      </w:r>
    </w:p>
    <w:bookmarkEnd w:id="2023"/>
    <w:bookmarkEnd w:id="2024"/>
    <w:bookmarkEnd w:id="2025"/>
    <w:bookmarkEnd w:id="2026"/>
    <w:p w14:paraId="0BE4C4AC">
      <w:pPr>
        <w:autoSpaceDE w:val="0"/>
        <w:autoSpaceDN w:val="0"/>
        <w:adjustRightInd w:val="0"/>
        <w:snapToGrid w:val="0"/>
        <w:spacing w:line="360" w:lineRule="auto"/>
        <w:jc w:val="left"/>
        <w:rPr>
          <w:rFonts w:ascii="宋体" w:hAnsi="宋体"/>
          <w:color w:val="auto"/>
          <w:kern w:val="0"/>
          <w:sz w:val="24"/>
          <w:szCs w:val="21"/>
        </w:rPr>
      </w:pPr>
    </w:p>
    <w:p w14:paraId="6E3A5E18">
      <w:pPr>
        <w:jc w:val="center"/>
        <w:rPr>
          <w:color w:val="auto"/>
          <w:sz w:val="32"/>
          <w:szCs w:val="32"/>
        </w:rPr>
      </w:pPr>
      <w:bookmarkStart w:id="2027" w:name="_Toc277082650"/>
      <w:bookmarkStart w:id="2028" w:name="_Toc534185834"/>
      <w:bookmarkStart w:id="2029" w:name="_Toc509218857"/>
      <w:bookmarkStart w:id="2030" w:name="_Toc430530539"/>
      <w:bookmarkStart w:id="2031" w:name="_Toc287620823"/>
      <w:bookmarkStart w:id="2032" w:name="_Toc287607876"/>
      <w:bookmarkStart w:id="2033" w:name="_Toc224103504"/>
      <w:bookmarkStart w:id="2034" w:name="_Toc224103507"/>
      <w:bookmarkStart w:id="2035" w:name="_Toc287607879"/>
      <w:bookmarkStart w:id="2036" w:name="_Toc287620826"/>
      <w:bookmarkStart w:id="2037" w:name="_Toc277082653"/>
      <w:r>
        <w:rPr>
          <w:rFonts w:hint="eastAsia"/>
          <w:color w:val="auto"/>
          <w:sz w:val="32"/>
          <w:szCs w:val="32"/>
        </w:rPr>
        <w:t>附表一：拟投入本标段的主要施工设备表</w:t>
      </w:r>
      <w:bookmarkEnd w:id="2027"/>
      <w:bookmarkEnd w:id="2028"/>
      <w:bookmarkEnd w:id="2029"/>
      <w:bookmarkEnd w:id="2030"/>
      <w:bookmarkEnd w:id="2031"/>
      <w:bookmarkEnd w:id="2032"/>
      <w:bookmarkEnd w:id="2033"/>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3F7A18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3457D10E">
            <w:pPr>
              <w:autoSpaceDE w:val="0"/>
              <w:autoSpaceDN w:val="0"/>
              <w:adjustRightInd w:val="0"/>
              <w:snapToGrid w:val="0"/>
              <w:jc w:val="center"/>
              <w:rPr>
                <w:rFonts w:ascii="宋体" w:hAnsi="宋体"/>
                <w:color w:val="auto"/>
                <w:kern w:val="0"/>
                <w:sz w:val="24"/>
              </w:rPr>
            </w:pPr>
            <w:r>
              <w:rPr>
                <w:rFonts w:ascii="宋体" w:hAnsi="宋体"/>
                <w:color w:val="auto"/>
                <w:kern w:val="0"/>
                <w:szCs w:val="21"/>
              </w:rPr>
              <w:t>序号</w:t>
            </w:r>
          </w:p>
        </w:tc>
        <w:tc>
          <w:tcPr>
            <w:tcW w:w="1176" w:type="dxa"/>
            <w:vAlign w:val="center"/>
          </w:tcPr>
          <w:p w14:paraId="7D88E9DE">
            <w:pPr>
              <w:autoSpaceDE w:val="0"/>
              <w:autoSpaceDN w:val="0"/>
              <w:adjustRightInd w:val="0"/>
              <w:snapToGrid w:val="0"/>
              <w:jc w:val="center"/>
              <w:rPr>
                <w:rFonts w:ascii="宋体" w:hAnsi="宋体"/>
                <w:color w:val="auto"/>
                <w:kern w:val="0"/>
                <w:sz w:val="24"/>
              </w:rPr>
            </w:pPr>
            <w:r>
              <w:rPr>
                <w:rFonts w:ascii="宋体" w:hAnsi="宋体"/>
                <w:color w:val="auto"/>
                <w:kern w:val="0"/>
                <w:szCs w:val="21"/>
              </w:rPr>
              <w:t>设备名称</w:t>
            </w:r>
          </w:p>
        </w:tc>
        <w:tc>
          <w:tcPr>
            <w:tcW w:w="824" w:type="dxa"/>
            <w:vAlign w:val="center"/>
          </w:tcPr>
          <w:p w14:paraId="34D9A9DE">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型号</w:t>
            </w:r>
          </w:p>
          <w:p w14:paraId="399B7460">
            <w:pPr>
              <w:autoSpaceDE w:val="0"/>
              <w:autoSpaceDN w:val="0"/>
              <w:adjustRightInd w:val="0"/>
              <w:snapToGrid w:val="0"/>
              <w:jc w:val="center"/>
              <w:rPr>
                <w:rFonts w:ascii="宋体" w:hAnsi="宋体"/>
                <w:color w:val="auto"/>
                <w:kern w:val="0"/>
                <w:sz w:val="24"/>
              </w:rPr>
            </w:pPr>
            <w:r>
              <w:rPr>
                <w:rFonts w:ascii="宋体" w:hAnsi="宋体"/>
                <w:color w:val="auto"/>
                <w:kern w:val="0"/>
                <w:szCs w:val="21"/>
              </w:rPr>
              <w:t>规格</w:t>
            </w:r>
          </w:p>
        </w:tc>
        <w:tc>
          <w:tcPr>
            <w:tcW w:w="1072" w:type="dxa"/>
            <w:vAlign w:val="center"/>
          </w:tcPr>
          <w:p w14:paraId="6845D77D">
            <w:pPr>
              <w:autoSpaceDE w:val="0"/>
              <w:autoSpaceDN w:val="0"/>
              <w:adjustRightInd w:val="0"/>
              <w:snapToGrid w:val="0"/>
              <w:jc w:val="center"/>
              <w:rPr>
                <w:rFonts w:ascii="宋体" w:hAnsi="宋体"/>
                <w:color w:val="auto"/>
                <w:kern w:val="0"/>
                <w:sz w:val="24"/>
              </w:rPr>
            </w:pPr>
            <w:r>
              <w:rPr>
                <w:rFonts w:ascii="宋体" w:hAnsi="宋体"/>
                <w:color w:val="auto"/>
                <w:kern w:val="0"/>
                <w:szCs w:val="21"/>
              </w:rPr>
              <w:t>数量</w:t>
            </w:r>
          </w:p>
        </w:tc>
        <w:tc>
          <w:tcPr>
            <w:tcW w:w="728" w:type="dxa"/>
            <w:vAlign w:val="center"/>
          </w:tcPr>
          <w:p w14:paraId="58D027EB">
            <w:pPr>
              <w:autoSpaceDE w:val="0"/>
              <w:autoSpaceDN w:val="0"/>
              <w:adjustRightInd w:val="0"/>
              <w:snapToGrid w:val="0"/>
              <w:jc w:val="center"/>
              <w:rPr>
                <w:rFonts w:ascii="宋体" w:hAnsi="宋体"/>
                <w:color w:val="auto"/>
                <w:kern w:val="0"/>
                <w:sz w:val="24"/>
              </w:rPr>
            </w:pPr>
            <w:r>
              <w:rPr>
                <w:rFonts w:ascii="宋体" w:hAnsi="宋体"/>
                <w:color w:val="auto"/>
                <w:kern w:val="0"/>
                <w:szCs w:val="21"/>
              </w:rPr>
              <w:t>国别 产地</w:t>
            </w:r>
          </w:p>
        </w:tc>
        <w:tc>
          <w:tcPr>
            <w:tcW w:w="799" w:type="dxa"/>
            <w:vAlign w:val="center"/>
          </w:tcPr>
          <w:p w14:paraId="4987D9F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制造</w:t>
            </w:r>
          </w:p>
          <w:p w14:paraId="7DEE133D">
            <w:pPr>
              <w:autoSpaceDE w:val="0"/>
              <w:autoSpaceDN w:val="0"/>
              <w:adjustRightInd w:val="0"/>
              <w:snapToGrid w:val="0"/>
              <w:jc w:val="center"/>
              <w:rPr>
                <w:rFonts w:ascii="宋体" w:hAnsi="宋体"/>
                <w:color w:val="auto"/>
                <w:kern w:val="0"/>
                <w:sz w:val="24"/>
              </w:rPr>
            </w:pPr>
            <w:r>
              <w:rPr>
                <w:rFonts w:ascii="宋体" w:hAnsi="宋体"/>
                <w:color w:val="auto"/>
                <w:kern w:val="0"/>
                <w:szCs w:val="21"/>
              </w:rPr>
              <w:t>年份</w:t>
            </w:r>
          </w:p>
        </w:tc>
        <w:tc>
          <w:tcPr>
            <w:tcW w:w="1312" w:type="dxa"/>
            <w:vAlign w:val="center"/>
          </w:tcPr>
          <w:p w14:paraId="32F72908">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额定功率</w:t>
            </w:r>
          </w:p>
          <w:p w14:paraId="0009AEE3">
            <w:pPr>
              <w:autoSpaceDE w:val="0"/>
              <w:autoSpaceDN w:val="0"/>
              <w:adjustRightInd w:val="0"/>
              <w:snapToGrid w:val="0"/>
              <w:jc w:val="center"/>
              <w:rPr>
                <w:rFonts w:ascii="宋体" w:hAnsi="宋体"/>
                <w:color w:val="auto"/>
                <w:kern w:val="0"/>
                <w:sz w:val="10"/>
                <w:szCs w:val="10"/>
              </w:rPr>
            </w:pPr>
          </w:p>
          <w:p w14:paraId="0778DA0B">
            <w:pPr>
              <w:autoSpaceDE w:val="0"/>
              <w:autoSpaceDN w:val="0"/>
              <w:adjustRightInd w:val="0"/>
              <w:snapToGrid w:val="0"/>
              <w:jc w:val="center"/>
              <w:rPr>
                <w:rFonts w:ascii="宋体" w:hAnsi="宋体"/>
                <w:color w:val="auto"/>
                <w:kern w:val="0"/>
                <w:sz w:val="24"/>
              </w:rPr>
            </w:pPr>
            <w:r>
              <w:rPr>
                <w:rFonts w:ascii="宋体" w:hAnsi="宋体"/>
                <w:color w:val="auto"/>
                <w:kern w:val="0"/>
                <w:szCs w:val="21"/>
              </w:rPr>
              <w:t>（KW）</w:t>
            </w:r>
          </w:p>
        </w:tc>
        <w:tc>
          <w:tcPr>
            <w:tcW w:w="947" w:type="dxa"/>
            <w:vAlign w:val="center"/>
          </w:tcPr>
          <w:p w14:paraId="245FF3B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生产</w:t>
            </w:r>
          </w:p>
          <w:p w14:paraId="6AEC1BFF">
            <w:pPr>
              <w:autoSpaceDE w:val="0"/>
              <w:autoSpaceDN w:val="0"/>
              <w:adjustRightInd w:val="0"/>
              <w:snapToGrid w:val="0"/>
              <w:jc w:val="center"/>
              <w:rPr>
                <w:rFonts w:ascii="宋体" w:hAnsi="宋体"/>
                <w:color w:val="auto"/>
                <w:kern w:val="0"/>
                <w:sz w:val="24"/>
              </w:rPr>
            </w:pPr>
            <w:r>
              <w:rPr>
                <w:rFonts w:ascii="宋体" w:hAnsi="宋体"/>
                <w:color w:val="auto"/>
                <w:kern w:val="0"/>
                <w:szCs w:val="21"/>
              </w:rPr>
              <w:t>能力</w:t>
            </w:r>
          </w:p>
        </w:tc>
        <w:tc>
          <w:tcPr>
            <w:tcW w:w="1141" w:type="dxa"/>
            <w:vAlign w:val="center"/>
          </w:tcPr>
          <w:p w14:paraId="7CDB42B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用于施</w:t>
            </w:r>
          </w:p>
          <w:p w14:paraId="7B4A8ED6">
            <w:pPr>
              <w:autoSpaceDE w:val="0"/>
              <w:autoSpaceDN w:val="0"/>
              <w:adjustRightInd w:val="0"/>
              <w:snapToGrid w:val="0"/>
              <w:jc w:val="center"/>
              <w:rPr>
                <w:rFonts w:ascii="宋体" w:hAnsi="宋体"/>
                <w:color w:val="auto"/>
                <w:kern w:val="0"/>
                <w:sz w:val="24"/>
              </w:rPr>
            </w:pPr>
            <w:r>
              <w:rPr>
                <w:rFonts w:ascii="宋体" w:hAnsi="宋体"/>
                <w:color w:val="auto"/>
                <w:kern w:val="0"/>
                <w:szCs w:val="21"/>
              </w:rPr>
              <w:t>工部位</w:t>
            </w:r>
          </w:p>
        </w:tc>
        <w:tc>
          <w:tcPr>
            <w:tcW w:w="749" w:type="dxa"/>
            <w:vAlign w:val="center"/>
          </w:tcPr>
          <w:p w14:paraId="24C1D12E">
            <w:pPr>
              <w:autoSpaceDE w:val="0"/>
              <w:autoSpaceDN w:val="0"/>
              <w:adjustRightInd w:val="0"/>
              <w:snapToGrid w:val="0"/>
              <w:jc w:val="center"/>
              <w:rPr>
                <w:rFonts w:ascii="宋体" w:hAnsi="宋体"/>
                <w:color w:val="auto"/>
                <w:kern w:val="0"/>
                <w:sz w:val="24"/>
              </w:rPr>
            </w:pPr>
            <w:r>
              <w:rPr>
                <w:rFonts w:ascii="宋体" w:hAnsi="宋体"/>
                <w:color w:val="auto"/>
                <w:kern w:val="0"/>
                <w:szCs w:val="21"/>
              </w:rPr>
              <w:t>备注</w:t>
            </w:r>
          </w:p>
        </w:tc>
      </w:tr>
      <w:tr w14:paraId="666E2B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AD95751">
            <w:pPr>
              <w:autoSpaceDE w:val="0"/>
              <w:autoSpaceDN w:val="0"/>
              <w:adjustRightInd w:val="0"/>
              <w:snapToGrid w:val="0"/>
              <w:jc w:val="center"/>
              <w:rPr>
                <w:rFonts w:ascii="宋体" w:hAnsi="宋体"/>
                <w:color w:val="auto"/>
                <w:kern w:val="0"/>
                <w:sz w:val="24"/>
              </w:rPr>
            </w:pPr>
          </w:p>
        </w:tc>
        <w:tc>
          <w:tcPr>
            <w:tcW w:w="1176" w:type="dxa"/>
            <w:vAlign w:val="center"/>
          </w:tcPr>
          <w:p w14:paraId="0FC9153C">
            <w:pPr>
              <w:autoSpaceDE w:val="0"/>
              <w:autoSpaceDN w:val="0"/>
              <w:adjustRightInd w:val="0"/>
              <w:snapToGrid w:val="0"/>
              <w:jc w:val="center"/>
              <w:rPr>
                <w:rFonts w:ascii="宋体" w:hAnsi="宋体"/>
                <w:color w:val="auto"/>
                <w:kern w:val="0"/>
                <w:sz w:val="24"/>
              </w:rPr>
            </w:pPr>
          </w:p>
        </w:tc>
        <w:tc>
          <w:tcPr>
            <w:tcW w:w="824" w:type="dxa"/>
            <w:vAlign w:val="center"/>
          </w:tcPr>
          <w:p w14:paraId="02F2D1EA">
            <w:pPr>
              <w:autoSpaceDE w:val="0"/>
              <w:autoSpaceDN w:val="0"/>
              <w:adjustRightInd w:val="0"/>
              <w:snapToGrid w:val="0"/>
              <w:jc w:val="center"/>
              <w:rPr>
                <w:rFonts w:ascii="宋体" w:hAnsi="宋体"/>
                <w:color w:val="auto"/>
                <w:kern w:val="0"/>
                <w:sz w:val="24"/>
              </w:rPr>
            </w:pPr>
          </w:p>
        </w:tc>
        <w:tc>
          <w:tcPr>
            <w:tcW w:w="1072" w:type="dxa"/>
            <w:vAlign w:val="center"/>
          </w:tcPr>
          <w:p w14:paraId="5FE94B7E">
            <w:pPr>
              <w:autoSpaceDE w:val="0"/>
              <w:autoSpaceDN w:val="0"/>
              <w:adjustRightInd w:val="0"/>
              <w:snapToGrid w:val="0"/>
              <w:jc w:val="center"/>
              <w:rPr>
                <w:rFonts w:ascii="宋体" w:hAnsi="宋体"/>
                <w:color w:val="auto"/>
                <w:kern w:val="0"/>
                <w:sz w:val="24"/>
              </w:rPr>
            </w:pPr>
          </w:p>
        </w:tc>
        <w:tc>
          <w:tcPr>
            <w:tcW w:w="728" w:type="dxa"/>
            <w:vAlign w:val="center"/>
          </w:tcPr>
          <w:p w14:paraId="56B72DF7">
            <w:pPr>
              <w:autoSpaceDE w:val="0"/>
              <w:autoSpaceDN w:val="0"/>
              <w:adjustRightInd w:val="0"/>
              <w:snapToGrid w:val="0"/>
              <w:jc w:val="center"/>
              <w:rPr>
                <w:rFonts w:ascii="宋体" w:hAnsi="宋体"/>
                <w:color w:val="auto"/>
                <w:kern w:val="0"/>
                <w:sz w:val="24"/>
              </w:rPr>
            </w:pPr>
          </w:p>
        </w:tc>
        <w:tc>
          <w:tcPr>
            <w:tcW w:w="799" w:type="dxa"/>
            <w:vAlign w:val="center"/>
          </w:tcPr>
          <w:p w14:paraId="483AD322">
            <w:pPr>
              <w:autoSpaceDE w:val="0"/>
              <w:autoSpaceDN w:val="0"/>
              <w:adjustRightInd w:val="0"/>
              <w:snapToGrid w:val="0"/>
              <w:jc w:val="center"/>
              <w:rPr>
                <w:rFonts w:ascii="宋体" w:hAnsi="宋体"/>
                <w:color w:val="auto"/>
                <w:kern w:val="0"/>
                <w:sz w:val="24"/>
              </w:rPr>
            </w:pPr>
          </w:p>
        </w:tc>
        <w:tc>
          <w:tcPr>
            <w:tcW w:w="1312" w:type="dxa"/>
            <w:vAlign w:val="center"/>
          </w:tcPr>
          <w:p w14:paraId="19F4C0FB">
            <w:pPr>
              <w:autoSpaceDE w:val="0"/>
              <w:autoSpaceDN w:val="0"/>
              <w:adjustRightInd w:val="0"/>
              <w:snapToGrid w:val="0"/>
              <w:jc w:val="center"/>
              <w:rPr>
                <w:rFonts w:ascii="宋体" w:hAnsi="宋体"/>
                <w:color w:val="auto"/>
                <w:kern w:val="0"/>
                <w:sz w:val="24"/>
              </w:rPr>
            </w:pPr>
          </w:p>
        </w:tc>
        <w:tc>
          <w:tcPr>
            <w:tcW w:w="947" w:type="dxa"/>
            <w:vAlign w:val="center"/>
          </w:tcPr>
          <w:p w14:paraId="247D0E6D">
            <w:pPr>
              <w:autoSpaceDE w:val="0"/>
              <w:autoSpaceDN w:val="0"/>
              <w:adjustRightInd w:val="0"/>
              <w:snapToGrid w:val="0"/>
              <w:jc w:val="center"/>
              <w:rPr>
                <w:rFonts w:ascii="宋体" w:hAnsi="宋体"/>
                <w:color w:val="auto"/>
                <w:kern w:val="0"/>
                <w:sz w:val="24"/>
              </w:rPr>
            </w:pPr>
          </w:p>
        </w:tc>
        <w:tc>
          <w:tcPr>
            <w:tcW w:w="1141" w:type="dxa"/>
            <w:vAlign w:val="center"/>
          </w:tcPr>
          <w:p w14:paraId="04200D09">
            <w:pPr>
              <w:autoSpaceDE w:val="0"/>
              <w:autoSpaceDN w:val="0"/>
              <w:adjustRightInd w:val="0"/>
              <w:snapToGrid w:val="0"/>
              <w:jc w:val="center"/>
              <w:rPr>
                <w:rFonts w:ascii="宋体" w:hAnsi="宋体"/>
                <w:color w:val="auto"/>
                <w:kern w:val="0"/>
                <w:sz w:val="24"/>
              </w:rPr>
            </w:pPr>
          </w:p>
        </w:tc>
        <w:tc>
          <w:tcPr>
            <w:tcW w:w="749" w:type="dxa"/>
            <w:vAlign w:val="center"/>
          </w:tcPr>
          <w:p w14:paraId="2C7ED186">
            <w:pPr>
              <w:autoSpaceDE w:val="0"/>
              <w:autoSpaceDN w:val="0"/>
              <w:adjustRightInd w:val="0"/>
              <w:snapToGrid w:val="0"/>
              <w:jc w:val="center"/>
              <w:rPr>
                <w:rFonts w:ascii="宋体" w:hAnsi="宋体"/>
                <w:color w:val="auto"/>
                <w:kern w:val="0"/>
                <w:sz w:val="24"/>
              </w:rPr>
            </w:pPr>
          </w:p>
        </w:tc>
      </w:tr>
      <w:tr w14:paraId="05D96B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DAB65CC">
            <w:pPr>
              <w:autoSpaceDE w:val="0"/>
              <w:autoSpaceDN w:val="0"/>
              <w:adjustRightInd w:val="0"/>
              <w:snapToGrid w:val="0"/>
              <w:jc w:val="center"/>
              <w:rPr>
                <w:rFonts w:ascii="宋体" w:hAnsi="宋体"/>
                <w:color w:val="auto"/>
                <w:kern w:val="0"/>
                <w:sz w:val="24"/>
              </w:rPr>
            </w:pPr>
          </w:p>
        </w:tc>
        <w:tc>
          <w:tcPr>
            <w:tcW w:w="1176" w:type="dxa"/>
            <w:vAlign w:val="center"/>
          </w:tcPr>
          <w:p w14:paraId="303B40D5">
            <w:pPr>
              <w:autoSpaceDE w:val="0"/>
              <w:autoSpaceDN w:val="0"/>
              <w:adjustRightInd w:val="0"/>
              <w:snapToGrid w:val="0"/>
              <w:jc w:val="center"/>
              <w:rPr>
                <w:rFonts w:ascii="宋体" w:hAnsi="宋体"/>
                <w:color w:val="auto"/>
                <w:kern w:val="0"/>
                <w:sz w:val="24"/>
              </w:rPr>
            </w:pPr>
          </w:p>
        </w:tc>
        <w:tc>
          <w:tcPr>
            <w:tcW w:w="824" w:type="dxa"/>
            <w:vAlign w:val="center"/>
          </w:tcPr>
          <w:p w14:paraId="473CB4D5">
            <w:pPr>
              <w:autoSpaceDE w:val="0"/>
              <w:autoSpaceDN w:val="0"/>
              <w:adjustRightInd w:val="0"/>
              <w:snapToGrid w:val="0"/>
              <w:jc w:val="center"/>
              <w:rPr>
                <w:rFonts w:ascii="宋体" w:hAnsi="宋体"/>
                <w:color w:val="auto"/>
                <w:kern w:val="0"/>
                <w:sz w:val="24"/>
              </w:rPr>
            </w:pPr>
          </w:p>
        </w:tc>
        <w:tc>
          <w:tcPr>
            <w:tcW w:w="1072" w:type="dxa"/>
            <w:vAlign w:val="center"/>
          </w:tcPr>
          <w:p w14:paraId="1417023B">
            <w:pPr>
              <w:autoSpaceDE w:val="0"/>
              <w:autoSpaceDN w:val="0"/>
              <w:adjustRightInd w:val="0"/>
              <w:snapToGrid w:val="0"/>
              <w:jc w:val="center"/>
              <w:rPr>
                <w:rFonts w:ascii="宋体" w:hAnsi="宋体"/>
                <w:color w:val="auto"/>
                <w:kern w:val="0"/>
                <w:sz w:val="24"/>
              </w:rPr>
            </w:pPr>
          </w:p>
        </w:tc>
        <w:tc>
          <w:tcPr>
            <w:tcW w:w="728" w:type="dxa"/>
            <w:vAlign w:val="center"/>
          </w:tcPr>
          <w:p w14:paraId="69B89B6C">
            <w:pPr>
              <w:autoSpaceDE w:val="0"/>
              <w:autoSpaceDN w:val="0"/>
              <w:adjustRightInd w:val="0"/>
              <w:snapToGrid w:val="0"/>
              <w:jc w:val="center"/>
              <w:rPr>
                <w:rFonts w:ascii="宋体" w:hAnsi="宋体"/>
                <w:color w:val="auto"/>
                <w:kern w:val="0"/>
                <w:sz w:val="24"/>
              </w:rPr>
            </w:pPr>
          </w:p>
        </w:tc>
        <w:tc>
          <w:tcPr>
            <w:tcW w:w="799" w:type="dxa"/>
            <w:vAlign w:val="center"/>
          </w:tcPr>
          <w:p w14:paraId="6447AC43">
            <w:pPr>
              <w:autoSpaceDE w:val="0"/>
              <w:autoSpaceDN w:val="0"/>
              <w:adjustRightInd w:val="0"/>
              <w:snapToGrid w:val="0"/>
              <w:jc w:val="center"/>
              <w:rPr>
                <w:rFonts w:ascii="宋体" w:hAnsi="宋体"/>
                <w:color w:val="auto"/>
                <w:kern w:val="0"/>
                <w:sz w:val="24"/>
              </w:rPr>
            </w:pPr>
          </w:p>
        </w:tc>
        <w:tc>
          <w:tcPr>
            <w:tcW w:w="1312" w:type="dxa"/>
            <w:vAlign w:val="center"/>
          </w:tcPr>
          <w:p w14:paraId="55B8DE83">
            <w:pPr>
              <w:autoSpaceDE w:val="0"/>
              <w:autoSpaceDN w:val="0"/>
              <w:adjustRightInd w:val="0"/>
              <w:snapToGrid w:val="0"/>
              <w:jc w:val="center"/>
              <w:rPr>
                <w:rFonts w:ascii="宋体" w:hAnsi="宋体"/>
                <w:color w:val="auto"/>
                <w:kern w:val="0"/>
                <w:sz w:val="24"/>
              </w:rPr>
            </w:pPr>
          </w:p>
        </w:tc>
        <w:tc>
          <w:tcPr>
            <w:tcW w:w="947" w:type="dxa"/>
            <w:vAlign w:val="center"/>
          </w:tcPr>
          <w:p w14:paraId="5DDCCD1A">
            <w:pPr>
              <w:autoSpaceDE w:val="0"/>
              <w:autoSpaceDN w:val="0"/>
              <w:adjustRightInd w:val="0"/>
              <w:snapToGrid w:val="0"/>
              <w:jc w:val="center"/>
              <w:rPr>
                <w:rFonts w:ascii="宋体" w:hAnsi="宋体"/>
                <w:color w:val="auto"/>
                <w:kern w:val="0"/>
                <w:sz w:val="24"/>
              </w:rPr>
            </w:pPr>
          </w:p>
        </w:tc>
        <w:tc>
          <w:tcPr>
            <w:tcW w:w="1141" w:type="dxa"/>
            <w:vAlign w:val="center"/>
          </w:tcPr>
          <w:p w14:paraId="57685FF6">
            <w:pPr>
              <w:autoSpaceDE w:val="0"/>
              <w:autoSpaceDN w:val="0"/>
              <w:adjustRightInd w:val="0"/>
              <w:snapToGrid w:val="0"/>
              <w:jc w:val="center"/>
              <w:rPr>
                <w:rFonts w:ascii="宋体" w:hAnsi="宋体"/>
                <w:color w:val="auto"/>
                <w:kern w:val="0"/>
                <w:sz w:val="24"/>
              </w:rPr>
            </w:pPr>
          </w:p>
        </w:tc>
        <w:tc>
          <w:tcPr>
            <w:tcW w:w="749" w:type="dxa"/>
            <w:vAlign w:val="center"/>
          </w:tcPr>
          <w:p w14:paraId="74BE4C21">
            <w:pPr>
              <w:autoSpaceDE w:val="0"/>
              <w:autoSpaceDN w:val="0"/>
              <w:adjustRightInd w:val="0"/>
              <w:snapToGrid w:val="0"/>
              <w:jc w:val="center"/>
              <w:rPr>
                <w:rFonts w:ascii="宋体" w:hAnsi="宋体"/>
                <w:color w:val="auto"/>
                <w:kern w:val="0"/>
                <w:sz w:val="24"/>
              </w:rPr>
            </w:pPr>
          </w:p>
        </w:tc>
      </w:tr>
      <w:tr w14:paraId="41D8D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F8B79E2">
            <w:pPr>
              <w:autoSpaceDE w:val="0"/>
              <w:autoSpaceDN w:val="0"/>
              <w:adjustRightInd w:val="0"/>
              <w:snapToGrid w:val="0"/>
              <w:jc w:val="center"/>
              <w:rPr>
                <w:rFonts w:ascii="宋体" w:hAnsi="宋体"/>
                <w:color w:val="auto"/>
                <w:kern w:val="0"/>
                <w:sz w:val="24"/>
              </w:rPr>
            </w:pPr>
          </w:p>
        </w:tc>
        <w:tc>
          <w:tcPr>
            <w:tcW w:w="1176" w:type="dxa"/>
            <w:vAlign w:val="center"/>
          </w:tcPr>
          <w:p w14:paraId="69E051A6">
            <w:pPr>
              <w:autoSpaceDE w:val="0"/>
              <w:autoSpaceDN w:val="0"/>
              <w:adjustRightInd w:val="0"/>
              <w:snapToGrid w:val="0"/>
              <w:jc w:val="center"/>
              <w:rPr>
                <w:rFonts w:ascii="宋体" w:hAnsi="宋体"/>
                <w:color w:val="auto"/>
                <w:kern w:val="0"/>
                <w:sz w:val="24"/>
              </w:rPr>
            </w:pPr>
          </w:p>
        </w:tc>
        <w:tc>
          <w:tcPr>
            <w:tcW w:w="824" w:type="dxa"/>
            <w:vAlign w:val="center"/>
          </w:tcPr>
          <w:p w14:paraId="73667F8D">
            <w:pPr>
              <w:autoSpaceDE w:val="0"/>
              <w:autoSpaceDN w:val="0"/>
              <w:adjustRightInd w:val="0"/>
              <w:snapToGrid w:val="0"/>
              <w:jc w:val="center"/>
              <w:rPr>
                <w:rFonts w:ascii="宋体" w:hAnsi="宋体"/>
                <w:color w:val="auto"/>
                <w:kern w:val="0"/>
                <w:sz w:val="24"/>
              </w:rPr>
            </w:pPr>
          </w:p>
        </w:tc>
        <w:tc>
          <w:tcPr>
            <w:tcW w:w="1072" w:type="dxa"/>
            <w:vAlign w:val="center"/>
          </w:tcPr>
          <w:p w14:paraId="2868B958">
            <w:pPr>
              <w:autoSpaceDE w:val="0"/>
              <w:autoSpaceDN w:val="0"/>
              <w:adjustRightInd w:val="0"/>
              <w:snapToGrid w:val="0"/>
              <w:jc w:val="center"/>
              <w:rPr>
                <w:rFonts w:ascii="宋体" w:hAnsi="宋体"/>
                <w:color w:val="auto"/>
                <w:kern w:val="0"/>
                <w:sz w:val="24"/>
              </w:rPr>
            </w:pPr>
          </w:p>
        </w:tc>
        <w:tc>
          <w:tcPr>
            <w:tcW w:w="728" w:type="dxa"/>
            <w:vAlign w:val="center"/>
          </w:tcPr>
          <w:p w14:paraId="770BDD3C">
            <w:pPr>
              <w:autoSpaceDE w:val="0"/>
              <w:autoSpaceDN w:val="0"/>
              <w:adjustRightInd w:val="0"/>
              <w:snapToGrid w:val="0"/>
              <w:jc w:val="center"/>
              <w:rPr>
                <w:rFonts w:ascii="宋体" w:hAnsi="宋体"/>
                <w:color w:val="auto"/>
                <w:kern w:val="0"/>
                <w:sz w:val="24"/>
              </w:rPr>
            </w:pPr>
          </w:p>
        </w:tc>
        <w:tc>
          <w:tcPr>
            <w:tcW w:w="799" w:type="dxa"/>
            <w:vAlign w:val="center"/>
          </w:tcPr>
          <w:p w14:paraId="2E78FA11">
            <w:pPr>
              <w:autoSpaceDE w:val="0"/>
              <w:autoSpaceDN w:val="0"/>
              <w:adjustRightInd w:val="0"/>
              <w:snapToGrid w:val="0"/>
              <w:jc w:val="center"/>
              <w:rPr>
                <w:rFonts w:ascii="宋体" w:hAnsi="宋体"/>
                <w:color w:val="auto"/>
                <w:kern w:val="0"/>
                <w:sz w:val="24"/>
              </w:rPr>
            </w:pPr>
          </w:p>
        </w:tc>
        <w:tc>
          <w:tcPr>
            <w:tcW w:w="1312" w:type="dxa"/>
            <w:vAlign w:val="center"/>
          </w:tcPr>
          <w:p w14:paraId="78CC3AD7">
            <w:pPr>
              <w:autoSpaceDE w:val="0"/>
              <w:autoSpaceDN w:val="0"/>
              <w:adjustRightInd w:val="0"/>
              <w:snapToGrid w:val="0"/>
              <w:jc w:val="center"/>
              <w:rPr>
                <w:rFonts w:ascii="宋体" w:hAnsi="宋体"/>
                <w:color w:val="auto"/>
                <w:kern w:val="0"/>
                <w:sz w:val="24"/>
              </w:rPr>
            </w:pPr>
          </w:p>
        </w:tc>
        <w:tc>
          <w:tcPr>
            <w:tcW w:w="947" w:type="dxa"/>
            <w:vAlign w:val="center"/>
          </w:tcPr>
          <w:p w14:paraId="68678347">
            <w:pPr>
              <w:autoSpaceDE w:val="0"/>
              <w:autoSpaceDN w:val="0"/>
              <w:adjustRightInd w:val="0"/>
              <w:snapToGrid w:val="0"/>
              <w:jc w:val="center"/>
              <w:rPr>
                <w:rFonts w:ascii="宋体" w:hAnsi="宋体"/>
                <w:color w:val="auto"/>
                <w:kern w:val="0"/>
                <w:sz w:val="24"/>
              </w:rPr>
            </w:pPr>
          </w:p>
        </w:tc>
        <w:tc>
          <w:tcPr>
            <w:tcW w:w="1141" w:type="dxa"/>
            <w:vAlign w:val="center"/>
          </w:tcPr>
          <w:p w14:paraId="475874D1">
            <w:pPr>
              <w:autoSpaceDE w:val="0"/>
              <w:autoSpaceDN w:val="0"/>
              <w:adjustRightInd w:val="0"/>
              <w:snapToGrid w:val="0"/>
              <w:jc w:val="center"/>
              <w:rPr>
                <w:rFonts w:ascii="宋体" w:hAnsi="宋体"/>
                <w:color w:val="auto"/>
                <w:kern w:val="0"/>
                <w:sz w:val="24"/>
              </w:rPr>
            </w:pPr>
          </w:p>
        </w:tc>
        <w:tc>
          <w:tcPr>
            <w:tcW w:w="749" w:type="dxa"/>
            <w:vAlign w:val="center"/>
          </w:tcPr>
          <w:p w14:paraId="76413B8D">
            <w:pPr>
              <w:autoSpaceDE w:val="0"/>
              <w:autoSpaceDN w:val="0"/>
              <w:adjustRightInd w:val="0"/>
              <w:snapToGrid w:val="0"/>
              <w:jc w:val="center"/>
              <w:rPr>
                <w:rFonts w:ascii="宋体" w:hAnsi="宋体"/>
                <w:color w:val="auto"/>
                <w:kern w:val="0"/>
                <w:sz w:val="24"/>
              </w:rPr>
            </w:pPr>
          </w:p>
        </w:tc>
      </w:tr>
      <w:tr w14:paraId="265EA0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9DF53B5">
            <w:pPr>
              <w:autoSpaceDE w:val="0"/>
              <w:autoSpaceDN w:val="0"/>
              <w:adjustRightInd w:val="0"/>
              <w:snapToGrid w:val="0"/>
              <w:jc w:val="center"/>
              <w:rPr>
                <w:rFonts w:ascii="宋体" w:hAnsi="宋体"/>
                <w:color w:val="auto"/>
                <w:kern w:val="0"/>
                <w:sz w:val="24"/>
              </w:rPr>
            </w:pPr>
          </w:p>
        </w:tc>
        <w:tc>
          <w:tcPr>
            <w:tcW w:w="1176" w:type="dxa"/>
            <w:vAlign w:val="center"/>
          </w:tcPr>
          <w:p w14:paraId="22D5378E">
            <w:pPr>
              <w:autoSpaceDE w:val="0"/>
              <w:autoSpaceDN w:val="0"/>
              <w:adjustRightInd w:val="0"/>
              <w:snapToGrid w:val="0"/>
              <w:jc w:val="center"/>
              <w:rPr>
                <w:rFonts w:ascii="宋体" w:hAnsi="宋体"/>
                <w:color w:val="auto"/>
                <w:kern w:val="0"/>
                <w:sz w:val="24"/>
              </w:rPr>
            </w:pPr>
          </w:p>
        </w:tc>
        <w:tc>
          <w:tcPr>
            <w:tcW w:w="824" w:type="dxa"/>
            <w:vAlign w:val="center"/>
          </w:tcPr>
          <w:p w14:paraId="5FFE6559">
            <w:pPr>
              <w:autoSpaceDE w:val="0"/>
              <w:autoSpaceDN w:val="0"/>
              <w:adjustRightInd w:val="0"/>
              <w:snapToGrid w:val="0"/>
              <w:jc w:val="center"/>
              <w:rPr>
                <w:rFonts w:ascii="宋体" w:hAnsi="宋体"/>
                <w:color w:val="auto"/>
                <w:kern w:val="0"/>
                <w:sz w:val="24"/>
              </w:rPr>
            </w:pPr>
          </w:p>
        </w:tc>
        <w:tc>
          <w:tcPr>
            <w:tcW w:w="1072" w:type="dxa"/>
            <w:vAlign w:val="center"/>
          </w:tcPr>
          <w:p w14:paraId="5F5A9895">
            <w:pPr>
              <w:autoSpaceDE w:val="0"/>
              <w:autoSpaceDN w:val="0"/>
              <w:adjustRightInd w:val="0"/>
              <w:snapToGrid w:val="0"/>
              <w:jc w:val="center"/>
              <w:rPr>
                <w:rFonts w:ascii="宋体" w:hAnsi="宋体"/>
                <w:color w:val="auto"/>
                <w:kern w:val="0"/>
                <w:sz w:val="24"/>
              </w:rPr>
            </w:pPr>
          </w:p>
        </w:tc>
        <w:tc>
          <w:tcPr>
            <w:tcW w:w="728" w:type="dxa"/>
            <w:vAlign w:val="center"/>
          </w:tcPr>
          <w:p w14:paraId="5BDE09E3">
            <w:pPr>
              <w:autoSpaceDE w:val="0"/>
              <w:autoSpaceDN w:val="0"/>
              <w:adjustRightInd w:val="0"/>
              <w:snapToGrid w:val="0"/>
              <w:jc w:val="center"/>
              <w:rPr>
                <w:rFonts w:ascii="宋体" w:hAnsi="宋体"/>
                <w:color w:val="auto"/>
                <w:kern w:val="0"/>
                <w:sz w:val="24"/>
              </w:rPr>
            </w:pPr>
          </w:p>
        </w:tc>
        <w:tc>
          <w:tcPr>
            <w:tcW w:w="799" w:type="dxa"/>
            <w:vAlign w:val="center"/>
          </w:tcPr>
          <w:p w14:paraId="0940A82B">
            <w:pPr>
              <w:autoSpaceDE w:val="0"/>
              <w:autoSpaceDN w:val="0"/>
              <w:adjustRightInd w:val="0"/>
              <w:snapToGrid w:val="0"/>
              <w:jc w:val="center"/>
              <w:rPr>
                <w:rFonts w:ascii="宋体" w:hAnsi="宋体"/>
                <w:color w:val="auto"/>
                <w:kern w:val="0"/>
                <w:sz w:val="24"/>
              </w:rPr>
            </w:pPr>
          </w:p>
        </w:tc>
        <w:tc>
          <w:tcPr>
            <w:tcW w:w="1312" w:type="dxa"/>
            <w:vAlign w:val="center"/>
          </w:tcPr>
          <w:p w14:paraId="1805F719">
            <w:pPr>
              <w:autoSpaceDE w:val="0"/>
              <w:autoSpaceDN w:val="0"/>
              <w:adjustRightInd w:val="0"/>
              <w:snapToGrid w:val="0"/>
              <w:jc w:val="center"/>
              <w:rPr>
                <w:rFonts w:ascii="宋体" w:hAnsi="宋体"/>
                <w:color w:val="auto"/>
                <w:kern w:val="0"/>
                <w:sz w:val="24"/>
              </w:rPr>
            </w:pPr>
          </w:p>
        </w:tc>
        <w:tc>
          <w:tcPr>
            <w:tcW w:w="947" w:type="dxa"/>
            <w:vAlign w:val="center"/>
          </w:tcPr>
          <w:p w14:paraId="6C98374F">
            <w:pPr>
              <w:autoSpaceDE w:val="0"/>
              <w:autoSpaceDN w:val="0"/>
              <w:adjustRightInd w:val="0"/>
              <w:snapToGrid w:val="0"/>
              <w:jc w:val="center"/>
              <w:rPr>
                <w:rFonts w:ascii="宋体" w:hAnsi="宋体"/>
                <w:color w:val="auto"/>
                <w:kern w:val="0"/>
                <w:sz w:val="24"/>
              </w:rPr>
            </w:pPr>
          </w:p>
        </w:tc>
        <w:tc>
          <w:tcPr>
            <w:tcW w:w="1141" w:type="dxa"/>
            <w:vAlign w:val="center"/>
          </w:tcPr>
          <w:p w14:paraId="0ED004A1">
            <w:pPr>
              <w:autoSpaceDE w:val="0"/>
              <w:autoSpaceDN w:val="0"/>
              <w:adjustRightInd w:val="0"/>
              <w:snapToGrid w:val="0"/>
              <w:jc w:val="center"/>
              <w:rPr>
                <w:rFonts w:ascii="宋体" w:hAnsi="宋体"/>
                <w:color w:val="auto"/>
                <w:kern w:val="0"/>
                <w:sz w:val="24"/>
              </w:rPr>
            </w:pPr>
          </w:p>
        </w:tc>
        <w:tc>
          <w:tcPr>
            <w:tcW w:w="749" w:type="dxa"/>
            <w:vAlign w:val="center"/>
          </w:tcPr>
          <w:p w14:paraId="03ABD4FB">
            <w:pPr>
              <w:autoSpaceDE w:val="0"/>
              <w:autoSpaceDN w:val="0"/>
              <w:adjustRightInd w:val="0"/>
              <w:snapToGrid w:val="0"/>
              <w:jc w:val="center"/>
              <w:rPr>
                <w:rFonts w:ascii="宋体" w:hAnsi="宋体"/>
                <w:color w:val="auto"/>
                <w:kern w:val="0"/>
                <w:sz w:val="24"/>
              </w:rPr>
            </w:pPr>
          </w:p>
        </w:tc>
      </w:tr>
      <w:tr w14:paraId="1313FC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462295D">
            <w:pPr>
              <w:autoSpaceDE w:val="0"/>
              <w:autoSpaceDN w:val="0"/>
              <w:adjustRightInd w:val="0"/>
              <w:snapToGrid w:val="0"/>
              <w:jc w:val="center"/>
              <w:rPr>
                <w:rFonts w:ascii="宋体" w:hAnsi="宋体"/>
                <w:color w:val="auto"/>
                <w:kern w:val="0"/>
                <w:sz w:val="24"/>
              </w:rPr>
            </w:pPr>
          </w:p>
        </w:tc>
        <w:tc>
          <w:tcPr>
            <w:tcW w:w="1176" w:type="dxa"/>
            <w:vAlign w:val="center"/>
          </w:tcPr>
          <w:p w14:paraId="57AE7E4D">
            <w:pPr>
              <w:autoSpaceDE w:val="0"/>
              <w:autoSpaceDN w:val="0"/>
              <w:adjustRightInd w:val="0"/>
              <w:snapToGrid w:val="0"/>
              <w:jc w:val="center"/>
              <w:rPr>
                <w:rFonts w:ascii="宋体" w:hAnsi="宋体"/>
                <w:color w:val="auto"/>
                <w:kern w:val="0"/>
                <w:sz w:val="24"/>
              </w:rPr>
            </w:pPr>
          </w:p>
        </w:tc>
        <w:tc>
          <w:tcPr>
            <w:tcW w:w="824" w:type="dxa"/>
            <w:vAlign w:val="center"/>
          </w:tcPr>
          <w:p w14:paraId="36EBFE9B">
            <w:pPr>
              <w:autoSpaceDE w:val="0"/>
              <w:autoSpaceDN w:val="0"/>
              <w:adjustRightInd w:val="0"/>
              <w:snapToGrid w:val="0"/>
              <w:jc w:val="center"/>
              <w:rPr>
                <w:rFonts w:ascii="宋体" w:hAnsi="宋体"/>
                <w:color w:val="auto"/>
                <w:kern w:val="0"/>
                <w:sz w:val="24"/>
              </w:rPr>
            </w:pPr>
          </w:p>
        </w:tc>
        <w:tc>
          <w:tcPr>
            <w:tcW w:w="1072" w:type="dxa"/>
            <w:vAlign w:val="center"/>
          </w:tcPr>
          <w:p w14:paraId="2F91E274">
            <w:pPr>
              <w:autoSpaceDE w:val="0"/>
              <w:autoSpaceDN w:val="0"/>
              <w:adjustRightInd w:val="0"/>
              <w:snapToGrid w:val="0"/>
              <w:jc w:val="center"/>
              <w:rPr>
                <w:rFonts w:ascii="宋体" w:hAnsi="宋体"/>
                <w:color w:val="auto"/>
                <w:kern w:val="0"/>
                <w:sz w:val="24"/>
              </w:rPr>
            </w:pPr>
          </w:p>
        </w:tc>
        <w:tc>
          <w:tcPr>
            <w:tcW w:w="728" w:type="dxa"/>
            <w:vAlign w:val="center"/>
          </w:tcPr>
          <w:p w14:paraId="17863653">
            <w:pPr>
              <w:autoSpaceDE w:val="0"/>
              <w:autoSpaceDN w:val="0"/>
              <w:adjustRightInd w:val="0"/>
              <w:snapToGrid w:val="0"/>
              <w:jc w:val="center"/>
              <w:rPr>
                <w:rFonts w:ascii="宋体" w:hAnsi="宋体"/>
                <w:color w:val="auto"/>
                <w:kern w:val="0"/>
                <w:sz w:val="24"/>
              </w:rPr>
            </w:pPr>
          </w:p>
        </w:tc>
        <w:tc>
          <w:tcPr>
            <w:tcW w:w="799" w:type="dxa"/>
            <w:vAlign w:val="center"/>
          </w:tcPr>
          <w:p w14:paraId="79FDC835">
            <w:pPr>
              <w:autoSpaceDE w:val="0"/>
              <w:autoSpaceDN w:val="0"/>
              <w:adjustRightInd w:val="0"/>
              <w:snapToGrid w:val="0"/>
              <w:jc w:val="center"/>
              <w:rPr>
                <w:rFonts w:ascii="宋体" w:hAnsi="宋体"/>
                <w:color w:val="auto"/>
                <w:kern w:val="0"/>
                <w:sz w:val="24"/>
              </w:rPr>
            </w:pPr>
          </w:p>
        </w:tc>
        <w:tc>
          <w:tcPr>
            <w:tcW w:w="1312" w:type="dxa"/>
            <w:vAlign w:val="center"/>
          </w:tcPr>
          <w:p w14:paraId="0E27587B">
            <w:pPr>
              <w:autoSpaceDE w:val="0"/>
              <w:autoSpaceDN w:val="0"/>
              <w:adjustRightInd w:val="0"/>
              <w:snapToGrid w:val="0"/>
              <w:jc w:val="center"/>
              <w:rPr>
                <w:rFonts w:ascii="宋体" w:hAnsi="宋体"/>
                <w:color w:val="auto"/>
                <w:kern w:val="0"/>
                <w:sz w:val="24"/>
              </w:rPr>
            </w:pPr>
          </w:p>
        </w:tc>
        <w:tc>
          <w:tcPr>
            <w:tcW w:w="947" w:type="dxa"/>
            <w:vAlign w:val="center"/>
          </w:tcPr>
          <w:p w14:paraId="3C9EB80F">
            <w:pPr>
              <w:autoSpaceDE w:val="0"/>
              <w:autoSpaceDN w:val="0"/>
              <w:adjustRightInd w:val="0"/>
              <w:snapToGrid w:val="0"/>
              <w:jc w:val="center"/>
              <w:rPr>
                <w:rFonts w:ascii="宋体" w:hAnsi="宋体"/>
                <w:color w:val="auto"/>
                <w:kern w:val="0"/>
                <w:sz w:val="24"/>
              </w:rPr>
            </w:pPr>
          </w:p>
        </w:tc>
        <w:tc>
          <w:tcPr>
            <w:tcW w:w="1141" w:type="dxa"/>
            <w:vAlign w:val="center"/>
          </w:tcPr>
          <w:p w14:paraId="6BFBA1C8">
            <w:pPr>
              <w:autoSpaceDE w:val="0"/>
              <w:autoSpaceDN w:val="0"/>
              <w:adjustRightInd w:val="0"/>
              <w:snapToGrid w:val="0"/>
              <w:jc w:val="center"/>
              <w:rPr>
                <w:rFonts w:ascii="宋体" w:hAnsi="宋体"/>
                <w:color w:val="auto"/>
                <w:kern w:val="0"/>
                <w:sz w:val="24"/>
              </w:rPr>
            </w:pPr>
          </w:p>
        </w:tc>
        <w:tc>
          <w:tcPr>
            <w:tcW w:w="749" w:type="dxa"/>
            <w:vAlign w:val="center"/>
          </w:tcPr>
          <w:p w14:paraId="7BB53627">
            <w:pPr>
              <w:autoSpaceDE w:val="0"/>
              <w:autoSpaceDN w:val="0"/>
              <w:adjustRightInd w:val="0"/>
              <w:snapToGrid w:val="0"/>
              <w:jc w:val="center"/>
              <w:rPr>
                <w:rFonts w:ascii="宋体" w:hAnsi="宋体"/>
                <w:color w:val="auto"/>
                <w:kern w:val="0"/>
                <w:sz w:val="24"/>
              </w:rPr>
            </w:pPr>
          </w:p>
        </w:tc>
      </w:tr>
      <w:tr w14:paraId="516999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6680C56">
            <w:pPr>
              <w:autoSpaceDE w:val="0"/>
              <w:autoSpaceDN w:val="0"/>
              <w:adjustRightInd w:val="0"/>
              <w:snapToGrid w:val="0"/>
              <w:jc w:val="center"/>
              <w:rPr>
                <w:rFonts w:ascii="宋体" w:hAnsi="宋体"/>
                <w:color w:val="auto"/>
                <w:kern w:val="0"/>
                <w:sz w:val="24"/>
              </w:rPr>
            </w:pPr>
          </w:p>
        </w:tc>
        <w:tc>
          <w:tcPr>
            <w:tcW w:w="1176" w:type="dxa"/>
            <w:vAlign w:val="center"/>
          </w:tcPr>
          <w:p w14:paraId="764FDE50">
            <w:pPr>
              <w:autoSpaceDE w:val="0"/>
              <w:autoSpaceDN w:val="0"/>
              <w:adjustRightInd w:val="0"/>
              <w:snapToGrid w:val="0"/>
              <w:jc w:val="center"/>
              <w:rPr>
                <w:rFonts w:ascii="宋体" w:hAnsi="宋体"/>
                <w:color w:val="auto"/>
                <w:kern w:val="0"/>
                <w:sz w:val="24"/>
              </w:rPr>
            </w:pPr>
          </w:p>
        </w:tc>
        <w:tc>
          <w:tcPr>
            <w:tcW w:w="824" w:type="dxa"/>
            <w:vAlign w:val="center"/>
          </w:tcPr>
          <w:p w14:paraId="745F6B2C">
            <w:pPr>
              <w:autoSpaceDE w:val="0"/>
              <w:autoSpaceDN w:val="0"/>
              <w:adjustRightInd w:val="0"/>
              <w:snapToGrid w:val="0"/>
              <w:jc w:val="center"/>
              <w:rPr>
                <w:rFonts w:ascii="宋体" w:hAnsi="宋体"/>
                <w:color w:val="auto"/>
                <w:kern w:val="0"/>
                <w:sz w:val="24"/>
              </w:rPr>
            </w:pPr>
          </w:p>
        </w:tc>
        <w:tc>
          <w:tcPr>
            <w:tcW w:w="1072" w:type="dxa"/>
            <w:vAlign w:val="center"/>
          </w:tcPr>
          <w:p w14:paraId="5FCA309E">
            <w:pPr>
              <w:autoSpaceDE w:val="0"/>
              <w:autoSpaceDN w:val="0"/>
              <w:adjustRightInd w:val="0"/>
              <w:snapToGrid w:val="0"/>
              <w:jc w:val="center"/>
              <w:rPr>
                <w:rFonts w:ascii="宋体" w:hAnsi="宋体"/>
                <w:color w:val="auto"/>
                <w:kern w:val="0"/>
                <w:sz w:val="24"/>
              </w:rPr>
            </w:pPr>
          </w:p>
        </w:tc>
        <w:tc>
          <w:tcPr>
            <w:tcW w:w="728" w:type="dxa"/>
            <w:vAlign w:val="center"/>
          </w:tcPr>
          <w:p w14:paraId="40DDBDB3">
            <w:pPr>
              <w:autoSpaceDE w:val="0"/>
              <w:autoSpaceDN w:val="0"/>
              <w:adjustRightInd w:val="0"/>
              <w:snapToGrid w:val="0"/>
              <w:jc w:val="center"/>
              <w:rPr>
                <w:rFonts w:ascii="宋体" w:hAnsi="宋体"/>
                <w:color w:val="auto"/>
                <w:kern w:val="0"/>
                <w:sz w:val="24"/>
              </w:rPr>
            </w:pPr>
          </w:p>
        </w:tc>
        <w:tc>
          <w:tcPr>
            <w:tcW w:w="799" w:type="dxa"/>
            <w:vAlign w:val="center"/>
          </w:tcPr>
          <w:p w14:paraId="2F23F259">
            <w:pPr>
              <w:autoSpaceDE w:val="0"/>
              <w:autoSpaceDN w:val="0"/>
              <w:adjustRightInd w:val="0"/>
              <w:snapToGrid w:val="0"/>
              <w:jc w:val="center"/>
              <w:rPr>
                <w:rFonts w:ascii="宋体" w:hAnsi="宋体"/>
                <w:color w:val="auto"/>
                <w:kern w:val="0"/>
                <w:sz w:val="24"/>
              </w:rPr>
            </w:pPr>
          </w:p>
        </w:tc>
        <w:tc>
          <w:tcPr>
            <w:tcW w:w="1312" w:type="dxa"/>
            <w:vAlign w:val="center"/>
          </w:tcPr>
          <w:p w14:paraId="494317CE">
            <w:pPr>
              <w:autoSpaceDE w:val="0"/>
              <w:autoSpaceDN w:val="0"/>
              <w:adjustRightInd w:val="0"/>
              <w:snapToGrid w:val="0"/>
              <w:jc w:val="center"/>
              <w:rPr>
                <w:rFonts w:ascii="宋体" w:hAnsi="宋体"/>
                <w:color w:val="auto"/>
                <w:kern w:val="0"/>
                <w:sz w:val="24"/>
              </w:rPr>
            </w:pPr>
          </w:p>
        </w:tc>
        <w:tc>
          <w:tcPr>
            <w:tcW w:w="947" w:type="dxa"/>
            <w:vAlign w:val="center"/>
          </w:tcPr>
          <w:p w14:paraId="74B0C0D6">
            <w:pPr>
              <w:autoSpaceDE w:val="0"/>
              <w:autoSpaceDN w:val="0"/>
              <w:adjustRightInd w:val="0"/>
              <w:snapToGrid w:val="0"/>
              <w:jc w:val="center"/>
              <w:rPr>
                <w:rFonts w:ascii="宋体" w:hAnsi="宋体"/>
                <w:color w:val="auto"/>
                <w:kern w:val="0"/>
                <w:sz w:val="24"/>
              </w:rPr>
            </w:pPr>
          </w:p>
        </w:tc>
        <w:tc>
          <w:tcPr>
            <w:tcW w:w="1141" w:type="dxa"/>
            <w:vAlign w:val="center"/>
          </w:tcPr>
          <w:p w14:paraId="0ADC2725">
            <w:pPr>
              <w:autoSpaceDE w:val="0"/>
              <w:autoSpaceDN w:val="0"/>
              <w:adjustRightInd w:val="0"/>
              <w:snapToGrid w:val="0"/>
              <w:jc w:val="center"/>
              <w:rPr>
                <w:rFonts w:ascii="宋体" w:hAnsi="宋体"/>
                <w:color w:val="auto"/>
                <w:kern w:val="0"/>
                <w:sz w:val="24"/>
              </w:rPr>
            </w:pPr>
          </w:p>
        </w:tc>
        <w:tc>
          <w:tcPr>
            <w:tcW w:w="749" w:type="dxa"/>
            <w:vAlign w:val="center"/>
          </w:tcPr>
          <w:p w14:paraId="428B66E8">
            <w:pPr>
              <w:autoSpaceDE w:val="0"/>
              <w:autoSpaceDN w:val="0"/>
              <w:adjustRightInd w:val="0"/>
              <w:snapToGrid w:val="0"/>
              <w:jc w:val="center"/>
              <w:rPr>
                <w:rFonts w:ascii="宋体" w:hAnsi="宋体"/>
                <w:color w:val="auto"/>
                <w:kern w:val="0"/>
                <w:sz w:val="24"/>
              </w:rPr>
            </w:pPr>
          </w:p>
        </w:tc>
      </w:tr>
      <w:tr w14:paraId="47B1E3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5E754ED">
            <w:pPr>
              <w:autoSpaceDE w:val="0"/>
              <w:autoSpaceDN w:val="0"/>
              <w:adjustRightInd w:val="0"/>
              <w:snapToGrid w:val="0"/>
              <w:jc w:val="center"/>
              <w:rPr>
                <w:rFonts w:ascii="宋体" w:hAnsi="宋体"/>
                <w:color w:val="auto"/>
                <w:kern w:val="0"/>
                <w:sz w:val="24"/>
              </w:rPr>
            </w:pPr>
          </w:p>
        </w:tc>
        <w:tc>
          <w:tcPr>
            <w:tcW w:w="1176" w:type="dxa"/>
            <w:vAlign w:val="center"/>
          </w:tcPr>
          <w:p w14:paraId="081BCBAF">
            <w:pPr>
              <w:autoSpaceDE w:val="0"/>
              <w:autoSpaceDN w:val="0"/>
              <w:adjustRightInd w:val="0"/>
              <w:snapToGrid w:val="0"/>
              <w:jc w:val="center"/>
              <w:rPr>
                <w:rFonts w:ascii="宋体" w:hAnsi="宋体"/>
                <w:color w:val="auto"/>
                <w:kern w:val="0"/>
                <w:sz w:val="24"/>
              </w:rPr>
            </w:pPr>
          </w:p>
        </w:tc>
        <w:tc>
          <w:tcPr>
            <w:tcW w:w="824" w:type="dxa"/>
            <w:vAlign w:val="center"/>
          </w:tcPr>
          <w:p w14:paraId="358CE313">
            <w:pPr>
              <w:autoSpaceDE w:val="0"/>
              <w:autoSpaceDN w:val="0"/>
              <w:adjustRightInd w:val="0"/>
              <w:snapToGrid w:val="0"/>
              <w:jc w:val="center"/>
              <w:rPr>
                <w:rFonts w:ascii="宋体" w:hAnsi="宋体"/>
                <w:color w:val="auto"/>
                <w:kern w:val="0"/>
                <w:sz w:val="24"/>
              </w:rPr>
            </w:pPr>
          </w:p>
        </w:tc>
        <w:tc>
          <w:tcPr>
            <w:tcW w:w="1072" w:type="dxa"/>
            <w:vAlign w:val="center"/>
          </w:tcPr>
          <w:p w14:paraId="101E11C7">
            <w:pPr>
              <w:autoSpaceDE w:val="0"/>
              <w:autoSpaceDN w:val="0"/>
              <w:adjustRightInd w:val="0"/>
              <w:snapToGrid w:val="0"/>
              <w:jc w:val="center"/>
              <w:rPr>
                <w:rFonts w:ascii="宋体" w:hAnsi="宋体"/>
                <w:color w:val="auto"/>
                <w:kern w:val="0"/>
                <w:sz w:val="24"/>
              </w:rPr>
            </w:pPr>
          </w:p>
        </w:tc>
        <w:tc>
          <w:tcPr>
            <w:tcW w:w="728" w:type="dxa"/>
            <w:vAlign w:val="center"/>
          </w:tcPr>
          <w:p w14:paraId="57A3BEB6">
            <w:pPr>
              <w:autoSpaceDE w:val="0"/>
              <w:autoSpaceDN w:val="0"/>
              <w:adjustRightInd w:val="0"/>
              <w:snapToGrid w:val="0"/>
              <w:jc w:val="center"/>
              <w:rPr>
                <w:rFonts w:ascii="宋体" w:hAnsi="宋体"/>
                <w:color w:val="auto"/>
                <w:kern w:val="0"/>
                <w:sz w:val="24"/>
              </w:rPr>
            </w:pPr>
          </w:p>
        </w:tc>
        <w:tc>
          <w:tcPr>
            <w:tcW w:w="799" w:type="dxa"/>
            <w:vAlign w:val="center"/>
          </w:tcPr>
          <w:p w14:paraId="6684A21D">
            <w:pPr>
              <w:autoSpaceDE w:val="0"/>
              <w:autoSpaceDN w:val="0"/>
              <w:adjustRightInd w:val="0"/>
              <w:snapToGrid w:val="0"/>
              <w:jc w:val="center"/>
              <w:rPr>
                <w:rFonts w:ascii="宋体" w:hAnsi="宋体"/>
                <w:color w:val="auto"/>
                <w:kern w:val="0"/>
                <w:sz w:val="24"/>
              </w:rPr>
            </w:pPr>
          </w:p>
        </w:tc>
        <w:tc>
          <w:tcPr>
            <w:tcW w:w="1312" w:type="dxa"/>
            <w:vAlign w:val="center"/>
          </w:tcPr>
          <w:p w14:paraId="54BB6FFE">
            <w:pPr>
              <w:autoSpaceDE w:val="0"/>
              <w:autoSpaceDN w:val="0"/>
              <w:adjustRightInd w:val="0"/>
              <w:snapToGrid w:val="0"/>
              <w:jc w:val="center"/>
              <w:rPr>
                <w:rFonts w:ascii="宋体" w:hAnsi="宋体"/>
                <w:color w:val="auto"/>
                <w:kern w:val="0"/>
                <w:sz w:val="24"/>
              </w:rPr>
            </w:pPr>
          </w:p>
        </w:tc>
        <w:tc>
          <w:tcPr>
            <w:tcW w:w="947" w:type="dxa"/>
            <w:vAlign w:val="center"/>
          </w:tcPr>
          <w:p w14:paraId="65862F13">
            <w:pPr>
              <w:autoSpaceDE w:val="0"/>
              <w:autoSpaceDN w:val="0"/>
              <w:adjustRightInd w:val="0"/>
              <w:snapToGrid w:val="0"/>
              <w:jc w:val="center"/>
              <w:rPr>
                <w:rFonts w:ascii="宋体" w:hAnsi="宋体"/>
                <w:color w:val="auto"/>
                <w:kern w:val="0"/>
                <w:sz w:val="24"/>
              </w:rPr>
            </w:pPr>
          </w:p>
        </w:tc>
        <w:tc>
          <w:tcPr>
            <w:tcW w:w="1141" w:type="dxa"/>
            <w:vAlign w:val="center"/>
          </w:tcPr>
          <w:p w14:paraId="723E152B">
            <w:pPr>
              <w:autoSpaceDE w:val="0"/>
              <w:autoSpaceDN w:val="0"/>
              <w:adjustRightInd w:val="0"/>
              <w:snapToGrid w:val="0"/>
              <w:jc w:val="center"/>
              <w:rPr>
                <w:rFonts w:ascii="宋体" w:hAnsi="宋体"/>
                <w:color w:val="auto"/>
                <w:kern w:val="0"/>
                <w:sz w:val="24"/>
              </w:rPr>
            </w:pPr>
          </w:p>
        </w:tc>
        <w:tc>
          <w:tcPr>
            <w:tcW w:w="749" w:type="dxa"/>
            <w:vAlign w:val="center"/>
          </w:tcPr>
          <w:p w14:paraId="049F5CF5">
            <w:pPr>
              <w:autoSpaceDE w:val="0"/>
              <w:autoSpaceDN w:val="0"/>
              <w:adjustRightInd w:val="0"/>
              <w:snapToGrid w:val="0"/>
              <w:jc w:val="center"/>
              <w:rPr>
                <w:rFonts w:ascii="宋体" w:hAnsi="宋体"/>
                <w:color w:val="auto"/>
                <w:kern w:val="0"/>
                <w:sz w:val="24"/>
              </w:rPr>
            </w:pPr>
          </w:p>
        </w:tc>
      </w:tr>
      <w:tr w14:paraId="36AEDE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30389CD">
            <w:pPr>
              <w:autoSpaceDE w:val="0"/>
              <w:autoSpaceDN w:val="0"/>
              <w:adjustRightInd w:val="0"/>
              <w:snapToGrid w:val="0"/>
              <w:jc w:val="center"/>
              <w:rPr>
                <w:rFonts w:ascii="宋体" w:hAnsi="宋体"/>
                <w:color w:val="auto"/>
                <w:kern w:val="0"/>
                <w:sz w:val="24"/>
              </w:rPr>
            </w:pPr>
          </w:p>
        </w:tc>
        <w:tc>
          <w:tcPr>
            <w:tcW w:w="1176" w:type="dxa"/>
            <w:vAlign w:val="center"/>
          </w:tcPr>
          <w:p w14:paraId="299BE1B8">
            <w:pPr>
              <w:autoSpaceDE w:val="0"/>
              <w:autoSpaceDN w:val="0"/>
              <w:adjustRightInd w:val="0"/>
              <w:snapToGrid w:val="0"/>
              <w:jc w:val="center"/>
              <w:rPr>
                <w:rFonts w:ascii="宋体" w:hAnsi="宋体"/>
                <w:color w:val="auto"/>
                <w:kern w:val="0"/>
                <w:sz w:val="24"/>
              </w:rPr>
            </w:pPr>
          </w:p>
        </w:tc>
        <w:tc>
          <w:tcPr>
            <w:tcW w:w="824" w:type="dxa"/>
            <w:vAlign w:val="center"/>
          </w:tcPr>
          <w:p w14:paraId="6C6251FB">
            <w:pPr>
              <w:autoSpaceDE w:val="0"/>
              <w:autoSpaceDN w:val="0"/>
              <w:adjustRightInd w:val="0"/>
              <w:snapToGrid w:val="0"/>
              <w:jc w:val="center"/>
              <w:rPr>
                <w:rFonts w:ascii="宋体" w:hAnsi="宋体"/>
                <w:color w:val="auto"/>
                <w:kern w:val="0"/>
                <w:sz w:val="24"/>
              </w:rPr>
            </w:pPr>
          </w:p>
        </w:tc>
        <w:tc>
          <w:tcPr>
            <w:tcW w:w="1072" w:type="dxa"/>
            <w:vAlign w:val="center"/>
          </w:tcPr>
          <w:p w14:paraId="21009945">
            <w:pPr>
              <w:autoSpaceDE w:val="0"/>
              <w:autoSpaceDN w:val="0"/>
              <w:adjustRightInd w:val="0"/>
              <w:snapToGrid w:val="0"/>
              <w:jc w:val="center"/>
              <w:rPr>
                <w:rFonts w:ascii="宋体" w:hAnsi="宋体"/>
                <w:color w:val="auto"/>
                <w:kern w:val="0"/>
                <w:sz w:val="24"/>
              </w:rPr>
            </w:pPr>
          </w:p>
        </w:tc>
        <w:tc>
          <w:tcPr>
            <w:tcW w:w="728" w:type="dxa"/>
            <w:vAlign w:val="center"/>
          </w:tcPr>
          <w:p w14:paraId="1C4622F2">
            <w:pPr>
              <w:autoSpaceDE w:val="0"/>
              <w:autoSpaceDN w:val="0"/>
              <w:adjustRightInd w:val="0"/>
              <w:snapToGrid w:val="0"/>
              <w:jc w:val="center"/>
              <w:rPr>
                <w:rFonts w:ascii="宋体" w:hAnsi="宋体"/>
                <w:color w:val="auto"/>
                <w:kern w:val="0"/>
                <w:sz w:val="24"/>
              </w:rPr>
            </w:pPr>
          </w:p>
        </w:tc>
        <w:tc>
          <w:tcPr>
            <w:tcW w:w="799" w:type="dxa"/>
            <w:vAlign w:val="center"/>
          </w:tcPr>
          <w:p w14:paraId="73B987DE">
            <w:pPr>
              <w:autoSpaceDE w:val="0"/>
              <w:autoSpaceDN w:val="0"/>
              <w:adjustRightInd w:val="0"/>
              <w:snapToGrid w:val="0"/>
              <w:jc w:val="center"/>
              <w:rPr>
                <w:rFonts w:ascii="宋体" w:hAnsi="宋体"/>
                <w:color w:val="auto"/>
                <w:kern w:val="0"/>
                <w:sz w:val="24"/>
              </w:rPr>
            </w:pPr>
          </w:p>
        </w:tc>
        <w:tc>
          <w:tcPr>
            <w:tcW w:w="1312" w:type="dxa"/>
            <w:vAlign w:val="center"/>
          </w:tcPr>
          <w:p w14:paraId="392E5E0F">
            <w:pPr>
              <w:autoSpaceDE w:val="0"/>
              <w:autoSpaceDN w:val="0"/>
              <w:adjustRightInd w:val="0"/>
              <w:snapToGrid w:val="0"/>
              <w:jc w:val="center"/>
              <w:rPr>
                <w:rFonts w:ascii="宋体" w:hAnsi="宋体"/>
                <w:color w:val="auto"/>
                <w:kern w:val="0"/>
                <w:sz w:val="24"/>
              </w:rPr>
            </w:pPr>
          </w:p>
        </w:tc>
        <w:tc>
          <w:tcPr>
            <w:tcW w:w="947" w:type="dxa"/>
            <w:vAlign w:val="center"/>
          </w:tcPr>
          <w:p w14:paraId="58FBAE67">
            <w:pPr>
              <w:autoSpaceDE w:val="0"/>
              <w:autoSpaceDN w:val="0"/>
              <w:adjustRightInd w:val="0"/>
              <w:snapToGrid w:val="0"/>
              <w:jc w:val="center"/>
              <w:rPr>
                <w:rFonts w:ascii="宋体" w:hAnsi="宋体"/>
                <w:color w:val="auto"/>
                <w:kern w:val="0"/>
                <w:sz w:val="24"/>
              </w:rPr>
            </w:pPr>
          </w:p>
        </w:tc>
        <w:tc>
          <w:tcPr>
            <w:tcW w:w="1141" w:type="dxa"/>
            <w:vAlign w:val="center"/>
          </w:tcPr>
          <w:p w14:paraId="7432B115">
            <w:pPr>
              <w:autoSpaceDE w:val="0"/>
              <w:autoSpaceDN w:val="0"/>
              <w:adjustRightInd w:val="0"/>
              <w:snapToGrid w:val="0"/>
              <w:jc w:val="center"/>
              <w:rPr>
                <w:rFonts w:ascii="宋体" w:hAnsi="宋体"/>
                <w:color w:val="auto"/>
                <w:kern w:val="0"/>
                <w:sz w:val="24"/>
              </w:rPr>
            </w:pPr>
          </w:p>
        </w:tc>
        <w:tc>
          <w:tcPr>
            <w:tcW w:w="749" w:type="dxa"/>
            <w:vAlign w:val="center"/>
          </w:tcPr>
          <w:p w14:paraId="4F2EB6EF">
            <w:pPr>
              <w:autoSpaceDE w:val="0"/>
              <w:autoSpaceDN w:val="0"/>
              <w:adjustRightInd w:val="0"/>
              <w:snapToGrid w:val="0"/>
              <w:jc w:val="center"/>
              <w:rPr>
                <w:rFonts w:ascii="宋体" w:hAnsi="宋体"/>
                <w:color w:val="auto"/>
                <w:kern w:val="0"/>
                <w:sz w:val="24"/>
              </w:rPr>
            </w:pPr>
          </w:p>
        </w:tc>
      </w:tr>
      <w:tr w14:paraId="198793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D28AE3B">
            <w:pPr>
              <w:autoSpaceDE w:val="0"/>
              <w:autoSpaceDN w:val="0"/>
              <w:adjustRightInd w:val="0"/>
              <w:snapToGrid w:val="0"/>
              <w:jc w:val="center"/>
              <w:rPr>
                <w:rFonts w:ascii="宋体" w:hAnsi="宋体"/>
                <w:color w:val="auto"/>
                <w:kern w:val="0"/>
                <w:sz w:val="24"/>
              </w:rPr>
            </w:pPr>
          </w:p>
        </w:tc>
        <w:tc>
          <w:tcPr>
            <w:tcW w:w="1176" w:type="dxa"/>
            <w:vAlign w:val="center"/>
          </w:tcPr>
          <w:p w14:paraId="07CF464C">
            <w:pPr>
              <w:autoSpaceDE w:val="0"/>
              <w:autoSpaceDN w:val="0"/>
              <w:adjustRightInd w:val="0"/>
              <w:snapToGrid w:val="0"/>
              <w:jc w:val="center"/>
              <w:rPr>
                <w:rFonts w:ascii="宋体" w:hAnsi="宋体"/>
                <w:color w:val="auto"/>
                <w:kern w:val="0"/>
                <w:sz w:val="24"/>
              </w:rPr>
            </w:pPr>
          </w:p>
        </w:tc>
        <w:tc>
          <w:tcPr>
            <w:tcW w:w="824" w:type="dxa"/>
            <w:vAlign w:val="center"/>
          </w:tcPr>
          <w:p w14:paraId="53C6031D">
            <w:pPr>
              <w:autoSpaceDE w:val="0"/>
              <w:autoSpaceDN w:val="0"/>
              <w:adjustRightInd w:val="0"/>
              <w:snapToGrid w:val="0"/>
              <w:jc w:val="center"/>
              <w:rPr>
                <w:rFonts w:ascii="宋体" w:hAnsi="宋体"/>
                <w:color w:val="auto"/>
                <w:kern w:val="0"/>
                <w:sz w:val="24"/>
              </w:rPr>
            </w:pPr>
          </w:p>
        </w:tc>
        <w:tc>
          <w:tcPr>
            <w:tcW w:w="1072" w:type="dxa"/>
            <w:vAlign w:val="center"/>
          </w:tcPr>
          <w:p w14:paraId="7B81D401">
            <w:pPr>
              <w:autoSpaceDE w:val="0"/>
              <w:autoSpaceDN w:val="0"/>
              <w:adjustRightInd w:val="0"/>
              <w:snapToGrid w:val="0"/>
              <w:jc w:val="center"/>
              <w:rPr>
                <w:rFonts w:ascii="宋体" w:hAnsi="宋体"/>
                <w:color w:val="auto"/>
                <w:kern w:val="0"/>
                <w:sz w:val="24"/>
              </w:rPr>
            </w:pPr>
          </w:p>
        </w:tc>
        <w:tc>
          <w:tcPr>
            <w:tcW w:w="728" w:type="dxa"/>
            <w:vAlign w:val="center"/>
          </w:tcPr>
          <w:p w14:paraId="25507601">
            <w:pPr>
              <w:autoSpaceDE w:val="0"/>
              <w:autoSpaceDN w:val="0"/>
              <w:adjustRightInd w:val="0"/>
              <w:snapToGrid w:val="0"/>
              <w:jc w:val="center"/>
              <w:rPr>
                <w:rFonts w:ascii="宋体" w:hAnsi="宋体"/>
                <w:color w:val="auto"/>
                <w:kern w:val="0"/>
                <w:sz w:val="24"/>
              </w:rPr>
            </w:pPr>
          </w:p>
        </w:tc>
        <w:tc>
          <w:tcPr>
            <w:tcW w:w="799" w:type="dxa"/>
            <w:vAlign w:val="center"/>
          </w:tcPr>
          <w:p w14:paraId="4C72FBA8">
            <w:pPr>
              <w:autoSpaceDE w:val="0"/>
              <w:autoSpaceDN w:val="0"/>
              <w:adjustRightInd w:val="0"/>
              <w:snapToGrid w:val="0"/>
              <w:jc w:val="center"/>
              <w:rPr>
                <w:rFonts w:ascii="宋体" w:hAnsi="宋体"/>
                <w:color w:val="auto"/>
                <w:kern w:val="0"/>
                <w:sz w:val="24"/>
              </w:rPr>
            </w:pPr>
          </w:p>
        </w:tc>
        <w:tc>
          <w:tcPr>
            <w:tcW w:w="1312" w:type="dxa"/>
            <w:vAlign w:val="center"/>
          </w:tcPr>
          <w:p w14:paraId="508C8D9B">
            <w:pPr>
              <w:autoSpaceDE w:val="0"/>
              <w:autoSpaceDN w:val="0"/>
              <w:adjustRightInd w:val="0"/>
              <w:snapToGrid w:val="0"/>
              <w:jc w:val="center"/>
              <w:rPr>
                <w:rFonts w:ascii="宋体" w:hAnsi="宋体"/>
                <w:color w:val="auto"/>
                <w:kern w:val="0"/>
                <w:sz w:val="24"/>
              </w:rPr>
            </w:pPr>
          </w:p>
        </w:tc>
        <w:tc>
          <w:tcPr>
            <w:tcW w:w="947" w:type="dxa"/>
            <w:vAlign w:val="center"/>
          </w:tcPr>
          <w:p w14:paraId="3125F758">
            <w:pPr>
              <w:autoSpaceDE w:val="0"/>
              <w:autoSpaceDN w:val="0"/>
              <w:adjustRightInd w:val="0"/>
              <w:snapToGrid w:val="0"/>
              <w:jc w:val="center"/>
              <w:rPr>
                <w:rFonts w:ascii="宋体" w:hAnsi="宋体"/>
                <w:color w:val="auto"/>
                <w:kern w:val="0"/>
                <w:sz w:val="24"/>
              </w:rPr>
            </w:pPr>
          </w:p>
        </w:tc>
        <w:tc>
          <w:tcPr>
            <w:tcW w:w="1141" w:type="dxa"/>
            <w:vAlign w:val="center"/>
          </w:tcPr>
          <w:p w14:paraId="200F0869">
            <w:pPr>
              <w:autoSpaceDE w:val="0"/>
              <w:autoSpaceDN w:val="0"/>
              <w:adjustRightInd w:val="0"/>
              <w:snapToGrid w:val="0"/>
              <w:jc w:val="center"/>
              <w:rPr>
                <w:rFonts w:ascii="宋体" w:hAnsi="宋体"/>
                <w:color w:val="auto"/>
                <w:kern w:val="0"/>
                <w:sz w:val="24"/>
              </w:rPr>
            </w:pPr>
          </w:p>
        </w:tc>
        <w:tc>
          <w:tcPr>
            <w:tcW w:w="749" w:type="dxa"/>
            <w:vAlign w:val="center"/>
          </w:tcPr>
          <w:p w14:paraId="1969AE0E">
            <w:pPr>
              <w:autoSpaceDE w:val="0"/>
              <w:autoSpaceDN w:val="0"/>
              <w:adjustRightInd w:val="0"/>
              <w:snapToGrid w:val="0"/>
              <w:jc w:val="center"/>
              <w:rPr>
                <w:rFonts w:ascii="宋体" w:hAnsi="宋体"/>
                <w:color w:val="auto"/>
                <w:kern w:val="0"/>
                <w:sz w:val="24"/>
              </w:rPr>
            </w:pPr>
          </w:p>
        </w:tc>
      </w:tr>
      <w:tr w14:paraId="542F71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F901ABB">
            <w:pPr>
              <w:autoSpaceDE w:val="0"/>
              <w:autoSpaceDN w:val="0"/>
              <w:adjustRightInd w:val="0"/>
              <w:snapToGrid w:val="0"/>
              <w:jc w:val="center"/>
              <w:rPr>
                <w:rFonts w:ascii="宋体" w:hAnsi="宋体"/>
                <w:color w:val="auto"/>
                <w:kern w:val="0"/>
                <w:sz w:val="24"/>
              </w:rPr>
            </w:pPr>
          </w:p>
        </w:tc>
        <w:tc>
          <w:tcPr>
            <w:tcW w:w="1176" w:type="dxa"/>
            <w:vAlign w:val="center"/>
          </w:tcPr>
          <w:p w14:paraId="39AB60FF">
            <w:pPr>
              <w:autoSpaceDE w:val="0"/>
              <w:autoSpaceDN w:val="0"/>
              <w:adjustRightInd w:val="0"/>
              <w:snapToGrid w:val="0"/>
              <w:jc w:val="center"/>
              <w:rPr>
                <w:rFonts w:ascii="宋体" w:hAnsi="宋体"/>
                <w:color w:val="auto"/>
                <w:kern w:val="0"/>
                <w:sz w:val="24"/>
              </w:rPr>
            </w:pPr>
          </w:p>
        </w:tc>
        <w:tc>
          <w:tcPr>
            <w:tcW w:w="824" w:type="dxa"/>
            <w:vAlign w:val="center"/>
          </w:tcPr>
          <w:p w14:paraId="7994CB27">
            <w:pPr>
              <w:autoSpaceDE w:val="0"/>
              <w:autoSpaceDN w:val="0"/>
              <w:adjustRightInd w:val="0"/>
              <w:snapToGrid w:val="0"/>
              <w:jc w:val="center"/>
              <w:rPr>
                <w:rFonts w:ascii="宋体" w:hAnsi="宋体"/>
                <w:color w:val="auto"/>
                <w:kern w:val="0"/>
                <w:sz w:val="24"/>
              </w:rPr>
            </w:pPr>
          </w:p>
        </w:tc>
        <w:tc>
          <w:tcPr>
            <w:tcW w:w="1072" w:type="dxa"/>
            <w:vAlign w:val="center"/>
          </w:tcPr>
          <w:p w14:paraId="173D5AD8">
            <w:pPr>
              <w:autoSpaceDE w:val="0"/>
              <w:autoSpaceDN w:val="0"/>
              <w:adjustRightInd w:val="0"/>
              <w:snapToGrid w:val="0"/>
              <w:jc w:val="center"/>
              <w:rPr>
                <w:rFonts w:ascii="宋体" w:hAnsi="宋体"/>
                <w:color w:val="auto"/>
                <w:kern w:val="0"/>
                <w:sz w:val="24"/>
              </w:rPr>
            </w:pPr>
          </w:p>
        </w:tc>
        <w:tc>
          <w:tcPr>
            <w:tcW w:w="728" w:type="dxa"/>
            <w:vAlign w:val="center"/>
          </w:tcPr>
          <w:p w14:paraId="65250963">
            <w:pPr>
              <w:autoSpaceDE w:val="0"/>
              <w:autoSpaceDN w:val="0"/>
              <w:adjustRightInd w:val="0"/>
              <w:snapToGrid w:val="0"/>
              <w:jc w:val="center"/>
              <w:rPr>
                <w:rFonts w:ascii="宋体" w:hAnsi="宋体"/>
                <w:color w:val="auto"/>
                <w:kern w:val="0"/>
                <w:sz w:val="24"/>
              </w:rPr>
            </w:pPr>
          </w:p>
        </w:tc>
        <w:tc>
          <w:tcPr>
            <w:tcW w:w="799" w:type="dxa"/>
            <w:vAlign w:val="center"/>
          </w:tcPr>
          <w:p w14:paraId="3EADDA69">
            <w:pPr>
              <w:autoSpaceDE w:val="0"/>
              <w:autoSpaceDN w:val="0"/>
              <w:adjustRightInd w:val="0"/>
              <w:snapToGrid w:val="0"/>
              <w:jc w:val="center"/>
              <w:rPr>
                <w:rFonts w:ascii="宋体" w:hAnsi="宋体"/>
                <w:color w:val="auto"/>
                <w:kern w:val="0"/>
                <w:sz w:val="24"/>
              </w:rPr>
            </w:pPr>
          </w:p>
        </w:tc>
        <w:tc>
          <w:tcPr>
            <w:tcW w:w="1312" w:type="dxa"/>
            <w:vAlign w:val="center"/>
          </w:tcPr>
          <w:p w14:paraId="4229002F">
            <w:pPr>
              <w:autoSpaceDE w:val="0"/>
              <w:autoSpaceDN w:val="0"/>
              <w:adjustRightInd w:val="0"/>
              <w:snapToGrid w:val="0"/>
              <w:jc w:val="center"/>
              <w:rPr>
                <w:rFonts w:ascii="宋体" w:hAnsi="宋体"/>
                <w:color w:val="auto"/>
                <w:kern w:val="0"/>
                <w:sz w:val="24"/>
              </w:rPr>
            </w:pPr>
          </w:p>
        </w:tc>
        <w:tc>
          <w:tcPr>
            <w:tcW w:w="947" w:type="dxa"/>
            <w:vAlign w:val="center"/>
          </w:tcPr>
          <w:p w14:paraId="27BF4C87">
            <w:pPr>
              <w:autoSpaceDE w:val="0"/>
              <w:autoSpaceDN w:val="0"/>
              <w:adjustRightInd w:val="0"/>
              <w:snapToGrid w:val="0"/>
              <w:jc w:val="center"/>
              <w:rPr>
                <w:rFonts w:ascii="宋体" w:hAnsi="宋体"/>
                <w:color w:val="auto"/>
                <w:kern w:val="0"/>
                <w:sz w:val="24"/>
              </w:rPr>
            </w:pPr>
          </w:p>
        </w:tc>
        <w:tc>
          <w:tcPr>
            <w:tcW w:w="1141" w:type="dxa"/>
            <w:vAlign w:val="center"/>
          </w:tcPr>
          <w:p w14:paraId="1367E02B">
            <w:pPr>
              <w:autoSpaceDE w:val="0"/>
              <w:autoSpaceDN w:val="0"/>
              <w:adjustRightInd w:val="0"/>
              <w:snapToGrid w:val="0"/>
              <w:jc w:val="center"/>
              <w:rPr>
                <w:rFonts w:ascii="宋体" w:hAnsi="宋体"/>
                <w:color w:val="auto"/>
                <w:kern w:val="0"/>
                <w:sz w:val="24"/>
              </w:rPr>
            </w:pPr>
          </w:p>
        </w:tc>
        <w:tc>
          <w:tcPr>
            <w:tcW w:w="749" w:type="dxa"/>
            <w:vAlign w:val="center"/>
          </w:tcPr>
          <w:p w14:paraId="145379F9">
            <w:pPr>
              <w:autoSpaceDE w:val="0"/>
              <w:autoSpaceDN w:val="0"/>
              <w:adjustRightInd w:val="0"/>
              <w:snapToGrid w:val="0"/>
              <w:jc w:val="center"/>
              <w:rPr>
                <w:rFonts w:ascii="宋体" w:hAnsi="宋体"/>
                <w:color w:val="auto"/>
                <w:kern w:val="0"/>
                <w:sz w:val="24"/>
              </w:rPr>
            </w:pPr>
          </w:p>
        </w:tc>
      </w:tr>
      <w:tr w14:paraId="2E2591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B1D0455">
            <w:pPr>
              <w:autoSpaceDE w:val="0"/>
              <w:autoSpaceDN w:val="0"/>
              <w:adjustRightInd w:val="0"/>
              <w:snapToGrid w:val="0"/>
              <w:jc w:val="center"/>
              <w:rPr>
                <w:rFonts w:ascii="宋体" w:hAnsi="宋体"/>
                <w:color w:val="auto"/>
                <w:kern w:val="0"/>
                <w:sz w:val="24"/>
              </w:rPr>
            </w:pPr>
          </w:p>
        </w:tc>
        <w:tc>
          <w:tcPr>
            <w:tcW w:w="1176" w:type="dxa"/>
            <w:vAlign w:val="center"/>
          </w:tcPr>
          <w:p w14:paraId="0DB836A3">
            <w:pPr>
              <w:autoSpaceDE w:val="0"/>
              <w:autoSpaceDN w:val="0"/>
              <w:adjustRightInd w:val="0"/>
              <w:snapToGrid w:val="0"/>
              <w:jc w:val="center"/>
              <w:rPr>
                <w:rFonts w:ascii="宋体" w:hAnsi="宋体"/>
                <w:color w:val="auto"/>
                <w:kern w:val="0"/>
                <w:sz w:val="24"/>
              </w:rPr>
            </w:pPr>
          </w:p>
        </w:tc>
        <w:tc>
          <w:tcPr>
            <w:tcW w:w="824" w:type="dxa"/>
            <w:vAlign w:val="center"/>
          </w:tcPr>
          <w:p w14:paraId="503AC243">
            <w:pPr>
              <w:autoSpaceDE w:val="0"/>
              <w:autoSpaceDN w:val="0"/>
              <w:adjustRightInd w:val="0"/>
              <w:snapToGrid w:val="0"/>
              <w:jc w:val="center"/>
              <w:rPr>
                <w:rFonts w:ascii="宋体" w:hAnsi="宋体"/>
                <w:color w:val="auto"/>
                <w:kern w:val="0"/>
                <w:sz w:val="24"/>
              </w:rPr>
            </w:pPr>
          </w:p>
        </w:tc>
        <w:tc>
          <w:tcPr>
            <w:tcW w:w="1072" w:type="dxa"/>
            <w:vAlign w:val="center"/>
          </w:tcPr>
          <w:p w14:paraId="30262FAB">
            <w:pPr>
              <w:autoSpaceDE w:val="0"/>
              <w:autoSpaceDN w:val="0"/>
              <w:adjustRightInd w:val="0"/>
              <w:snapToGrid w:val="0"/>
              <w:jc w:val="center"/>
              <w:rPr>
                <w:rFonts w:ascii="宋体" w:hAnsi="宋体"/>
                <w:color w:val="auto"/>
                <w:kern w:val="0"/>
                <w:sz w:val="24"/>
              </w:rPr>
            </w:pPr>
          </w:p>
        </w:tc>
        <w:tc>
          <w:tcPr>
            <w:tcW w:w="728" w:type="dxa"/>
            <w:vAlign w:val="center"/>
          </w:tcPr>
          <w:p w14:paraId="3029DF08">
            <w:pPr>
              <w:autoSpaceDE w:val="0"/>
              <w:autoSpaceDN w:val="0"/>
              <w:adjustRightInd w:val="0"/>
              <w:snapToGrid w:val="0"/>
              <w:jc w:val="center"/>
              <w:rPr>
                <w:rFonts w:ascii="宋体" w:hAnsi="宋体"/>
                <w:color w:val="auto"/>
                <w:kern w:val="0"/>
                <w:sz w:val="24"/>
              </w:rPr>
            </w:pPr>
          </w:p>
        </w:tc>
        <w:tc>
          <w:tcPr>
            <w:tcW w:w="799" w:type="dxa"/>
            <w:vAlign w:val="center"/>
          </w:tcPr>
          <w:p w14:paraId="2F9A4699">
            <w:pPr>
              <w:autoSpaceDE w:val="0"/>
              <w:autoSpaceDN w:val="0"/>
              <w:adjustRightInd w:val="0"/>
              <w:snapToGrid w:val="0"/>
              <w:jc w:val="center"/>
              <w:rPr>
                <w:rFonts w:ascii="宋体" w:hAnsi="宋体"/>
                <w:color w:val="auto"/>
                <w:kern w:val="0"/>
                <w:sz w:val="24"/>
              </w:rPr>
            </w:pPr>
          </w:p>
        </w:tc>
        <w:tc>
          <w:tcPr>
            <w:tcW w:w="1312" w:type="dxa"/>
            <w:vAlign w:val="center"/>
          </w:tcPr>
          <w:p w14:paraId="20AB7B86">
            <w:pPr>
              <w:autoSpaceDE w:val="0"/>
              <w:autoSpaceDN w:val="0"/>
              <w:adjustRightInd w:val="0"/>
              <w:snapToGrid w:val="0"/>
              <w:jc w:val="center"/>
              <w:rPr>
                <w:rFonts w:ascii="宋体" w:hAnsi="宋体"/>
                <w:color w:val="auto"/>
                <w:kern w:val="0"/>
                <w:sz w:val="24"/>
              </w:rPr>
            </w:pPr>
          </w:p>
        </w:tc>
        <w:tc>
          <w:tcPr>
            <w:tcW w:w="947" w:type="dxa"/>
            <w:vAlign w:val="center"/>
          </w:tcPr>
          <w:p w14:paraId="74D3D293">
            <w:pPr>
              <w:autoSpaceDE w:val="0"/>
              <w:autoSpaceDN w:val="0"/>
              <w:adjustRightInd w:val="0"/>
              <w:snapToGrid w:val="0"/>
              <w:jc w:val="center"/>
              <w:rPr>
                <w:rFonts w:ascii="宋体" w:hAnsi="宋体"/>
                <w:color w:val="auto"/>
                <w:kern w:val="0"/>
                <w:sz w:val="24"/>
              </w:rPr>
            </w:pPr>
          </w:p>
        </w:tc>
        <w:tc>
          <w:tcPr>
            <w:tcW w:w="1141" w:type="dxa"/>
            <w:vAlign w:val="center"/>
          </w:tcPr>
          <w:p w14:paraId="0B3930A7">
            <w:pPr>
              <w:autoSpaceDE w:val="0"/>
              <w:autoSpaceDN w:val="0"/>
              <w:adjustRightInd w:val="0"/>
              <w:snapToGrid w:val="0"/>
              <w:jc w:val="center"/>
              <w:rPr>
                <w:rFonts w:ascii="宋体" w:hAnsi="宋体"/>
                <w:color w:val="auto"/>
                <w:kern w:val="0"/>
                <w:sz w:val="24"/>
              </w:rPr>
            </w:pPr>
          </w:p>
        </w:tc>
        <w:tc>
          <w:tcPr>
            <w:tcW w:w="749" w:type="dxa"/>
            <w:vAlign w:val="center"/>
          </w:tcPr>
          <w:p w14:paraId="3DF4A01D">
            <w:pPr>
              <w:autoSpaceDE w:val="0"/>
              <w:autoSpaceDN w:val="0"/>
              <w:adjustRightInd w:val="0"/>
              <w:snapToGrid w:val="0"/>
              <w:jc w:val="center"/>
              <w:rPr>
                <w:rFonts w:ascii="宋体" w:hAnsi="宋体"/>
                <w:color w:val="auto"/>
                <w:kern w:val="0"/>
                <w:sz w:val="24"/>
              </w:rPr>
            </w:pPr>
          </w:p>
        </w:tc>
      </w:tr>
      <w:tr w14:paraId="2E1120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7B5FA4F">
            <w:pPr>
              <w:autoSpaceDE w:val="0"/>
              <w:autoSpaceDN w:val="0"/>
              <w:adjustRightInd w:val="0"/>
              <w:snapToGrid w:val="0"/>
              <w:jc w:val="center"/>
              <w:rPr>
                <w:rFonts w:ascii="宋体" w:hAnsi="宋体"/>
                <w:color w:val="auto"/>
                <w:kern w:val="0"/>
                <w:sz w:val="24"/>
              </w:rPr>
            </w:pPr>
          </w:p>
        </w:tc>
        <w:tc>
          <w:tcPr>
            <w:tcW w:w="1176" w:type="dxa"/>
            <w:vAlign w:val="center"/>
          </w:tcPr>
          <w:p w14:paraId="07A02603">
            <w:pPr>
              <w:autoSpaceDE w:val="0"/>
              <w:autoSpaceDN w:val="0"/>
              <w:adjustRightInd w:val="0"/>
              <w:snapToGrid w:val="0"/>
              <w:jc w:val="center"/>
              <w:rPr>
                <w:rFonts w:ascii="宋体" w:hAnsi="宋体"/>
                <w:color w:val="auto"/>
                <w:kern w:val="0"/>
                <w:sz w:val="24"/>
              </w:rPr>
            </w:pPr>
          </w:p>
        </w:tc>
        <w:tc>
          <w:tcPr>
            <w:tcW w:w="824" w:type="dxa"/>
            <w:vAlign w:val="center"/>
          </w:tcPr>
          <w:p w14:paraId="090AC9CE">
            <w:pPr>
              <w:autoSpaceDE w:val="0"/>
              <w:autoSpaceDN w:val="0"/>
              <w:adjustRightInd w:val="0"/>
              <w:snapToGrid w:val="0"/>
              <w:jc w:val="center"/>
              <w:rPr>
                <w:rFonts w:ascii="宋体" w:hAnsi="宋体"/>
                <w:color w:val="auto"/>
                <w:kern w:val="0"/>
                <w:sz w:val="24"/>
              </w:rPr>
            </w:pPr>
          </w:p>
        </w:tc>
        <w:tc>
          <w:tcPr>
            <w:tcW w:w="1072" w:type="dxa"/>
            <w:vAlign w:val="center"/>
          </w:tcPr>
          <w:p w14:paraId="623389A8">
            <w:pPr>
              <w:autoSpaceDE w:val="0"/>
              <w:autoSpaceDN w:val="0"/>
              <w:adjustRightInd w:val="0"/>
              <w:snapToGrid w:val="0"/>
              <w:jc w:val="center"/>
              <w:rPr>
                <w:rFonts w:ascii="宋体" w:hAnsi="宋体"/>
                <w:color w:val="auto"/>
                <w:kern w:val="0"/>
                <w:sz w:val="24"/>
              </w:rPr>
            </w:pPr>
          </w:p>
        </w:tc>
        <w:tc>
          <w:tcPr>
            <w:tcW w:w="728" w:type="dxa"/>
            <w:vAlign w:val="center"/>
          </w:tcPr>
          <w:p w14:paraId="4F94C7BE">
            <w:pPr>
              <w:autoSpaceDE w:val="0"/>
              <w:autoSpaceDN w:val="0"/>
              <w:adjustRightInd w:val="0"/>
              <w:snapToGrid w:val="0"/>
              <w:jc w:val="center"/>
              <w:rPr>
                <w:rFonts w:ascii="宋体" w:hAnsi="宋体"/>
                <w:color w:val="auto"/>
                <w:kern w:val="0"/>
                <w:sz w:val="24"/>
              </w:rPr>
            </w:pPr>
          </w:p>
        </w:tc>
        <w:tc>
          <w:tcPr>
            <w:tcW w:w="799" w:type="dxa"/>
            <w:vAlign w:val="center"/>
          </w:tcPr>
          <w:p w14:paraId="120D2277">
            <w:pPr>
              <w:autoSpaceDE w:val="0"/>
              <w:autoSpaceDN w:val="0"/>
              <w:adjustRightInd w:val="0"/>
              <w:snapToGrid w:val="0"/>
              <w:jc w:val="center"/>
              <w:rPr>
                <w:rFonts w:ascii="宋体" w:hAnsi="宋体"/>
                <w:color w:val="auto"/>
                <w:kern w:val="0"/>
                <w:sz w:val="24"/>
              </w:rPr>
            </w:pPr>
          </w:p>
        </w:tc>
        <w:tc>
          <w:tcPr>
            <w:tcW w:w="1312" w:type="dxa"/>
            <w:vAlign w:val="center"/>
          </w:tcPr>
          <w:p w14:paraId="5B24DB1C">
            <w:pPr>
              <w:autoSpaceDE w:val="0"/>
              <w:autoSpaceDN w:val="0"/>
              <w:adjustRightInd w:val="0"/>
              <w:snapToGrid w:val="0"/>
              <w:jc w:val="center"/>
              <w:rPr>
                <w:rFonts w:ascii="宋体" w:hAnsi="宋体"/>
                <w:color w:val="auto"/>
                <w:kern w:val="0"/>
                <w:sz w:val="24"/>
              </w:rPr>
            </w:pPr>
          </w:p>
        </w:tc>
        <w:tc>
          <w:tcPr>
            <w:tcW w:w="947" w:type="dxa"/>
            <w:vAlign w:val="center"/>
          </w:tcPr>
          <w:p w14:paraId="671F9605">
            <w:pPr>
              <w:autoSpaceDE w:val="0"/>
              <w:autoSpaceDN w:val="0"/>
              <w:adjustRightInd w:val="0"/>
              <w:snapToGrid w:val="0"/>
              <w:jc w:val="center"/>
              <w:rPr>
                <w:rFonts w:ascii="宋体" w:hAnsi="宋体"/>
                <w:color w:val="auto"/>
                <w:kern w:val="0"/>
                <w:sz w:val="24"/>
              </w:rPr>
            </w:pPr>
          </w:p>
        </w:tc>
        <w:tc>
          <w:tcPr>
            <w:tcW w:w="1141" w:type="dxa"/>
            <w:vAlign w:val="center"/>
          </w:tcPr>
          <w:p w14:paraId="2D68B778">
            <w:pPr>
              <w:autoSpaceDE w:val="0"/>
              <w:autoSpaceDN w:val="0"/>
              <w:adjustRightInd w:val="0"/>
              <w:snapToGrid w:val="0"/>
              <w:jc w:val="center"/>
              <w:rPr>
                <w:rFonts w:ascii="宋体" w:hAnsi="宋体"/>
                <w:color w:val="auto"/>
                <w:kern w:val="0"/>
                <w:sz w:val="24"/>
              </w:rPr>
            </w:pPr>
          </w:p>
        </w:tc>
        <w:tc>
          <w:tcPr>
            <w:tcW w:w="749" w:type="dxa"/>
            <w:vAlign w:val="center"/>
          </w:tcPr>
          <w:p w14:paraId="79684DD4">
            <w:pPr>
              <w:autoSpaceDE w:val="0"/>
              <w:autoSpaceDN w:val="0"/>
              <w:adjustRightInd w:val="0"/>
              <w:snapToGrid w:val="0"/>
              <w:jc w:val="center"/>
              <w:rPr>
                <w:rFonts w:ascii="宋体" w:hAnsi="宋体"/>
                <w:color w:val="auto"/>
                <w:kern w:val="0"/>
                <w:sz w:val="24"/>
              </w:rPr>
            </w:pPr>
          </w:p>
        </w:tc>
      </w:tr>
      <w:tr w14:paraId="577A73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8536DDC">
            <w:pPr>
              <w:autoSpaceDE w:val="0"/>
              <w:autoSpaceDN w:val="0"/>
              <w:adjustRightInd w:val="0"/>
              <w:snapToGrid w:val="0"/>
              <w:jc w:val="center"/>
              <w:rPr>
                <w:rFonts w:ascii="宋体" w:hAnsi="宋体"/>
                <w:color w:val="auto"/>
                <w:kern w:val="0"/>
                <w:sz w:val="24"/>
              </w:rPr>
            </w:pPr>
          </w:p>
        </w:tc>
        <w:tc>
          <w:tcPr>
            <w:tcW w:w="1176" w:type="dxa"/>
            <w:vAlign w:val="center"/>
          </w:tcPr>
          <w:p w14:paraId="4CC47CAD">
            <w:pPr>
              <w:autoSpaceDE w:val="0"/>
              <w:autoSpaceDN w:val="0"/>
              <w:adjustRightInd w:val="0"/>
              <w:snapToGrid w:val="0"/>
              <w:jc w:val="center"/>
              <w:rPr>
                <w:rFonts w:ascii="宋体" w:hAnsi="宋体"/>
                <w:color w:val="auto"/>
                <w:kern w:val="0"/>
                <w:sz w:val="24"/>
              </w:rPr>
            </w:pPr>
          </w:p>
        </w:tc>
        <w:tc>
          <w:tcPr>
            <w:tcW w:w="824" w:type="dxa"/>
            <w:vAlign w:val="center"/>
          </w:tcPr>
          <w:p w14:paraId="16FAB725">
            <w:pPr>
              <w:autoSpaceDE w:val="0"/>
              <w:autoSpaceDN w:val="0"/>
              <w:adjustRightInd w:val="0"/>
              <w:snapToGrid w:val="0"/>
              <w:jc w:val="center"/>
              <w:rPr>
                <w:rFonts w:ascii="宋体" w:hAnsi="宋体"/>
                <w:color w:val="auto"/>
                <w:kern w:val="0"/>
                <w:sz w:val="24"/>
              </w:rPr>
            </w:pPr>
          </w:p>
        </w:tc>
        <w:tc>
          <w:tcPr>
            <w:tcW w:w="1072" w:type="dxa"/>
            <w:vAlign w:val="center"/>
          </w:tcPr>
          <w:p w14:paraId="5179F3C6">
            <w:pPr>
              <w:autoSpaceDE w:val="0"/>
              <w:autoSpaceDN w:val="0"/>
              <w:adjustRightInd w:val="0"/>
              <w:snapToGrid w:val="0"/>
              <w:jc w:val="center"/>
              <w:rPr>
                <w:rFonts w:ascii="宋体" w:hAnsi="宋体"/>
                <w:color w:val="auto"/>
                <w:kern w:val="0"/>
                <w:sz w:val="24"/>
              </w:rPr>
            </w:pPr>
          </w:p>
        </w:tc>
        <w:tc>
          <w:tcPr>
            <w:tcW w:w="728" w:type="dxa"/>
            <w:vAlign w:val="center"/>
          </w:tcPr>
          <w:p w14:paraId="0629B36D">
            <w:pPr>
              <w:autoSpaceDE w:val="0"/>
              <w:autoSpaceDN w:val="0"/>
              <w:adjustRightInd w:val="0"/>
              <w:snapToGrid w:val="0"/>
              <w:jc w:val="center"/>
              <w:rPr>
                <w:rFonts w:ascii="宋体" w:hAnsi="宋体"/>
                <w:color w:val="auto"/>
                <w:kern w:val="0"/>
                <w:sz w:val="24"/>
              </w:rPr>
            </w:pPr>
          </w:p>
        </w:tc>
        <w:tc>
          <w:tcPr>
            <w:tcW w:w="799" w:type="dxa"/>
            <w:vAlign w:val="center"/>
          </w:tcPr>
          <w:p w14:paraId="188BA6A0">
            <w:pPr>
              <w:autoSpaceDE w:val="0"/>
              <w:autoSpaceDN w:val="0"/>
              <w:adjustRightInd w:val="0"/>
              <w:snapToGrid w:val="0"/>
              <w:jc w:val="center"/>
              <w:rPr>
                <w:rFonts w:ascii="宋体" w:hAnsi="宋体"/>
                <w:color w:val="auto"/>
                <w:kern w:val="0"/>
                <w:sz w:val="24"/>
              </w:rPr>
            </w:pPr>
          </w:p>
        </w:tc>
        <w:tc>
          <w:tcPr>
            <w:tcW w:w="1312" w:type="dxa"/>
            <w:vAlign w:val="center"/>
          </w:tcPr>
          <w:p w14:paraId="66DA1429">
            <w:pPr>
              <w:autoSpaceDE w:val="0"/>
              <w:autoSpaceDN w:val="0"/>
              <w:adjustRightInd w:val="0"/>
              <w:snapToGrid w:val="0"/>
              <w:jc w:val="center"/>
              <w:rPr>
                <w:rFonts w:ascii="宋体" w:hAnsi="宋体"/>
                <w:color w:val="auto"/>
                <w:kern w:val="0"/>
                <w:sz w:val="24"/>
              </w:rPr>
            </w:pPr>
          </w:p>
        </w:tc>
        <w:tc>
          <w:tcPr>
            <w:tcW w:w="947" w:type="dxa"/>
            <w:vAlign w:val="center"/>
          </w:tcPr>
          <w:p w14:paraId="7AA2A406">
            <w:pPr>
              <w:autoSpaceDE w:val="0"/>
              <w:autoSpaceDN w:val="0"/>
              <w:adjustRightInd w:val="0"/>
              <w:snapToGrid w:val="0"/>
              <w:jc w:val="center"/>
              <w:rPr>
                <w:rFonts w:ascii="宋体" w:hAnsi="宋体"/>
                <w:color w:val="auto"/>
                <w:kern w:val="0"/>
                <w:sz w:val="24"/>
              </w:rPr>
            </w:pPr>
          </w:p>
        </w:tc>
        <w:tc>
          <w:tcPr>
            <w:tcW w:w="1141" w:type="dxa"/>
            <w:vAlign w:val="center"/>
          </w:tcPr>
          <w:p w14:paraId="5621DC47">
            <w:pPr>
              <w:autoSpaceDE w:val="0"/>
              <w:autoSpaceDN w:val="0"/>
              <w:adjustRightInd w:val="0"/>
              <w:snapToGrid w:val="0"/>
              <w:jc w:val="center"/>
              <w:rPr>
                <w:rFonts w:ascii="宋体" w:hAnsi="宋体"/>
                <w:color w:val="auto"/>
                <w:kern w:val="0"/>
                <w:sz w:val="24"/>
              </w:rPr>
            </w:pPr>
          </w:p>
        </w:tc>
        <w:tc>
          <w:tcPr>
            <w:tcW w:w="749" w:type="dxa"/>
            <w:vAlign w:val="center"/>
          </w:tcPr>
          <w:p w14:paraId="460E1072">
            <w:pPr>
              <w:autoSpaceDE w:val="0"/>
              <w:autoSpaceDN w:val="0"/>
              <w:adjustRightInd w:val="0"/>
              <w:snapToGrid w:val="0"/>
              <w:jc w:val="center"/>
              <w:rPr>
                <w:rFonts w:ascii="宋体" w:hAnsi="宋体"/>
                <w:color w:val="auto"/>
                <w:kern w:val="0"/>
                <w:sz w:val="24"/>
              </w:rPr>
            </w:pPr>
          </w:p>
        </w:tc>
      </w:tr>
      <w:tr w14:paraId="76661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0FA55A8">
            <w:pPr>
              <w:autoSpaceDE w:val="0"/>
              <w:autoSpaceDN w:val="0"/>
              <w:adjustRightInd w:val="0"/>
              <w:snapToGrid w:val="0"/>
              <w:jc w:val="center"/>
              <w:rPr>
                <w:rFonts w:ascii="宋体" w:hAnsi="宋体"/>
                <w:color w:val="auto"/>
                <w:kern w:val="0"/>
                <w:sz w:val="24"/>
              </w:rPr>
            </w:pPr>
          </w:p>
        </w:tc>
        <w:tc>
          <w:tcPr>
            <w:tcW w:w="1176" w:type="dxa"/>
            <w:vAlign w:val="center"/>
          </w:tcPr>
          <w:p w14:paraId="560D5B90">
            <w:pPr>
              <w:autoSpaceDE w:val="0"/>
              <w:autoSpaceDN w:val="0"/>
              <w:adjustRightInd w:val="0"/>
              <w:snapToGrid w:val="0"/>
              <w:jc w:val="center"/>
              <w:rPr>
                <w:rFonts w:ascii="宋体" w:hAnsi="宋体"/>
                <w:color w:val="auto"/>
                <w:kern w:val="0"/>
                <w:sz w:val="24"/>
              </w:rPr>
            </w:pPr>
          </w:p>
        </w:tc>
        <w:tc>
          <w:tcPr>
            <w:tcW w:w="824" w:type="dxa"/>
            <w:vAlign w:val="center"/>
          </w:tcPr>
          <w:p w14:paraId="39D11743">
            <w:pPr>
              <w:autoSpaceDE w:val="0"/>
              <w:autoSpaceDN w:val="0"/>
              <w:adjustRightInd w:val="0"/>
              <w:snapToGrid w:val="0"/>
              <w:jc w:val="center"/>
              <w:rPr>
                <w:rFonts w:ascii="宋体" w:hAnsi="宋体"/>
                <w:color w:val="auto"/>
                <w:kern w:val="0"/>
                <w:sz w:val="24"/>
              </w:rPr>
            </w:pPr>
          </w:p>
        </w:tc>
        <w:tc>
          <w:tcPr>
            <w:tcW w:w="1072" w:type="dxa"/>
            <w:vAlign w:val="center"/>
          </w:tcPr>
          <w:p w14:paraId="6D57D392">
            <w:pPr>
              <w:autoSpaceDE w:val="0"/>
              <w:autoSpaceDN w:val="0"/>
              <w:adjustRightInd w:val="0"/>
              <w:snapToGrid w:val="0"/>
              <w:jc w:val="center"/>
              <w:rPr>
                <w:rFonts w:ascii="宋体" w:hAnsi="宋体"/>
                <w:color w:val="auto"/>
                <w:kern w:val="0"/>
                <w:sz w:val="24"/>
              </w:rPr>
            </w:pPr>
          </w:p>
        </w:tc>
        <w:tc>
          <w:tcPr>
            <w:tcW w:w="728" w:type="dxa"/>
            <w:vAlign w:val="center"/>
          </w:tcPr>
          <w:p w14:paraId="7568F9B0">
            <w:pPr>
              <w:autoSpaceDE w:val="0"/>
              <w:autoSpaceDN w:val="0"/>
              <w:adjustRightInd w:val="0"/>
              <w:snapToGrid w:val="0"/>
              <w:jc w:val="center"/>
              <w:rPr>
                <w:rFonts w:ascii="宋体" w:hAnsi="宋体"/>
                <w:color w:val="auto"/>
                <w:kern w:val="0"/>
                <w:sz w:val="24"/>
              </w:rPr>
            </w:pPr>
          </w:p>
        </w:tc>
        <w:tc>
          <w:tcPr>
            <w:tcW w:w="799" w:type="dxa"/>
            <w:vAlign w:val="center"/>
          </w:tcPr>
          <w:p w14:paraId="6341B190">
            <w:pPr>
              <w:autoSpaceDE w:val="0"/>
              <w:autoSpaceDN w:val="0"/>
              <w:adjustRightInd w:val="0"/>
              <w:snapToGrid w:val="0"/>
              <w:jc w:val="center"/>
              <w:rPr>
                <w:rFonts w:ascii="宋体" w:hAnsi="宋体"/>
                <w:color w:val="auto"/>
                <w:kern w:val="0"/>
                <w:sz w:val="24"/>
              </w:rPr>
            </w:pPr>
          </w:p>
        </w:tc>
        <w:tc>
          <w:tcPr>
            <w:tcW w:w="1312" w:type="dxa"/>
            <w:vAlign w:val="center"/>
          </w:tcPr>
          <w:p w14:paraId="6F580321">
            <w:pPr>
              <w:autoSpaceDE w:val="0"/>
              <w:autoSpaceDN w:val="0"/>
              <w:adjustRightInd w:val="0"/>
              <w:snapToGrid w:val="0"/>
              <w:jc w:val="center"/>
              <w:rPr>
                <w:rFonts w:ascii="宋体" w:hAnsi="宋体"/>
                <w:color w:val="auto"/>
                <w:kern w:val="0"/>
                <w:sz w:val="24"/>
              </w:rPr>
            </w:pPr>
          </w:p>
        </w:tc>
        <w:tc>
          <w:tcPr>
            <w:tcW w:w="947" w:type="dxa"/>
            <w:vAlign w:val="center"/>
          </w:tcPr>
          <w:p w14:paraId="7A3E9837">
            <w:pPr>
              <w:autoSpaceDE w:val="0"/>
              <w:autoSpaceDN w:val="0"/>
              <w:adjustRightInd w:val="0"/>
              <w:snapToGrid w:val="0"/>
              <w:jc w:val="center"/>
              <w:rPr>
                <w:rFonts w:ascii="宋体" w:hAnsi="宋体"/>
                <w:color w:val="auto"/>
                <w:kern w:val="0"/>
                <w:sz w:val="24"/>
              </w:rPr>
            </w:pPr>
          </w:p>
        </w:tc>
        <w:tc>
          <w:tcPr>
            <w:tcW w:w="1141" w:type="dxa"/>
            <w:vAlign w:val="center"/>
          </w:tcPr>
          <w:p w14:paraId="519DA9AA">
            <w:pPr>
              <w:autoSpaceDE w:val="0"/>
              <w:autoSpaceDN w:val="0"/>
              <w:adjustRightInd w:val="0"/>
              <w:snapToGrid w:val="0"/>
              <w:jc w:val="center"/>
              <w:rPr>
                <w:rFonts w:ascii="宋体" w:hAnsi="宋体"/>
                <w:color w:val="auto"/>
                <w:kern w:val="0"/>
                <w:sz w:val="24"/>
              </w:rPr>
            </w:pPr>
          </w:p>
        </w:tc>
        <w:tc>
          <w:tcPr>
            <w:tcW w:w="749" w:type="dxa"/>
            <w:vAlign w:val="center"/>
          </w:tcPr>
          <w:p w14:paraId="681E8CE2">
            <w:pPr>
              <w:autoSpaceDE w:val="0"/>
              <w:autoSpaceDN w:val="0"/>
              <w:adjustRightInd w:val="0"/>
              <w:snapToGrid w:val="0"/>
              <w:jc w:val="center"/>
              <w:rPr>
                <w:rFonts w:ascii="宋体" w:hAnsi="宋体"/>
                <w:color w:val="auto"/>
                <w:kern w:val="0"/>
                <w:sz w:val="24"/>
              </w:rPr>
            </w:pPr>
          </w:p>
        </w:tc>
      </w:tr>
      <w:tr w14:paraId="42F5C4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E149372">
            <w:pPr>
              <w:autoSpaceDE w:val="0"/>
              <w:autoSpaceDN w:val="0"/>
              <w:adjustRightInd w:val="0"/>
              <w:snapToGrid w:val="0"/>
              <w:jc w:val="center"/>
              <w:rPr>
                <w:rFonts w:ascii="宋体" w:hAnsi="宋体"/>
                <w:color w:val="auto"/>
                <w:kern w:val="0"/>
                <w:sz w:val="24"/>
              </w:rPr>
            </w:pPr>
          </w:p>
        </w:tc>
        <w:tc>
          <w:tcPr>
            <w:tcW w:w="1176" w:type="dxa"/>
            <w:vAlign w:val="center"/>
          </w:tcPr>
          <w:p w14:paraId="0C671660">
            <w:pPr>
              <w:autoSpaceDE w:val="0"/>
              <w:autoSpaceDN w:val="0"/>
              <w:adjustRightInd w:val="0"/>
              <w:snapToGrid w:val="0"/>
              <w:jc w:val="center"/>
              <w:rPr>
                <w:rFonts w:ascii="宋体" w:hAnsi="宋体"/>
                <w:color w:val="auto"/>
                <w:kern w:val="0"/>
                <w:sz w:val="24"/>
              </w:rPr>
            </w:pPr>
          </w:p>
        </w:tc>
        <w:tc>
          <w:tcPr>
            <w:tcW w:w="824" w:type="dxa"/>
            <w:vAlign w:val="center"/>
          </w:tcPr>
          <w:p w14:paraId="20F0B737">
            <w:pPr>
              <w:autoSpaceDE w:val="0"/>
              <w:autoSpaceDN w:val="0"/>
              <w:adjustRightInd w:val="0"/>
              <w:snapToGrid w:val="0"/>
              <w:jc w:val="center"/>
              <w:rPr>
                <w:rFonts w:ascii="宋体" w:hAnsi="宋体"/>
                <w:color w:val="auto"/>
                <w:kern w:val="0"/>
                <w:sz w:val="24"/>
              </w:rPr>
            </w:pPr>
          </w:p>
        </w:tc>
        <w:tc>
          <w:tcPr>
            <w:tcW w:w="1072" w:type="dxa"/>
            <w:vAlign w:val="center"/>
          </w:tcPr>
          <w:p w14:paraId="3B51B906">
            <w:pPr>
              <w:autoSpaceDE w:val="0"/>
              <w:autoSpaceDN w:val="0"/>
              <w:adjustRightInd w:val="0"/>
              <w:snapToGrid w:val="0"/>
              <w:jc w:val="center"/>
              <w:rPr>
                <w:rFonts w:ascii="宋体" w:hAnsi="宋体"/>
                <w:color w:val="auto"/>
                <w:kern w:val="0"/>
                <w:sz w:val="24"/>
              </w:rPr>
            </w:pPr>
          </w:p>
        </w:tc>
        <w:tc>
          <w:tcPr>
            <w:tcW w:w="728" w:type="dxa"/>
            <w:vAlign w:val="center"/>
          </w:tcPr>
          <w:p w14:paraId="60F61A06">
            <w:pPr>
              <w:autoSpaceDE w:val="0"/>
              <w:autoSpaceDN w:val="0"/>
              <w:adjustRightInd w:val="0"/>
              <w:snapToGrid w:val="0"/>
              <w:jc w:val="center"/>
              <w:rPr>
                <w:rFonts w:ascii="宋体" w:hAnsi="宋体"/>
                <w:color w:val="auto"/>
                <w:kern w:val="0"/>
                <w:sz w:val="24"/>
              </w:rPr>
            </w:pPr>
          </w:p>
        </w:tc>
        <w:tc>
          <w:tcPr>
            <w:tcW w:w="799" w:type="dxa"/>
            <w:vAlign w:val="center"/>
          </w:tcPr>
          <w:p w14:paraId="7E440C1C">
            <w:pPr>
              <w:autoSpaceDE w:val="0"/>
              <w:autoSpaceDN w:val="0"/>
              <w:adjustRightInd w:val="0"/>
              <w:snapToGrid w:val="0"/>
              <w:jc w:val="center"/>
              <w:rPr>
                <w:rFonts w:ascii="宋体" w:hAnsi="宋体"/>
                <w:color w:val="auto"/>
                <w:kern w:val="0"/>
                <w:sz w:val="24"/>
              </w:rPr>
            </w:pPr>
          </w:p>
        </w:tc>
        <w:tc>
          <w:tcPr>
            <w:tcW w:w="1312" w:type="dxa"/>
            <w:vAlign w:val="center"/>
          </w:tcPr>
          <w:p w14:paraId="7FBAACA9">
            <w:pPr>
              <w:autoSpaceDE w:val="0"/>
              <w:autoSpaceDN w:val="0"/>
              <w:adjustRightInd w:val="0"/>
              <w:snapToGrid w:val="0"/>
              <w:jc w:val="center"/>
              <w:rPr>
                <w:rFonts w:ascii="宋体" w:hAnsi="宋体"/>
                <w:color w:val="auto"/>
                <w:kern w:val="0"/>
                <w:sz w:val="24"/>
              </w:rPr>
            </w:pPr>
          </w:p>
        </w:tc>
        <w:tc>
          <w:tcPr>
            <w:tcW w:w="947" w:type="dxa"/>
            <w:vAlign w:val="center"/>
          </w:tcPr>
          <w:p w14:paraId="615EFD0D">
            <w:pPr>
              <w:autoSpaceDE w:val="0"/>
              <w:autoSpaceDN w:val="0"/>
              <w:adjustRightInd w:val="0"/>
              <w:snapToGrid w:val="0"/>
              <w:jc w:val="center"/>
              <w:rPr>
                <w:rFonts w:ascii="宋体" w:hAnsi="宋体"/>
                <w:color w:val="auto"/>
                <w:kern w:val="0"/>
                <w:sz w:val="24"/>
              </w:rPr>
            </w:pPr>
          </w:p>
        </w:tc>
        <w:tc>
          <w:tcPr>
            <w:tcW w:w="1141" w:type="dxa"/>
            <w:vAlign w:val="center"/>
          </w:tcPr>
          <w:p w14:paraId="2B3BA140">
            <w:pPr>
              <w:autoSpaceDE w:val="0"/>
              <w:autoSpaceDN w:val="0"/>
              <w:adjustRightInd w:val="0"/>
              <w:snapToGrid w:val="0"/>
              <w:jc w:val="center"/>
              <w:rPr>
                <w:rFonts w:ascii="宋体" w:hAnsi="宋体"/>
                <w:color w:val="auto"/>
                <w:kern w:val="0"/>
                <w:sz w:val="24"/>
              </w:rPr>
            </w:pPr>
          </w:p>
        </w:tc>
        <w:tc>
          <w:tcPr>
            <w:tcW w:w="749" w:type="dxa"/>
            <w:vAlign w:val="center"/>
          </w:tcPr>
          <w:p w14:paraId="193E6A6F">
            <w:pPr>
              <w:autoSpaceDE w:val="0"/>
              <w:autoSpaceDN w:val="0"/>
              <w:adjustRightInd w:val="0"/>
              <w:snapToGrid w:val="0"/>
              <w:jc w:val="center"/>
              <w:rPr>
                <w:rFonts w:ascii="宋体" w:hAnsi="宋体"/>
                <w:color w:val="auto"/>
                <w:kern w:val="0"/>
                <w:sz w:val="24"/>
              </w:rPr>
            </w:pPr>
          </w:p>
        </w:tc>
      </w:tr>
      <w:tr w14:paraId="713F4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22EB3BA">
            <w:pPr>
              <w:autoSpaceDE w:val="0"/>
              <w:autoSpaceDN w:val="0"/>
              <w:adjustRightInd w:val="0"/>
              <w:snapToGrid w:val="0"/>
              <w:jc w:val="center"/>
              <w:rPr>
                <w:rFonts w:ascii="宋体" w:hAnsi="宋体"/>
                <w:color w:val="auto"/>
                <w:kern w:val="0"/>
                <w:sz w:val="24"/>
              </w:rPr>
            </w:pPr>
          </w:p>
        </w:tc>
        <w:tc>
          <w:tcPr>
            <w:tcW w:w="1176" w:type="dxa"/>
            <w:vAlign w:val="center"/>
          </w:tcPr>
          <w:p w14:paraId="0B7DC5A4">
            <w:pPr>
              <w:autoSpaceDE w:val="0"/>
              <w:autoSpaceDN w:val="0"/>
              <w:adjustRightInd w:val="0"/>
              <w:snapToGrid w:val="0"/>
              <w:jc w:val="center"/>
              <w:rPr>
                <w:rFonts w:ascii="宋体" w:hAnsi="宋体"/>
                <w:color w:val="auto"/>
                <w:kern w:val="0"/>
                <w:sz w:val="24"/>
              </w:rPr>
            </w:pPr>
          </w:p>
        </w:tc>
        <w:tc>
          <w:tcPr>
            <w:tcW w:w="824" w:type="dxa"/>
            <w:vAlign w:val="center"/>
          </w:tcPr>
          <w:p w14:paraId="544CE797">
            <w:pPr>
              <w:autoSpaceDE w:val="0"/>
              <w:autoSpaceDN w:val="0"/>
              <w:adjustRightInd w:val="0"/>
              <w:snapToGrid w:val="0"/>
              <w:jc w:val="center"/>
              <w:rPr>
                <w:rFonts w:ascii="宋体" w:hAnsi="宋体"/>
                <w:color w:val="auto"/>
                <w:kern w:val="0"/>
                <w:sz w:val="24"/>
              </w:rPr>
            </w:pPr>
          </w:p>
        </w:tc>
        <w:tc>
          <w:tcPr>
            <w:tcW w:w="1072" w:type="dxa"/>
            <w:vAlign w:val="center"/>
          </w:tcPr>
          <w:p w14:paraId="669773AE">
            <w:pPr>
              <w:autoSpaceDE w:val="0"/>
              <w:autoSpaceDN w:val="0"/>
              <w:adjustRightInd w:val="0"/>
              <w:snapToGrid w:val="0"/>
              <w:jc w:val="center"/>
              <w:rPr>
                <w:rFonts w:ascii="宋体" w:hAnsi="宋体"/>
                <w:color w:val="auto"/>
                <w:kern w:val="0"/>
                <w:sz w:val="24"/>
              </w:rPr>
            </w:pPr>
          </w:p>
        </w:tc>
        <w:tc>
          <w:tcPr>
            <w:tcW w:w="728" w:type="dxa"/>
            <w:vAlign w:val="center"/>
          </w:tcPr>
          <w:p w14:paraId="6606E0C8">
            <w:pPr>
              <w:autoSpaceDE w:val="0"/>
              <w:autoSpaceDN w:val="0"/>
              <w:adjustRightInd w:val="0"/>
              <w:snapToGrid w:val="0"/>
              <w:jc w:val="center"/>
              <w:rPr>
                <w:rFonts w:ascii="宋体" w:hAnsi="宋体"/>
                <w:color w:val="auto"/>
                <w:kern w:val="0"/>
                <w:sz w:val="24"/>
              </w:rPr>
            </w:pPr>
          </w:p>
        </w:tc>
        <w:tc>
          <w:tcPr>
            <w:tcW w:w="799" w:type="dxa"/>
            <w:vAlign w:val="center"/>
          </w:tcPr>
          <w:p w14:paraId="57F8EF09">
            <w:pPr>
              <w:autoSpaceDE w:val="0"/>
              <w:autoSpaceDN w:val="0"/>
              <w:adjustRightInd w:val="0"/>
              <w:snapToGrid w:val="0"/>
              <w:jc w:val="center"/>
              <w:rPr>
                <w:rFonts w:ascii="宋体" w:hAnsi="宋体"/>
                <w:color w:val="auto"/>
                <w:kern w:val="0"/>
                <w:sz w:val="24"/>
              </w:rPr>
            </w:pPr>
          </w:p>
        </w:tc>
        <w:tc>
          <w:tcPr>
            <w:tcW w:w="1312" w:type="dxa"/>
            <w:vAlign w:val="center"/>
          </w:tcPr>
          <w:p w14:paraId="08A71736">
            <w:pPr>
              <w:autoSpaceDE w:val="0"/>
              <w:autoSpaceDN w:val="0"/>
              <w:adjustRightInd w:val="0"/>
              <w:snapToGrid w:val="0"/>
              <w:jc w:val="center"/>
              <w:rPr>
                <w:rFonts w:ascii="宋体" w:hAnsi="宋体"/>
                <w:color w:val="auto"/>
                <w:kern w:val="0"/>
                <w:sz w:val="24"/>
              </w:rPr>
            </w:pPr>
          </w:p>
        </w:tc>
        <w:tc>
          <w:tcPr>
            <w:tcW w:w="947" w:type="dxa"/>
            <w:vAlign w:val="center"/>
          </w:tcPr>
          <w:p w14:paraId="52656B53">
            <w:pPr>
              <w:autoSpaceDE w:val="0"/>
              <w:autoSpaceDN w:val="0"/>
              <w:adjustRightInd w:val="0"/>
              <w:snapToGrid w:val="0"/>
              <w:jc w:val="center"/>
              <w:rPr>
                <w:rFonts w:ascii="宋体" w:hAnsi="宋体"/>
                <w:color w:val="auto"/>
                <w:kern w:val="0"/>
                <w:sz w:val="24"/>
              </w:rPr>
            </w:pPr>
          </w:p>
        </w:tc>
        <w:tc>
          <w:tcPr>
            <w:tcW w:w="1141" w:type="dxa"/>
            <w:vAlign w:val="center"/>
          </w:tcPr>
          <w:p w14:paraId="4999FA8D">
            <w:pPr>
              <w:autoSpaceDE w:val="0"/>
              <w:autoSpaceDN w:val="0"/>
              <w:adjustRightInd w:val="0"/>
              <w:snapToGrid w:val="0"/>
              <w:jc w:val="center"/>
              <w:rPr>
                <w:rFonts w:ascii="宋体" w:hAnsi="宋体"/>
                <w:color w:val="auto"/>
                <w:kern w:val="0"/>
                <w:sz w:val="24"/>
              </w:rPr>
            </w:pPr>
          </w:p>
        </w:tc>
        <w:tc>
          <w:tcPr>
            <w:tcW w:w="749" w:type="dxa"/>
            <w:vAlign w:val="center"/>
          </w:tcPr>
          <w:p w14:paraId="04970E04">
            <w:pPr>
              <w:autoSpaceDE w:val="0"/>
              <w:autoSpaceDN w:val="0"/>
              <w:adjustRightInd w:val="0"/>
              <w:snapToGrid w:val="0"/>
              <w:jc w:val="center"/>
              <w:rPr>
                <w:rFonts w:ascii="宋体" w:hAnsi="宋体"/>
                <w:color w:val="auto"/>
                <w:kern w:val="0"/>
                <w:sz w:val="24"/>
              </w:rPr>
            </w:pPr>
          </w:p>
        </w:tc>
      </w:tr>
      <w:tr w14:paraId="00A5C2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8AC8386">
            <w:pPr>
              <w:autoSpaceDE w:val="0"/>
              <w:autoSpaceDN w:val="0"/>
              <w:adjustRightInd w:val="0"/>
              <w:snapToGrid w:val="0"/>
              <w:jc w:val="center"/>
              <w:rPr>
                <w:rFonts w:ascii="宋体" w:hAnsi="宋体"/>
                <w:color w:val="auto"/>
                <w:kern w:val="0"/>
                <w:sz w:val="24"/>
              </w:rPr>
            </w:pPr>
          </w:p>
        </w:tc>
        <w:tc>
          <w:tcPr>
            <w:tcW w:w="1176" w:type="dxa"/>
            <w:vAlign w:val="center"/>
          </w:tcPr>
          <w:p w14:paraId="0E805F0B">
            <w:pPr>
              <w:autoSpaceDE w:val="0"/>
              <w:autoSpaceDN w:val="0"/>
              <w:adjustRightInd w:val="0"/>
              <w:snapToGrid w:val="0"/>
              <w:jc w:val="center"/>
              <w:rPr>
                <w:rFonts w:ascii="宋体" w:hAnsi="宋体"/>
                <w:color w:val="auto"/>
                <w:kern w:val="0"/>
                <w:sz w:val="24"/>
              </w:rPr>
            </w:pPr>
          </w:p>
        </w:tc>
        <w:tc>
          <w:tcPr>
            <w:tcW w:w="824" w:type="dxa"/>
            <w:vAlign w:val="center"/>
          </w:tcPr>
          <w:p w14:paraId="507F7BB0">
            <w:pPr>
              <w:autoSpaceDE w:val="0"/>
              <w:autoSpaceDN w:val="0"/>
              <w:adjustRightInd w:val="0"/>
              <w:snapToGrid w:val="0"/>
              <w:jc w:val="center"/>
              <w:rPr>
                <w:rFonts w:ascii="宋体" w:hAnsi="宋体"/>
                <w:color w:val="auto"/>
                <w:kern w:val="0"/>
                <w:sz w:val="24"/>
              </w:rPr>
            </w:pPr>
          </w:p>
        </w:tc>
        <w:tc>
          <w:tcPr>
            <w:tcW w:w="1072" w:type="dxa"/>
            <w:vAlign w:val="center"/>
          </w:tcPr>
          <w:p w14:paraId="1787FB82">
            <w:pPr>
              <w:autoSpaceDE w:val="0"/>
              <w:autoSpaceDN w:val="0"/>
              <w:adjustRightInd w:val="0"/>
              <w:snapToGrid w:val="0"/>
              <w:jc w:val="center"/>
              <w:rPr>
                <w:rFonts w:ascii="宋体" w:hAnsi="宋体"/>
                <w:color w:val="auto"/>
                <w:kern w:val="0"/>
                <w:sz w:val="24"/>
              </w:rPr>
            </w:pPr>
          </w:p>
        </w:tc>
        <w:tc>
          <w:tcPr>
            <w:tcW w:w="728" w:type="dxa"/>
            <w:vAlign w:val="center"/>
          </w:tcPr>
          <w:p w14:paraId="71B914DE">
            <w:pPr>
              <w:autoSpaceDE w:val="0"/>
              <w:autoSpaceDN w:val="0"/>
              <w:adjustRightInd w:val="0"/>
              <w:snapToGrid w:val="0"/>
              <w:jc w:val="center"/>
              <w:rPr>
                <w:rFonts w:ascii="宋体" w:hAnsi="宋体"/>
                <w:color w:val="auto"/>
                <w:kern w:val="0"/>
                <w:sz w:val="24"/>
              </w:rPr>
            </w:pPr>
          </w:p>
        </w:tc>
        <w:tc>
          <w:tcPr>
            <w:tcW w:w="799" w:type="dxa"/>
            <w:vAlign w:val="center"/>
          </w:tcPr>
          <w:p w14:paraId="2444EBEE">
            <w:pPr>
              <w:autoSpaceDE w:val="0"/>
              <w:autoSpaceDN w:val="0"/>
              <w:adjustRightInd w:val="0"/>
              <w:snapToGrid w:val="0"/>
              <w:jc w:val="center"/>
              <w:rPr>
                <w:rFonts w:ascii="宋体" w:hAnsi="宋体"/>
                <w:color w:val="auto"/>
                <w:kern w:val="0"/>
                <w:sz w:val="24"/>
              </w:rPr>
            </w:pPr>
          </w:p>
        </w:tc>
        <w:tc>
          <w:tcPr>
            <w:tcW w:w="1312" w:type="dxa"/>
            <w:vAlign w:val="center"/>
          </w:tcPr>
          <w:p w14:paraId="6BB0AF6D">
            <w:pPr>
              <w:autoSpaceDE w:val="0"/>
              <w:autoSpaceDN w:val="0"/>
              <w:adjustRightInd w:val="0"/>
              <w:snapToGrid w:val="0"/>
              <w:jc w:val="center"/>
              <w:rPr>
                <w:rFonts w:ascii="宋体" w:hAnsi="宋体"/>
                <w:color w:val="auto"/>
                <w:kern w:val="0"/>
                <w:sz w:val="24"/>
              </w:rPr>
            </w:pPr>
          </w:p>
        </w:tc>
        <w:tc>
          <w:tcPr>
            <w:tcW w:w="947" w:type="dxa"/>
            <w:vAlign w:val="center"/>
          </w:tcPr>
          <w:p w14:paraId="4D93D0DA">
            <w:pPr>
              <w:autoSpaceDE w:val="0"/>
              <w:autoSpaceDN w:val="0"/>
              <w:adjustRightInd w:val="0"/>
              <w:snapToGrid w:val="0"/>
              <w:jc w:val="center"/>
              <w:rPr>
                <w:rFonts w:ascii="宋体" w:hAnsi="宋体"/>
                <w:color w:val="auto"/>
                <w:kern w:val="0"/>
                <w:sz w:val="24"/>
              </w:rPr>
            </w:pPr>
          </w:p>
        </w:tc>
        <w:tc>
          <w:tcPr>
            <w:tcW w:w="1141" w:type="dxa"/>
            <w:vAlign w:val="center"/>
          </w:tcPr>
          <w:p w14:paraId="219D080E">
            <w:pPr>
              <w:autoSpaceDE w:val="0"/>
              <w:autoSpaceDN w:val="0"/>
              <w:adjustRightInd w:val="0"/>
              <w:snapToGrid w:val="0"/>
              <w:jc w:val="center"/>
              <w:rPr>
                <w:rFonts w:ascii="宋体" w:hAnsi="宋体"/>
                <w:color w:val="auto"/>
                <w:kern w:val="0"/>
                <w:sz w:val="24"/>
              </w:rPr>
            </w:pPr>
          </w:p>
        </w:tc>
        <w:tc>
          <w:tcPr>
            <w:tcW w:w="749" w:type="dxa"/>
            <w:vAlign w:val="center"/>
          </w:tcPr>
          <w:p w14:paraId="12C1DC71">
            <w:pPr>
              <w:autoSpaceDE w:val="0"/>
              <w:autoSpaceDN w:val="0"/>
              <w:adjustRightInd w:val="0"/>
              <w:snapToGrid w:val="0"/>
              <w:jc w:val="center"/>
              <w:rPr>
                <w:rFonts w:ascii="宋体" w:hAnsi="宋体"/>
                <w:color w:val="auto"/>
                <w:kern w:val="0"/>
                <w:sz w:val="24"/>
              </w:rPr>
            </w:pPr>
          </w:p>
        </w:tc>
      </w:tr>
      <w:tr w14:paraId="7121BC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5B7B180">
            <w:pPr>
              <w:autoSpaceDE w:val="0"/>
              <w:autoSpaceDN w:val="0"/>
              <w:adjustRightInd w:val="0"/>
              <w:snapToGrid w:val="0"/>
              <w:jc w:val="center"/>
              <w:rPr>
                <w:rFonts w:ascii="宋体" w:hAnsi="宋体"/>
                <w:color w:val="auto"/>
                <w:kern w:val="0"/>
                <w:sz w:val="24"/>
              </w:rPr>
            </w:pPr>
          </w:p>
        </w:tc>
        <w:tc>
          <w:tcPr>
            <w:tcW w:w="1176" w:type="dxa"/>
            <w:vAlign w:val="center"/>
          </w:tcPr>
          <w:p w14:paraId="0BA16A8D">
            <w:pPr>
              <w:autoSpaceDE w:val="0"/>
              <w:autoSpaceDN w:val="0"/>
              <w:adjustRightInd w:val="0"/>
              <w:snapToGrid w:val="0"/>
              <w:jc w:val="center"/>
              <w:rPr>
                <w:rFonts w:ascii="宋体" w:hAnsi="宋体"/>
                <w:color w:val="auto"/>
                <w:kern w:val="0"/>
                <w:sz w:val="24"/>
              </w:rPr>
            </w:pPr>
          </w:p>
        </w:tc>
        <w:tc>
          <w:tcPr>
            <w:tcW w:w="824" w:type="dxa"/>
            <w:vAlign w:val="center"/>
          </w:tcPr>
          <w:p w14:paraId="7E25B5CA">
            <w:pPr>
              <w:autoSpaceDE w:val="0"/>
              <w:autoSpaceDN w:val="0"/>
              <w:adjustRightInd w:val="0"/>
              <w:snapToGrid w:val="0"/>
              <w:jc w:val="center"/>
              <w:rPr>
                <w:rFonts w:ascii="宋体" w:hAnsi="宋体"/>
                <w:color w:val="auto"/>
                <w:kern w:val="0"/>
                <w:sz w:val="24"/>
              </w:rPr>
            </w:pPr>
          </w:p>
        </w:tc>
        <w:tc>
          <w:tcPr>
            <w:tcW w:w="1072" w:type="dxa"/>
            <w:vAlign w:val="center"/>
          </w:tcPr>
          <w:p w14:paraId="7BBD4C41">
            <w:pPr>
              <w:autoSpaceDE w:val="0"/>
              <w:autoSpaceDN w:val="0"/>
              <w:adjustRightInd w:val="0"/>
              <w:snapToGrid w:val="0"/>
              <w:jc w:val="center"/>
              <w:rPr>
                <w:rFonts w:ascii="宋体" w:hAnsi="宋体"/>
                <w:color w:val="auto"/>
                <w:kern w:val="0"/>
                <w:sz w:val="24"/>
              </w:rPr>
            </w:pPr>
          </w:p>
        </w:tc>
        <w:tc>
          <w:tcPr>
            <w:tcW w:w="728" w:type="dxa"/>
            <w:vAlign w:val="center"/>
          </w:tcPr>
          <w:p w14:paraId="112074F4">
            <w:pPr>
              <w:autoSpaceDE w:val="0"/>
              <w:autoSpaceDN w:val="0"/>
              <w:adjustRightInd w:val="0"/>
              <w:snapToGrid w:val="0"/>
              <w:jc w:val="center"/>
              <w:rPr>
                <w:rFonts w:ascii="宋体" w:hAnsi="宋体"/>
                <w:color w:val="auto"/>
                <w:kern w:val="0"/>
                <w:sz w:val="24"/>
              </w:rPr>
            </w:pPr>
          </w:p>
        </w:tc>
        <w:tc>
          <w:tcPr>
            <w:tcW w:w="799" w:type="dxa"/>
            <w:vAlign w:val="center"/>
          </w:tcPr>
          <w:p w14:paraId="222D728B">
            <w:pPr>
              <w:autoSpaceDE w:val="0"/>
              <w:autoSpaceDN w:val="0"/>
              <w:adjustRightInd w:val="0"/>
              <w:snapToGrid w:val="0"/>
              <w:jc w:val="center"/>
              <w:rPr>
                <w:rFonts w:ascii="宋体" w:hAnsi="宋体"/>
                <w:color w:val="auto"/>
                <w:kern w:val="0"/>
                <w:sz w:val="24"/>
              </w:rPr>
            </w:pPr>
          </w:p>
        </w:tc>
        <w:tc>
          <w:tcPr>
            <w:tcW w:w="1312" w:type="dxa"/>
            <w:vAlign w:val="center"/>
          </w:tcPr>
          <w:p w14:paraId="235742AA">
            <w:pPr>
              <w:autoSpaceDE w:val="0"/>
              <w:autoSpaceDN w:val="0"/>
              <w:adjustRightInd w:val="0"/>
              <w:snapToGrid w:val="0"/>
              <w:jc w:val="center"/>
              <w:rPr>
                <w:rFonts w:ascii="宋体" w:hAnsi="宋体"/>
                <w:color w:val="auto"/>
                <w:kern w:val="0"/>
                <w:sz w:val="24"/>
              </w:rPr>
            </w:pPr>
          </w:p>
        </w:tc>
        <w:tc>
          <w:tcPr>
            <w:tcW w:w="947" w:type="dxa"/>
            <w:vAlign w:val="center"/>
          </w:tcPr>
          <w:p w14:paraId="540B1B94">
            <w:pPr>
              <w:autoSpaceDE w:val="0"/>
              <w:autoSpaceDN w:val="0"/>
              <w:adjustRightInd w:val="0"/>
              <w:snapToGrid w:val="0"/>
              <w:jc w:val="center"/>
              <w:rPr>
                <w:rFonts w:ascii="宋体" w:hAnsi="宋体"/>
                <w:color w:val="auto"/>
                <w:kern w:val="0"/>
                <w:sz w:val="24"/>
              </w:rPr>
            </w:pPr>
          </w:p>
        </w:tc>
        <w:tc>
          <w:tcPr>
            <w:tcW w:w="1141" w:type="dxa"/>
            <w:vAlign w:val="center"/>
          </w:tcPr>
          <w:p w14:paraId="55139F6E">
            <w:pPr>
              <w:autoSpaceDE w:val="0"/>
              <w:autoSpaceDN w:val="0"/>
              <w:adjustRightInd w:val="0"/>
              <w:snapToGrid w:val="0"/>
              <w:jc w:val="center"/>
              <w:rPr>
                <w:rFonts w:ascii="宋体" w:hAnsi="宋体"/>
                <w:color w:val="auto"/>
                <w:kern w:val="0"/>
                <w:sz w:val="24"/>
              </w:rPr>
            </w:pPr>
          </w:p>
        </w:tc>
        <w:tc>
          <w:tcPr>
            <w:tcW w:w="749" w:type="dxa"/>
            <w:vAlign w:val="center"/>
          </w:tcPr>
          <w:p w14:paraId="201A777B">
            <w:pPr>
              <w:autoSpaceDE w:val="0"/>
              <w:autoSpaceDN w:val="0"/>
              <w:adjustRightInd w:val="0"/>
              <w:snapToGrid w:val="0"/>
              <w:jc w:val="center"/>
              <w:rPr>
                <w:rFonts w:ascii="宋体" w:hAnsi="宋体"/>
                <w:color w:val="auto"/>
                <w:kern w:val="0"/>
                <w:sz w:val="24"/>
              </w:rPr>
            </w:pPr>
          </w:p>
        </w:tc>
      </w:tr>
      <w:tr w14:paraId="4F85C9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2B69466">
            <w:pPr>
              <w:autoSpaceDE w:val="0"/>
              <w:autoSpaceDN w:val="0"/>
              <w:adjustRightInd w:val="0"/>
              <w:snapToGrid w:val="0"/>
              <w:jc w:val="center"/>
              <w:rPr>
                <w:rFonts w:ascii="宋体" w:hAnsi="宋体"/>
                <w:color w:val="auto"/>
                <w:kern w:val="0"/>
                <w:sz w:val="24"/>
              </w:rPr>
            </w:pPr>
          </w:p>
        </w:tc>
        <w:tc>
          <w:tcPr>
            <w:tcW w:w="1176" w:type="dxa"/>
            <w:vAlign w:val="center"/>
          </w:tcPr>
          <w:p w14:paraId="5C9EF2C4">
            <w:pPr>
              <w:autoSpaceDE w:val="0"/>
              <w:autoSpaceDN w:val="0"/>
              <w:adjustRightInd w:val="0"/>
              <w:snapToGrid w:val="0"/>
              <w:jc w:val="center"/>
              <w:rPr>
                <w:rFonts w:ascii="宋体" w:hAnsi="宋体"/>
                <w:color w:val="auto"/>
                <w:kern w:val="0"/>
                <w:sz w:val="24"/>
              </w:rPr>
            </w:pPr>
          </w:p>
        </w:tc>
        <w:tc>
          <w:tcPr>
            <w:tcW w:w="824" w:type="dxa"/>
            <w:vAlign w:val="center"/>
          </w:tcPr>
          <w:p w14:paraId="0DA84171">
            <w:pPr>
              <w:autoSpaceDE w:val="0"/>
              <w:autoSpaceDN w:val="0"/>
              <w:adjustRightInd w:val="0"/>
              <w:snapToGrid w:val="0"/>
              <w:jc w:val="center"/>
              <w:rPr>
                <w:rFonts w:ascii="宋体" w:hAnsi="宋体"/>
                <w:color w:val="auto"/>
                <w:kern w:val="0"/>
                <w:sz w:val="24"/>
              </w:rPr>
            </w:pPr>
          </w:p>
        </w:tc>
        <w:tc>
          <w:tcPr>
            <w:tcW w:w="1072" w:type="dxa"/>
            <w:vAlign w:val="center"/>
          </w:tcPr>
          <w:p w14:paraId="49885904">
            <w:pPr>
              <w:autoSpaceDE w:val="0"/>
              <w:autoSpaceDN w:val="0"/>
              <w:adjustRightInd w:val="0"/>
              <w:snapToGrid w:val="0"/>
              <w:jc w:val="center"/>
              <w:rPr>
                <w:rFonts w:ascii="宋体" w:hAnsi="宋体"/>
                <w:color w:val="auto"/>
                <w:kern w:val="0"/>
                <w:sz w:val="24"/>
              </w:rPr>
            </w:pPr>
          </w:p>
        </w:tc>
        <w:tc>
          <w:tcPr>
            <w:tcW w:w="728" w:type="dxa"/>
            <w:vAlign w:val="center"/>
          </w:tcPr>
          <w:p w14:paraId="7C69F9C8">
            <w:pPr>
              <w:autoSpaceDE w:val="0"/>
              <w:autoSpaceDN w:val="0"/>
              <w:adjustRightInd w:val="0"/>
              <w:snapToGrid w:val="0"/>
              <w:jc w:val="center"/>
              <w:rPr>
                <w:rFonts w:ascii="宋体" w:hAnsi="宋体"/>
                <w:color w:val="auto"/>
                <w:kern w:val="0"/>
                <w:sz w:val="24"/>
              </w:rPr>
            </w:pPr>
          </w:p>
        </w:tc>
        <w:tc>
          <w:tcPr>
            <w:tcW w:w="799" w:type="dxa"/>
            <w:vAlign w:val="center"/>
          </w:tcPr>
          <w:p w14:paraId="14849096">
            <w:pPr>
              <w:autoSpaceDE w:val="0"/>
              <w:autoSpaceDN w:val="0"/>
              <w:adjustRightInd w:val="0"/>
              <w:snapToGrid w:val="0"/>
              <w:jc w:val="center"/>
              <w:rPr>
                <w:rFonts w:ascii="宋体" w:hAnsi="宋体"/>
                <w:color w:val="auto"/>
                <w:kern w:val="0"/>
                <w:sz w:val="24"/>
              </w:rPr>
            </w:pPr>
          </w:p>
        </w:tc>
        <w:tc>
          <w:tcPr>
            <w:tcW w:w="1312" w:type="dxa"/>
            <w:vAlign w:val="center"/>
          </w:tcPr>
          <w:p w14:paraId="68118466">
            <w:pPr>
              <w:autoSpaceDE w:val="0"/>
              <w:autoSpaceDN w:val="0"/>
              <w:adjustRightInd w:val="0"/>
              <w:snapToGrid w:val="0"/>
              <w:jc w:val="center"/>
              <w:rPr>
                <w:rFonts w:ascii="宋体" w:hAnsi="宋体"/>
                <w:color w:val="auto"/>
                <w:kern w:val="0"/>
                <w:sz w:val="24"/>
              </w:rPr>
            </w:pPr>
          </w:p>
        </w:tc>
        <w:tc>
          <w:tcPr>
            <w:tcW w:w="947" w:type="dxa"/>
            <w:vAlign w:val="center"/>
          </w:tcPr>
          <w:p w14:paraId="77EBA39C">
            <w:pPr>
              <w:autoSpaceDE w:val="0"/>
              <w:autoSpaceDN w:val="0"/>
              <w:adjustRightInd w:val="0"/>
              <w:snapToGrid w:val="0"/>
              <w:jc w:val="center"/>
              <w:rPr>
                <w:rFonts w:ascii="宋体" w:hAnsi="宋体"/>
                <w:color w:val="auto"/>
                <w:kern w:val="0"/>
                <w:sz w:val="24"/>
              </w:rPr>
            </w:pPr>
          </w:p>
        </w:tc>
        <w:tc>
          <w:tcPr>
            <w:tcW w:w="1141" w:type="dxa"/>
            <w:vAlign w:val="center"/>
          </w:tcPr>
          <w:p w14:paraId="486B46B1">
            <w:pPr>
              <w:autoSpaceDE w:val="0"/>
              <w:autoSpaceDN w:val="0"/>
              <w:adjustRightInd w:val="0"/>
              <w:snapToGrid w:val="0"/>
              <w:jc w:val="center"/>
              <w:rPr>
                <w:rFonts w:ascii="宋体" w:hAnsi="宋体"/>
                <w:color w:val="auto"/>
                <w:kern w:val="0"/>
                <w:sz w:val="24"/>
              </w:rPr>
            </w:pPr>
          </w:p>
        </w:tc>
        <w:tc>
          <w:tcPr>
            <w:tcW w:w="749" w:type="dxa"/>
            <w:vAlign w:val="center"/>
          </w:tcPr>
          <w:p w14:paraId="6A1CFAB8">
            <w:pPr>
              <w:autoSpaceDE w:val="0"/>
              <w:autoSpaceDN w:val="0"/>
              <w:adjustRightInd w:val="0"/>
              <w:snapToGrid w:val="0"/>
              <w:jc w:val="center"/>
              <w:rPr>
                <w:rFonts w:ascii="宋体" w:hAnsi="宋体"/>
                <w:color w:val="auto"/>
                <w:kern w:val="0"/>
                <w:sz w:val="24"/>
              </w:rPr>
            </w:pPr>
          </w:p>
        </w:tc>
      </w:tr>
      <w:tr w14:paraId="1FE10F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8F98A50">
            <w:pPr>
              <w:autoSpaceDE w:val="0"/>
              <w:autoSpaceDN w:val="0"/>
              <w:adjustRightInd w:val="0"/>
              <w:snapToGrid w:val="0"/>
              <w:jc w:val="center"/>
              <w:rPr>
                <w:rFonts w:ascii="宋体" w:hAnsi="宋体"/>
                <w:color w:val="auto"/>
                <w:kern w:val="0"/>
                <w:sz w:val="24"/>
              </w:rPr>
            </w:pPr>
          </w:p>
        </w:tc>
        <w:tc>
          <w:tcPr>
            <w:tcW w:w="1176" w:type="dxa"/>
            <w:vAlign w:val="center"/>
          </w:tcPr>
          <w:p w14:paraId="765C962F">
            <w:pPr>
              <w:autoSpaceDE w:val="0"/>
              <w:autoSpaceDN w:val="0"/>
              <w:adjustRightInd w:val="0"/>
              <w:snapToGrid w:val="0"/>
              <w:jc w:val="center"/>
              <w:rPr>
                <w:rFonts w:ascii="宋体" w:hAnsi="宋体"/>
                <w:color w:val="auto"/>
                <w:kern w:val="0"/>
                <w:sz w:val="24"/>
              </w:rPr>
            </w:pPr>
          </w:p>
        </w:tc>
        <w:tc>
          <w:tcPr>
            <w:tcW w:w="824" w:type="dxa"/>
            <w:vAlign w:val="center"/>
          </w:tcPr>
          <w:p w14:paraId="25EC410E">
            <w:pPr>
              <w:autoSpaceDE w:val="0"/>
              <w:autoSpaceDN w:val="0"/>
              <w:adjustRightInd w:val="0"/>
              <w:snapToGrid w:val="0"/>
              <w:jc w:val="center"/>
              <w:rPr>
                <w:rFonts w:ascii="宋体" w:hAnsi="宋体"/>
                <w:color w:val="auto"/>
                <w:kern w:val="0"/>
                <w:sz w:val="24"/>
              </w:rPr>
            </w:pPr>
          </w:p>
        </w:tc>
        <w:tc>
          <w:tcPr>
            <w:tcW w:w="1072" w:type="dxa"/>
            <w:vAlign w:val="center"/>
          </w:tcPr>
          <w:p w14:paraId="3F584591">
            <w:pPr>
              <w:autoSpaceDE w:val="0"/>
              <w:autoSpaceDN w:val="0"/>
              <w:adjustRightInd w:val="0"/>
              <w:snapToGrid w:val="0"/>
              <w:jc w:val="center"/>
              <w:rPr>
                <w:rFonts w:ascii="宋体" w:hAnsi="宋体"/>
                <w:color w:val="auto"/>
                <w:kern w:val="0"/>
                <w:sz w:val="24"/>
              </w:rPr>
            </w:pPr>
          </w:p>
        </w:tc>
        <w:tc>
          <w:tcPr>
            <w:tcW w:w="728" w:type="dxa"/>
            <w:vAlign w:val="center"/>
          </w:tcPr>
          <w:p w14:paraId="35A259C8">
            <w:pPr>
              <w:autoSpaceDE w:val="0"/>
              <w:autoSpaceDN w:val="0"/>
              <w:adjustRightInd w:val="0"/>
              <w:snapToGrid w:val="0"/>
              <w:jc w:val="center"/>
              <w:rPr>
                <w:rFonts w:ascii="宋体" w:hAnsi="宋体"/>
                <w:color w:val="auto"/>
                <w:kern w:val="0"/>
                <w:sz w:val="24"/>
              </w:rPr>
            </w:pPr>
          </w:p>
        </w:tc>
        <w:tc>
          <w:tcPr>
            <w:tcW w:w="799" w:type="dxa"/>
            <w:vAlign w:val="center"/>
          </w:tcPr>
          <w:p w14:paraId="4780415B">
            <w:pPr>
              <w:autoSpaceDE w:val="0"/>
              <w:autoSpaceDN w:val="0"/>
              <w:adjustRightInd w:val="0"/>
              <w:snapToGrid w:val="0"/>
              <w:jc w:val="center"/>
              <w:rPr>
                <w:rFonts w:ascii="宋体" w:hAnsi="宋体"/>
                <w:color w:val="auto"/>
                <w:kern w:val="0"/>
                <w:sz w:val="24"/>
              </w:rPr>
            </w:pPr>
          </w:p>
        </w:tc>
        <w:tc>
          <w:tcPr>
            <w:tcW w:w="1312" w:type="dxa"/>
            <w:vAlign w:val="center"/>
          </w:tcPr>
          <w:p w14:paraId="79616B7B">
            <w:pPr>
              <w:autoSpaceDE w:val="0"/>
              <w:autoSpaceDN w:val="0"/>
              <w:adjustRightInd w:val="0"/>
              <w:snapToGrid w:val="0"/>
              <w:jc w:val="center"/>
              <w:rPr>
                <w:rFonts w:ascii="宋体" w:hAnsi="宋体"/>
                <w:color w:val="auto"/>
                <w:kern w:val="0"/>
                <w:sz w:val="24"/>
              </w:rPr>
            </w:pPr>
          </w:p>
        </w:tc>
        <w:tc>
          <w:tcPr>
            <w:tcW w:w="947" w:type="dxa"/>
            <w:vAlign w:val="center"/>
          </w:tcPr>
          <w:p w14:paraId="36AC3D20">
            <w:pPr>
              <w:autoSpaceDE w:val="0"/>
              <w:autoSpaceDN w:val="0"/>
              <w:adjustRightInd w:val="0"/>
              <w:snapToGrid w:val="0"/>
              <w:jc w:val="center"/>
              <w:rPr>
                <w:rFonts w:ascii="宋体" w:hAnsi="宋体"/>
                <w:color w:val="auto"/>
                <w:kern w:val="0"/>
                <w:sz w:val="24"/>
              </w:rPr>
            </w:pPr>
          </w:p>
        </w:tc>
        <w:tc>
          <w:tcPr>
            <w:tcW w:w="1141" w:type="dxa"/>
            <w:vAlign w:val="center"/>
          </w:tcPr>
          <w:p w14:paraId="3998ABBB">
            <w:pPr>
              <w:autoSpaceDE w:val="0"/>
              <w:autoSpaceDN w:val="0"/>
              <w:adjustRightInd w:val="0"/>
              <w:snapToGrid w:val="0"/>
              <w:jc w:val="center"/>
              <w:rPr>
                <w:rFonts w:ascii="宋体" w:hAnsi="宋体"/>
                <w:color w:val="auto"/>
                <w:kern w:val="0"/>
                <w:sz w:val="24"/>
              </w:rPr>
            </w:pPr>
          </w:p>
        </w:tc>
        <w:tc>
          <w:tcPr>
            <w:tcW w:w="749" w:type="dxa"/>
            <w:vAlign w:val="center"/>
          </w:tcPr>
          <w:p w14:paraId="72147870">
            <w:pPr>
              <w:autoSpaceDE w:val="0"/>
              <w:autoSpaceDN w:val="0"/>
              <w:adjustRightInd w:val="0"/>
              <w:snapToGrid w:val="0"/>
              <w:jc w:val="center"/>
              <w:rPr>
                <w:rFonts w:ascii="宋体" w:hAnsi="宋体"/>
                <w:color w:val="auto"/>
                <w:kern w:val="0"/>
                <w:sz w:val="24"/>
              </w:rPr>
            </w:pPr>
          </w:p>
        </w:tc>
      </w:tr>
      <w:tr w14:paraId="420668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F9DA389">
            <w:pPr>
              <w:autoSpaceDE w:val="0"/>
              <w:autoSpaceDN w:val="0"/>
              <w:adjustRightInd w:val="0"/>
              <w:snapToGrid w:val="0"/>
              <w:jc w:val="center"/>
              <w:rPr>
                <w:rFonts w:ascii="宋体" w:hAnsi="宋体"/>
                <w:color w:val="auto"/>
                <w:kern w:val="0"/>
                <w:sz w:val="24"/>
              </w:rPr>
            </w:pPr>
          </w:p>
        </w:tc>
        <w:tc>
          <w:tcPr>
            <w:tcW w:w="1176" w:type="dxa"/>
            <w:vAlign w:val="center"/>
          </w:tcPr>
          <w:p w14:paraId="5C499548">
            <w:pPr>
              <w:autoSpaceDE w:val="0"/>
              <w:autoSpaceDN w:val="0"/>
              <w:adjustRightInd w:val="0"/>
              <w:snapToGrid w:val="0"/>
              <w:jc w:val="center"/>
              <w:rPr>
                <w:rFonts w:ascii="宋体" w:hAnsi="宋体"/>
                <w:color w:val="auto"/>
                <w:kern w:val="0"/>
                <w:sz w:val="24"/>
              </w:rPr>
            </w:pPr>
          </w:p>
        </w:tc>
        <w:tc>
          <w:tcPr>
            <w:tcW w:w="824" w:type="dxa"/>
            <w:vAlign w:val="center"/>
          </w:tcPr>
          <w:p w14:paraId="0145A946">
            <w:pPr>
              <w:autoSpaceDE w:val="0"/>
              <w:autoSpaceDN w:val="0"/>
              <w:adjustRightInd w:val="0"/>
              <w:snapToGrid w:val="0"/>
              <w:jc w:val="center"/>
              <w:rPr>
                <w:rFonts w:ascii="宋体" w:hAnsi="宋体"/>
                <w:color w:val="auto"/>
                <w:kern w:val="0"/>
                <w:sz w:val="24"/>
              </w:rPr>
            </w:pPr>
          </w:p>
        </w:tc>
        <w:tc>
          <w:tcPr>
            <w:tcW w:w="1072" w:type="dxa"/>
            <w:vAlign w:val="center"/>
          </w:tcPr>
          <w:p w14:paraId="442EAD53">
            <w:pPr>
              <w:autoSpaceDE w:val="0"/>
              <w:autoSpaceDN w:val="0"/>
              <w:adjustRightInd w:val="0"/>
              <w:snapToGrid w:val="0"/>
              <w:jc w:val="center"/>
              <w:rPr>
                <w:rFonts w:ascii="宋体" w:hAnsi="宋体"/>
                <w:color w:val="auto"/>
                <w:kern w:val="0"/>
                <w:sz w:val="24"/>
              </w:rPr>
            </w:pPr>
          </w:p>
        </w:tc>
        <w:tc>
          <w:tcPr>
            <w:tcW w:w="728" w:type="dxa"/>
            <w:vAlign w:val="center"/>
          </w:tcPr>
          <w:p w14:paraId="5C3EF864">
            <w:pPr>
              <w:autoSpaceDE w:val="0"/>
              <w:autoSpaceDN w:val="0"/>
              <w:adjustRightInd w:val="0"/>
              <w:snapToGrid w:val="0"/>
              <w:jc w:val="center"/>
              <w:rPr>
                <w:rFonts w:ascii="宋体" w:hAnsi="宋体"/>
                <w:color w:val="auto"/>
                <w:kern w:val="0"/>
                <w:sz w:val="24"/>
              </w:rPr>
            </w:pPr>
          </w:p>
        </w:tc>
        <w:tc>
          <w:tcPr>
            <w:tcW w:w="799" w:type="dxa"/>
            <w:vAlign w:val="center"/>
          </w:tcPr>
          <w:p w14:paraId="20B7881F">
            <w:pPr>
              <w:autoSpaceDE w:val="0"/>
              <w:autoSpaceDN w:val="0"/>
              <w:adjustRightInd w:val="0"/>
              <w:snapToGrid w:val="0"/>
              <w:jc w:val="center"/>
              <w:rPr>
                <w:rFonts w:ascii="宋体" w:hAnsi="宋体"/>
                <w:color w:val="auto"/>
                <w:kern w:val="0"/>
                <w:sz w:val="24"/>
              </w:rPr>
            </w:pPr>
          </w:p>
        </w:tc>
        <w:tc>
          <w:tcPr>
            <w:tcW w:w="1312" w:type="dxa"/>
            <w:vAlign w:val="center"/>
          </w:tcPr>
          <w:p w14:paraId="089AAC98">
            <w:pPr>
              <w:autoSpaceDE w:val="0"/>
              <w:autoSpaceDN w:val="0"/>
              <w:adjustRightInd w:val="0"/>
              <w:snapToGrid w:val="0"/>
              <w:jc w:val="center"/>
              <w:rPr>
                <w:rFonts w:ascii="宋体" w:hAnsi="宋体"/>
                <w:color w:val="auto"/>
                <w:kern w:val="0"/>
                <w:sz w:val="24"/>
              </w:rPr>
            </w:pPr>
          </w:p>
        </w:tc>
        <w:tc>
          <w:tcPr>
            <w:tcW w:w="947" w:type="dxa"/>
            <w:vAlign w:val="center"/>
          </w:tcPr>
          <w:p w14:paraId="57A93F38">
            <w:pPr>
              <w:autoSpaceDE w:val="0"/>
              <w:autoSpaceDN w:val="0"/>
              <w:adjustRightInd w:val="0"/>
              <w:snapToGrid w:val="0"/>
              <w:jc w:val="center"/>
              <w:rPr>
                <w:rFonts w:ascii="宋体" w:hAnsi="宋体"/>
                <w:color w:val="auto"/>
                <w:kern w:val="0"/>
                <w:sz w:val="24"/>
              </w:rPr>
            </w:pPr>
          </w:p>
        </w:tc>
        <w:tc>
          <w:tcPr>
            <w:tcW w:w="1141" w:type="dxa"/>
            <w:vAlign w:val="center"/>
          </w:tcPr>
          <w:p w14:paraId="7FF04C5A">
            <w:pPr>
              <w:autoSpaceDE w:val="0"/>
              <w:autoSpaceDN w:val="0"/>
              <w:adjustRightInd w:val="0"/>
              <w:snapToGrid w:val="0"/>
              <w:jc w:val="center"/>
              <w:rPr>
                <w:rFonts w:ascii="宋体" w:hAnsi="宋体"/>
                <w:color w:val="auto"/>
                <w:kern w:val="0"/>
                <w:sz w:val="24"/>
              </w:rPr>
            </w:pPr>
          </w:p>
        </w:tc>
        <w:tc>
          <w:tcPr>
            <w:tcW w:w="749" w:type="dxa"/>
            <w:vAlign w:val="center"/>
          </w:tcPr>
          <w:p w14:paraId="44C02363">
            <w:pPr>
              <w:autoSpaceDE w:val="0"/>
              <w:autoSpaceDN w:val="0"/>
              <w:adjustRightInd w:val="0"/>
              <w:snapToGrid w:val="0"/>
              <w:jc w:val="center"/>
              <w:rPr>
                <w:rFonts w:ascii="宋体" w:hAnsi="宋体"/>
                <w:color w:val="auto"/>
                <w:kern w:val="0"/>
                <w:sz w:val="24"/>
              </w:rPr>
            </w:pPr>
          </w:p>
        </w:tc>
      </w:tr>
      <w:tr w14:paraId="57B32C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89A51FB">
            <w:pPr>
              <w:autoSpaceDE w:val="0"/>
              <w:autoSpaceDN w:val="0"/>
              <w:adjustRightInd w:val="0"/>
              <w:snapToGrid w:val="0"/>
              <w:jc w:val="center"/>
              <w:rPr>
                <w:rFonts w:ascii="宋体" w:hAnsi="宋体"/>
                <w:color w:val="auto"/>
                <w:kern w:val="0"/>
                <w:sz w:val="24"/>
              </w:rPr>
            </w:pPr>
          </w:p>
        </w:tc>
        <w:tc>
          <w:tcPr>
            <w:tcW w:w="1176" w:type="dxa"/>
            <w:vAlign w:val="center"/>
          </w:tcPr>
          <w:p w14:paraId="64541521">
            <w:pPr>
              <w:autoSpaceDE w:val="0"/>
              <w:autoSpaceDN w:val="0"/>
              <w:adjustRightInd w:val="0"/>
              <w:snapToGrid w:val="0"/>
              <w:jc w:val="center"/>
              <w:rPr>
                <w:rFonts w:ascii="宋体" w:hAnsi="宋体"/>
                <w:color w:val="auto"/>
                <w:kern w:val="0"/>
                <w:sz w:val="24"/>
              </w:rPr>
            </w:pPr>
          </w:p>
        </w:tc>
        <w:tc>
          <w:tcPr>
            <w:tcW w:w="824" w:type="dxa"/>
            <w:vAlign w:val="center"/>
          </w:tcPr>
          <w:p w14:paraId="5068F483">
            <w:pPr>
              <w:autoSpaceDE w:val="0"/>
              <w:autoSpaceDN w:val="0"/>
              <w:adjustRightInd w:val="0"/>
              <w:snapToGrid w:val="0"/>
              <w:jc w:val="center"/>
              <w:rPr>
                <w:rFonts w:ascii="宋体" w:hAnsi="宋体"/>
                <w:color w:val="auto"/>
                <w:kern w:val="0"/>
                <w:sz w:val="24"/>
              </w:rPr>
            </w:pPr>
          </w:p>
        </w:tc>
        <w:tc>
          <w:tcPr>
            <w:tcW w:w="1072" w:type="dxa"/>
            <w:vAlign w:val="center"/>
          </w:tcPr>
          <w:p w14:paraId="3B7E23EE">
            <w:pPr>
              <w:autoSpaceDE w:val="0"/>
              <w:autoSpaceDN w:val="0"/>
              <w:adjustRightInd w:val="0"/>
              <w:snapToGrid w:val="0"/>
              <w:jc w:val="center"/>
              <w:rPr>
                <w:rFonts w:ascii="宋体" w:hAnsi="宋体"/>
                <w:color w:val="auto"/>
                <w:kern w:val="0"/>
                <w:sz w:val="24"/>
              </w:rPr>
            </w:pPr>
          </w:p>
        </w:tc>
        <w:tc>
          <w:tcPr>
            <w:tcW w:w="728" w:type="dxa"/>
            <w:vAlign w:val="center"/>
          </w:tcPr>
          <w:p w14:paraId="09F63E91">
            <w:pPr>
              <w:autoSpaceDE w:val="0"/>
              <w:autoSpaceDN w:val="0"/>
              <w:adjustRightInd w:val="0"/>
              <w:snapToGrid w:val="0"/>
              <w:jc w:val="center"/>
              <w:rPr>
                <w:rFonts w:ascii="宋体" w:hAnsi="宋体"/>
                <w:color w:val="auto"/>
                <w:kern w:val="0"/>
                <w:sz w:val="24"/>
              </w:rPr>
            </w:pPr>
          </w:p>
        </w:tc>
        <w:tc>
          <w:tcPr>
            <w:tcW w:w="799" w:type="dxa"/>
            <w:vAlign w:val="center"/>
          </w:tcPr>
          <w:p w14:paraId="7F8DF913">
            <w:pPr>
              <w:autoSpaceDE w:val="0"/>
              <w:autoSpaceDN w:val="0"/>
              <w:adjustRightInd w:val="0"/>
              <w:snapToGrid w:val="0"/>
              <w:jc w:val="center"/>
              <w:rPr>
                <w:rFonts w:ascii="宋体" w:hAnsi="宋体"/>
                <w:color w:val="auto"/>
                <w:kern w:val="0"/>
                <w:sz w:val="24"/>
              </w:rPr>
            </w:pPr>
          </w:p>
        </w:tc>
        <w:tc>
          <w:tcPr>
            <w:tcW w:w="1312" w:type="dxa"/>
            <w:vAlign w:val="center"/>
          </w:tcPr>
          <w:p w14:paraId="03D6F15D">
            <w:pPr>
              <w:autoSpaceDE w:val="0"/>
              <w:autoSpaceDN w:val="0"/>
              <w:adjustRightInd w:val="0"/>
              <w:snapToGrid w:val="0"/>
              <w:jc w:val="center"/>
              <w:rPr>
                <w:rFonts w:ascii="宋体" w:hAnsi="宋体"/>
                <w:color w:val="auto"/>
                <w:kern w:val="0"/>
                <w:sz w:val="24"/>
              </w:rPr>
            </w:pPr>
          </w:p>
        </w:tc>
        <w:tc>
          <w:tcPr>
            <w:tcW w:w="947" w:type="dxa"/>
            <w:vAlign w:val="center"/>
          </w:tcPr>
          <w:p w14:paraId="6397CFDB">
            <w:pPr>
              <w:autoSpaceDE w:val="0"/>
              <w:autoSpaceDN w:val="0"/>
              <w:adjustRightInd w:val="0"/>
              <w:snapToGrid w:val="0"/>
              <w:jc w:val="center"/>
              <w:rPr>
                <w:rFonts w:ascii="宋体" w:hAnsi="宋体"/>
                <w:color w:val="auto"/>
                <w:kern w:val="0"/>
                <w:sz w:val="24"/>
              </w:rPr>
            </w:pPr>
          </w:p>
        </w:tc>
        <w:tc>
          <w:tcPr>
            <w:tcW w:w="1141" w:type="dxa"/>
            <w:vAlign w:val="center"/>
          </w:tcPr>
          <w:p w14:paraId="010836A6">
            <w:pPr>
              <w:autoSpaceDE w:val="0"/>
              <w:autoSpaceDN w:val="0"/>
              <w:adjustRightInd w:val="0"/>
              <w:snapToGrid w:val="0"/>
              <w:jc w:val="center"/>
              <w:rPr>
                <w:rFonts w:ascii="宋体" w:hAnsi="宋体"/>
                <w:color w:val="auto"/>
                <w:kern w:val="0"/>
                <w:sz w:val="24"/>
              </w:rPr>
            </w:pPr>
          </w:p>
        </w:tc>
        <w:tc>
          <w:tcPr>
            <w:tcW w:w="749" w:type="dxa"/>
            <w:vAlign w:val="center"/>
          </w:tcPr>
          <w:p w14:paraId="0D8EBD0E">
            <w:pPr>
              <w:autoSpaceDE w:val="0"/>
              <w:autoSpaceDN w:val="0"/>
              <w:adjustRightInd w:val="0"/>
              <w:snapToGrid w:val="0"/>
              <w:jc w:val="center"/>
              <w:rPr>
                <w:rFonts w:ascii="宋体" w:hAnsi="宋体"/>
                <w:color w:val="auto"/>
                <w:kern w:val="0"/>
                <w:sz w:val="24"/>
              </w:rPr>
            </w:pPr>
          </w:p>
        </w:tc>
      </w:tr>
      <w:tr w14:paraId="72ED90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2A7170A">
            <w:pPr>
              <w:autoSpaceDE w:val="0"/>
              <w:autoSpaceDN w:val="0"/>
              <w:adjustRightInd w:val="0"/>
              <w:snapToGrid w:val="0"/>
              <w:jc w:val="center"/>
              <w:rPr>
                <w:rFonts w:ascii="宋体" w:hAnsi="宋体"/>
                <w:color w:val="auto"/>
                <w:kern w:val="0"/>
                <w:sz w:val="24"/>
              </w:rPr>
            </w:pPr>
          </w:p>
        </w:tc>
        <w:tc>
          <w:tcPr>
            <w:tcW w:w="1176" w:type="dxa"/>
            <w:vAlign w:val="center"/>
          </w:tcPr>
          <w:p w14:paraId="3728AB0F">
            <w:pPr>
              <w:autoSpaceDE w:val="0"/>
              <w:autoSpaceDN w:val="0"/>
              <w:adjustRightInd w:val="0"/>
              <w:snapToGrid w:val="0"/>
              <w:jc w:val="center"/>
              <w:rPr>
                <w:rFonts w:ascii="宋体" w:hAnsi="宋体"/>
                <w:color w:val="auto"/>
                <w:kern w:val="0"/>
                <w:sz w:val="24"/>
              </w:rPr>
            </w:pPr>
          </w:p>
        </w:tc>
        <w:tc>
          <w:tcPr>
            <w:tcW w:w="824" w:type="dxa"/>
            <w:vAlign w:val="center"/>
          </w:tcPr>
          <w:p w14:paraId="1BE91978">
            <w:pPr>
              <w:autoSpaceDE w:val="0"/>
              <w:autoSpaceDN w:val="0"/>
              <w:adjustRightInd w:val="0"/>
              <w:snapToGrid w:val="0"/>
              <w:jc w:val="center"/>
              <w:rPr>
                <w:rFonts w:ascii="宋体" w:hAnsi="宋体"/>
                <w:color w:val="auto"/>
                <w:kern w:val="0"/>
                <w:sz w:val="24"/>
              </w:rPr>
            </w:pPr>
          </w:p>
        </w:tc>
        <w:tc>
          <w:tcPr>
            <w:tcW w:w="1072" w:type="dxa"/>
            <w:vAlign w:val="center"/>
          </w:tcPr>
          <w:p w14:paraId="3D671259">
            <w:pPr>
              <w:autoSpaceDE w:val="0"/>
              <w:autoSpaceDN w:val="0"/>
              <w:adjustRightInd w:val="0"/>
              <w:snapToGrid w:val="0"/>
              <w:jc w:val="center"/>
              <w:rPr>
                <w:rFonts w:ascii="宋体" w:hAnsi="宋体"/>
                <w:color w:val="auto"/>
                <w:kern w:val="0"/>
                <w:sz w:val="24"/>
              </w:rPr>
            </w:pPr>
          </w:p>
        </w:tc>
        <w:tc>
          <w:tcPr>
            <w:tcW w:w="728" w:type="dxa"/>
            <w:vAlign w:val="center"/>
          </w:tcPr>
          <w:p w14:paraId="0E29DCFD">
            <w:pPr>
              <w:autoSpaceDE w:val="0"/>
              <w:autoSpaceDN w:val="0"/>
              <w:adjustRightInd w:val="0"/>
              <w:snapToGrid w:val="0"/>
              <w:jc w:val="center"/>
              <w:rPr>
                <w:rFonts w:ascii="宋体" w:hAnsi="宋体"/>
                <w:color w:val="auto"/>
                <w:kern w:val="0"/>
                <w:sz w:val="24"/>
              </w:rPr>
            </w:pPr>
          </w:p>
        </w:tc>
        <w:tc>
          <w:tcPr>
            <w:tcW w:w="799" w:type="dxa"/>
            <w:vAlign w:val="center"/>
          </w:tcPr>
          <w:p w14:paraId="0D7D7F59">
            <w:pPr>
              <w:autoSpaceDE w:val="0"/>
              <w:autoSpaceDN w:val="0"/>
              <w:adjustRightInd w:val="0"/>
              <w:snapToGrid w:val="0"/>
              <w:jc w:val="center"/>
              <w:rPr>
                <w:rFonts w:ascii="宋体" w:hAnsi="宋体"/>
                <w:color w:val="auto"/>
                <w:kern w:val="0"/>
                <w:sz w:val="24"/>
              </w:rPr>
            </w:pPr>
          </w:p>
        </w:tc>
        <w:tc>
          <w:tcPr>
            <w:tcW w:w="1312" w:type="dxa"/>
            <w:vAlign w:val="center"/>
          </w:tcPr>
          <w:p w14:paraId="789DB293">
            <w:pPr>
              <w:autoSpaceDE w:val="0"/>
              <w:autoSpaceDN w:val="0"/>
              <w:adjustRightInd w:val="0"/>
              <w:snapToGrid w:val="0"/>
              <w:jc w:val="center"/>
              <w:rPr>
                <w:rFonts w:ascii="宋体" w:hAnsi="宋体"/>
                <w:color w:val="auto"/>
                <w:kern w:val="0"/>
                <w:sz w:val="24"/>
              </w:rPr>
            </w:pPr>
          </w:p>
        </w:tc>
        <w:tc>
          <w:tcPr>
            <w:tcW w:w="947" w:type="dxa"/>
            <w:vAlign w:val="center"/>
          </w:tcPr>
          <w:p w14:paraId="7C3691BD">
            <w:pPr>
              <w:autoSpaceDE w:val="0"/>
              <w:autoSpaceDN w:val="0"/>
              <w:adjustRightInd w:val="0"/>
              <w:snapToGrid w:val="0"/>
              <w:jc w:val="center"/>
              <w:rPr>
                <w:rFonts w:ascii="宋体" w:hAnsi="宋体"/>
                <w:color w:val="auto"/>
                <w:kern w:val="0"/>
                <w:sz w:val="24"/>
              </w:rPr>
            </w:pPr>
          </w:p>
        </w:tc>
        <w:tc>
          <w:tcPr>
            <w:tcW w:w="1141" w:type="dxa"/>
            <w:vAlign w:val="center"/>
          </w:tcPr>
          <w:p w14:paraId="5D5FF80B">
            <w:pPr>
              <w:autoSpaceDE w:val="0"/>
              <w:autoSpaceDN w:val="0"/>
              <w:adjustRightInd w:val="0"/>
              <w:snapToGrid w:val="0"/>
              <w:jc w:val="center"/>
              <w:rPr>
                <w:rFonts w:ascii="宋体" w:hAnsi="宋体"/>
                <w:color w:val="auto"/>
                <w:kern w:val="0"/>
                <w:sz w:val="24"/>
              </w:rPr>
            </w:pPr>
          </w:p>
        </w:tc>
        <w:tc>
          <w:tcPr>
            <w:tcW w:w="749" w:type="dxa"/>
            <w:vAlign w:val="center"/>
          </w:tcPr>
          <w:p w14:paraId="26F750DB">
            <w:pPr>
              <w:autoSpaceDE w:val="0"/>
              <w:autoSpaceDN w:val="0"/>
              <w:adjustRightInd w:val="0"/>
              <w:snapToGrid w:val="0"/>
              <w:jc w:val="center"/>
              <w:rPr>
                <w:rFonts w:ascii="宋体" w:hAnsi="宋体"/>
                <w:color w:val="auto"/>
                <w:kern w:val="0"/>
                <w:sz w:val="24"/>
              </w:rPr>
            </w:pPr>
          </w:p>
        </w:tc>
      </w:tr>
    </w:tbl>
    <w:p w14:paraId="05A9AD22">
      <w:pPr>
        <w:autoSpaceDE w:val="0"/>
        <w:autoSpaceDN w:val="0"/>
        <w:adjustRightInd w:val="0"/>
        <w:snapToGrid w:val="0"/>
        <w:spacing w:line="20" w:lineRule="exact"/>
        <w:jc w:val="left"/>
        <w:rPr>
          <w:rFonts w:ascii="宋体" w:hAnsi="宋体"/>
          <w:color w:val="auto"/>
          <w:kern w:val="0"/>
        </w:rPr>
      </w:pPr>
    </w:p>
    <w:p w14:paraId="1373B65C">
      <w:pPr>
        <w:jc w:val="center"/>
        <w:rPr>
          <w:rFonts w:ascii="宋体" w:hAnsi="宋体"/>
          <w:color w:val="auto"/>
          <w:kern w:val="0"/>
          <w:sz w:val="20"/>
          <w:szCs w:val="20"/>
        </w:rPr>
      </w:pPr>
      <w:bookmarkStart w:id="2038" w:name="_Toc277082651"/>
      <w:bookmarkStart w:id="2039" w:name="_Toc430530540"/>
      <w:bookmarkStart w:id="2040" w:name="_Toc287607877"/>
      <w:bookmarkStart w:id="2041" w:name="_Toc287620824"/>
      <w:bookmarkStart w:id="2042" w:name="_Toc224103505"/>
      <w:r>
        <w:rPr>
          <w:rFonts w:ascii="宋体" w:hAnsi="宋体"/>
          <w:color w:val="auto"/>
          <w:sz w:val="28"/>
        </w:rPr>
        <w:br w:type="page"/>
      </w:r>
      <w:bookmarkStart w:id="2043" w:name="_Toc509218858"/>
      <w:bookmarkStart w:id="2044" w:name="_Toc534185835"/>
      <w:r>
        <w:rPr>
          <w:color w:val="auto"/>
          <w:sz w:val="32"/>
          <w:szCs w:val="32"/>
        </w:rPr>
        <w:t>附表二：拟配备本标段的试验和检测仪器设备表</w:t>
      </w:r>
      <w:bookmarkEnd w:id="2038"/>
      <w:bookmarkEnd w:id="2039"/>
      <w:bookmarkEnd w:id="2040"/>
      <w:bookmarkEnd w:id="2041"/>
      <w:bookmarkEnd w:id="2042"/>
      <w:bookmarkEnd w:id="2043"/>
      <w:bookmarkEnd w:id="2044"/>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079EC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4DEA4091">
            <w:pPr>
              <w:autoSpaceDE w:val="0"/>
              <w:autoSpaceDN w:val="0"/>
              <w:adjustRightInd w:val="0"/>
              <w:snapToGrid w:val="0"/>
              <w:jc w:val="center"/>
              <w:rPr>
                <w:rFonts w:ascii="宋体" w:hAnsi="宋体"/>
                <w:color w:val="auto"/>
                <w:kern w:val="0"/>
                <w:sz w:val="24"/>
              </w:rPr>
            </w:pPr>
            <w:r>
              <w:rPr>
                <w:rFonts w:ascii="宋体" w:hAnsi="宋体"/>
                <w:color w:val="auto"/>
                <w:kern w:val="0"/>
                <w:szCs w:val="21"/>
              </w:rPr>
              <w:t>序号</w:t>
            </w:r>
          </w:p>
        </w:tc>
        <w:tc>
          <w:tcPr>
            <w:tcW w:w="1219" w:type="dxa"/>
            <w:vAlign w:val="center"/>
          </w:tcPr>
          <w:p w14:paraId="42405AB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仪器设备</w:t>
            </w:r>
          </w:p>
          <w:p w14:paraId="55F449F1">
            <w:pPr>
              <w:autoSpaceDE w:val="0"/>
              <w:autoSpaceDN w:val="0"/>
              <w:adjustRightInd w:val="0"/>
              <w:snapToGrid w:val="0"/>
              <w:jc w:val="center"/>
              <w:rPr>
                <w:rFonts w:ascii="宋体" w:hAnsi="宋体"/>
                <w:color w:val="auto"/>
                <w:kern w:val="0"/>
                <w:sz w:val="24"/>
              </w:rPr>
            </w:pPr>
            <w:r>
              <w:rPr>
                <w:rFonts w:ascii="宋体" w:hAnsi="宋体"/>
                <w:color w:val="auto"/>
                <w:kern w:val="0"/>
                <w:szCs w:val="21"/>
              </w:rPr>
              <w:t>名　　称</w:t>
            </w:r>
          </w:p>
        </w:tc>
        <w:tc>
          <w:tcPr>
            <w:tcW w:w="852" w:type="dxa"/>
            <w:vAlign w:val="center"/>
          </w:tcPr>
          <w:p w14:paraId="71DE284E">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型号</w:t>
            </w:r>
          </w:p>
          <w:p w14:paraId="5670CF46">
            <w:pPr>
              <w:autoSpaceDE w:val="0"/>
              <w:autoSpaceDN w:val="0"/>
              <w:adjustRightInd w:val="0"/>
              <w:snapToGrid w:val="0"/>
              <w:jc w:val="center"/>
              <w:rPr>
                <w:rFonts w:ascii="宋体" w:hAnsi="宋体"/>
                <w:color w:val="auto"/>
                <w:kern w:val="0"/>
                <w:sz w:val="24"/>
              </w:rPr>
            </w:pPr>
            <w:r>
              <w:rPr>
                <w:rFonts w:ascii="宋体" w:hAnsi="宋体"/>
                <w:color w:val="auto"/>
                <w:kern w:val="0"/>
                <w:szCs w:val="21"/>
              </w:rPr>
              <w:t>规格</w:t>
            </w:r>
          </w:p>
        </w:tc>
        <w:tc>
          <w:tcPr>
            <w:tcW w:w="1111" w:type="dxa"/>
            <w:vAlign w:val="center"/>
          </w:tcPr>
          <w:p w14:paraId="326C3A7E">
            <w:pPr>
              <w:autoSpaceDE w:val="0"/>
              <w:autoSpaceDN w:val="0"/>
              <w:adjustRightInd w:val="0"/>
              <w:snapToGrid w:val="0"/>
              <w:jc w:val="center"/>
              <w:rPr>
                <w:rFonts w:ascii="宋体" w:hAnsi="宋体"/>
                <w:color w:val="auto"/>
                <w:kern w:val="0"/>
                <w:sz w:val="24"/>
              </w:rPr>
            </w:pPr>
            <w:r>
              <w:rPr>
                <w:rFonts w:ascii="宋体" w:hAnsi="宋体"/>
                <w:color w:val="auto"/>
                <w:kern w:val="0"/>
                <w:szCs w:val="21"/>
              </w:rPr>
              <w:t>数量</w:t>
            </w:r>
          </w:p>
        </w:tc>
        <w:tc>
          <w:tcPr>
            <w:tcW w:w="754" w:type="dxa"/>
            <w:vAlign w:val="center"/>
          </w:tcPr>
          <w:p w14:paraId="0C341AC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国别</w:t>
            </w:r>
          </w:p>
          <w:p w14:paraId="68531F4C">
            <w:pPr>
              <w:autoSpaceDE w:val="0"/>
              <w:autoSpaceDN w:val="0"/>
              <w:adjustRightInd w:val="0"/>
              <w:snapToGrid w:val="0"/>
              <w:jc w:val="center"/>
              <w:rPr>
                <w:rFonts w:ascii="宋体" w:hAnsi="宋体"/>
                <w:color w:val="auto"/>
                <w:kern w:val="0"/>
                <w:sz w:val="24"/>
              </w:rPr>
            </w:pPr>
            <w:r>
              <w:rPr>
                <w:rFonts w:ascii="宋体" w:hAnsi="宋体"/>
                <w:color w:val="auto"/>
                <w:kern w:val="0"/>
                <w:szCs w:val="21"/>
              </w:rPr>
              <w:t>产地</w:t>
            </w:r>
          </w:p>
        </w:tc>
        <w:tc>
          <w:tcPr>
            <w:tcW w:w="827" w:type="dxa"/>
            <w:vAlign w:val="center"/>
          </w:tcPr>
          <w:p w14:paraId="43AFC43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制造</w:t>
            </w:r>
          </w:p>
          <w:p w14:paraId="5D406687">
            <w:pPr>
              <w:autoSpaceDE w:val="0"/>
              <w:autoSpaceDN w:val="0"/>
              <w:adjustRightInd w:val="0"/>
              <w:snapToGrid w:val="0"/>
              <w:jc w:val="center"/>
              <w:rPr>
                <w:rFonts w:ascii="宋体" w:hAnsi="宋体"/>
                <w:color w:val="auto"/>
                <w:kern w:val="0"/>
                <w:sz w:val="24"/>
              </w:rPr>
            </w:pPr>
            <w:r>
              <w:rPr>
                <w:rFonts w:ascii="宋体" w:hAnsi="宋体"/>
                <w:color w:val="auto"/>
                <w:kern w:val="0"/>
                <w:szCs w:val="21"/>
              </w:rPr>
              <w:t>年份</w:t>
            </w:r>
          </w:p>
        </w:tc>
        <w:tc>
          <w:tcPr>
            <w:tcW w:w="1359" w:type="dxa"/>
            <w:vAlign w:val="center"/>
          </w:tcPr>
          <w:p w14:paraId="31D784F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已使用</w:t>
            </w:r>
          </w:p>
          <w:p w14:paraId="0F332FFB">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台时数</w:t>
            </w:r>
          </w:p>
        </w:tc>
        <w:tc>
          <w:tcPr>
            <w:tcW w:w="1855" w:type="dxa"/>
            <w:vAlign w:val="center"/>
          </w:tcPr>
          <w:p w14:paraId="28E39C9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用途</w:t>
            </w:r>
          </w:p>
        </w:tc>
        <w:tc>
          <w:tcPr>
            <w:tcW w:w="770" w:type="dxa"/>
            <w:vAlign w:val="center"/>
          </w:tcPr>
          <w:p w14:paraId="1DB42772">
            <w:pPr>
              <w:autoSpaceDE w:val="0"/>
              <w:autoSpaceDN w:val="0"/>
              <w:adjustRightInd w:val="0"/>
              <w:snapToGrid w:val="0"/>
              <w:jc w:val="center"/>
              <w:rPr>
                <w:rFonts w:ascii="宋体" w:hAnsi="宋体"/>
                <w:color w:val="auto"/>
                <w:kern w:val="0"/>
                <w:sz w:val="24"/>
              </w:rPr>
            </w:pPr>
            <w:r>
              <w:rPr>
                <w:rFonts w:ascii="宋体" w:hAnsi="宋体"/>
                <w:color w:val="auto"/>
                <w:kern w:val="0"/>
                <w:szCs w:val="21"/>
              </w:rPr>
              <w:t>备注</w:t>
            </w:r>
          </w:p>
        </w:tc>
      </w:tr>
      <w:tr w14:paraId="315A4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BB52119">
            <w:pPr>
              <w:autoSpaceDE w:val="0"/>
              <w:autoSpaceDN w:val="0"/>
              <w:adjustRightInd w:val="0"/>
              <w:snapToGrid w:val="0"/>
              <w:jc w:val="left"/>
              <w:rPr>
                <w:rFonts w:ascii="宋体" w:hAnsi="宋体"/>
                <w:color w:val="auto"/>
                <w:kern w:val="0"/>
                <w:sz w:val="24"/>
              </w:rPr>
            </w:pPr>
          </w:p>
        </w:tc>
        <w:tc>
          <w:tcPr>
            <w:tcW w:w="1219" w:type="dxa"/>
          </w:tcPr>
          <w:p w14:paraId="334C8DC4">
            <w:pPr>
              <w:autoSpaceDE w:val="0"/>
              <w:autoSpaceDN w:val="0"/>
              <w:adjustRightInd w:val="0"/>
              <w:snapToGrid w:val="0"/>
              <w:jc w:val="left"/>
              <w:rPr>
                <w:rFonts w:ascii="宋体" w:hAnsi="宋体"/>
                <w:color w:val="auto"/>
                <w:kern w:val="0"/>
                <w:sz w:val="24"/>
              </w:rPr>
            </w:pPr>
          </w:p>
        </w:tc>
        <w:tc>
          <w:tcPr>
            <w:tcW w:w="852" w:type="dxa"/>
          </w:tcPr>
          <w:p w14:paraId="349F7DCE">
            <w:pPr>
              <w:autoSpaceDE w:val="0"/>
              <w:autoSpaceDN w:val="0"/>
              <w:adjustRightInd w:val="0"/>
              <w:snapToGrid w:val="0"/>
              <w:jc w:val="left"/>
              <w:rPr>
                <w:rFonts w:ascii="宋体" w:hAnsi="宋体"/>
                <w:color w:val="auto"/>
                <w:kern w:val="0"/>
                <w:sz w:val="24"/>
              </w:rPr>
            </w:pPr>
          </w:p>
        </w:tc>
        <w:tc>
          <w:tcPr>
            <w:tcW w:w="1111" w:type="dxa"/>
          </w:tcPr>
          <w:p w14:paraId="064F80B8">
            <w:pPr>
              <w:autoSpaceDE w:val="0"/>
              <w:autoSpaceDN w:val="0"/>
              <w:adjustRightInd w:val="0"/>
              <w:snapToGrid w:val="0"/>
              <w:jc w:val="left"/>
              <w:rPr>
                <w:rFonts w:ascii="宋体" w:hAnsi="宋体"/>
                <w:color w:val="auto"/>
                <w:kern w:val="0"/>
                <w:sz w:val="24"/>
              </w:rPr>
            </w:pPr>
          </w:p>
        </w:tc>
        <w:tc>
          <w:tcPr>
            <w:tcW w:w="754" w:type="dxa"/>
          </w:tcPr>
          <w:p w14:paraId="4C2E85ED">
            <w:pPr>
              <w:autoSpaceDE w:val="0"/>
              <w:autoSpaceDN w:val="0"/>
              <w:adjustRightInd w:val="0"/>
              <w:snapToGrid w:val="0"/>
              <w:jc w:val="left"/>
              <w:rPr>
                <w:rFonts w:ascii="宋体" w:hAnsi="宋体"/>
                <w:color w:val="auto"/>
                <w:kern w:val="0"/>
                <w:sz w:val="24"/>
              </w:rPr>
            </w:pPr>
          </w:p>
        </w:tc>
        <w:tc>
          <w:tcPr>
            <w:tcW w:w="827" w:type="dxa"/>
          </w:tcPr>
          <w:p w14:paraId="4403CE77">
            <w:pPr>
              <w:autoSpaceDE w:val="0"/>
              <w:autoSpaceDN w:val="0"/>
              <w:adjustRightInd w:val="0"/>
              <w:snapToGrid w:val="0"/>
              <w:jc w:val="left"/>
              <w:rPr>
                <w:rFonts w:ascii="宋体" w:hAnsi="宋体"/>
                <w:color w:val="auto"/>
                <w:kern w:val="0"/>
                <w:sz w:val="24"/>
              </w:rPr>
            </w:pPr>
          </w:p>
        </w:tc>
        <w:tc>
          <w:tcPr>
            <w:tcW w:w="1359" w:type="dxa"/>
          </w:tcPr>
          <w:p w14:paraId="3EA92703">
            <w:pPr>
              <w:autoSpaceDE w:val="0"/>
              <w:autoSpaceDN w:val="0"/>
              <w:adjustRightInd w:val="0"/>
              <w:snapToGrid w:val="0"/>
              <w:jc w:val="left"/>
              <w:rPr>
                <w:rFonts w:ascii="宋体" w:hAnsi="宋体"/>
                <w:color w:val="auto"/>
                <w:kern w:val="0"/>
                <w:sz w:val="24"/>
              </w:rPr>
            </w:pPr>
          </w:p>
        </w:tc>
        <w:tc>
          <w:tcPr>
            <w:tcW w:w="1855" w:type="dxa"/>
          </w:tcPr>
          <w:p w14:paraId="7D41701A">
            <w:pPr>
              <w:autoSpaceDE w:val="0"/>
              <w:autoSpaceDN w:val="0"/>
              <w:adjustRightInd w:val="0"/>
              <w:snapToGrid w:val="0"/>
              <w:jc w:val="left"/>
              <w:rPr>
                <w:rFonts w:ascii="宋体" w:hAnsi="宋体"/>
                <w:color w:val="auto"/>
                <w:kern w:val="0"/>
                <w:sz w:val="24"/>
              </w:rPr>
            </w:pPr>
          </w:p>
        </w:tc>
        <w:tc>
          <w:tcPr>
            <w:tcW w:w="770" w:type="dxa"/>
          </w:tcPr>
          <w:p w14:paraId="0DC2B61F">
            <w:pPr>
              <w:autoSpaceDE w:val="0"/>
              <w:autoSpaceDN w:val="0"/>
              <w:adjustRightInd w:val="0"/>
              <w:snapToGrid w:val="0"/>
              <w:jc w:val="left"/>
              <w:rPr>
                <w:rFonts w:ascii="宋体" w:hAnsi="宋体"/>
                <w:color w:val="auto"/>
                <w:kern w:val="0"/>
                <w:sz w:val="24"/>
              </w:rPr>
            </w:pPr>
          </w:p>
        </w:tc>
      </w:tr>
      <w:tr w14:paraId="2234AF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CFF252F">
            <w:pPr>
              <w:autoSpaceDE w:val="0"/>
              <w:autoSpaceDN w:val="0"/>
              <w:adjustRightInd w:val="0"/>
              <w:snapToGrid w:val="0"/>
              <w:jc w:val="left"/>
              <w:rPr>
                <w:rFonts w:ascii="宋体" w:hAnsi="宋体"/>
                <w:color w:val="auto"/>
                <w:kern w:val="0"/>
                <w:sz w:val="24"/>
              </w:rPr>
            </w:pPr>
          </w:p>
        </w:tc>
        <w:tc>
          <w:tcPr>
            <w:tcW w:w="1219" w:type="dxa"/>
          </w:tcPr>
          <w:p w14:paraId="4F739CAE">
            <w:pPr>
              <w:autoSpaceDE w:val="0"/>
              <w:autoSpaceDN w:val="0"/>
              <w:adjustRightInd w:val="0"/>
              <w:snapToGrid w:val="0"/>
              <w:jc w:val="left"/>
              <w:rPr>
                <w:rFonts w:ascii="宋体" w:hAnsi="宋体"/>
                <w:color w:val="auto"/>
                <w:kern w:val="0"/>
                <w:sz w:val="24"/>
              </w:rPr>
            </w:pPr>
          </w:p>
        </w:tc>
        <w:tc>
          <w:tcPr>
            <w:tcW w:w="852" w:type="dxa"/>
          </w:tcPr>
          <w:p w14:paraId="4E815025">
            <w:pPr>
              <w:autoSpaceDE w:val="0"/>
              <w:autoSpaceDN w:val="0"/>
              <w:adjustRightInd w:val="0"/>
              <w:snapToGrid w:val="0"/>
              <w:jc w:val="left"/>
              <w:rPr>
                <w:rFonts w:ascii="宋体" w:hAnsi="宋体"/>
                <w:color w:val="auto"/>
                <w:kern w:val="0"/>
                <w:sz w:val="24"/>
              </w:rPr>
            </w:pPr>
          </w:p>
        </w:tc>
        <w:tc>
          <w:tcPr>
            <w:tcW w:w="1111" w:type="dxa"/>
          </w:tcPr>
          <w:p w14:paraId="6E1D3AB3">
            <w:pPr>
              <w:autoSpaceDE w:val="0"/>
              <w:autoSpaceDN w:val="0"/>
              <w:adjustRightInd w:val="0"/>
              <w:snapToGrid w:val="0"/>
              <w:jc w:val="left"/>
              <w:rPr>
                <w:rFonts w:ascii="宋体" w:hAnsi="宋体"/>
                <w:color w:val="auto"/>
                <w:kern w:val="0"/>
                <w:sz w:val="24"/>
              </w:rPr>
            </w:pPr>
          </w:p>
        </w:tc>
        <w:tc>
          <w:tcPr>
            <w:tcW w:w="754" w:type="dxa"/>
          </w:tcPr>
          <w:p w14:paraId="6EE4198E">
            <w:pPr>
              <w:autoSpaceDE w:val="0"/>
              <w:autoSpaceDN w:val="0"/>
              <w:adjustRightInd w:val="0"/>
              <w:snapToGrid w:val="0"/>
              <w:jc w:val="left"/>
              <w:rPr>
                <w:rFonts w:ascii="宋体" w:hAnsi="宋体"/>
                <w:color w:val="auto"/>
                <w:kern w:val="0"/>
                <w:sz w:val="24"/>
              </w:rPr>
            </w:pPr>
          </w:p>
        </w:tc>
        <w:tc>
          <w:tcPr>
            <w:tcW w:w="827" w:type="dxa"/>
          </w:tcPr>
          <w:p w14:paraId="79A93214">
            <w:pPr>
              <w:autoSpaceDE w:val="0"/>
              <w:autoSpaceDN w:val="0"/>
              <w:adjustRightInd w:val="0"/>
              <w:snapToGrid w:val="0"/>
              <w:jc w:val="left"/>
              <w:rPr>
                <w:rFonts w:ascii="宋体" w:hAnsi="宋体"/>
                <w:color w:val="auto"/>
                <w:kern w:val="0"/>
                <w:sz w:val="24"/>
              </w:rPr>
            </w:pPr>
          </w:p>
        </w:tc>
        <w:tc>
          <w:tcPr>
            <w:tcW w:w="1359" w:type="dxa"/>
          </w:tcPr>
          <w:p w14:paraId="1B9A4D01">
            <w:pPr>
              <w:autoSpaceDE w:val="0"/>
              <w:autoSpaceDN w:val="0"/>
              <w:adjustRightInd w:val="0"/>
              <w:snapToGrid w:val="0"/>
              <w:jc w:val="left"/>
              <w:rPr>
                <w:rFonts w:ascii="宋体" w:hAnsi="宋体"/>
                <w:color w:val="auto"/>
                <w:kern w:val="0"/>
                <w:sz w:val="24"/>
              </w:rPr>
            </w:pPr>
          </w:p>
        </w:tc>
        <w:tc>
          <w:tcPr>
            <w:tcW w:w="1855" w:type="dxa"/>
          </w:tcPr>
          <w:p w14:paraId="58F414F3">
            <w:pPr>
              <w:autoSpaceDE w:val="0"/>
              <w:autoSpaceDN w:val="0"/>
              <w:adjustRightInd w:val="0"/>
              <w:snapToGrid w:val="0"/>
              <w:jc w:val="left"/>
              <w:rPr>
                <w:rFonts w:ascii="宋体" w:hAnsi="宋体"/>
                <w:color w:val="auto"/>
                <w:kern w:val="0"/>
                <w:sz w:val="24"/>
              </w:rPr>
            </w:pPr>
          </w:p>
        </w:tc>
        <w:tc>
          <w:tcPr>
            <w:tcW w:w="770" w:type="dxa"/>
          </w:tcPr>
          <w:p w14:paraId="226AE40F">
            <w:pPr>
              <w:autoSpaceDE w:val="0"/>
              <w:autoSpaceDN w:val="0"/>
              <w:adjustRightInd w:val="0"/>
              <w:snapToGrid w:val="0"/>
              <w:jc w:val="left"/>
              <w:rPr>
                <w:rFonts w:ascii="宋体" w:hAnsi="宋体"/>
                <w:color w:val="auto"/>
                <w:kern w:val="0"/>
                <w:sz w:val="24"/>
              </w:rPr>
            </w:pPr>
          </w:p>
        </w:tc>
      </w:tr>
      <w:tr w14:paraId="69AD72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755895D">
            <w:pPr>
              <w:autoSpaceDE w:val="0"/>
              <w:autoSpaceDN w:val="0"/>
              <w:adjustRightInd w:val="0"/>
              <w:snapToGrid w:val="0"/>
              <w:jc w:val="left"/>
              <w:rPr>
                <w:rFonts w:ascii="宋体" w:hAnsi="宋体"/>
                <w:color w:val="auto"/>
                <w:kern w:val="0"/>
                <w:sz w:val="24"/>
              </w:rPr>
            </w:pPr>
          </w:p>
        </w:tc>
        <w:tc>
          <w:tcPr>
            <w:tcW w:w="1219" w:type="dxa"/>
          </w:tcPr>
          <w:p w14:paraId="2BDF8786">
            <w:pPr>
              <w:autoSpaceDE w:val="0"/>
              <w:autoSpaceDN w:val="0"/>
              <w:adjustRightInd w:val="0"/>
              <w:snapToGrid w:val="0"/>
              <w:jc w:val="left"/>
              <w:rPr>
                <w:rFonts w:ascii="宋体" w:hAnsi="宋体"/>
                <w:color w:val="auto"/>
                <w:kern w:val="0"/>
                <w:sz w:val="24"/>
              </w:rPr>
            </w:pPr>
          </w:p>
        </w:tc>
        <w:tc>
          <w:tcPr>
            <w:tcW w:w="852" w:type="dxa"/>
          </w:tcPr>
          <w:p w14:paraId="1AF04DC9">
            <w:pPr>
              <w:autoSpaceDE w:val="0"/>
              <w:autoSpaceDN w:val="0"/>
              <w:adjustRightInd w:val="0"/>
              <w:snapToGrid w:val="0"/>
              <w:jc w:val="left"/>
              <w:rPr>
                <w:rFonts w:ascii="宋体" w:hAnsi="宋体"/>
                <w:color w:val="auto"/>
                <w:kern w:val="0"/>
                <w:sz w:val="24"/>
              </w:rPr>
            </w:pPr>
          </w:p>
        </w:tc>
        <w:tc>
          <w:tcPr>
            <w:tcW w:w="1111" w:type="dxa"/>
          </w:tcPr>
          <w:p w14:paraId="711292DF">
            <w:pPr>
              <w:autoSpaceDE w:val="0"/>
              <w:autoSpaceDN w:val="0"/>
              <w:adjustRightInd w:val="0"/>
              <w:snapToGrid w:val="0"/>
              <w:jc w:val="left"/>
              <w:rPr>
                <w:rFonts w:ascii="宋体" w:hAnsi="宋体"/>
                <w:color w:val="auto"/>
                <w:kern w:val="0"/>
                <w:sz w:val="24"/>
              </w:rPr>
            </w:pPr>
          </w:p>
        </w:tc>
        <w:tc>
          <w:tcPr>
            <w:tcW w:w="754" w:type="dxa"/>
          </w:tcPr>
          <w:p w14:paraId="7BC73035">
            <w:pPr>
              <w:autoSpaceDE w:val="0"/>
              <w:autoSpaceDN w:val="0"/>
              <w:adjustRightInd w:val="0"/>
              <w:snapToGrid w:val="0"/>
              <w:jc w:val="left"/>
              <w:rPr>
                <w:rFonts w:ascii="宋体" w:hAnsi="宋体"/>
                <w:color w:val="auto"/>
                <w:kern w:val="0"/>
                <w:sz w:val="24"/>
              </w:rPr>
            </w:pPr>
          </w:p>
        </w:tc>
        <w:tc>
          <w:tcPr>
            <w:tcW w:w="827" w:type="dxa"/>
          </w:tcPr>
          <w:p w14:paraId="4C6FCDAC">
            <w:pPr>
              <w:autoSpaceDE w:val="0"/>
              <w:autoSpaceDN w:val="0"/>
              <w:adjustRightInd w:val="0"/>
              <w:snapToGrid w:val="0"/>
              <w:jc w:val="left"/>
              <w:rPr>
                <w:rFonts w:ascii="宋体" w:hAnsi="宋体"/>
                <w:color w:val="auto"/>
                <w:kern w:val="0"/>
                <w:sz w:val="24"/>
              </w:rPr>
            </w:pPr>
          </w:p>
        </w:tc>
        <w:tc>
          <w:tcPr>
            <w:tcW w:w="1359" w:type="dxa"/>
          </w:tcPr>
          <w:p w14:paraId="121FF8BA">
            <w:pPr>
              <w:autoSpaceDE w:val="0"/>
              <w:autoSpaceDN w:val="0"/>
              <w:adjustRightInd w:val="0"/>
              <w:snapToGrid w:val="0"/>
              <w:jc w:val="left"/>
              <w:rPr>
                <w:rFonts w:ascii="宋体" w:hAnsi="宋体"/>
                <w:color w:val="auto"/>
                <w:kern w:val="0"/>
                <w:sz w:val="24"/>
              </w:rPr>
            </w:pPr>
          </w:p>
        </w:tc>
        <w:tc>
          <w:tcPr>
            <w:tcW w:w="1855" w:type="dxa"/>
          </w:tcPr>
          <w:p w14:paraId="00980863">
            <w:pPr>
              <w:autoSpaceDE w:val="0"/>
              <w:autoSpaceDN w:val="0"/>
              <w:adjustRightInd w:val="0"/>
              <w:snapToGrid w:val="0"/>
              <w:jc w:val="left"/>
              <w:rPr>
                <w:rFonts w:ascii="宋体" w:hAnsi="宋体"/>
                <w:color w:val="auto"/>
                <w:kern w:val="0"/>
                <w:sz w:val="24"/>
              </w:rPr>
            </w:pPr>
          </w:p>
        </w:tc>
        <w:tc>
          <w:tcPr>
            <w:tcW w:w="770" w:type="dxa"/>
          </w:tcPr>
          <w:p w14:paraId="45CBC669">
            <w:pPr>
              <w:autoSpaceDE w:val="0"/>
              <w:autoSpaceDN w:val="0"/>
              <w:adjustRightInd w:val="0"/>
              <w:snapToGrid w:val="0"/>
              <w:jc w:val="left"/>
              <w:rPr>
                <w:rFonts w:ascii="宋体" w:hAnsi="宋体"/>
                <w:color w:val="auto"/>
                <w:kern w:val="0"/>
                <w:sz w:val="24"/>
              </w:rPr>
            </w:pPr>
          </w:p>
        </w:tc>
      </w:tr>
      <w:tr w14:paraId="3242A2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1FE469F">
            <w:pPr>
              <w:autoSpaceDE w:val="0"/>
              <w:autoSpaceDN w:val="0"/>
              <w:adjustRightInd w:val="0"/>
              <w:snapToGrid w:val="0"/>
              <w:jc w:val="left"/>
              <w:rPr>
                <w:rFonts w:ascii="宋体" w:hAnsi="宋体"/>
                <w:color w:val="auto"/>
                <w:kern w:val="0"/>
                <w:sz w:val="24"/>
              </w:rPr>
            </w:pPr>
          </w:p>
        </w:tc>
        <w:tc>
          <w:tcPr>
            <w:tcW w:w="1219" w:type="dxa"/>
          </w:tcPr>
          <w:p w14:paraId="5DA921F2">
            <w:pPr>
              <w:autoSpaceDE w:val="0"/>
              <w:autoSpaceDN w:val="0"/>
              <w:adjustRightInd w:val="0"/>
              <w:snapToGrid w:val="0"/>
              <w:jc w:val="left"/>
              <w:rPr>
                <w:rFonts w:ascii="宋体" w:hAnsi="宋体"/>
                <w:color w:val="auto"/>
                <w:kern w:val="0"/>
                <w:sz w:val="24"/>
              </w:rPr>
            </w:pPr>
          </w:p>
        </w:tc>
        <w:tc>
          <w:tcPr>
            <w:tcW w:w="852" w:type="dxa"/>
          </w:tcPr>
          <w:p w14:paraId="454B35B8">
            <w:pPr>
              <w:autoSpaceDE w:val="0"/>
              <w:autoSpaceDN w:val="0"/>
              <w:adjustRightInd w:val="0"/>
              <w:snapToGrid w:val="0"/>
              <w:jc w:val="left"/>
              <w:rPr>
                <w:rFonts w:ascii="宋体" w:hAnsi="宋体"/>
                <w:color w:val="auto"/>
                <w:kern w:val="0"/>
                <w:sz w:val="24"/>
              </w:rPr>
            </w:pPr>
          </w:p>
        </w:tc>
        <w:tc>
          <w:tcPr>
            <w:tcW w:w="1111" w:type="dxa"/>
          </w:tcPr>
          <w:p w14:paraId="6AE39F26">
            <w:pPr>
              <w:autoSpaceDE w:val="0"/>
              <w:autoSpaceDN w:val="0"/>
              <w:adjustRightInd w:val="0"/>
              <w:snapToGrid w:val="0"/>
              <w:jc w:val="left"/>
              <w:rPr>
                <w:rFonts w:ascii="宋体" w:hAnsi="宋体"/>
                <w:color w:val="auto"/>
                <w:kern w:val="0"/>
                <w:sz w:val="24"/>
              </w:rPr>
            </w:pPr>
          </w:p>
        </w:tc>
        <w:tc>
          <w:tcPr>
            <w:tcW w:w="754" w:type="dxa"/>
          </w:tcPr>
          <w:p w14:paraId="33C72102">
            <w:pPr>
              <w:autoSpaceDE w:val="0"/>
              <w:autoSpaceDN w:val="0"/>
              <w:adjustRightInd w:val="0"/>
              <w:snapToGrid w:val="0"/>
              <w:jc w:val="left"/>
              <w:rPr>
                <w:rFonts w:ascii="宋体" w:hAnsi="宋体"/>
                <w:color w:val="auto"/>
                <w:kern w:val="0"/>
                <w:sz w:val="24"/>
              </w:rPr>
            </w:pPr>
          </w:p>
        </w:tc>
        <w:tc>
          <w:tcPr>
            <w:tcW w:w="827" w:type="dxa"/>
          </w:tcPr>
          <w:p w14:paraId="557C620B">
            <w:pPr>
              <w:autoSpaceDE w:val="0"/>
              <w:autoSpaceDN w:val="0"/>
              <w:adjustRightInd w:val="0"/>
              <w:snapToGrid w:val="0"/>
              <w:jc w:val="left"/>
              <w:rPr>
                <w:rFonts w:ascii="宋体" w:hAnsi="宋体"/>
                <w:color w:val="auto"/>
                <w:kern w:val="0"/>
                <w:sz w:val="24"/>
              </w:rPr>
            </w:pPr>
          </w:p>
        </w:tc>
        <w:tc>
          <w:tcPr>
            <w:tcW w:w="1359" w:type="dxa"/>
          </w:tcPr>
          <w:p w14:paraId="1FB593EF">
            <w:pPr>
              <w:autoSpaceDE w:val="0"/>
              <w:autoSpaceDN w:val="0"/>
              <w:adjustRightInd w:val="0"/>
              <w:snapToGrid w:val="0"/>
              <w:jc w:val="left"/>
              <w:rPr>
                <w:rFonts w:ascii="宋体" w:hAnsi="宋体"/>
                <w:color w:val="auto"/>
                <w:kern w:val="0"/>
                <w:sz w:val="24"/>
              </w:rPr>
            </w:pPr>
          </w:p>
        </w:tc>
        <w:tc>
          <w:tcPr>
            <w:tcW w:w="1855" w:type="dxa"/>
          </w:tcPr>
          <w:p w14:paraId="0DD647BC">
            <w:pPr>
              <w:autoSpaceDE w:val="0"/>
              <w:autoSpaceDN w:val="0"/>
              <w:adjustRightInd w:val="0"/>
              <w:snapToGrid w:val="0"/>
              <w:jc w:val="left"/>
              <w:rPr>
                <w:rFonts w:ascii="宋体" w:hAnsi="宋体"/>
                <w:color w:val="auto"/>
                <w:kern w:val="0"/>
                <w:sz w:val="24"/>
              </w:rPr>
            </w:pPr>
          </w:p>
        </w:tc>
        <w:tc>
          <w:tcPr>
            <w:tcW w:w="770" w:type="dxa"/>
          </w:tcPr>
          <w:p w14:paraId="6CE2743E">
            <w:pPr>
              <w:autoSpaceDE w:val="0"/>
              <w:autoSpaceDN w:val="0"/>
              <w:adjustRightInd w:val="0"/>
              <w:snapToGrid w:val="0"/>
              <w:jc w:val="left"/>
              <w:rPr>
                <w:rFonts w:ascii="宋体" w:hAnsi="宋体"/>
                <w:color w:val="auto"/>
                <w:kern w:val="0"/>
                <w:sz w:val="24"/>
              </w:rPr>
            </w:pPr>
          </w:p>
        </w:tc>
      </w:tr>
      <w:tr w14:paraId="5EB3BA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B1CF5DC">
            <w:pPr>
              <w:autoSpaceDE w:val="0"/>
              <w:autoSpaceDN w:val="0"/>
              <w:adjustRightInd w:val="0"/>
              <w:snapToGrid w:val="0"/>
              <w:jc w:val="left"/>
              <w:rPr>
                <w:rFonts w:ascii="宋体" w:hAnsi="宋体"/>
                <w:color w:val="auto"/>
                <w:kern w:val="0"/>
                <w:sz w:val="24"/>
              </w:rPr>
            </w:pPr>
          </w:p>
        </w:tc>
        <w:tc>
          <w:tcPr>
            <w:tcW w:w="1219" w:type="dxa"/>
          </w:tcPr>
          <w:p w14:paraId="561C5668">
            <w:pPr>
              <w:autoSpaceDE w:val="0"/>
              <w:autoSpaceDN w:val="0"/>
              <w:adjustRightInd w:val="0"/>
              <w:snapToGrid w:val="0"/>
              <w:jc w:val="left"/>
              <w:rPr>
                <w:rFonts w:ascii="宋体" w:hAnsi="宋体"/>
                <w:color w:val="auto"/>
                <w:kern w:val="0"/>
                <w:sz w:val="24"/>
              </w:rPr>
            </w:pPr>
          </w:p>
        </w:tc>
        <w:tc>
          <w:tcPr>
            <w:tcW w:w="852" w:type="dxa"/>
          </w:tcPr>
          <w:p w14:paraId="60EB13B2">
            <w:pPr>
              <w:autoSpaceDE w:val="0"/>
              <w:autoSpaceDN w:val="0"/>
              <w:adjustRightInd w:val="0"/>
              <w:snapToGrid w:val="0"/>
              <w:jc w:val="left"/>
              <w:rPr>
                <w:rFonts w:ascii="宋体" w:hAnsi="宋体"/>
                <w:color w:val="auto"/>
                <w:kern w:val="0"/>
                <w:sz w:val="24"/>
              </w:rPr>
            </w:pPr>
          </w:p>
        </w:tc>
        <w:tc>
          <w:tcPr>
            <w:tcW w:w="1111" w:type="dxa"/>
          </w:tcPr>
          <w:p w14:paraId="786D92AC">
            <w:pPr>
              <w:autoSpaceDE w:val="0"/>
              <w:autoSpaceDN w:val="0"/>
              <w:adjustRightInd w:val="0"/>
              <w:snapToGrid w:val="0"/>
              <w:jc w:val="left"/>
              <w:rPr>
                <w:rFonts w:ascii="宋体" w:hAnsi="宋体"/>
                <w:color w:val="auto"/>
                <w:kern w:val="0"/>
                <w:sz w:val="24"/>
              </w:rPr>
            </w:pPr>
          </w:p>
        </w:tc>
        <w:tc>
          <w:tcPr>
            <w:tcW w:w="754" w:type="dxa"/>
          </w:tcPr>
          <w:p w14:paraId="1EC40772">
            <w:pPr>
              <w:autoSpaceDE w:val="0"/>
              <w:autoSpaceDN w:val="0"/>
              <w:adjustRightInd w:val="0"/>
              <w:snapToGrid w:val="0"/>
              <w:jc w:val="left"/>
              <w:rPr>
                <w:rFonts w:ascii="宋体" w:hAnsi="宋体"/>
                <w:color w:val="auto"/>
                <w:kern w:val="0"/>
                <w:sz w:val="24"/>
              </w:rPr>
            </w:pPr>
          </w:p>
        </w:tc>
        <w:tc>
          <w:tcPr>
            <w:tcW w:w="827" w:type="dxa"/>
          </w:tcPr>
          <w:p w14:paraId="4257967C">
            <w:pPr>
              <w:autoSpaceDE w:val="0"/>
              <w:autoSpaceDN w:val="0"/>
              <w:adjustRightInd w:val="0"/>
              <w:snapToGrid w:val="0"/>
              <w:jc w:val="left"/>
              <w:rPr>
                <w:rFonts w:ascii="宋体" w:hAnsi="宋体"/>
                <w:color w:val="auto"/>
                <w:kern w:val="0"/>
                <w:sz w:val="24"/>
              </w:rPr>
            </w:pPr>
          </w:p>
        </w:tc>
        <w:tc>
          <w:tcPr>
            <w:tcW w:w="1359" w:type="dxa"/>
          </w:tcPr>
          <w:p w14:paraId="69AEC0DD">
            <w:pPr>
              <w:autoSpaceDE w:val="0"/>
              <w:autoSpaceDN w:val="0"/>
              <w:adjustRightInd w:val="0"/>
              <w:snapToGrid w:val="0"/>
              <w:jc w:val="left"/>
              <w:rPr>
                <w:rFonts w:ascii="宋体" w:hAnsi="宋体"/>
                <w:color w:val="auto"/>
                <w:kern w:val="0"/>
                <w:sz w:val="24"/>
              </w:rPr>
            </w:pPr>
          </w:p>
        </w:tc>
        <w:tc>
          <w:tcPr>
            <w:tcW w:w="1855" w:type="dxa"/>
          </w:tcPr>
          <w:p w14:paraId="64E4C603">
            <w:pPr>
              <w:autoSpaceDE w:val="0"/>
              <w:autoSpaceDN w:val="0"/>
              <w:adjustRightInd w:val="0"/>
              <w:snapToGrid w:val="0"/>
              <w:jc w:val="left"/>
              <w:rPr>
                <w:rFonts w:ascii="宋体" w:hAnsi="宋体"/>
                <w:color w:val="auto"/>
                <w:kern w:val="0"/>
                <w:sz w:val="24"/>
              </w:rPr>
            </w:pPr>
          </w:p>
        </w:tc>
        <w:tc>
          <w:tcPr>
            <w:tcW w:w="770" w:type="dxa"/>
          </w:tcPr>
          <w:p w14:paraId="6B806202">
            <w:pPr>
              <w:autoSpaceDE w:val="0"/>
              <w:autoSpaceDN w:val="0"/>
              <w:adjustRightInd w:val="0"/>
              <w:snapToGrid w:val="0"/>
              <w:jc w:val="left"/>
              <w:rPr>
                <w:rFonts w:ascii="宋体" w:hAnsi="宋体"/>
                <w:color w:val="auto"/>
                <w:kern w:val="0"/>
                <w:sz w:val="24"/>
              </w:rPr>
            </w:pPr>
          </w:p>
        </w:tc>
      </w:tr>
      <w:tr w14:paraId="5570C5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1F37D0E">
            <w:pPr>
              <w:autoSpaceDE w:val="0"/>
              <w:autoSpaceDN w:val="0"/>
              <w:adjustRightInd w:val="0"/>
              <w:snapToGrid w:val="0"/>
              <w:jc w:val="left"/>
              <w:rPr>
                <w:rFonts w:ascii="宋体" w:hAnsi="宋体"/>
                <w:color w:val="auto"/>
                <w:kern w:val="0"/>
                <w:sz w:val="24"/>
              </w:rPr>
            </w:pPr>
          </w:p>
        </w:tc>
        <w:tc>
          <w:tcPr>
            <w:tcW w:w="1219" w:type="dxa"/>
          </w:tcPr>
          <w:p w14:paraId="07DB5E83">
            <w:pPr>
              <w:autoSpaceDE w:val="0"/>
              <w:autoSpaceDN w:val="0"/>
              <w:adjustRightInd w:val="0"/>
              <w:snapToGrid w:val="0"/>
              <w:jc w:val="left"/>
              <w:rPr>
                <w:rFonts w:ascii="宋体" w:hAnsi="宋体"/>
                <w:color w:val="auto"/>
                <w:kern w:val="0"/>
                <w:sz w:val="24"/>
              </w:rPr>
            </w:pPr>
          </w:p>
        </w:tc>
        <w:tc>
          <w:tcPr>
            <w:tcW w:w="852" w:type="dxa"/>
          </w:tcPr>
          <w:p w14:paraId="7226057B">
            <w:pPr>
              <w:autoSpaceDE w:val="0"/>
              <w:autoSpaceDN w:val="0"/>
              <w:adjustRightInd w:val="0"/>
              <w:snapToGrid w:val="0"/>
              <w:jc w:val="left"/>
              <w:rPr>
                <w:rFonts w:ascii="宋体" w:hAnsi="宋体"/>
                <w:color w:val="auto"/>
                <w:kern w:val="0"/>
                <w:sz w:val="24"/>
              </w:rPr>
            </w:pPr>
          </w:p>
        </w:tc>
        <w:tc>
          <w:tcPr>
            <w:tcW w:w="1111" w:type="dxa"/>
          </w:tcPr>
          <w:p w14:paraId="1359A4E4">
            <w:pPr>
              <w:autoSpaceDE w:val="0"/>
              <w:autoSpaceDN w:val="0"/>
              <w:adjustRightInd w:val="0"/>
              <w:snapToGrid w:val="0"/>
              <w:jc w:val="left"/>
              <w:rPr>
                <w:rFonts w:ascii="宋体" w:hAnsi="宋体"/>
                <w:color w:val="auto"/>
                <w:kern w:val="0"/>
                <w:sz w:val="24"/>
              </w:rPr>
            </w:pPr>
          </w:p>
        </w:tc>
        <w:tc>
          <w:tcPr>
            <w:tcW w:w="754" w:type="dxa"/>
          </w:tcPr>
          <w:p w14:paraId="659F1B9B">
            <w:pPr>
              <w:autoSpaceDE w:val="0"/>
              <w:autoSpaceDN w:val="0"/>
              <w:adjustRightInd w:val="0"/>
              <w:snapToGrid w:val="0"/>
              <w:jc w:val="left"/>
              <w:rPr>
                <w:rFonts w:ascii="宋体" w:hAnsi="宋体"/>
                <w:color w:val="auto"/>
                <w:kern w:val="0"/>
                <w:sz w:val="24"/>
              </w:rPr>
            </w:pPr>
          </w:p>
        </w:tc>
        <w:tc>
          <w:tcPr>
            <w:tcW w:w="827" w:type="dxa"/>
          </w:tcPr>
          <w:p w14:paraId="62F5AA2E">
            <w:pPr>
              <w:autoSpaceDE w:val="0"/>
              <w:autoSpaceDN w:val="0"/>
              <w:adjustRightInd w:val="0"/>
              <w:snapToGrid w:val="0"/>
              <w:jc w:val="left"/>
              <w:rPr>
                <w:rFonts w:ascii="宋体" w:hAnsi="宋体"/>
                <w:color w:val="auto"/>
                <w:kern w:val="0"/>
                <w:sz w:val="24"/>
              </w:rPr>
            </w:pPr>
          </w:p>
        </w:tc>
        <w:tc>
          <w:tcPr>
            <w:tcW w:w="1359" w:type="dxa"/>
          </w:tcPr>
          <w:p w14:paraId="4EA53951">
            <w:pPr>
              <w:autoSpaceDE w:val="0"/>
              <w:autoSpaceDN w:val="0"/>
              <w:adjustRightInd w:val="0"/>
              <w:snapToGrid w:val="0"/>
              <w:jc w:val="left"/>
              <w:rPr>
                <w:rFonts w:ascii="宋体" w:hAnsi="宋体"/>
                <w:color w:val="auto"/>
                <w:kern w:val="0"/>
                <w:sz w:val="24"/>
              </w:rPr>
            </w:pPr>
          </w:p>
        </w:tc>
        <w:tc>
          <w:tcPr>
            <w:tcW w:w="1855" w:type="dxa"/>
          </w:tcPr>
          <w:p w14:paraId="110B1791">
            <w:pPr>
              <w:autoSpaceDE w:val="0"/>
              <w:autoSpaceDN w:val="0"/>
              <w:adjustRightInd w:val="0"/>
              <w:snapToGrid w:val="0"/>
              <w:jc w:val="left"/>
              <w:rPr>
                <w:rFonts w:ascii="宋体" w:hAnsi="宋体"/>
                <w:color w:val="auto"/>
                <w:kern w:val="0"/>
                <w:sz w:val="24"/>
              </w:rPr>
            </w:pPr>
          </w:p>
        </w:tc>
        <w:tc>
          <w:tcPr>
            <w:tcW w:w="770" w:type="dxa"/>
          </w:tcPr>
          <w:p w14:paraId="464F70E8">
            <w:pPr>
              <w:autoSpaceDE w:val="0"/>
              <w:autoSpaceDN w:val="0"/>
              <w:adjustRightInd w:val="0"/>
              <w:snapToGrid w:val="0"/>
              <w:jc w:val="left"/>
              <w:rPr>
                <w:rFonts w:ascii="宋体" w:hAnsi="宋体"/>
                <w:color w:val="auto"/>
                <w:kern w:val="0"/>
                <w:sz w:val="24"/>
              </w:rPr>
            </w:pPr>
          </w:p>
        </w:tc>
      </w:tr>
      <w:tr w14:paraId="180BD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DBA0AEB">
            <w:pPr>
              <w:autoSpaceDE w:val="0"/>
              <w:autoSpaceDN w:val="0"/>
              <w:adjustRightInd w:val="0"/>
              <w:snapToGrid w:val="0"/>
              <w:jc w:val="left"/>
              <w:rPr>
                <w:rFonts w:ascii="宋体" w:hAnsi="宋体"/>
                <w:color w:val="auto"/>
                <w:kern w:val="0"/>
                <w:sz w:val="24"/>
              </w:rPr>
            </w:pPr>
          </w:p>
        </w:tc>
        <w:tc>
          <w:tcPr>
            <w:tcW w:w="1219" w:type="dxa"/>
          </w:tcPr>
          <w:p w14:paraId="74723D16">
            <w:pPr>
              <w:autoSpaceDE w:val="0"/>
              <w:autoSpaceDN w:val="0"/>
              <w:adjustRightInd w:val="0"/>
              <w:snapToGrid w:val="0"/>
              <w:jc w:val="left"/>
              <w:rPr>
                <w:rFonts w:ascii="宋体" w:hAnsi="宋体"/>
                <w:color w:val="auto"/>
                <w:kern w:val="0"/>
                <w:sz w:val="24"/>
              </w:rPr>
            </w:pPr>
          </w:p>
        </w:tc>
        <w:tc>
          <w:tcPr>
            <w:tcW w:w="852" w:type="dxa"/>
          </w:tcPr>
          <w:p w14:paraId="067C92C5">
            <w:pPr>
              <w:autoSpaceDE w:val="0"/>
              <w:autoSpaceDN w:val="0"/>
              <w:adjustRightInd w:val="0"/>
              <w:snapToGrid w:val="0"/>
              <w:jc w:val="left"/>
              <w:rPr>
                <w:rFonts w:ascii="宋体" w:hAnsi="宋体"/>
                <w:color w:val="auto"/>
                <w:kern w:val="0"/>
                <w:sz w:val="24"/>
              </w:rPr>
            </w:pPr>
          </w:p>
        </w:tc>
        <w:tc>
          <w:tcPr>
            <w:tcW w:w="1111" w:type="dxa"/>
          </w:tcPr>
          <w:p w14:paraId="5CF6DEB5">
            <w:pPr>
              <w:autoSpaceDE w:val="0"/>
              <w:autoSpaceDN w:val="0"/>
              <w:adjustRightInd w:val="0"/>
              <w:snapToGrid w:val="0"/>
              <w:jc w:val="left"/>
              <w:rPr>
                <w:rFonts w:ascii="宋体" w:hAnsi="宋体"/>
                <w:color w:val="auto"/>
                <w:kern w:val="0"/>
                <w:sz w:val="24"/>
              </w:rPr>
            </w:pPr>
          </w:p>
        </w:tc>
        <w:tc>
          <w:tcPr>
            <w:tcW w:w="754" w:type="dxa"/>
          </w:tcPr>
          <w:p w14:paraId="1C4C92C9">
            <w:pPr>
              <w:autoSpaceDE w:val="0"/>
              <w:autoSpaceDN w:val="0"/>
              <w:adjustRightInd w:val="0"/>
              <w:snapToGrid w:val="0"/>
              <w:jc w:val="left"/>
              <w:rPr>
                <w:rFonts w:ascii="宋体" w:hAnsi="宋体"/>
                <w:color w:val="auto"/>
                <w:kern w:val="0"/>
                <w:sz w:val="24"/>
              </w:rPr>
            </w:pPr>
          </w:p>
        </w:tc>
        <w:tc>
          <w:tcPr>
            <w:tcW w:w="827" w:type="dxa"/>
          </w:tcPr>
          <w:p w14:paraId="2C3ED32D">
            <w:pPr>
              <w:autoSpaceDE w:val="0"/>
              <w:autoSpaceDN w:val="0"/>
              <w:adjustRightInd w:val="0"/>
              <w:snapToGrid w:val="0"/>
              <w:jc w:val="left"/>
              <w:rPr>
                <w:rFonts w:ascii="宋体" w:hAnsi="宋体"/>
                <w:color w:val="auto"/>
                <w:kern w:val="0"/>
                <w:sz w:val="24"/>
              </w:rPr>
            </w:pPr>
          </w:p>
        </w:tc>
        <w:tc>
          <w:tcPr>
            <w:tcW w:w="1359" w:type="dxa"/>
          </w:tcPr>
          <w:p w14:paraId="34CD42BD">
            <w:pPr>
              <w:autoSpaceDE w:val="0"/>
              <w:autoSpaceDN w:val="0"/>
              <w:adjustRightInd w:val="0"/>
              <w:snapToGrid w:val="0"/>
              <w:jc w:val="left"/>
              <w:rPr>
                <w:rFonts w:ascii="宋体" w:hAnsi="宋体"/>
                <w:color w:val="auto"/>
                <w:kern w:val="0"/>
                <w:sz w:val="24"/>
              </w:rPr>
            </w:pPr>
          </w:p>
        </w:tc>
        <w:tc>
          <w:tcPr>
            <w:tcW w:w="1855" w:type="dxa"/>
          </w:tcPr>
          <w:p w14:paraId="1CDE5F64">
            <w:pPr>
              <w:autoSpaceDE w:val="0"/>
              <w:autoSpaceDN w:val="0"/>
              <w:adjustRightInd w:val="0"/>
              <w:snapToGrid w:val="0"/>
              <w:jc w:val="left"/>
              <w:rPr>
                <w:rFonts w:ascii="宋体" w:hAnsi="宋体"/>
                <w:color w:val="auto"/>
                <w:kern w:val="0"/>
                <w:sz w:val="24"/>
              </w:rPr>
            </w:pPr>
          </w:p>
        </w:tc>
        <w:tc>
          <w:tcPr>
            <w:tcW w:w="770" w:type="dxa"/>
          </w:tcPr>
          <w:p w14:paraId="5D139021">
            <w:pPr>
              <w:autoSpaceDE w:val="0"/>
              <w:autoSpaceDN w:val="0"/>
              <w:adjustRightInd w:val="0"/>
              <w:snapToGrid w:val="0"/>
              <w:jc w:val="left"/>
              <w:rPr>
                <w:rFonts w:ascii="宋体" w:hAnsi="宋体"/>
                <w:color w:val="auto"/>
                <w:kern w:val="0"/>
                <w:sz w:val="24"/>
              </w:rPr>
            </w:pPr>
          </w:p>
        </w:tc>
      </w:tr>
      <w:tr w14:paraId="390755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8D72F75">
            <w:pPr>
              <w:autoSpaceDE w:val="0"/>
              <w:autoSpaceDN w:val="0"/>
              <w:adjustRightInd w:val="0"/>
              <w:snapToGrid w:val="0"/>
              <w:jc w:val="left"/>
              <w:rPr>
                <w:rFonts w:ascii="宋体" w:hAnsi="宋体"/>
                <w:color w:val="auto"/>
                <w:kern w:val="0"/>
                <w:sz w:val="24"/>
              </w:rPr>
            </w:pPr>
          </w:p>
        </w:tc>
        <w:tc>
          <w:tcPr>
            <w:tcW w:w="1219" w:type="dxa"/>
          </w:tcPr>
          <w:p w14:paraId="410825C1">
            <w:pPr>
              <w:autoSpaceDE w:val="0"/>
              <w:autoSpaceDN w:val="0"/>
              <w:adjustRightInd w:val="0"/>
              <w:snapToGrid w:val="0"/>
              <w:jc w:val="left"/>
              <w:rPr>
                <w:rFonts w:ascii="宋体" w:hAnsi="宋体"/>
                <w:color w:val="auto"/>
                <w:kern w:val="0"/>
                <w:sz w:val="24"/>
              </w:rPr>
            </w:pPr>
          </w:p>
        </w:tc>
        <w:tc>
          <w:tcPr>
            <w:tcW w:w="852" w:type="dxa"/>
          </w:tcPr>
          <w:p w14:paraId="7C54321F">
            <w:pPr>
              <w:autoSpaceDE w:val="0"/>
              <w:autoSpaceDN w:val="0"/>
              <w:adjustRightInd w:val="0"/>
              <w:snapToGrid w:val="0"/>
              <w:jc w:val="left"/>
              <w:rPr>
                <w:rFonts w:ascii="宋体" w:hAnsi="宋体"/>
                <w:color w:val="auto"/>
                <w:kern w:val="0"/>
                <w:sz w:val="24"/>
              </w:rPr>
            </w:pPr>
          </w:p>
        </w:tc>
        <w:tc>
          <w:tcPr>
            <w:tcW w:w="1111" w:type="dxa"/>
          </w:tcPr>
          <w:p w14:paraId="3D74682A">
            <w:pPr>
              <w:autoSpaceDE w:val="0"/>
              <w:autoSpaceDN w:val="0"/>
              <w:adjustRightInd w:val="0"/>
              <w:snapToGrid w:val="0"/>
              <w:jc w:val="left"/>
              <w:rPr>
                <w:rFonts w:ascii="宋体" w:hAnsi="宋体"/>
                <w:color w:val="auto"/>
                <w:kern w:val="0"/>
                <w:sz w:val="24"/>
              </w:rPr>
            </w:pPr>
          </w:p>
        </w:tc>
        <w:tc>
          <w:tcPr>
            <w:tcW w:w="754" w:type="dxa"/>
          </w:tcPr>
          <w:p w14:paraId="71CEA4CD">
            <w:pPr>
              <w:autoSpaceDE w:val="0"/>
              <w:autoSpaceDN w:val="0"/>
              <w:adjustRightInd w:val="0"/>
              <w:snapToGrid w:val="0"/>
              <w:jc w:val="left"/>
              <w:rPr>
                <w:rFonts w:ascii="宋体" w:hAnsi="宋体"/>
                <w:color w:val="auto"/>
                <w:kern w:val="0"/>
                <w:sz w:val="24"/>
              </w:rPr>
            </w:pPr>
          </w:p>
        </w:tc>
        <w:tc>
          <w:tcPr>
            <w:tcW w:w="827" w:type="dxa"/>
          </w:tcPr>
          <w:p w14:paraId="0FCCBFB5">
            <w:pPr>
              <w:autoSpaceDE w:val="0"/>
              <w:autoSpaceDN w:val="0"/>
              <w:adjustRightInd w:val="0"/>
              <w:snapToGrid w:val="0"/>
              <w:jc w:val="left"/>
              <w:rPr>
                <w:rFonts w:ascii="宋体" w:hAnsi="宋体"/>
                <w:color w:val="auto"/>
                <w:kern w:val="0"/>
                <w:sz w:val="24"/>
              </w:rPr>
            </w:pPr>
          </w:p>
        </w:tc>
        <w:tc>
          <w:tcPr>
            <w:tcW w:w="1359" w:type="dxa"/>
          </w:tcPr>
          <w:p w14:paraId="137028F8">
            <w:pPr>
              <w:autoSpaceDE w:val="0"/>
              <w:autoSpaceDN w:val="0"/>
              <w:adjustRightInd w:val="0"/>
              <w:snapToGrid w:val="0"/>
              <w:jc w:val="left"/>
              <w:rPr>
                <w:rFonts w:ascii="宋体" w:hAnsi="宋体"/>
                <w:color w:val="auto"/>
                <w:kern w:val="0"/>
                <w:sz w:val="24"/>
              </w:rPr>
            </w:pPr>
          </w:p>
        </w:tc>
        <w:tc>
          <w:tcPr>
            <w:tcW w:w="1855" w:type="dxa"/>
          </w:tcPr>
          <w:p w14:paraId="68EEF482">
            <w:pPr>
              <w:autoSpaceDE w:val="0"/>
              <w:autoSpaceDN w:val="0"/>
              <w:adjustRightInd w:val="0"/>
              <w:snapToGrid w:val="0"/>
              <w:jc w:val="left"/>
              <w:rPr>
                <w:rFonts w:ascii="宋体" w:hAnsi="宋体"/>
                <w:color w:val="auto"/>
                <w:kern w:val="0"/>
                <w:sz w:val="24"/>
              </w:rPr>
            </w:pPr>
          </w:p>
        </w:tc>
        <w:tc>
          <w:tcPr>
            <w:tcW w:w="770" w:type="dxa"/>
          </w:tcPr>
          <w:p w14:paraId="7007A720">
            <w:pPr>
              <w:autoSpaceDE w:val="0"/>
              <w:autoSpaceDN w:val="0"/>
              <w:adjustRightInd w:val="0"/>
              <w:snapToGrid w:val="0"/>
              <w:jc w:val="left"/>
              <w:rPr>
                <w:rFonts w:ascii="宋体" w:hAnsi="宋体"/>
                <w:color w:val="auto"/>
                <w:kern w:val="0"/>
                <w:sz w:val="24"/>
              </w:rPr>
            </w:pPr>
          </w:p>
        </w:tc>
      </w:tr>
      <w:tr w14:paraId="4DC1A6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5152172">
            <w:pPr>
              <w:autoSpaceDE w:val="0"/>
              <w:autoSpaceDN w:val="0"/>
              <w:adjustRightInd w:val="0"/>
              <w:snapToGrid w:val="0"/>
              <w:jc w:val="left"/>
              <w:rPr>
                <w:rFonts w:ascii="宋体" w:hAnsi="宋体"/>
                <w:color w:val="auto"/>
                <w:kern w:val="0"/>
                <w:sz w:val="24"/>
              </w:rPr>
            </w:pPr>
          </w:p>
        </w:tc>
        <w:tc>
          <w:tcPr>
            <w:tcW w:w="1219" w:type="dxa"/>
          </w:tcPr>
          <w:p w14:paraId="1CDEBA34">
            <w:pPr>
              <w:autoSpaceDE w:val="0"/>
              <w:autoSpaceDN w:val="0"/>
              <w:adjustRightInd w:val="0"/>
              <w:snapToGrid w:val="0"/>
              <w:jc w:val="left"/>
              <w:rPr>
                <w:rFonts w:ascii="宋体" w:hAnsi="宋体"/>
                <w:color w:val="auto"/>
                <w:kern w:val="0"/>
                <w:sz w:val="24"/>
              </w:rPr>
            </w:pPr>
          </w:p>
        </w:tc>
        <w:tc>
          <w:tcPr>
            <w:tcW w:w="852" w:type="dxa"/>
          </w:tcPr>
          <w:p w14:paraId="67C8B5CD">
            <w:pPr>
              <w:autoSpaceDE w:val="0"/>
              <w:autoSpaceDN w:val="0"/>
              <w:adjustRightInd w:val="0"/>
              <w:snapToGrid w:val="0"/>
              <w:jc w:val="left"/>
              <w:rPr>
                <w:rFonts w:ascii="宋体" w:hAnsi="宋体"/>
                <w:color w:val="auto"/>
                <w:kern w:val="0"/>
                <w:sz w:val="24"/>
              </w:rPr>
            </w:pPr>
          </w:p>
        </w:tc>
        <w:tc>
          <w:tcPr>
            <w:tcW w:w="1111" w:type="dxa"/>
          </w:tcPr>
          <w:p w14:paraId="2E0F1E34">
            <w:pPr>
              <w:autoSpaceDE w:val="0"/>
              <w:autoSpaceDN w:val="0"/>
              <w:adjustRightInd w:val="0"/>
              <w:snapToGrid w:val="0"/>
              <w:jc w:val="left"/>
              <w:rPr>
                <w:rFonts w:ascii="宋体" w:hAnsi="宋体"/>
                <w:color w:val="auto"/>
                <w:kern w:val="0"/>
                <w:sz w:val="24"/>
              </w:rPr>
            </w:pPr>
          </w:p>
        </w:tc>
        <w:tc>
          <w:tcPr>
            <w:tcW w:w="754" w:type="dxa"/>
          </w:tcPr>
          <w:p w14:paraId="25E9467B">
            <w:pPr>
              <w:autoSpaceDE w:val="0"/>
              <w:autoSpaceDN w:val="0"/>
              <w:adjustRightInd w:val="0"/>
              <w:snapToGrid w:val="0"/>
              <w:jc w:val="left"/>
              <w:rPr>
                <w:rFonts w:ascii="宋体" w:hAnsi="宋体"/>
                <w:color w:val="auto"/>
                <w:kern w:val="0"/>
                <w:sz w:val="24"/>
              </w:rPr>
            </w:pPr>
          </w:p>
        </w:tc>
        <w:tc>
          <w:tcPr>
            <w:tcW w:w="827" w:type="dxa"/>
          </w:tcPr>
          <w:p w14:paraId="5C1CA858">
            <w:pPr>
              <w:autoSpaceDE w:val="0"/>
              <w:autoSpaceDN w:val="0"/>
              <w:adjustRightInd w:val="0"/>
              <w:snapToGrid w:val="0"/>
              <w:jc w:val="left"/>
              <w:rPr>
                <w:rFonts w:ascii="宋体" w:hAnsi="宋体"/>
                <w:color w:val="auto"/>
                <w:kern w:val="0"/>
                <w:sz w:val="24"/>
              </w:rPr>
            </w:pPr>
          </w:p>
        </w:tc>
        <w:tc>
          <w:tcPr>
            <w:tcW w:w="1359" w:type="dxa"/>
          </w:tcPr>
          <w:p w14:paraId="5F52A9F6">
            <w:pPr>
              <w:autoSpaceDE w:val="0"/>
              <w:autoSpaceDN w:val="0"/>
              <w:adjustRightInd w:val="0"/>
              <w:snapToGrid w:val="0"/>
              <w:jc w:val="left"/>
              <w:rPr>
                <w:rFonts w:ascii="宋体" w:hAnsi="宋体"/>
                <w:color w:val="auto"/>
                <w:kern w:val="0"/>
                <w:sz w:val="24"/>
              </w:rPr>
            </w:pPr>
          </w:p>
        </w:tc>
        <w:tc>
          <w:tcPr>
            <w:tcW w:w="1855" w:type="dxa"/>
          </w:tcPr>
          <w:p w14:paraId="119E4853">
            <w:pPr>
              <w:autoSpaceDE w:val="0"/>
              <w:autoSpaceDN w:val="0"/>
              <w:adjustRightInd w:val="0"/>
              <w:snapToGrid w:val="0"/>
              <w:jc w:val="left"/>
              <w:rPr>
                <w:rFonts w:ascii="宋体" w:hAnsi="宋体"/>
                <w:color w:val="auto"/>
                <w:kern w:val="0"/>
                <w:sz w:val="24"/>
              </w:rPr>
            </w:pPr>
          </w:p>
        </w:tc>
        <w:tc>
          <w:tcPr>
            <w:tcW w:w="770" w:type="dxa"/>
          </w:tcPr>
          <w:p w14:paraId="49A725AD">
            <w:pPr>
              <w:autoSpaceDE w:val="0"/>
              <w:autoSpaceDN w:val="0"/>
              <w:adjustRightInd w:val="0"/>
              <w:snapToGrid w:val="0"/>
              <w:jc w:val="left"/>
              <w:rPr>
                <w:rFonts w:ascii="宋体" w:hAnsi="宋体"/>
                <w:color w:val="auto"/>
                <w:kern w:val="0"/>
                <w:sz w:val="24"/>
              </w:rPr>
            </w:pPr>
          </w:p>
        </w:tc>
      </w:tr>
      <w:tr w14:paraId="55531C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A40CC1C">
            <w:pPr>
              <w:autoSpaceDE w:val="0"/>
              <w:autoSpaceDN w:val="0"/>
              <w:adjustRightInd w:val="0"/>
              <w:snapToGrid w:val="0"/>
              <w:jc w:val="left"/>
              <w:rPr>
                <w:rFonts w:ascii="宋体" w:hAnsi="宋体"/>
                <w:color w:val="auto"/>
                <w:kern w:val="0"/>
                <w:sz w:val="24"/>
              </w:rPr>
            </w:pPr>
          </w:p>
        </w:tc>
        <w:tc>
          <w:tcPr>
            <w:tcW w:w="1219" w:type="dxa"/>
          </w:tcPr>
          <w:p w14:paraId="756CA0DA">
            <w:pPr>
              <w:autoSpaceDE w:val="0"/>
              <w:autoSpaceDN w:val="0"/>
              <w:adjustRightInd w:val="0"/>
              <w:snapToGrid w:val="0"/>
              <w:jc w:val="left"/>
              <w:rPr>
                <w:rFonts w:ascii="宋体" w:hAnsi="宋体"/>
                <w:color w:val="auto"/>
                <w:kern w:val="0"/>
                <w:sz w:val="24"/>
              </w:rPr>
            </w:pPr>
          </w:p>
        </w:tc>
        <w:tc>
          <w:tcPr>
            <w:tcW w:w="852" w:type="dxa"/>
          </w:tcPr>
          <w:p w14:paraId="0F19B0B1">
            <w:pPr>
              <w:autoSpaceDE w:val="0"/>
              <w:autoSpaceDN w:val="0"/>
              <w:adjustRightInd w:val="0"/>
              <w:snapToGrid w:val="0"/>
              <w:jc w:val="left"/>
              <w:rPr>
                <w:rFonts w:ascii="宋体" w:hAnsi="宋体"/>
                <w:color w:val="auto"/>
                <w:kern w:val="0"/>
                <w:sz w:val="24"/>
              </w:rPr>
            </w:pPr>
          </w:p>
        </w:tc>
        <w:tc>
          <w:tcPr>
            <w:tcW w:w="1111" w:type="dxa"/>
          </w:tcPr>
          <w:p w14:paraId="08DD2225">
            <w:pPr>
              <w:autoSpaceDE w:val="0"/>
              <w:autoSpaceDN w:val="0"/>
              <w:adjustRightInd w:val="0"/>
              <w:snapToGrid w:val="0"/>
              <w:jc w:val="left"/>
              <w:rPr>
                <w:rFonts w:ascii="宋体" w:hAnsi="宋体"/>
                <w:color w:val="auto"/>
                <w:kern w:val="0"/>
                <w:sz w:val="24"/>
              </w:rPr>
            </w:pPr>
          </w:p>
        </w:tc>
        <w:tc>
          <w:tcPr>
            <w:tcW w:w="754" w:type="dxa"/>
          </w:tcPr>
          <w:p w14:paraId="144DC0D9">
            <w:pPr>
              <w:autoSpaceDE w:val="0"/>
              <w:autoSpaceDN w:val="0"/>
              <w:adjustRightInd w:val="0"/>
              <w:snapToGrid w:val="0"/>
              <w:jc w:val="left"/>
              <w:rPr>
                <w:rFonts w:ascii="宋体" w:hAnsi="宋体"/>
                <w:color w:val="auto"/>
                <w:kern w:val="0"/>
                <w:sz w:val="24"/>
              </w:rPr>
            </w:pPr>
          </w:p>
        </w:tc>
        <w:tc>
          <w:tcPr>
            <w:tcW w:w="827" w:type="dxa"/>
          </w:tcPr>
          <w:p w14:paraId="3EF81DCC">
            <w:pPr>
              <w:autoSpaceDE w:val="0"/>
              <w:autoSpaceDN w:val="0"/>
              <w:adjustRightInd w:val="0"/>
              <w:snapToGrid w:val="0"/>
              <w:jc w:val="left"/>
              <w:rPr>
                <w:rFonts w:ascii="宋体" w:hAnsi="宋体"/>
                <w:color w:val="auto"/>
                <w:kern w:val="0"/>
                <w:sz w:val="24"/>
              </w:rPr>
            </w:pPr>
          </w:p>
        </w:tc>
        <w:tc>
          <w:tcPr>
            <w:tcW w:w="1359" w:type="dxa"/>
          </w:tcPr>
          <w:p w14:paraId="50FB4319">
            <w:pPr>
              <w:autoSpaceDE w:val="0"/>
              <w:autoSpaceDN w:val="0"/>
              <w:adjustRightInd w:val="0"/>
              <w:snapToGrid w:val="0"/>
              <w:jc w:val="left"/>
              <w:rPr>
                <w:rFonts w:ascii="宋体" w:hAnsi="宋体"/>
                <w:color w:val="auto"/>
                <w:kern w:val="0"/>
                <w:sz w:val="24"/>
              </w:rPr>
            </w:pPr>
          </w:p>
        </w:tc>
        <w:tc>
          <w:tcPr>
            <w:tcW w:w="1855" w:type="dxa"/>
          </w:tcPr>
          <w:p w14:paraId="64D9210A">
            <w:pPr>
              <w:autoSpaceDE w:val="0"/>
              <w:autoSpaceDN w:val="0"/>
              <w:adjustRightInd w:val="0"/>
              <w:snapToGrid w:val="0"/>
              <w:jc w:val="left"/>
              <w:rPr>
                <w:rFonts w:ascii="宋体" w:hAnsi="宋体"/>
                <w:color w:val="auto"/>
                <w:kern w:val="0"/>
                <w:sz w:val="24"/>
              </w:rPr>
            </w:pPr>
          </w:p>
        </w:tc>
        <w:tc>
          <w:tcPr>
            <w:tcW w:w="770" w:type="dxa"/>
          </w:tcPr>
          <w:p w14:paraId="3AD28D84">
            <w:pPr>
              <w:autoSpaceDE w:val="0"/>
              <w:autoSpaceDN w:val="0"/>
              <w:adjustRightInd w:val="0"/>
              <w:snapToGrid w:val="0"/>
              <w:jc w:val="left"/>
              <w:rPr>
                <w:rFonts w:ascii="宋体" w:hAnsi="宋体"/>
                <w:color w:val="auto"/>
                <w:kern w:val="0"/>
                <w:sz w:val="24"/>
              </w:rPr>
            </w:pPr>
          </w:p>
        </w:tc>
      </w:tr>
      <w:tr w14:paraId="67C5D5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EA0BFE4">
            <w:pPr>
              <w:autoSpaceDE w:val="0"/>
              <w:autoSpaceDN w:val="0"/>
              <w:adjustRightInd w:val="0"/>
              <w:snapToGrid w:val="0"/>
              <w:jc w:val="left"/>
              <w:rPr>
                <w:rFonts w:ascii="宋体" w:hAnsi="宋体"/>
                <w:color w:val="auto"/>
                <w:kern w:val="0"/>
                <w:sz w:val="24"/>
              </w:rPr>
            </w:pPr>
          </w:p>
        </w:tc>
        <w:tc>
          <w:tcPr>
            <w:tcW w:w="1219" w:type="dxa"/>
          </w:tcPr>
          <w:p w14:paraId="5971A689">
            <w:pPr>
              <w:autoSpaceDE w:val="0"/>
              <w:autoSpaceDN w:val="0"/>
              <w:adjustRightInd w:val="0"/>
              <w:snapToGrid w:val="0"/>
              <w:jc w:val="left"/>
              <w:rPr>
                <w:rFonts w:ascii="宋体" w:hAnsi="宋体"/>
                <w:color w:val="auto"/>
                <w:kern w:val="0"/>
                <w:sz w:val="24"/>
              </w:rPr>
            </w:pPr>
          </w:p>
        </w:tc>
        <w:tc>
          <w:tcPr>
            <w:tcW w:w="852" w:type="dxa"/>
          </w:tcPr>
          <w:p w14:paraId="4D047CF4">
            <w:pPr>
              <w:autoSpaceDE w:val="0"/>
              <w:autoSpaceDN w:val="0"/>
              <w:adjustRightInd w:val="0"/>
              <w:snapToGrid w:val="0"/>
              <w:jc w:val="left"/>
              <w:rPr>
                <w:rFonts w:ascii="宋体" w:hAnsi="宋体"/>
                <w:color w:val="auto"/>
                <w:kern w:val="0"/>
                <w:sz w:val="24"/>
              </w:rPr>
            </w:pPr>
          </w:p>
        </w:tc>
        <w:tc>
          <w:tcPr>
            <w:tcW w:w="1111" w:type="dxa"/>
          </w:tcPr>
          <w:p w14:paraId="1BAD6BC8">
            <w:pPr>
              <w:autoSpaceDE w:val="0"/>
              <w:autoSpaceDN w:val="0"/>
              <w:adjustRightInd w:val="0"/>
              <w:snapToGrid w:val="0"/>
              <w:jc w:val="left"/>
              <w:rPr>
                <w:rFonts w:ascii="宋体" w:hAnsi="宋体"/>
                <w:color w:val="auto"/>
                <w:kern w:val="0"/>
                <w:sz w:val="24"/>
              </w:rPr>
            </w:pPr>
          </w:p>
        </w:tc>
        <w:tc>
          <w:tcPr>
            <w:tcW w:w="754" w:type="dxa"/>
          </w:tcPr>
          <w:p w14:paraId="5D3F3C56">
            <w:pPr>
              <w:autoSpaceDE w:val="0"/>
              <w:autoSpaceDN w:val="0"/>
              <w:adjustRightInd w:val="0"/>
              <w:snapToGrid w:val="0"/>
              <w:jc w:val="left"/>
              <w:rPr>
                <w:rFonts w:ascii="宋体" w:hAnsi="宋体"/>
                <w:color w:val="auto"/>
                <w:kern w:val="0"/>
                <w:sz w:val="24"/>
              </w:rPr>
            </w:pPr>
          </w:p>
        </w:tc>
        <w:tc>
          <w:tcPr>
            <w:tcW w:w="827" w:type="dxa"/>
          </w:tcPr>
          <w:p w14:paraId="58269572">
            <w:pPr>
              <w:autoSpaceDE w:val="0"/>
              <w:autoSpaceDN w:val="0"/>
              <w:adjustRightInd w:val="0"/>
              <w:snapToGrid w:val="0"/>
              <w:jc w:val="left"/>
              <w:rPr>
                <w:rFonts w:ascii="宋体" w:hAnsi="宋体"/>
                <w:color w:val="auto"/>
                <w:kern w:val="0"/>
                <w:sz w:val="24"/>
              </w:rPr>
            </w:pPr>
          </w:p>
        </w:tc>
        <w:tc>
          <w:tcPr>
            <w:tcW w:w="1359" w:type="dxa"/>
          </w:tcPr>
          <w:p w14:paraId="0B242673">
            <w:pPr>
              <w:autoSpaceDE w:val="0"/>
              <w:autoSpaceDN w:val="0"/>
              <w:adjustRightInd w:val="0"/>
              <w:snapToGrid w:val="0"/>
              <w:jc w:val="left"/>
              <w:rPr>
                <w:rFonts w:ascii="宋体" w:hAnsi="宋体"/>
                <w:color w:val="auto"/>
                <w:kern w:val="0"/>
                <w:sz w:val="24"/>
              </w:rPr>
            </w:pPr>
          </w:p>
        </w:tc>
        <w:tc>
          <w:tcPr>
            <w:tcW w:w="1855" w:type="dxa"/>
          </w:tcPr>
          <w:p w14:paraId="283A8238">
            <w:pPr>
              <w:autoSpaceDE w:val="0"/>
              <w:autoSpaceDN w:val="0"/>
              <w:adjustRightInd w:val="0"/>
              <w:snapToGrid w:val="0"/>
              <w:jc w:val="left"/>
              <w:rPr>
                <w:rFonts w:ascii="宋体" w:hAnsi="宋体"/>
                <w:color w:val="auto"/>
                <w:kern w:val="0"/>
                <w:sz w:val="24"/>
              </w:rPr>
            </w:pPr>
          </w:p>
        </w:tc>
        <w:tc>
          <w:tcPr>
            <w:tcW w:w="770" w:type="dxa"/>
          </w:tcPr>
          <w:p w14:paraId="1C5D5DD2">
            <w:pPr>
              <w:autoSpaceDE w:val="0"/>
              <w:autoSpaceDN w:val="0"/>
              <w:adjustRightInd w:val="0"/>
              <w:snapToGrid w:val="0"/>
              <w:jc w:val="left"/>
              <w:rPr>
                <w:rFonts w:ascii="宋体" w:hAnsi="宋体"/>
                <w:color w:val="auto"/>
                <w:kern w:val="0"/>
                <w:sz w:val="24"/>
              </w:rPr>
            </w:pPr>
          </w:p>
        </w:tc>
      </w:tr>
      <w:tr w14:paraId="4CF8F9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1B673C5">
            <w:pPr>
              <w:autoSpaceDE w:val="0"/>
              <w:autoSpaceDN w:val="0"/>
              <w:adjustRightInd w:val="0"/>
              <w:snapToGrid w:val="0"/>
              <w:jc w:val="left"/>
              <w:rPr>
                <w:rFonts w:ascii="宋体" w:hAnsi="宋体"/>
                <w:color w:val="auto"/>
                <w:kern w:val="0"/>
                <w:sz w:val="24"/>
              </w:rPr>
            </w:pPr>
          </w:p>
        </w:tc>
        <w:tc>
          <w:tcPr>
            <w:tcW w:w="1219" w:type="dxa"/>
          </w:tcPr>
          <w:p w14:paraId="1E15FCA4">
            <w:pPr>
              <w:autoSpaceDE w:val="0"/>
              <w:autoSpaceDN w:val="0"/>
              <w:adjustRightInd w:val="0"/>
              <w:snapToGrid w:val="0"/>
              <w:jc w:val="left"/>
              <w:rPr>
                <w:rFonts w:ascii="宋体" w:hAnsi="宋体"/>
                <w:color w:val="auto"/>
                <w:kern w:val="0"/>
                <w:sz w:val="24"/>
              </w:rPr>
            </w:pPr>
          </w:p>
        </w:tc>
        <w:tc>
          <w:tcPr>
            <w:tcW w:w="852" w:type="dxa"/>
          </w:tcPr>
          <w:p w14:paraId="344E0E85">
            <w:pPr>
              <w:autoSpaceDE w:val="0"/>
              <w:autoSpaceDN w:val="0"/>
              <w:adjustRightInd w:val="0"/>
              <w:snapToGrid w:val="0"/>
              <w:jc w:val="left"/>
              <w:rPr>
                <w:rFonts w:ascii="宋体" w:hAnsi="宋体"/>
                <w:color w:val="auto"/>
                <w:kern w:val="0"/>
                <w:sz w:val="24"/>
              </w:rPr>
            </w:pPr>
          </w:p>
        </w:tc>
        <w:tc>
          <w:tcPr>
            <w:tcW w:w="1111" w:type="dxa"/>
          </w:tcPr>
          <w:p w14:paraId="43D79432">
            <w:pPr>
              <w:autoSpaceDE w:val="0"/>
              <w:autoSpaceDN w:val="0"/>
              <w:adjustRightInd w:val="0"/>
              <w:snapToGrid w:val="0"/>
              <w:jc w:val="left"/>
              <w:rPr>
                <w:rFonts w:ascii="宋体" w:hAnsi="宋体"/>
                <w:color w:val="auto"/>
                <w:kern w:val="0"/>
                <w:sz w:val="24"/>
              </w:rPr>
            </w:pPr>
          </w:p>
        </w:tc>
        <w:tc>
          <w:tcPr>
            <w:tcW w:w="754" w:type="dxa"/>
          </w:tcPr>
          <w:p w14:paraId="797ADE61">
            <w:pPr>
              <w:autoSpaceDE w:val="0"/>
              <w:autoSpaceDN w:val="0"/>
              <w:adjustRightInd w:val="0"/>
              <w:snapToGrid w:val="0"/>
              <w:jc w:val="left"/>
              <w:rPr>
                <w:rFonts w:ascii="宋体" w:hAnsi="宋体"/>
                <w:color w:val="auto"/>
                <w:kern w:val="0"/>
                <w:sz w:val="24"/>
              </w:rPr>
            </w:pPr>
          </w:p>
        </w:tc>
        <w:tc>
          <w:tcPr>
            <w:tcW w:w="827" w:type="dxa"/>
          </w:tcPr>
          <w:p w14:paraId="418B4349">
            <w:pPr>
              <w:autoSpaceDE w:val="0"/>
              <w:autoSpaceDN w:val="0"/>
              <w:adjustRightInd w:val="0"/>
              <w:snapToGrid w:val="0"/>
              <w:jc w:val="left"/>
              <w:rPr>
                <w:rFonts w:ascii="宋体" w:hAnsi="宋体"/>
                <w:color w:val="auto"/>
                <w:kern w:val="0"/>
                <w:sz w:val="24"/>
              </w:rPr>
            </w:pPr>
          </w:p>
        </w:tc>
        <w:tc>
          <w:tcPr>
            <w:tcW w:w="1359" w:type="dxa"/>
          </w:tcPr>
          <w:p w14:paraId="5D067509">
            <w:pPr>
              <w:autoSpaceDE w:val="0"/>
              <w:autoSpaceDN w:val="0"/>
              <w:adjustRightInd w:val="0"/>
              <w:snapToGrid w:val="0"/>
              <w:jc w:val="left"/>
              <w:rPr>
                <w:rFonts w:ascii="宋体" w:hAnsi="宋体"/>
                <w:color w:val="auto"/>
                <w:kern w:val="0"/>
                <w:sz w:val="24"/>
              </w:rPr>
            </w:pPr>
          </w:p>
        </w:tc>
        <w:tc>
          <w:tcPr>
            <w:tcW w:w="1855" w:type="dxa"/>
          </w:tcPr>
          <w:p w14:paraId="1FFD8281">
            <w:pPr>
              <w:autoSpaceDE w:val="0"/>
              <w:autoSpaceDN w:val="0"/>
              <w:adjustRightInd w:val="0"/>
              <w:snapToGrid w:val="0"/>
              <w:jc w:val="left"/>
              <w:rPr>
                <w:rFonts w:ascii="宋体" w:hAnsi="宋体"/>
                <w:color w:val="auto"/>
                <w:kern w:val="0"/>
                <w:sz w:val="24"/>
              </w:rPr>
            </w:pPr>
          </w:p>
        </w:tc>
        <w:tc>
          <w:tcPr>
            <w:tcW w:w="770" w:type="dxa"/>
          </w:tcPr>
          <w:p w14:paraId="4B70E89C">
            <w:pPr>
              <w:autoSpaceDE w:val="0"/>
              <w:autoSpaceDN w:val="0"/>
              <w:adjustRightInd w:val="0"/>
              <w:snapToGrid w:val="0"/>
              <w:jc w:val="left"/>
              <w:rPr>
                <w:rFonts w:ascii="宋体" w:hAnsi="宋体"/>
                <w:color w:val="auto"/>
                <w:kern w:val="0"/>
                <w:sz w:val="24"/>
              </w:rPr>
            </w:pPr>
          </w:p>
        </w:tc>
      </w:tr>
      <w:tr w14:paraId="04FAF0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DD2DD71">
            <w:pPr>
              <w:autoSpaceDE w:val="0"/>
              <w:autoSpaceDN w:val="0"/>
              <w:adjustRightInd w:val="0"/>
              <w:snapToGrid w:val="0"/>
              <w:jc w:val="left"/>
              <w:rPr>
                <w:rFonts w:ascii="宋体" w:hAnsi="宋体"/>
                <w:color w:val="auto"/>
                <w:kern w:val="0"/>
                <w:sz w:val="24"/>
              </w:rPr>
            </w:pPr>
          </w:p>
        </w:tc>
        <w:tc>
          <w:tcPr>
            <w:tcW w:w="1219" w:type="dxa"/>
          </w:tcPr>
          <w:p w14:paraId="52F84A33">
            <w:pPr>
              <w:autoSpaceDE w:val="0"/>
              <w:autoSpaceDN w:val="0"/>
              <w:adjustRightInd w:val="0"/>
              <w:snapToGrid w:val="0"/>
              <w:jc w:val="left"/>
              <w:rPr>
                <w:rFonts w:ascii="宋体" w:hAnsi="宋体"/>
                <w:color w:val="auto"/>
                <w:kern w:val="0"/>
                <w:sz w:val="24"/>
              </w:rPr>
            </w:pPr>
          </w:p>
        </w:tc>
        <w:tc>
          <w:tcPr>
            <w:tcW w:w="852" w:type="dxa"/>
          </w:tcPr>
          <w:p w14:paraId="49C693B7">
            <w:pPr>
              <w:autoSpaceDE w:val="0"/>
              <w:autoSpaceDN w:val="0"/>
              <w:adjustRightInd w:val="0"/>
              <w:snapToGrid w:val="0"/>
              <w:jc w:val="left"/>
              <w:rPr>
                <w:rFonts w:ascii="宋体" w:hAnsi="宋体"/>
                <w:color w:val="auto"/>
                <w:kern w:val="0"/>
                <w:sz w:val="24"/>
              </w:rPr>
            </w:pPr>
          </w:p>
        </w:tc>
        <w:tc>
          <w:tcPr>
            <w:tcW w:w="1111" w:type="dxa"/>
          </w:tcPr>
          <w:p w14:paraId="54D71E7A">
            <w:pPr>
              <w:autoSpaceDE w:val="0"/>
              <w:autoSpaceDN w:val="0"/>
              <w:adjustRightInd w:val="0"/>
              <w:snapToGrid w:val="0"/>
              <w:jc w:val="left"/>
              <w:rPr>
                <w:rFonts w:ascii="宋体" w:hAnsi="宋体"/>
                <w:color w:val="auto"/>
                <w:kern w:val="0"/>
                <w:sz w:val="24"/>
              </w:rPr>
            </w:pPr>
          </w:p>
        </w:tc>
        <w:tc>
          <w:tcPr>
            <w:tcW w:w="754" w:type="dxa"/>
          </w:tcPr>
          <w:p w14:paraId="16AA5420">
            <w:pPr>
              <w:autoSpaceDE w:val="0"/>
              <w:autoSpaceDN w:val="0"/>
              <w:adjustRightInd w:val="0"/>
              <w:snapToGrid w:val="0"/>
              <w:jc w:val="left"/>
              <w:rPr>
                <w:rFonts w:ascii="宋体" w:hAnsi="宋体"/>
                <w:color w:val="auto"/>
                <w:kern w:val="0"/>
                <w:sz w:val="24"/>
              </w:rPr>
            </w:pPr>
          </w:p>
        </w:tc>
        <w:tc>
          <w:tcPr>
            <w:tcW w:w="827" w:type="dxa"/>
          </w:tcPr>
          <w:p w14:paraId="4B3A9F3E">
            <w:pPr>
              <w:autoSpaceDE w:val="0"/>
              <w:autoSpaceDN w:val="0"/>
              <w:adjustRightInd w:val="0"/>
              <w:snapToGrid w:val="0"/>
              <w:jc w:val="left"/>
              <w:rPr>
                <w:rFonts w:ascii="宋体" w:hAnsi="宋体"/>
                <w:color w:val="auto"/>
                <w:kern w:val="0"/>
                <w:sz w:val="24"/>
              </w:rPr>
            </w:pPr>
          </w:p>
        </w:tc>
        <w:tc>
          <w:tcPr>
            <w:tcW w:w="1359" w:type="dxa"/>
          </w:tcPr>
          <w:p w14:paraId="21C7FCFC">
            <w:pPr>
              <w:autoSpaceDE w:val="0"/>
              <w:autoSpaceDN w:val="0"/>
              <w:adjustRightInd w:val="0"/>
              <w:snapToGrid w:val="0"/>
              <w:jc w:val="left"/>
              <w:rPr>
                <w:rFonts w:ascii="宋体" w:hAnsi="宋体"/>
                <w:color w:val="auto"/>
                <w:kern w:val="0"/>
                <w:sz w:val="24"/>
              </w:rPr>
            </w:pPr>
          </w:p>
        </w:tc>
        <w:tc>
          <w:tcPr>
            <w:tcW w:w="1855" w:type="dxa"/>
          </w:tcPr>
          <w:p w14:paraId="5C1640A7">
            <w:pPr>
              <w:autoSpaceDE w:val="0"/>
              <w:autoSpaceDN w:val="0"/>
              <w:adjustRightInd w:val="0"/>
              <w:snapToGrid w:val="0"/>
              <w:jc w:val="left"/>
              <w:rPr>
                <w:rFonts w:ascii="宋体" w:hAnsi="宋体"/>
                <w:color w:val="auto"/>
                <w:kern w:val="0"/>
                <w:sz w:val="24"/>
              </w:rPr>
            </w:pPr>
          </w:p>
        </w:tc>
        <w:tc>
          <w:tcPr>
            <w:tcW w:w="770" w:type="dxa"/>
          </w:tcPr>
          <w:p w14:paraId="1C20993C">
            <w:pPr>
              <w:autoSpaceDE w:val="0"/>
              <w:autoSpaceDN w:val="0"/>
              <w:adjustRightInd w:val="0"/>
              <w:snapToGrid w:val="0"/>
              <w:jc w:val="left"/>
              <w:rPr>
                <w:rFonts w:ascii="宋体" w:hAnsi="宋体"/>
                <w:color w:val="auto"/>
                <w:kern w:val="0"/>
                <w:sz w:val="24"/>
              </w:rPr>
            </w:pPr>
          </w:p>
        </w:tc>
      </w:tr>
      <w:tr w14:paraId="4A6F8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99C98D9">
            <w:pPr>
              <w:autoSpaceDE w:val="0"/>
              <w:autoSpaceDN w:val="0"/>
              <w:adjustRightInd w:val="0"/>
              <w:snapToGrid w:val="0"/>
              <w:jc w:val="left"/>
              <w:rPr>
                <w:rFonts w:ascii="宋体" w:hAnsi="宋体"/>
                <w:color w:val="auto"/>
                <w:kern w:val="0"/>
                <w:sz w:val="24"/>
              </w:rPr>
            </w:pPr>
          </w:p>
        </w:tc>
        <w:tc>
          <w:tcPr>
            <w:tcW w:w="1219" w:type="dxa"/>
          </w:tcPr>
          <w:p w14:paraId="1DA63EB2">
            <w:pPr>
              <w:autoSpaceDE w:val="0"/>
              <w:autoSpaceDN w:val="0"/>
              <w:adjustRightInd w:val="0"/>
              <w:snapToGrid w:val="0"/>
              <w:jc w:val="left"/>
              <w:rPr>
                <w:rFonts w:ascii="宋体" w:hAnsi="宋体"/>
                <w:color w:val="auto"/>
                <w:kern w:val="0"/>
                <w:sz w:val="24"/>
              </w:rPr>
            </w:pPr>
          </w:p>
        </w:tc>
        <w:tc>
          <w:tcPr>
            <w:tcW w:w="852" w:type="dxa"/>
          </w:tcPr>
          <w:p w14:paraId="51D37FB7">
            <w:pPr>
              <w:autoSpaceDE w:val="0"/>
              <w:autoSpaceDN w:val="0"/>
              <w:adjustRightInd w:val="0"/>
              <w:snapToGrid w:val="0"/>
              <w:jc w:val="left"/>
              <w:rPr>
                <w:rFonts w:ascii="宋体" w:hAnsi="宋体"/>
                <w:color w:val="auto"/>
                <w:kern w:val="0"/>
                <w:sz w:val="24"/>
              </w:rPr>
            </w:pPr>
          </w:p>
        </w:tc>
        <w:tc>
          <w:tcPr>
            <w:tcW w:w="1111" w:type="dxa"/>
          </w:tcPr>
          <w:p w14:paraId="27C64FBD">
            <w:pPr>
              <w:autoSpaceDE w:val="0"/>
              <w:autoSpaceDN w:val="0"/>
              <w:adjustRightInd w:val="0"/>
              <w:snapToGrid w:val="0"/>
              <w:jc w:val="left"/>
              <w:rPr>
                <w:rFonts w:ascii="宋体" w:hAnsi="宋体"/>
                <w:color w:val="auto"/>
                <w:kern w:val="0"/>
                <w:sz w:val="24"/>
              </w:rPr>
            </w:pPr>
          </w:p>
        </w:tc>
        <w:tc>
          <w:tcPr>
            <w:tcW w:w="754" w:type="dxa"/>
          </w:tcPr>
          <w:p w14:paraId="4E14771B">
            <w:pPr>
              <w:autoSpaceDE w:val="0"/>
              <w:autoSpaceDN w:val="0"/>
              <w:adjustRightInd w:val="0"/>
              <w:snapToGrid w:val="0"/>
              <w:jc w:val="left"/>
              <w:rPr>
                <w:rFonts w:ascii="宋体" w:hAnsi="宋体"/>
                <w:color w:val="auto"/>
                <w:kern w:val="0"/>
                <w:sz w:val="24"/>
              </w:rPr>
            </w:pPr>
          </w:p>
        </w:tc>
        <w:tc>
          <w:tcPr>
            <w:tcW w:w="827" w:type="dxa"/>
          </w:tcPr>
          <w:p w14:paraId="59DDE024">
            <w:pPr>
              <w:autoSpaceDE w:val="0"/>
              <w:autoSpaceDN w:val="0"/>
              <w:adjustRightInd w:val="0"/>
              <w:snapToGrid w:val="0"/>
              <w:jc w:val="left"/>
              <w:rPr>
                <w:rFonts w:ascii="宋体" w:hAnsi="宋体"/>
                <w:color w:val="auto"/>
                <w:kern w:val="0"/>
                <w:sz w:val="24"/>
              </w:rPr>
            </w:pPr>
          </w:p>
        </w:tc>
        <w:tc>
          <w:tcPr>
            <w:tcW w:w="1359" w:type="dxa"/>
          </w:tcPr>
          <w:p w14:paraId="54743C65">
            <w:pPr>
              <w:autoSpaceDE w:val="0"/>
              <w:autoSpaceDN w:val="0"/>
              <w:adjustRightInd w:val="0"/>
              <w:snapToGrid w:val="0"/>
              <w:jc w:val="left"/>
              <w:rPr>
                <w:rFonts w:ascii="宋体" w:hAnsi="宋体"/>
                <w:color w:val="auto"/>
                <w:kern w:val="0"/>
                <w:sz w:val="24"/>
              </w:rPr>
            </w:pPr>
          </w:p>
        </w:tc>
        <w:tc>
          <w:tcPr>
            <w:tcW w:w="1855" w:type="dxa"/>
          </w:tcPr>
          <w:p w14:paraId="0E984C93">
            <w:pPr>
              <w:autoSpaceDE w:val="0"/>
              <w:autoSpaceDN w:val="0"/>
              <w:adjustRightInd w:val="0"/>
              <w:snapToGrid w:val="0"/>
              <w:jc w:val="left"/>
              <w:rPr>
                <w:rFonts w:ascii="宋体" w:hAnsi="宋体"/>
                <w:color w:val="auto"/>
                <w:kern w:val="0"/>
                <w:sz w:val="24"/>
              </w:rPr>
            </w:pPr>
          </w:p>
        </w:tc>
        <w:tc>
          <w:tcPr>
            <w:tcW w:w="770" w:type="dxa"/>
          </w:tcPr>
          <w:p w14:paraId="4D86BD8C">
            <w:pPr>
              <w:autoSpaceDE w:val="0"/>
              <w:autoSpaceDN w:val="0"/>
              <w:adjustRightInd w:val="0"/>
              <w:snapToGrid w:val="0"/>
              <w:jc w:val="left"/>
              <w:rPr>
                <w:rFonts w:ascii="宋体" w:hAnsi="宋体"/>
                <w:color w:val="auto"/>
                <w:kern w:val="0"/>
                <w:sz w:val="24"/>
              </w:rPr>
            </w:pPr>
          </w:p>
        </w:tc>
      </w:tr>
      <w:tr w14:paraId="2AE425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FE5B401">
            <w:pPr>
              <w:autoSpaceDE w:val="0"/>
              <w:autoSpaceDN w:val="0"/>
              <w:adjustRightInd w:val="0"/>
              <w:snapToGrid w:val="0"/>
              <w:jc w:val="left"/>
              <w:rPr>
                <w:rFonts w:ascii="宋体" w:hAnsi="宋体"/>
                <w:color w:val="auto"/>
                <w:kern w:val="0"/>
                <w:sz w:val="24"/>
              </w:rPr>
            </w:pPr>
          </w:p>
        </w:tc>
        <w:tc>
          <w:tcPr>
            <w:tcW w:w="1219" w:type="dxa"/>
          </w:tcPr>
          <w:p w14:paraId="5FE4A680">
            <w:pPr>
              <w:autoSpaceDE w:val="0"/>
              <w:autoSpaceDN w:val="0"/>
              <w:adjustRightInd w:val="0"/>
              <w:snapToGrid w:val="0"/>
              <w:jc w:val="left"/>
              <w:rPr>
                <w:rFonts w:ascii="宋体" w:hAnsi="宋体"/>
                <w:color w:val="auto"/>
                <w:kern w:val="0"/>
                <w:sz w:val="24"/>
              </w:rPr>
            </w:pPr>
          </w:p>
        </w:tc>
        <w:tc>
          <w:tcPr>
            <w:tcW w:w="852" w:type="dxa"/>
          </w:tcPr>
          <w:p w14:paraId="77D38D28">
            <w:pPr>
              <w:autoSpaceDE w:val="0"/>
              <w:autoSpaceDN w:val="0"/>
              <w:adjustRightInd w:val="0"/>
              <w:snapToGrid w:val="0"/>
              <w:jc w:val="left"/>
              <w:rPr>
                <w:rFonts w:ascii="宋体" w:hAnsi="宋体"/>
                <w:color w:val="auto"/>
                <w:kern w:val="0"/>
                <w:sz w:val="24"/>
              </w:rPr>
            </w:pPr>
          </w:p>
        </w:tc>
        <w:tc>
          <w:tcPr>
            <w:tcW w:w="1111" w:type="dxa"/>
          </w:tcPr>
          <w:p w14:paraId="50066A84">
            <w:pPr>
              <w:autoSpaceDE w:val="0"/>
              <w:autoSpaceDN w:val="0"/>
              <w:adjustRightInd w:val="0"/>
              <w:snapToGrid w:val="0"/>
              <w:jc w:val="left"/>
              <w:rPr>
                <w:rFonts w:ascii="宋体" w:hAnsi="宋体"/>
                <w:color w:val="auto"/>
                <w:kern w:val="0"/>
                <w:sz w:val="24"/>
              </w:rPr>
            </w:pPr>
          </w:p>
        </w:tc>
        <w:tc>
          <w:tcPr>
            <w:tcW w:w="754" w:type="dxa"/>
          </w:tcPr>
          <w:p w14:paraId="50D11B45">
            <w:pPr>
              <w:autoSpaceDE w:val="0"/>
              <w:autoSpaceDN w:val="0"/>
              <w:adjustRightInd w:val="0"/>
              <w:snapToGrid w:val="0"/>
              <w:jc w:val="left"/>
              <w:rPr>
                <w:rFonts w:ascii="宋体" w:hAnsi="宋体"/>
                <w:color w:val="auto"/>
                <w:kern w:val="0"/>
                <w:sz w:val="24"/>
              </w:rPr>
            </w:pPr>
          </w:p>
        </w:tc>
        <w:tc>
          <w:tcPr>
            <w:tcW w:w="827" w:type="dxa"/>
          </w:tcPr>
          <w:p w14:paraId="475FB208">
            <w:pPr>
              <w:autoSpaceDE w:val="0"/>
              <w:autoSpaceDN w:val="0"/>
              <w:adjustRightInd w:val="0"/>
              <w:snapToGrid w:val="0"/>
              <w:jc w:val="left"/>
              <w:rPr>
                <w:rFonts w:ascii="宋体" w:hAnsi="宋体"/>
                <w:color w:val="auto"/>
                <w:kern w:val="0"/>
                <w:sz w:val="24"/>
              </w:rPr>
            </w:pPr>
          </w:p>
        </w:tc>
        <w:tc>
          <w:tcPr>
            <w:tcW w:w="1359" w:type="dxa"/>
          </w:tcPr>
          <w:p w14:paraId="3C91EA37">
            <w:pPr>
              <w:autoSpaceDE w:val="0"/>
              <w:autoSpaceDN w:val="0"/>
              <w:adjustRightInd w:val="0"/>
              <w:snapToGrid w:val="0"/>
              <w:jc w:val="left"/>
              <w:rPr>
                <w:rFonts w:ascii="宋体" w:hAnsi="宋体"/>
                <w:color w:val="auto"/>
                <w:kern w:val="0"/>
                <w:sz w:val="24"/>
              </w:rPr>
            </w:pPr>
          </w:p>
        </w:tc>
        <w:tc>
          <w:tcPr>
            <w:tcW w:w="1855" w:type="dxa"/>
          </w:tcPr>
          <w:p w14:paraId="45786409">
            <w:pPr>
              <w:autoSpaceDE w:val="0"/>
              <w:autoSpaceDN w:val="0"/>
              <w:adjustRightInd w:val="0"/>
              <w:snapToGrid w:val="0"/>
              <w:jc w:val="left"/>
              <w:rPr>
                <w:rFonts w:ascii="宋体" w:hAnsi="宋体"/>
                <w:color w:val="auto"/>
                <w:kern w:val="0"/>
                <w:sz w:val="24"/>
              </w:rPr>
            </w:pPr>
          </w:p>
        </w:tc>
        <w:tc>
          <w:tcPr>
            <w:tcW w:w="770" w:type="dxa"/>
          </w:tcPr>
          <w:p w14:paraId="0257A4CD">
            <w:pPr>
              <w:autoSpaceDE w:val="0"/>
              <w:autoSpaceDN w:val="0"/>
              <w:adjustRightInd w:val="0"/>
              <w:snapToGrid w:val="0"/>
              <w:jc w:val="left"/>
              <w:rPr>
                <w:rFonts w:ascii="宋体" w:hAnsi="宋体"/>
                <w:color w:val="auto"/>
                <w:kern w:val="0"/>
                <w:sz w:val="24"/>
              </w:rPr>
            </w:pPr>
          </w:p>
        </w:tc>
      </w:tr>
      <w:tr w14:paraId="1FB573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46D3245">
            <w:pPr>
              <w:autoSpaceDE w:val="0"/>
              <w:autoSpaceDN w:val="0"/>
              <w:adjustRightInd w:val="0"/>
              <w:snapToGrid w:val="0"/>
              <w:jc w:val="left"/>
              <w:rPr>
                <w:rFonts w:ascii="宋体" w:hAnsi="宋体"/>
                <w:color w:val="auto"/>
                <w:kern w:val="0"/>
                <w:sz w:val="24"/>
              </w:rPr>
            </w:pPr>
          </w:p>
        </w:tc>
        <w:tc>
          <w:tcPr>
            <w:tcW w:w="1219" w:type="dxa"/>
          </w:tcPr>
          <w:p w14:paraId="7A17D367">
            <w:pPr>
              <w:autoSpaceDE w:val="0"/>
              <w:autoSpaceDN w:val="0"/>
              <w:adjustRightInd w:val="0"/>
              <w:snapToGrid w:val="0"/>
              <w:jc w:val="left"/>
              <w:rPr>
                <w:rFonts w:ascii="宋体" w:hAnsi="宋体"/>
                <w:color w:val="auto"/>
                <w:kern w:val="0"/>
                <w:sz w:val="24"/>
              </w:rPr>
            </w:pPr>
          </w:p>
        </w:tc>
        <w:tc>
          <w:tcPr>
            <w:tcW w:w="852" w:type="dxa"/>
          </w:tcPr>
          <w:p w14:paraId="7C389698">
            <w:pPr>
              <w:autoSpaceDE w:val="0"/>
              <w:autoSpaceDN w:val="0"/>
              <w:adjustRightInd w:val="0"/>
              <w:snapToGrid w:val="0"/>
              <w:jc w:val="left"/>
              <w:rPr>
                <w:rFonts w:ascii="宋体" w:hAnsi="宋体"/>
                <w:color w:val="auto"/>
                <w:kern w:val="0"/>
                <w:sz w:val="24"/>
              </w:rPr>
            </w:pPr>
          </w:p>
        </w:tc>
        <w:tc>
          <w:tcPr>
            <w:tcW w:w="1111" w:type="dxa"/>
          </w:tcPr>
          <w:p w14:paraId="213215B4">
            <w:pPr>
              <w:autoSpaceDE w:val="0"/>
              <w:autoSpaceDN w:val="0"/>
              <w:adjustRightInd w:val="0"/>
              <w:snapToGrid w:val="0"/>
              <w:jc w:val="left"/>
              <w:rPr>
                <w:rFonts w:ascii="宋体" w:hAnsi="宋体"/>
                <w:color w:val="auto"/>
                <w:kern w:val="0"/>
                <w:sz w:val="24"/>
              </w:rPr>
            </w:pPr>
          </w:p>
        </w:tc>
        <w:tc>
          <w:tcPr>
            <w:tcW w:w="754" w:type="dxa"/>
          </w:tcPr>
          <w:p w14:paraId="38EFC756">
            <w:pPr>
              <w:autoSpaceDE w:val="0"/>
              <w:autoSpaceDN w:val="0"/>
              <w:adjustRightInd w:val="0"/>
              <w:snapToGrid w:val="0"/>
              <w:jc w:val="left"/>
              <w:rPr>
                <w:rFonts w:ascii="宋体" w:hAnsi="宋体"/>
                <w:color w:val="auto"/>
                <w:kern w:val="0"/>
                <w:sz w:val="24"/>
              </w:rPr>
            </w:pPr>
          </w:p>
        </w:tc>
        <w:tc>
          <w:tcPr>
            <w:tcW w:w="827" w:type="dxa"/>
          </w:tcPr>
          <w:p w14:paraId="7BE0AD3A">
            <w:pPr>
              <w:autoSpaceDE w:val="0"/>
              <w:autoSpaceDN w:val="0"/>
              <w:adjustRightInd w:val="0"/>
              <w:snapToGrid w:val="0"/>
              <w:jc w:val="left"/>
              <w:rPr>
                <w:rFonts w:ascii="宋体" w:hAnsi="宋体"/>
                <w:color w:val="auto"/>
                <w:kern w:val="0"/>
                <w:sz w:val="24"/>
              </w:rPr>
            </w:pPr>
          </w:p>
        </w:tc>
        <w:tc>
          <w:tcPr>
            <w:tcW w:w="1359" w:type="dxa"/>
          </w:tcPr>
          <w:p w14:paraId="407A5940">
            <w:pPr>
              <w:autoSpaceDE w:val="0"/>
              <w:autoSpaceDN w:val="0"/>
              <w:adjustRightInd w:val="0"/>
              <w:snapToGrid w:val="0"/>
              <w:jc w:val="left"/>
              <w:rPr>
                <w:rFonts w:ascii="宋体" w:hAnsi="宋体"/>
                <w:color w:val="auto"/>
                <w:kern w:val="0"/>
                <w:sz w:val="24"/>
              </w:rPr>
            </w:pPr>
          </w:p>
        </w:tc>
        <w:tc>
          <w:tcPr>
            <w:tcW w:w="1855" w:type="dxa"/>
          </w:tcPr>
          <w:p w14:paraId="147479E4">
            <w:pPr>
              <w:autoSpaceDE w:val="0"/>
              <w:autoSpaceDN w:val="0"/>
              <w:adjustRightInd w:val="0"/>
              <w:snapToGrid w:val="0"/>
              <w:jc w:val="left"/>
              <w:rPr>
                <w:rFonts w:ascii="宋体" w:hAnsi="宋体"/>
                <w:color w:val="auto"/>
                <w:kern w:val="0"/>
                <w:sz w:val="24"/>
              </w:rPr>
            </w:pPr>
          </w:p>
        </w:tc>
        <w:tc>
          <w:tcPr>
            <w:tcW w:w="770" w:type="dxa"/>
          </w:tcPr>
          <w:p w14:paraId="35A71B5C">
            <w:pPr>
              <w:autoSpaceDE w:val="0"/>
              <w:autoSpaceDN w:val="0"/>
              <w:adjustRightInd w:val="0"/>
              <w:snapToGrid w:val="0"/>
              <w:jc w:val="left"/>
              <w:rPr>
                <w:rFonts w:ascii="宋体" w:hAnsi="宋体"/>
                <w:color w:val="auto"/>
                <w:kern w:val="0"/>
                <w:sz w:val="24"/>
              </w:rPr>
            </w:pPr>
          </w:p>
        </w:tc>
      </w:tr>
      <w:tr w14:paraId="4E5287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FE292B5">
            <w:pPr>
              <w:autoSpaceDE w:val="0"/>
              <w:autoSpaceDN w:val="0"/>
              <w:adjustRightInd w:val="0"/>
              <w:snapToGrid w:val="0"/>
              <w:jc w:val="left"/>
              <w:rPr>
                <w:rFonts w:ascii="宋体" w:hAnsi="宋体"/>
                <w:color w:val="auto"/>
                <w:kern w:val="0"/>
                <w:sz w:val="24"/>
              </w:rPr>
            </w:pPr>
          </w:p>
        </w:tc>
        <w:tc>
          <w:tcPr>
            <w:tcW w:w="1219" w:type="dxa"/>
          </w:tcPr>
          <w:p w14:paraId="2FD7B9D9">
            <w:pPr>
              <w:autoSpaceDE w:val="0"/>
              <w:autoSpaceDN w:val="0"/>
              <w:adjustRightInd w:val="0"/>
              <w:snapToGrid w:val="0"/>
              <w:jc w:val="left"/>
              <w:rPr>
                <w:rFonts w:ascii="宋体" w:hAnsi="宋体"/>
                <w:color w:val="auto"/>
                <w:kern w:val="0"/>
                <w:sz w:val="24"/>
              </w:rPr>
            </w:pPr>
          </w:p>
        </w:tc>
        <w:tc>
          <w:tcPr>
            <w:tcW w:w="852" w:type="dxa"/>
          </w:tcPr>
          <w:p w14:paraId="73CB4C61">
            <w:pPr>
              <w:autoSpaceDE w:val="0"/>
              <w:autoSpaceDN w:val="0"/>
              <w:adjustRightInd w:val="0"/>
              <w:snapToGrid w:val="0"/>
              <w:jc w:val="left"/>
              <w:rPr>
                <w:rFonts w:ascii="宋体" w:hAnsi="宋体"/>
                <w:color w:val="auto"/>
                <w:kern w:val="0"/>
                <w:sz w:val="24"/>
              </w:rPr>
            </w:pPr>
          </w:p>
        </w:tc>
        <w:tc>
          <w:tcPr>
            <w:tcW w:w="1111" w:type="dxa"/>
          </w:tcPr>
          <w:p w14:paraId="179CCEB3">
            <w:pPr>
              <w:autoSpaceDE w:val="0"/>
              <w:autoSpaceDN w:val="0"/>
              <w:adjustRightInd w:val="0"/>
              <w:snapToGrid w:val="0"/>
              <w:jc w:val="left"/>
              <w:rPr>
                <w:rFonts w:ascii="宋体" w:hAnsi="宋体"/>
                <w:color w:val="auto"/>
                <w:kern w:val="0"/>
                <w:sz w:val="24"/>
              </w:rPr>
            </w:pPr>
          </w:p>
        </w:tc>
        <w:tc>
          <w:tcPr>
            <w:tcW w:w="754" w:type="dxa"/>
          </w:tcPr>
          <w:p w14:paraId="1A429E33">
            <w:pPr>
              <w:autoSpaceDE w:val="0"/>
              <w:autoSpaceDN w:val="0"/>
              <w:adjustRightInd w:val="0"/>
              <w:snapToGrid w:val="0"/>
              <w:jc w:val="left"/>
              <w:rPr>
                <w:rFonts w:ascii="宋体" w:hAnsi="宋体"/>
                <w:color w:val="auto"/>
                <w:kern w:val="0"/>
                <w:sz w:val="24"/>
              </w:rPr>
            </w:pPr>
          </w:p>
        </w:tc>
        <w:tc>
          <w:tcPr>
            <w:tcW w:w="827" w:type="dxa"/>
          </w:tcPr>
          <w:p w14:paraId="6FA4F2F2">
            <w:pPr>
              <w:autoSpaceDE w:val="0"/>
              <w:autoSpaceDN w:val="0"/>
              <w:adjustRightInd w:val="0"/>
              <w:snapToGrid w:val="0"/>
              <w:jc w:val="left"/>
              <w:rPr>
                <w:rFonts w:ascii="宋体" w:hAnsi="宋体"/>
                <w:color w:val="auto"/>
                <w:kern w:val="0"/>
                <w:sz w:val="24"/>
              </w:rPr>
            </w:pPr>
          </w:p>
        </w:tc>
        <w:tc>
          <w:tcPr>
            <w:tcW w:w="1359" w:type="dxa"/>
          </w:tcPr>
          <w:p w14:paraId="39268DA0">
            <w:pPr>
              <w:autoSpaceDE w:val="0"/>
              <w:autoSpaceDN w:val="0"/>
              <w:adjustRightInd w:val="0"/>
              <w:snapToGrid w:val="0"/>
              <w:jc w:val="left"/>
              <w:rPr>
                <w:rFonts w:ascii="宋体" w:hAnsi="宋体"/>
                <w:color w:val="auto"/>
                <w:kern w:val="0"/>
                <w:sz w:val="24"/>
              </w:rPr>
            </w:pPr>
          </w:p>
        </w:tc>
        <w:tc>
          <w:tcPr>
            <w:tcW w:w="1855" w:type="dxa"/>
          </w:tcPr>
          <w:p w14:paraId="0A4651E4">
            <w:pPr>
              <w:autoSpaceDE w:val="0"/>
              <w:autoSpaceDN w:val="0"/>
              <w:adjustRightInd w:val="0"/>
              <w:snapToGrid w:val="0"/>
              <w:jc w:val="left"/>
              <w:rPr>
                <w:rFonts w:ascii="宋体" w:hAnsi="宋体"/>
                <w:color w:val="auto"/>
                <w:kern w:val="0"/>
                <w:sz w:val="24"/>
              </w:rPr>
            </w:pPr>
          </w:p>
        </w:tc>
        <w:tc>
          <w:tcPr>
            <w:tcW w:w="770" w:type="dxa"/>
          </w:tcPr>
          <w:p w14:paraId="626E001F">
            <w:pPr>
              <w:autoSpaceDE w:val="0"/>
              <w:autoSpaceDN w:val="0"/>
              <w:adjustRightInd w:val="0"/>
              <w:snapToGrid w:val="0"/>
              <w:jc w:val="left"/>
              <w:rPr>
                <w:rFonts w:ascii="宋体" w:hAnsi="宋体"/>
                <w:color w:val="auto"/>
                <w:kern w:val="0"/>
                <w:sz w:val="24"/>
              </w:rPr>
            </w:pPr>
          </w:p>
        </w:tc>
      </w:tr>
      <w:tr w14:paraId="6E67DD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1729D67">
            <w:pPr>
              <w:autoSpaceDE w:val="0"/>
              <w:autoSpaceDN w:val="0"/>
              <w:adjustRightInd w:val="0"/>
              <w:snapToGrid w:val="0"/>
              <w:jc w:val="left"/>
              <w:rPr>
                <w:rFonts w:ascii="宋体" w:hAnsi="宋体"/>
                <w:color w:val="auto"/>
                <w:kern w:val="0"/>
                <w:sz w:val="24"/>
              </w:rPr>
            </w:pPr>
          </w:p>
        </w:tc>
        <w:tc>
          <w:tcPr>
            <w:tcW w:w="1219" w:type="dxa"/>
          </w:tcPr>
          <w:p w14:paraId="0F61F071">
            <w:pPr>
              <w:autoSpaceDE w:val="0"/>
              <w:autoSpaceDN w:val="0"/>
              <w:adjustRightInd w:val="0"/>
              <w:snapToGrid w:val="0"/>
              <w:jc w:val="left"/>
              <w:rPr>
                <w:rFonts w:ascii="宋体" w:hAnsi="宋体"/>
                <w:color w:val="auto"/>
                <w:kern w:val="0"/>
                <w:sz w:val="24"/>
              </w:rPr>
            </w:pPr>
          </w:p>
        </w:tc>
        <w:tc>
          <w:tcPr>
            <w:tcW w:w="852" w:type="dxa"/>
          </w:tcPr>
          <w:p w14:paraId="3AEB0D11">
            <w:pPr>
              <w:autoSpaceDE w:val="0"/>
              <w:autoSpaceDN w:val="0"/>
              <w:adjustRightInd w:val="0"/>
              <w:snapToGrid w:val="0"/>
              <w:jc w:val="left"/>
              <w:rPr>
                <w:rFonts w:ascii="宋体" w:hAnsi="宋体"/>
                <w:color w:val="auto"/>
                <w:kern w:val="0"/>
                <w:sz w:val="24"/>
              </w:rPr>
            </w:pPr>
          </w:p>
        </w:tc>
        <w:tc>
          <w:tcPr>
            <w:tcW w:w="1111" w:type="dxa"/>
          </w:tcPr>
          <w:p w14:paraId="45E0B40E">
            <w:pPr>
              <w:autoSpaceDE w:val="0"/>
              <w:autoSpaceDN w:val="0"/>
              <w:adjustRightInd w:val="0"/>
              <w:snapToGrid w:val="0"/>
              <w:jc w:val="left"/>
              <w:rPr>
                <w:rFonts w:ascii="宋体" w:hAnsi="宋体"/>
                <w:color w:val="auto"/>
                <w:kern w:val="0"/>
                <w:sz w:val="24"/>
              </w:rPr>
            </w:pPr>
          </w:p>
        </w:tc>
        <w:tc>
          <w:tcPr>
            <w:tcW w:w="754" w:type="dxa"/>
          </w:tcPr>
          <w:p w14:paraId="072D8DA4">
            <w:pPr>
              <w:autoSpaceDE w:val="0"/>
              <w:autoSpaceDN w:val="0"/>
              <w:adjustRightInd w:val="0"/>
              <w:snapToGrid w:val="0"/>
              <w:jc w:val="left"/>
              <w:rPr>
                <w:rFonts w:ascii="宋体" w:hAnsi="宋体"/>
                <w:color w:val="auto"/>
                <w:kern w:val="0"/>
                <w:sz w:val="24"/>
              </w:rPr>
            </w:pPr>
          </w:p>
        </w:tc>
        <w:tc>
          <w:tcPr>
            <w:tcW w:w="827" w:type="dxa"/>
          </w:tcPr>
          <w:p w14:paraId="18216AC2">
            <w:pPr>
              <w:autoSpaceDE w:val="0"/>
              <w:autoSpaceDN w:val="0"/>
              <w:adjustRightInd w:val="0"/>
              <w:snapToGrid w:val="0"/>
              <w:jc w:val="left"/>
              <w:rPr>
                <w:rFonts w:ascii="宋体" w:hAnsi="宋体"/>
                <w:color w:val="auto"/>
                <w:kern w:val="0"/>
                <w:sz w:val="24"/>
              </w:rPr>
            </w:pPr>
          </w:p>
        </w:tc>
        <w:tc>
          <w:tcPr>
            <w:tcW w:w="1359" w:type="dxa"/>
          </w:tcPr>
          <w:p w14:paraId="65F0A760">
            <w:pPr>
              <w:autoSpaceDE w:val="0"/>
              <w:autoSpaceDN w:val="0"/>
              <w:adjustRightInd w:val="0"/>
              <w:snapToGrid w:val="0"/>
              <w:jc w:val="left"/>
              <w:rPr>
                <w:rFonts w:ascii="宋体" w:hAnsi="宋体"/>
                <w:color w:val="auto"/>
                <w:kern w:val="0"/>
                <w:sz w:val="24"/>
              </w:rPr>
            </w:pPr>
          </w:p>
        </w:tc>
        <w:tc>
          <w:tcPr>
            <w:tcW w:w="1855" w:type="dxa"/>
          </w:tcPr>
          <w:p w14:paraId="1DC6CBF6">
            <w:pPr>
              <w:autoSpaceDE w:val="0"/>
              <w:autoSpaceDN w:val="0"/>
              <w:adjustRightInd w:val="0"/>
              <w:snapToGrid w:val="0"/>
              <w:jc w:val="left"/>
              <w:rPr>
                <w:rFonts w:ascii="宋体" w:hAnsi="宋体"/>
                <w:color w:val="auto"/>
                <w:kern w:val="0"/>
                <w:sz w:val="24"/>
              </w:rPr>
            </w:pPr>
          </w:p>
        </w:tc>
        <w:tc>
          <w:tcPr>
            <w:tcW w:w="770" w:type="dxa"/>
          </w:tcPr>
          <w:p w14:paraId="15E6FF6D">
            <w:pPr>
              <w:autoSpaceDE w:val="0"/>
              <w:autoSpaceDN w:val="0"/>
              <w:adjustRightInd w:val="0"/>
              <w:snapToGrid w:val="0"/>
              <w:jc w:val="left"/>
              <w:rPr>
                <w:rFonts w:ascii="宋体" w:hAnsi="宋体"/>
                <w:color w:val="auto"/>
                <w:kern w:val="0"/>
                <w:sz w:val="24"/>
              </w:rPr>
            </w:pPr>
          </w:p>
        </w:tc>
      </w:tr>
      <w:tr w14:paraId="1311D6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8495702">
            <w:pPr>
              <w:autoSpaceDE w:val="0"/>
              <w:autoSpaceDN w:val="0"/>
              <w:adjustRightInd w:val="0"/>
              <w:snapToGrid w:val="0"/>
              <w:jc w:val="left"/>
              <w:rPr>
                <w:rFonts w:ascii="宋体" w:hAnsi="宋体"/>
                <w:color w:val="auto"/>
                <w:kern w:val="0"/>
                <w:sz w:val="24"/>
              </w:rPr>
            </w:pPr>
          </w:p>
        </w:tc>
        <w:tc>
          <w:tcPr>
            <w:tcW w:w="1219" w:type="dxa"/>
          </w:tcPr>
          <w:p w14:paraId="79C92954">
            <w:pPr>
              <w:autoSpaceDE w:val="0"/>
              <w:autoSpaceDN w:val="0"/>
              <w:adjustRightInd w:val="0"/>
              <w:snapToGrid w:val="0"/>
              <w:jc w:val="left"/>
              <w:rPr>
                <w:rFonts w:ascii="宋体" w:hAnsi="宋体"/>
                <w:color w:val="auto"/>
                <w:kern w:val="0"/>
                <w:sz w:val="24"/>
              </w:rPr>
            </w:pPr>
          </w:p>
        </w:tc>
        <w:tc>
          <w:tcPr>
            <w:tcW w:w="852" w:type="dxa"/>
          </w:tcPr>
          <w:p w14:paraId="7132306A">
            <w:pPr>
              <w:autoSpaceDE w:val="0"/>
              <w:autoSpaceDN w:val="0"/>
              <w:adjustRightInd w:val="0"/>
              <w:snapToGrid w:val="0"/>
              <w:jc w:val="left"/>
              <w:rPr>
                <w:rFonts w:ascii="宋体" w:hAnsi="宋体"/>
                <w:color w:val="auto"/>
                <w:kern w:val="0"/>
                <w:sz w:val="24"/>
              </w:rPr>
            </w:pPr>
          </w:p>
        </w:tc>
        <w:tc>
          <w:tcPr>
            <w:tcW w:w="1111" w:type="dxa"/>
          </w:tcPr>
          <w:p w14:paraId="4643E005">
            <w:pPr>
              <w:autoSpaceDE w:val="0"/>
              <w:autoSpaceDN w:val="0"/>
              <w:adjustRightInd w:val="0"/>
              <w:snapToGrid w:val="0"/>
              <w:jc w:val="left"/>
              <w:rPr>
                <w:rFonts w:ascii="宋体" w:hAnsi="宋体"/>
                <w:color w:val="auto"/>
                <w:kern w:val="0"/>
                <w:sz w:val="24"/>
              </w:rPr>
            </w:pPr>
          </w:p>
        </w:tc>
        <w:tc>
          <w:tcPr>
            <w:tcW w:w="754" w:type="dxa"/>
          </w:tcPr>
          <w:p w14:paraId="729BD6FB">
            <w:pPr>
              <w:autoSpaceDE w:val="0"/>
              <w:autoSpaceDN w:val="0"/>
              <w:adjustRightInd w:val="0"/>
              <w:snapToGrid w:val="0"/>
              <w:jc w:val="left"/>
              <w:rPr>
                <w:rFonts w:ascii="宋体" w:hAnsi="宋体"/>
                <w:color w:val="auto"/>
                <w:kern w:val="0"/>
                <w:sz w:val="24"/>
              </w:rPr>
            </w:pPr>
          </w:p>
        </w:tc>
        <w:tc>
          <w:tcPr>
            <w:tcW w:w="827" w:type="dxa"/>
          </w:tcPr>
          <w:p w14:paraId="5998366F">
            <w:pPr>
              <w:autoSpaceDE w:val="0"/>
              <w:autoSpaceDN w:val="0"/>
              <w:adjustRightInd w:val="0"/>
              <w:snapToGrid w:val="0"/>
              <w:jc w:val="left"/>
              <w:rPr>
                <w:rFonts w:ascii="宋体" w:hAnsi="宋体"/>
                <w:color w:val="auto"/>
                <w:kern w:val="0"/>
                <w:sz w:val="24"/>
              </w:rPr>
            </w:pPr>
          </w:p>
        </w:tc>
        <w:tc>
          <w:tcPr>
            <w:tcW w:w="1359" w:type="dxa"/>
          </w:tcPr>
          <w:p w14:paraId="491D688A">
            <w:pPr>
              <w:autoSpaceDE w:val="0"/>
              <w:autoSpaceDN w:val="0"/>
              <w:adjustRightInd w:val="0"/>
              <w:snapToGrid w:val="0"/>
              <w:jc w:val="left"/>
              <w:rPr>
                <w:rFonts w:ascii="宋体" w:hAnsi="宋体"/>
                <w:color w:val="auto"/>
                <w:kern w:val="0"/>
                <w:sz w:val="24"/>
              </w:rPr>
            </w:pPr>
          </w:p>
        </w:tc>
        <w:tc>
          <w:tcPr>
            <w:tcW w:w="1855" w:type="dxa"/>
          </w:tcPr>
          <w:p w14:paraId="4C5E4005">
            <w:pPr>
              <w:autoSpaceDE w:val="0"/>
              <w:autoSpaceDN w:val="0"/>
              <w:adjustRightInd w:val="0"/>
              <w:snapToGrid w:val="0"/>
              <w:jc w:val="left"/>
              <w:rPr>
                <w:rFonts w:ascii="宋体" w:hAnsi="宋体"/>
                <w:color w:val="auto"/>
                <w:kern w:val="0"/>
                <w:sz w:val="24"/>
              </w:rPr>
            </w:pPr>
          </w:p>
        </w:tc>
        <w:tc>
          <w:tcPr>
            <w:tcW w:w="770" w:type="dxa"/>
          </w:tcPr>
          <w:p w14:paraId="21EDE7E6">
            <w:pPr>
              <w:autoSpaceDE w:val="0"/>
              <w:autoSpaceDN w:val="0"/>
              <w:adjustRightInd w:val="0"/>
              <w:snapToGrid w:val="0"/>
              <w:jc w:val="left"/>
              <w:rPr>
                <w:rFonts w:ascii="宋体" w:hAnsi="宋体"/>
                <w:color w:val="auto"/>
                <w:kern w:val="0"/>
                <w:sz w:val="24"/>
              </w:rPr>
            </w:pPr>
          </w:p>
        </w:tc>
      </w:tr>
      <w:tr w14:paraId="11004B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87E1C44">
            <w:pPr>
              <w:autoSpaceDE w:val="0"/>
              <w:autoSpaceDN w:val="0"/>
              <w:adjustRightInd w:val="0"/>
              <w:snapToGrid w:val="0"/>
              <w:jc w:val="left"/>
              <w:rPr>
                <w:rFonts w:ascii="宋体" w:hAnsi="宋体"/>
                <w:color w:val="auto"/>
                <w:kern w:val="0"/>
                <w:sz w:val="24"/>
              </w:rPr>
            </w:pPr>
          </w:p>
        </w:tc>
        <w:tc>
          <w:tcPr>
            <w:tcW w:w="1219" w:type="dxa"/>
          </w:tcPr>
          <w:p w14:paraId="50D53DA6">
            <w:pPr>
              <w:autoSpaceDE w:val="0"/>
              <w:autoSpaceDN w:val="0"/>
              <w:adjustRightInd w:val="0"/>
              <w:snapToGrid w:val="0"/>
              <w:jc w:val="left"/>
              <w:rPr>
                <w:rFonts w:ascii="宋体" w:hAnsi="宋体"/>
                <w:color w:val="auto"/>
                <w:kern w:val="0"/>
                <w:sz w:val="24"/>
              </w:rPr>
            </w:pPr>
          </w:p>
        </w:tc>
        <w:tc>
          <w:tcPr>
            <w:tcW w:w="852" w:type="dxa"/>
          </w:tcPr>
          <w:p w14:paraId="48BF8AD9">
            <w:pPr>
              <w:autoSpaceDE w:val="0"/>
              <w:autoSpaceDN w:val="0"/>
              <w:adjustRightInd w:val="0"/>
              <w:snapToGrid w:val="0"/>
              <w:jc w:val="left"/>
              <w:rPr>
                <w:rFonts w:ascii="宋体" w:hAnsi="宋体"/>
                <w:color w:val="auto"/>
                <w:kern w:val="0"/>
                <w:sz w:val="24"/>
              </w:rPr>
            </w:pPr>
          </w:p>
        </w:tc>
        <w:tc>
          <w:tcPr>
            <w:tcW w:w="1111" w:type="dxa"/>
          </w:tcPr>
          <w:p w14:paraId="22174CA4">
            <w:pPr>
              <w:autoSpaceDE w:val="0"/>
              <w:autoSpaceDN w:val="0"/>
              <w:adjustRightInd w:val="0"/>
              <w:snapToGrid w:val="0"/>
              <w:jc w:val="left"/>
              <w:rPr>
                <w:rFonts w:ascii="宋体" w:hAnsi="宋体"/>
                <w:color w:val="auto"/>
                <w:kern w:val="0"/>
                <w:sz w:val="24"/>
              </w:rPr>
            </w:pPr>
          </w:p>
        </w:tc>
        <w:tc>
          <w:tcPr>
            <w:tcW w:w="754" w:type="dxa"/>
          </w:tcPr>
          <w:p w14:paraId="25E1AA06">
            <w:pPr>
              <w:autoSpaceDE w:val="0"/>
              <w:autoSpaceDN w:val="0"/>
              <w:adjustRightInd w:val="0"/>
              <w:snapToGrid w:val="0"/>
              <w:jc w:val="left"/>
              <w:rPr>
                <w:rFonts w:ascii="宋体" w:hAnsi="宋体"/>
                <w:color w:val="auto"/>
                <w:kern w:val="0"/>
                <w:sz w:val="24"/>
              </w:rPr>
            </w:pPr>
          </w:p>
        </w:tc>
        <w:tc>
          <w:tcPr>
            <w:tcW w:w="827" w:type="dxa"/>
          </w:tcPr>
          <w:p w14:paraId="7226744B">
            <w:pPr>
              <w:autoSpaceDE w:val="0"/>
              <w:autoSpaceDN w:val="0"/>
              <w:adjustRightInd w:val="0"/>
              <w:snapToGrid w:val="0"/>
              <w:jc w:val="left"/>
              <w:rPr>
                <w:rFonts w:ascii="宋体" w:hAnsi="宋体"/>
                <w:color w:val="auto"/>
                <w:kern w:val="0"/>
                <w:sz w:val="24"/>
              </w:rPr>
            </w:pPr>
          </w:p>
        </w:tc>
        <w:tc>
          <w:tcPr>
            <w:tcW w:w="1359" w:type="dxa"/>
          </w:tcPr>
          <w:p w14:paraId="6D7FDC2D">
            <w:pPr>
              <w:autoSpaceDE w:val="0"/>
              <w:autoSpaceDN w:val="0"/>
              <w:adjustRightInd w:val="0"/>
              <w:snapToGrid w:val="0"/>
              <w:jc w:val="left"/>
              <w:rPr>
                <w:rFonts w:ascii="宋体" w:hAnsi="宋体"/>
                <w:color w:val="auto"/>
                <w:kern w:val="0"/>
                <w:sz w:val="24"/>
              </w:rPr>
            </w:pPr>
          </w:p>
        </w:tc>
        <w:tc>
          <w:tcPr>
            <w:tcW w:w="1855" w:type="dxa"/>
          </w:tcPr>
          <w:p w14:paraId="1D85AD5D">
            <w:pPr>
              <w:autoSpaceDE w:val="0"/>
              <w:autoSpaceDN w:val="0"/>
              <w:adjustRightInd w:val="0"/>
              <w:snapToGrid w:val="0"/>
              <w:jc w:val="left"/>
              <w:rPr>
                <w:rFonts w:ascii="宋体" w:hAnsi="宋体"/>
                <w:color w:val="auto"/>
                <w:kern w:val="0"/>
                <w:sz w:val="24"/>
              </w:rPr>
            </w:pPr>
          </w:p>
        </w:tc>
        <w:tc>
          <w:tcPr>
            <w:tcW w:w="770" w:type="dxa"/>
          </w:tcPr>
          <w:p w14:paraId="2A8ECBB8">
            <w:pPr>
              <w:autoSpaceDE w:val="0"/>
              <w:autoSpaceDN w:val="0"/>
              <w:adjustRightInd w:val="0"/>
              <w:snapToGrid w:val="0"/>
              <w:jc w:val="left"/>
              <w:rPr>
                <w:rFonts w:ascii="宋体" w:hAnsi="宋体"/>
                <w:color w:val="auto"/>
                <w:kern w:val="0"/>
                <w:sz w:val="24"/>
              </w:rPr>
            </w:pPr>
          </w:p>
        </w:tc>
      </w:tr>
      <w:tr w14:paraId="3899C6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BF57FD0">
            <w:pPr>
              <w:autoSpaceDE w:val="0"/>
              <w:autoSpaceDN w:val="0"/>
              <w:adjustRightInd w:val="0"/>
              <w:snapToGrid w:val="0"/>
              <w:jc w:val="left"/>
              <w:rPr>
                <w:rFonts w:ascii="宋体" w:hAnsi="宋体"/>
                <w:color w:val="auto"/>
                <w:kern w:val="0"/>
                <w:sz w:val="24"/>
              </w:rPr>
            </w:pPr>
          </w:p>
        </w:tc>
        <w:tc>
          <w:tcPr>
            <w:tcW w:w="1219" w:type="dxa"/>
          </w:tcPr>
          <w:p w14:paraId="0408DAFD">
            <w:pPr>
              <w:autoSpaceDE w:val="0"/>
              <w:autoSpaceDN w:val="0"/>
              <w:adjustRightInd w:val="0"/>
              <w:snapToGrid w:val="0"/>
              <w:jc w:val="left"/>
              <w:rPr>
                <w:rFonts w:ascii="宋体" w:hAnsi="宋体"/>
                <w:color w:val="auto"/>
                <w:kern w:val="0"/>
                <w:sz w:val="24"/>
              </w:rPr>
            </w:pPr>
          </w:p>
        </w:tc>
        <w:tc>
          <w:tcPr>
            <w:tcW w:w="852" w:type="dxa"/>
          </w:tcPr>
          <w:p w14:paraId="55AAB93B">
            <w:pPr>
              <w:autoSpaceDE w:val="0"/>
              <w:autoSpaceDN w:val="0"/>
              <w:adjustRightInd w:val="0"/>
              <w:snapToGrid w:val="0"/>
              <w:jc w:val="left"/>
              <w:rPr>
                <w:rFonts w:ascii="宋体" w:hAnsi="宋体"/>
                <w:color w:val="auto"/>
                <w:kern w:val="0"/>
                <w:sz w:val="24"/>
              </w:rPr>
            </w:pPr>
          </w:p>
        </w:tc>
        <w:tc>
          <w:tcPr>
            <w:tcW w:w="1111" w:type="dxa"/>
          </w:tcPr>
          <w:p w14:paraId="052C59FF">
            <w:pPr>
              <w:autoSpaceDE w:val="0"/>
              <w:autoSpaceDN w:val="0"/>
              <w:adjustRightInd w:val="0"/>
              <w:snapToGrid w:val="0"/>
              <w:jc w:val="left"/>
              <w:rPr>
                <w:rFonts w:ascii="宋体" w:hAnsi="宋体"/>
                <w:color w:val="auto"/>
                <w:kern w:val="0"/>
                <w:sz w:val="24"/>
              </w:rPr>
            </w:pPr>
          </w:p>
        </w:tc>
        <w:tc>
          <w:tcPr>
            <w:tcW w:w="754" w:type="dxa"/>
          </w:tcPr>
          <w:p w14:paraId="36F683AD">
            <w:pPr>
              <w:autoSpaceDE w:val="0"/>
              <w:autoSpaceDN w:val="0"/>
              <w:adjustRightInd w:val="0"/>
              <w:snapToGrid w:val="0"/>
              <w:jc w:val="left"/>
              <w:rPr>
                <w:rFonts w:ascii="宋体" w:hAnsi="宋体"/>
                <w:color w:val="auto"/>
                <w:kern w:val="0"/>
                <w:sz w:val="24"/>
              </w:rPr>
            </w:pPr>
          </w:p>
        </w:tc>
        <w:tc>
          <w:tcPr>
            <w:tcW w:w="827" w:type="dxa"/>
          </w:tcPr>
          <w:p w14:paraId="64617603">
            <w:pPr>
              <w:autoSpaceDE w:val="0"/>
              <w:autoSpaceDN w:val="0"/>
              <w:adjustRightInd w:val="0"/>
              <w:snapToGrid w:val="0"/>
              <w:jc w:val="left"/>
              <w:rPr>
                <w:rFonts w:ascii="宋体" w:hAnsi="宋体"/>
                <w:color w:val="auto"/>
                <w:kern w:val="0"/>
                <w:sz w:val="24"/>
              </w:rPr>
            </w:pPr>
          </w:p>
        </w:tc>
        <w:tc>
          <w:tcPr>
            <w:tcW w:w="1359" w:type="dxa"/>
          </w:tcPr>
          <w:p w14:paraId="3859FFF7">
            <w:pPr>
              <w:autoSpaceDE w:val="0"/>
              <w:autoSpaceDN w:val="0"/>
              <w:adjustRightInd w:val="0"/>
              <w:snapToGrid w:val="0"/>
              <w:jc w:val="left"/>
              <w:rPr>
                <w:rFonts w:ascii="宋体" w:hAnsi="宋体"/>
                <w:color w:val="auto"/>
                <w:kern w:val="0"/>
                <w:sz w:val="24"/>
              </w:rPr>
            </w:pPr>
          </w:p>
        </w:tc>
        <w:tc>
          <w:tcPr>
            <w:tcW w:w="1855" w:type="dxa"/>
          </w:tcPr>
          <w:p w14:paraId="182FFA1C">
            <w:pPr>
              <w:autoSpaceDE w:val="0"/>
              <w:autoSpaceDN w:val="0"/>
              <w:adjustRightInd w:val="0"/>
              <w:snapToGrid w:val="0"/>
              <w:jc w:val="left"/>
              <w:rPr>
                <w:rFonts w:ascii="宋体" w:hAnsi="宋体"/>
                <w:color w:val="auto"/>
                <w:kern w:val="0"/>
                <w:sz w:val="24"/>
              </w:rPr>
            </w:pPr>
          </w:p>
        </w:tc>
        <w:tc>
          <w:tcPr>
            <w:tcW w:w="770" w:type="dxa"/>
          </w:tcPr>
          <w:p w14:paraId="07087877">
            <w:pPr>
              <w:autoSpaceDE w:val="0"/>
              <w:autoSpaceDN w:val="0"/>
              <w:adjustRightInd w:val="0"/>
              <w:snapToGrid w:val="0"/>
              <w:jc w:val="left"/>
              <w:rPr>
                <w:rFonts w:ascii="宋体" w:hAnsi="宋体"/>
                <w:color w:val="auto"/>
                <w:kern w:val="0"/>
                <w:sz w:val="24"/>
              </w:rPr>
            </w:pPr>
          </w:p>
        </w:tc>
      </w:tr>
      <w:tr w14:paraId="3E52BE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818CB90">
            <w:pPr>
              <w:autoSpaceDE w:val="0"/>
              <w:autoSpaceDN w:val="0"/>
              <w:adjustRightInd w:val="0"/>
              <w:snapToGrid w:val="0"/>
              <w:jc w:val="left"/>
              <w:rPr>
                <w:rFonts w:ascii="宋体" w:hAnsi="宋体"/>
                <w:color w:val="auto"/>
                <w:kern w:val="0"/>
                <w:sz w:val="24"/>
              </w:rPr>
            </w:pPr>
          </w:p>
        </w:tc>
        <w:tc>
          <w:tcPr>
            <w:tcW w:w="1219" w:type="dxa"/>
          </w:tcPr>
          <w:p w14:paraId="42427EEB">
            <w:pPr>
              <w:autoSpaceDE w:val="0"/>
              <w:autoSpaceDN w:val="0"/>
              <w:adjustRightInd w:val="0"/>
              <w:snapToGrid w:val="0"/>
              <w:jc w:val="left"/>
              <w:rPr>
                <w:rFonts w:ascii="宋体" w:hAnsi="宋体"/>
                <w:color w:val="auto"/>
                <w:kern w:val="0"/>
                <w:sz w:val="24"/>
              </w:rPr>
            </w:pPr>
          </w:p>
        </w:tc>
        <w:tc>
          <w:tcPr>
            <w:tcW w:w="852" w:type="dxa"/>
          </w:tcPr>
          <w:p w14:paraId="7638CFA9">
            <w:pPr>
              <w:autoSpaceDE w:val="0"/>
              <w:autoSpaceDN w:val="0"/>
              <w:adjustRightInd w:val="0"/>
              <w:snapToGrid w:val="0"/>
              <w:jc w:val="left"/>
              <w:rPr>
                <w:rFonts w:ascii="宋体" w:hAnsi="宋体"/>
                <w:color w:val="auto"/>
                <w:kern w:val="0"/>
                <w:sz w:val="24"/>
              </w:rPr>
            </w:pPr>
          </w:p>
        </w:tc>
        <w:tc>
          <w:tcPr>
            <w:tcW w:w="1111" w:type="dxa"/>
          </w:tcPr>
          <w:p w14:paraId="2033183C">
            <w:pPr>
              <w:autoSpaceDE w:val="0"/>
              <w:autoSpaceDN w:val="0"/>
              <w:adjustRightInd w:val="0"/>
              <w:snapToGrid w:val="0"/>
              <w:jc w:val="left"/>
              <w:rPr>
                <w:rFonts w:ascii="宋体" w:hAnsi="宋体"/>
                <w:color w:val="auto"/>
                <w:kern w:val="0"/>
                <w:sz w:val="24"/>
              </w:rPr>
            </w:pPr>
          </w:p>
        </w:tc>
        <w:tc>
          <w:tcPr>
            <w:tcW w:w="754" w:type="dxa"/>
          </w:tcPr>
          <w:p w14:paraId="01488740">
            <w:pPr>
              <w:autoSpaceDE w:val="0"/>
              <w:autoSpaceDN w:val="0"/>
              <w:adjustRightInd w:val="0"/>
              <w:snapToGrid w:val="0"/>
              <w:jc w:val="left"/>
              <w:rPr>
                <w:rFonts w:ascii="宋体" w:hAnsi="宋体"/>
                <w:color w:val="auto"/>
                <w:kern w:val="0"/>
                <w:sz w:val="24"/>
              </w:rPr>
            </w:pPr>
          </w:p>
        </w:tc>
        <w:tc>
          <w:tcPr>
            <w:tcW w:w="827" w:type="dxa"/>
          </w:tcPr>
          <w:p w14:paraId="68A76504">
            <w:pPr>
              <w:autoSpaceDE w:val="0"/>
              <w:autoSpaceDN w:val="0"/>
              <w:adjustRightInd w:val="0"/>
              <w:snapToGrid w:val="0"/>
              <w:jc w:val="left"/>
              <w:rPr>
                <w:rFonts w:ascii="宋体" w:hAnsi="宋体"/>
                <w:color w:val="auto"/>
                <w:kern w:val="0"/>
                <w:sz w:val="24"/>
              </w:rPr>
            </w:pPr>
          </w:p>
        </w:tc>
        <w:tc>
          <w:tcPr>
            <w:tcW w:w="1359" w:type="dxa"/>
          </w:tcPr>
          <w:p w14:paraId="15953F8B">
            <w:pPr>
              <w:autoSpaceDE w:val="0"/>
              <w:autoSpaceDN w:val="0"/>
              <w:adjustRightInd w:val="0"/>
              <w:snapToGrid w:val="0"/>
              <w:jc w:val="left"/>
              <w:rPr>
                <w:rFonts w:ascii="宋体" w:hAnsi="宋体"/>
                <w:color w:val="auto"/>
                <w:kern w:val="0"/>
                <w:sz w:val="24"/>
              </w:rPr>
            </w:pPr>
          </w:p>
        </w:tc>
        <w:tc>
          <w:tcPr>
            <w:tcW w:w="1855" w:type="dxa"/>
          </w:tcPr>
          <w:p w14:paraId="5C4AABE9">
            <w:pPr>
              <w:autoSpaceDE w:val="0"/>
              <w:autoSpaceDN w:val="0"/>
              <w:adjustRightInd w:val="0"/>
              <w:snapToGrid w:val="0"/>
              <w:jc w:val="left"/>
              <w:rPr>
                <w:rFonts w:ascii="宋体" w:hAnsi="宋体"/>
                <w:color w:val="auto"/>
                <w:kern w:val="0"/>
                <w:sz w:val="24"/>
              </w:rPr>
            </w:pPr>
          </w:p>
        </w:tc>
        <w:tc>
          <w:tcPr>
            <w:tcW w:w="770" w:type="dxa"/>
          </w:tcPr>
          <w:p w14:paraId="07C9E887">
            <w:pPr>
              <w:autoSpaceDE w:val="0"/>
              <w:autoSpaceDN w:val="0"/>
              <w:adjustRightInd w:val="0"/>
              <w:snapToGrid w:val="0"/>
              <w:jc w:val="left"/>
              <w:rPr>
                <w:rFonts w:ascii="宋体" w:hAnsi="宋体"/>
                <w:color w:val="auto"/>
                <w:kern w:val="0"/>
                <w:sz w:val="24"/>
              </w:rPr>
            </w:pPr>
          </w:p>
        </w:tc>
      </w:tr>
      <w:tr w14:paraId="5A245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ECE3B24">
            <w:pPr>
              <w:autoSpaceDE w:val="0"/>
              <w:autoSpaceDN w:val="0"/>
              <w:adjustRightInd w:val="0"/>
              <w:snapToGrid w:val="0"/>
              <w:jc w:val="left"/>
              <w:rPr>
                <w:rFonts w:ascii="宋体" w:hAnsi="宋体"/>
                <w:color w:val="auto"/>
                <w:kern w:val="0"/>
                <w:sz w:val="24"/>
              </w:rPr>
            </w:pPr>
          </w:p>
        </w:tc>
        <w:tc>
          <w:tcPr>
            <w:tcW w:w="1219" w:type="dxa"/>
          </w:tcPr>
          <w:p w14:paraId="5B592868">
            <w:pPr>
              <w:autoSpaceDE w:val="0"/>
              <w:autoSpaceDN w:val="0"/>
              <w:adjustRightInd w:val="0"/>
              <w:snapToGrid w:val="0"/>
              <w:jc w:val="left"/>
              <w:rPr>
                <w:rFonts w:ascii="宋体" w:hAnsi="宋体"/>
                <w:color w:val="auto"/>
                <w:kern w:val="0"/>
                <w:sz w:val="24"/>
              </w:rPr>
            </w:pPr>
          </w:p>
        </w:tc>
        <w:tc>
          <w:tcPr>
            <w:tcW w:w="852" w:type="dxa"/>
          </w:tcPr>
          <w:p w14:paraId="68BABE5E">
            <w:pPr>
              <w:autoSpaceDE w:val="0"/>
              <w:autoSpaceDN w:val="0"/>
              <w:adjustRightInd w:val="0"/>
              <w:snapToGrid w:val="0"/>
              <w:jc w:val="left"/>
              <w:rPr>
                <w:rFonts w:ascii="宋体" w:hAnsi="宋体"/>
                <w:color w:val="auto"/>
                <w:kern w:val="0"/>
                <w:sz w:val="24"/>
              </w:rPr>
            </w:pPr>
          </w:p>
        </w:tc>
        <w:tc>
          <w:tcPr>
            <w:tcW w:w="1111" w:type="dxa"/>
          </w:tcPr>
          <w:p w14:paraId="7AC68A2A">
            <w:pPr>
              <w:autoSpaceDE w:val="0"/>
              <w:autoSpaceDN w:val="0"/>
              <w:adjustRightInd w:val="0"/>
              <w:snapToGrid w:val="0"/>
              <w:jc w:val="left"/>
              <w:rPr>
                <w:rFonts w:ascii="宋体" w:hAnsi="宋体"/>
                <w:color w:val="auto"/>
                <w:kern w:val="0"/>
                <w:sz w:val="24"/>
              </w:rPr>
            </w:pPr>
          </w:p>
        </w:tc>
        <w:tc>
          <w:tcPr>
            <w:tcW w:w="754" w:type="dxa"/>
          </w:tcPr>
          <w:p w14:paraId="293723D1">
            <w:pPr>
              <w:autoSpaceDE w:val="0"/>
              <w:autoSpaceDN w:val="0"/>
              <w:adjustRightInd w:val="0"/>
              <w:snapToGrid w:val="0"/>
              <w:jc w:val="left"/>
              <w:rPr>
                <w:rFonts w:ascii="宋体" w:hAnsi="宋体"/>
                <w:color w:val="auto"/>
                <w:kern w:val="0"/>
                <w:sz w:val="24"/>
              </w:rPr>
            </w:pPr>
          </w:p>
        </w:tc>
        <w:tc>
          <w:tcPr>
            <w:tcW w:w="827" w:type="dxa"/>
          </w:tcPr>
          <w:p w14:paraId="79569753">
            <w:pPr>
              <w:autoSpaceDE w:val="0"/>
              <w:autoSpaceDN w:val="0"/>
              <w:adjustRightInd w:val="0"/>
              <w:snapToGrid w:val="0"/>
              <w:jc w:val="left"/>
              <w:rPr>
                <w:rFonts w:ascii="宋体" w:hAnsi="宋体"/>
                <w:color w:val="auto"/>
                <w:kern w:val="0"/>
                <w:sz w:val="24"/>
              </w:rPr>
            </w:pPr>
          </w:p>
        </w:tc>
        <w:tc>
          <w:tcPr>
            <w:tcW w:w="1359" w:type="dxa"/>
          </w:tcPr>
          <w:p w14:paraId="2D48C998">
            <w:pPr>
              <w:autoSpaceDE w:val="0"/>
              <w:autoSpaceDN w:val="0"/>
              <w:adjustRightInd w:val="0"/>
              <w:snapToGrid w:val="0"/>
              <w:jc w:val="left"/>
              <w:rPr>
                <w:rFonts w:ascii="宋体" w:hAnsi="宋体"/>
                <w:color w:val="auto"/>
                <w:kern w:val="0"/>
                <w:sz w:val="24"/>
              </w:rPr>
            </w:pPr>
          </w:p>
        </w:tc>
        <w:tc>
          <w:tcPr>
            <w:tcW w:w="1855" w:type="dxa"/>
          </w:tcPr>
          <w:p w14:paraId="2FB3C9CB">
            <w:pPr>
              <w:autoSpaceDE w:val="0"/>
              <w:autoSpaceDN w:val="0"/>
              <w:adjustRightInd w:val="0"/>
              <w:snapToGrid w:val="0"/>
              <w:jc w:val="left"/>
              <w:rPr>
                <w:rFonts w:ascii="宋体" w:hAnsi="宋体"/>
                <w:color w:val="auto"/>
                <w:kern w:val="0"/>
                <w:sz w:val="24"/>
              </w:rPr>
            </w:pPr>
          </w:p>
        </w:tc>
        <w:tc>
          <w:tcPr>
            <w:tcW w:w="770" w:type="dxa"/>
          </w:tcPr>
          <w:p w14:paraId="00C85429">
            <w:pPr>
              <w:autoSpaceDE w:val="0"/>
              <w:autoSpaceDN w:val="0"/>
              <w:adjustRightInd w:val="0"/>
              <w:snapToGrid w:val="0"/>
              <w:jc w:val="left"/>
              <w:rPr>
                <w:rFonts w:ascii="宋体" w:hAnsi="宋体"/>
                <w:color w:val="auto"/>
                <w:kern w:val="0"/>
                <w:sz w:val="24"/>
              </w:rPr>
            </w:pPr>
          </w:p>
        </w:tc>
      </w:tr>
      <w:tr w14:paraId="0DA960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AADD276">
            <w:pPr>
              <w:autoSpaceDE w:val="0"/>
              <w:autoSpaceDN w:val="0"/>
              <w:adjustRightInd w:val="0"/>
              <w:snapToGrid w:val="0"/>
              <w:jc w:val="left"/>
              <w:rPr>
                <w:rFonts w:ascii="宋体" w:hAnsi="宋体"/>
                <w:color w:val="auto"/>
                <w:kern w:val="0"/>
                <w:sz w:val="24"/>
              </w:rPr>
            </w:pPr>
          </w:p>
        </w:tc>
        <w:tc>
          <w:tcPr>
            <w:tcW w:w="1219" w:type="dxa"/>
          </w:tcPr>
          <w:p w14:paraId="50E66831">
            <w:pPr>
              <w:autoSpaceDE w:val="0"/>
              <w:autoSpaceDN w:val="0"/>
              <w:adjustRightInd w:val="0"/>
              <w:snapToGrid w:val="0"/>
              <w:jc w:val="left"/>
              <w:rPr>
                <w:rFonts w:ascii="宋体" w:hAnsi="宋体"/>
                <w:color w:val="auto"/>
                <w:kern w:val="0"/>
                <w:sz w:val="24"/>
              </w:rPr>
            </w:pPr>
          </w:p>
        </w:tc>
        <w:tc>
          <w:tcPr>
            <w:tcW w:w="852" w:type="dxa"/>
          </w:tcPr>
          <w:p w14:paraId="04D8DC8A">
            <w:pPr>
              <w:autoSpaceDE w:val="0"/>
              <w:autoSpaceDN w:val="0"/>
              <w:adjustRightInd w:val="0"/>
              <w:snapToGrid w:val="0"/>
              <w:jc w:val="left"/>
              <w:rPr>
                <w:rFonts w:ascii="宋体" w:hAnsi="宋体"/>
                <w:color w:val="auto"/>
                <w:kern w:val="0"/>
                <w:sz w:val="24"/>
              </w:rPr>
            </w:pPr>
          </w:p>
        </w:tc>
        <w:tc>
          <w:tcPr>
            <w:tcW w:w="1111" w:type="dxa"/>
          </w:tcPr>
          <w:p w14:paraId="7FF0673E">
            <w:pPr>
              <w:autoSpaceDE w:val="0"/>
              <w:autoSpaceDN w:val="0"/>
              <w:adjustRightInd w:val="0"/>
              <w:snapToGrid w:val="0"/>
              <w:jc w:val="left"/>
              <w:rPr>
                <w:rFonts w:ascii="宋体" w:hAnsi="宋体"/>
                <w:color w:val="auto"/>
                <w:kern w:val="0"/>
                <w:sz w:val="24"/>
              </w:rPr>
            </w:pPr>
          </w:p>
        </w:tc>
        <w:tc>
          <w:tcPr>
            <w:tcW w:w="754" w:type="dxa"/>
          </w:tcPr>
          <w:p w14:paraId="63AD0B9B">
            <w:pPr>
              <w:autoSpaceDE w:val="0"/>
              <w:autoSpaceDN w:val="0"/>
              <w:adjustRightInd w:val="0"/>
              <w:snapToGrid w:val="0"/>
              <w:jc w:val="left"/>
              <w:rPr>
                <w:rFonts w:ascii="宋体" w:hAnsi="宋体"/>
                <w:color w:val="auto"/>
                <w:kern w:val="0"/>
                <w:sz w:val="24"/>
              </w:rPr>
            </w:pPr>
          </w:p>
        </w:tc>
        <w:tc>
          <w:tcPr>
            <w:tcW w:w="827" w:type="dxa"/>
          </w:tcPr>
          <w:p w14:paraId="04E2220C">
            <w:pPr>
              <w:autoSpaceDE w:val="0"/>
              <w:autoSpaceDN w:val="0"/>
              <w:adjustRightInd w:val="0"/>
              <w:snapToGrid w:val="0"/>
              <w:jc w:val="left"/>
              <w:rPr>
                <w:rFonts w:ascii="宋体" w:hAnsi="宋体"/>
                <w:color w:val="auto"/>
                <w:kern w:val="0"/>
                <w:sz w:val="24"/>
              </w:rPr>
            </w:pPr>
          </w:p>
        </w:tc>
        <w:tc>
          <w:tcPr>
            <w:tcW w:w="1359" w:type="dxa"/>
          </w:tcPr>
          <w:p w14:paraId="05C54799">
            <w:pPr>
              <w:autoSpaceDE w:val="0"/>
              <w:autoSpaceDN w:val="0"/>
              <w:adjustRightInd w:val="0"/>
              <w:snapToGrid w:val="0"/>
              <w:jc w:val="left"/>
              <w:rPr>
                <w:rFonts w:ascii="宋体" w:hAnsi="宋体"/>
                <w:color w:val="auto"/>
                <w:kern w:val="0"/>
                <w:sz w:val="24"/>
              </w:rPr>
            </w:pPr>
          </w:p>
        </w:tc>
        <w:tc>
          <w:tcPr>
            <w:tcW w:w="1855" w:type="dxa"/>
          </w:tcPr>
          <w:p w14:paraId="21329B58">
            <w:pPr>
              <w:autoSpaceDE w:val="0"/>
              <w:autoSpaceDN w:val="0"/>
              <w:adjustRightInd w:val="0"/>
              <w:snapToGrid w:val="0"/>
              <w:jc w:val="left"/>
              <w:rPr>
                <w:rFonts w:ascii="宋体" w:hAnsi="宋体"/>
                <w:color w:val="auto"/>
                <w:kern w:val="0"/>
                <w:sz w:val="24"/>
              </w:rPr>
            </w:pPr>
          </w:p>
        </w:tc>
        <w:tc>
          <w:tcPr>
            <w:tcW w:w="770" w:type="dxa"/>
          </w:tcPr>
          <w:p w14:paraId="6915CB48">
            <w:pPr>
              <w:autoSpaceDE w:val="0"/>
              <w:autoSpaceDN w:val="0"/>
              <w:adjustRightInd w:val="0"/>
              <w:snapToGrid w:val="0"/>
              <w:jc w:val="left"/>
              <w:rPr>
                <w:rFonts w:ascii="宋体" w:hAnsi="宋体"/>
                <w:color w:val="auto"/>
                <w:kern w:val="0"/>
                <w:sz w:val="24"/>
              </w:rPr>
            </w:pPr>
          </w:p>
        </w:tc>
      </w:tr>
    </w:tbl>
    <w:p w14:paraId="7AE19C35">
      <w:pPr>
        <w:spacing w:line="20" w:lineRule="exact"/>
        <w:rPr>
          <w:rFonts w:ascii="宋体" w:hAnsi="宋体"/>
          <w:color w:val="auto"/>
        </w:rPr>
      </w:pPr>
    </w:p>
    <w:p w14:paraId="7448DB02">
      <w:pPr>
        <w:jc w:val="center"/>
        <w:rPr>
          <w:rFonts w:ascii="宋体" w:hAnsi="宋体"/>
          <w:b/>
          <w:color w:val="auto"/>
        </w:rPr>
      </w:pPr>
      <w:bookmarkStart w:id="2045" w:name="_Toc224103506"/>
      <w:bookmarkStart w:id="2046" w:name="_Toc287620825"/>
      <w:bookmarkStart w:id="2047" w:name="_Toc287607878"/>
      <w:bookmarkStart w:id="2048" w:name="_Toc430530541"/>
      <w:bookmarkStart w:id="2049" w:name="_Toc277082652"/>
      <w:r>
        <w:rPr>
          <w:rFonts w:ascii="宋体" w:hAnsi="宋体"/>
          <w:color w:val="auto"/>
          <w:sz w:val="28"/>
        </w:rPr>
        <w:br w:type="page"/>
      </w:r>
      <w:bookmarkStart w:id="2050" w:name="_Toc509218859"/>
      <w:bookmarkStart w:id="2051" w:name="_Toc534185836"/>
      <w:r>
        <w:rPr>
          <w:color w:val="auto"/>
          <w:sz w:val="32"/>
          <w:szCs w:val="32"/>
        </w:rPr>
        <w:t>附表三：劳动力计划表</w:t>
      </w:r>
      <w:bookmarkEnd w:id="2045"/>
      <w:bookmarkEnd w:id="2046"/>
      <w:bookmarkEnd w:id="2047"/>
      <w:bookmarkEnd w:id="2048"/>
      <w:bookmarkEnd w:id="2049"/>
      <w:bookmarkEnd w:id="2050"/>
      <w:bookmarkEnd w:id="2051"/>
    </w:p>
    <w:p w14:paraId="60574C99">
      <w:pPr>
        <w:autoSpaceDE w:val="0"/>
        <w:autoSpaceDN w:val="0"/>
        <w:adjustRightInd w:val="0"/>
        <w:snapToGrid w:val="0"/>
        <w:spacing w:line="360" w:lineRule="auto"/>
        <w:ind w:right="210"/>
        <w:jc w:val="right"/>
        <w:rPr>
          <w:rFonts w:ascii="宋体" w:hAnsi="宋体"/>
          <w:color w:val="auto"/>
          <w:kern w:val="0"/>
          <w:szCs w:val="21"/>
        </w:rPr>
      </w:pPr>
      <w:r>
        <w:rPr>
          <w:rFonts w:ascii="宋体" w:hAnsi="宋体"/>
          <w:color w:val="auto"/>
          <w:kern w:val="0"/>
          <w:szCs w:val="21"/>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31D6EC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0AF9C58F">
            <w:pPr>
              <w:autoSpaceDE w:val="0"/>
              <w:autoSpaceDN w:val="0"/>
              <w:adjustRightInd w:val="0"/>
              <w:snapToGrid w:val="0"/>
              <w:jc w:val="center"/>
              <w:rPr>
                <w:rFonts w:ascii="宋体" w:hAnsi="宋体"/>
                <w:color w:val="auto"/>
                <w:kern w:val="0"/>
                <w:sz w:val="24"/>
              </w:rPr>
            </w:pPr>
            <w:r>
              <w:rPr>
                <w:rFonts w:ascii="宋体" w:hAnsi="宋体"/>
                <w:color w:val="auto"/>
                <w:kern w:val="0"/>
                <w:szCs w:val="21"/>
              </w:rPr>
              <w:t>工种</w:t>
            </w:r>
          </w:p>
        </w:tc>
        <w:tc>
          <w:tcPr>
            <w:tcW w:w="8574" w:type="dxa"/>
            <w:gridSpan w:val="7"/>
            <w:vAlign w:val="center"/>
          </w:tcPr>
          <w:p w14:paraId="1A03A4D7">
            <w:pPr>
              <w:autoSpaceDE w:val="0"/>
              <w:autoSpaceDN w:val="0"/>
              <w:adjustRightInd w:val="0"/>
              <w:snapToGrid w:val="0"/>
              <w:jc w:val="center"/>
              <w:rPr>
                <w:rFonts w:ascii="宋体" w:hAnsi="宋体"/>
                <w:color w:val="auto"/>
                <w:kern w:val="0"/>
                <w:sz w:val="24"/>
              </w:rPr>
            </w:pPr>
            <w:r>
              <w:rPr>
                <w:rFonts w:ascii="宋体" w:hAnsi="宋体"/>
                <w:color w:val="auto"/>
                <w:kern w:val="0"/>
                <w:szCs w:val="21"/>
              </w:rPr>
              <w:t>按工程施工阶段投入劳动力情况</w:t>
            </w:r>
          </w:p>
        </w:tc>
      </w:tr>
      <w:tr w14:paraId="1CE584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605F154F">
            <w:pPr>
              <w:autoSpaceDE w:val="0"/>
              <w:autoSpaceDN w:val="0"/>
              <w:adjustRightInd w:val="0"/>
              <w:snapToGrid w:val="0"/>
              <w:jc w:val="left"/>
              <w:rPr>
                <w:rFonts w:ascii="宋体" w:hAnsi="宋体"/>
                <w:color w:val="auto"/>
                <w:kern w:val="0"/>
                <w:sz w:val="24"/>
              </w:rPr>
            </w:pPr>
          </w:p>
        </w:tc>
        <w:tc>
          <w:tcPr>
            <w:tcW w:w="1453" w:type="dxa"/>
          </w:tcPr>
          <w:p w14:paraId="3AD2A416">
            <w:pPr>
              <w:autoSpaceDE w:val="0"/>
              <w:autoSpaceDN w:val="0"/>
              <w:adjustRightInd w:val="0"/>
              <w:snapToGrid w:val="0"/>
              <w:jc w:val="left"/>
              <w:rPr>
                <w:rFonts w:ascii="宋体" w:hAnsi="宋体"/>
                <w:color w:val="auto"/>
                <w:kern w:val="0"/>
                <w:sz w:val="24"/>
              </w:rPr>
            </w:pPr>
          </w:p>
        </w:tc>
        <w:tc>
          <w:tcPr>
            <w:tcW w:w="1186" w:type="dxa"/>
          </w:tcPr>
          <w:p w14:paraId="05F9E8B2">
            <w:pPr>
              <w:autoSpaceDE w:val="0"/>
              <w:autoSpaceDN w:val="0"/>
              <w:adjustRightInd w:val="0"/>
              <w:snapToGrid w:val="0"/>
              <w:jc w:val="left"/>
              <w:rPr>
                <w:rFonts w:ascii="宋体" w:hAnsi="宋体"/>
                <w:color w:val="auto"/>
                <w:kern w:val="0"/>
                <w:sz w:val="24"/>
              </w:rPr>
            </w:pPr>
          </w:p>
        </w:tc>
        <w:tc>
          <w:tcPr>
            <w:tcW w:w="1188" w:type="dxa"/>
          </w:tcPr>
          <w:p w14:paraId="59ABA5F0">
            <w:pPr>
              <w:autoSpaceDE w:val="0"/>
              <w:autoSpaceDN w:val="0"/>
              <w:adjustRightInd w:val="0"/>
              <w:snapToGrid w:val="0"/>
              <w:jc w:val="left"/>
              <w:rPr>
                <w:rFonts w:ascii="宋体" w:hAnsi="宋体"/>
                <w:color w:val="auto"/>
                <w:kern w:val="0"/>
                <w:sz w:val="24"/>
              </w:rPr>
            </w:pPr>
          </w:p>
        </w:tc>
        <w:tc>
          <w:tcPr>
            <w:tcW w:w="1186" w:type="dxa"/>
          </w:tcPr>
          <w:p w14:paraId="0AD9B71F">
            <w:pPr>
              <w:autoSpaceDE w:val="0"/>
              <w:autoSpaceDN w:val="0"/>
              <w:adjustRightInd w:val="0"/>
              <w:snapToGrid w:val="0"/>
              <w:jc w:val="left"/>
              <w:rPr>
                <w:rFonts w:ascii="宋体" w:hAnsi="宋体"/>
                <w:color w:val="auto"/>
                <w:kern w:val="0"/>
                <w:sz w:val="24"/>
              </w:rPr>
            </w:pPr>
          </w:p>
        </w:tc>
        <w:tc>
          <w:tcPr>
            <w:tcW w:w="1188" w:type="dxa"/>
          </w:tcPr>
          <w:p w14:paraId="7017F325">
            <w:pPr>
              <w:autoSpaceDE w:val="0"/>
              <w:autoSpaceDN w:val="0"/>
              <w:adjustRightInd w:val="0"/>
              <w:snapToGrid w:val="0"/>
              <w:jc w:val="left"/>
              <w:rPr>
                <w:rFonts w:ascii="宋体" w:hAnsi="宋体"/>
                <w:color w:val="auto"/>
                <w:kern w:val="0"/>
                <w:sz w:val="24"/>
              </w:rPr>
            </w:pPr>
          </w:p>
        </w:tc>
        <w:tc>
          <w:tcPr>
            <w:tcW w:w="1186" w:type="dxa"/>
          </w:tcPr>
          <w:p w14:paraId="6C4D89E4">
            <w:pPr>
              <w:autoSpaceDE w:val="0"/>
              <w:autoSpaceDN w:val="0"/>
              <w:adjustRightInd w:val="0"/>
              <w:snapToGrid w:val="0"/>
              <w:jc w:val="left"/>
              <w:rPr>
                <w:rFonts w:ascii="宋体" w:hAnsi="宋体"/>
                <w:color w:val="auto"/>
                <w:kern w:val="0"/>
                <w:sz w:val="24"/>
              </w:rPr>
            </w:pPr>
          </w:p>
        </w:tc>
        <w:tc>
          <w:tcPr>
            <w:tcW w:w="1187" w:type="dxa"/>
          </w:tcPr>
          <w:p w14:paraId="6A321DE2">
            <w:pPr>
              <w:autoSpaceDE w:val="0"/>
              <w:autoSpaceDN w:val="0"/>
              <w:adjustRightInd w:val="0"/>
              <w:snapToGrid w:val="0"/>
              <w:jc w:val="left"/>
              <w:rPr>
                <w:rFonts w:ascii="宋体" w:hAnsi="宋体"/>
                <w:color w:val="auto"/>
                <w:kern w:val="0"/>
                <w:sz w:val="24"/>
              </w:rPr>
            </w:pPr>
          </w:p>
        </w:tc>
      </w:tr>
      <w:tr w14:paraId="6283B2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91C05CD">
            <w:pPr>
              <w:autoSpaceDE w:val="0"/>
              <w:autoSpaceDN w:val="0"/>
              <w:adjustRightInd w:val="0"/>
              <w:snapToGrid w:val="0"/>
              <w:jc w:val="left"/>
              <w:rPr>
                <w:rFonts w:ascii="宋体" w:hAnsi="宋体"/>
                <w:color w:val="auto"/>
                <w:kern w:val="0"/>
                <w:sz w:val="24"/>
              </w:rPr>
            </w:pPr>
          </w:p>
        </w:tc>
        <w:tc>
          <w:tcPr>
            <w:tcW w:w="1453" w:type="dxa"/>
          </w:tcPr>
          <w:p w14:paraId="648BE4D8">
            <w:pPr>
              <w:autoSpaceDE w:val="0"/>
              <w:autoSpaceDN w:val="0"/>
              <w:adjustRightInd w:val="0"/>
              <w:snapToGrid w:val="0"/>
              <w:jc w:val="left"/>
              <w:rPr>
                <w:rFonts w:ascii="宋体" w:hAnsi="宋体"/>
                <w:color w:val="auto"/>
                <w:kern w:val="0"/>
                <w:sz w:val="24"/>
              </w:rPr>
            </w:pPr>
          </w:p>
        </w:tc>
        <w:tc>
          <w:tcPr>
            <w:tcW w:w="1186" w:type="dxa"/>
          </w:tcPr>
          <w:p w14:paraId="5215CDAA">
            <w:pPr>
              <w:autoSpaceDE w:val="0"/>
              <w:autoSpaceDN w:val="0"/>
              <w:adjustRightInd w:val="0"/>
              <w:snapToGrid w:val="0"/>
              <w:jc w:val="left"/>
              <w:rPr>
                <w:rFonts w:ascii="宋体" w:hAnsi="宋体"/>
                <w:color w:val="auto"/>
                <w:kern w:val="0"/>
                <w:sz w:val="24"/>
              </w:rPr>
            </w:pPr>
          </w:p>
        </w:tc>
        <w:tc>
          <w:tcPr>
            <w:tcW w:w="1188" w:type="dxa"/>
          </w:tcPr>
          <w:p w14:paraId="585B89C7">
            <w:pPr>
              <w:autoSpaceDE w:val="0"/>
              <w:autoSpaceDN w:val="0"/>
              <w:adjustRightInd w:val="0"/>
              <w:snapToGrid w:val="0"/>
              <w:jc w:val="left"/>
              <w:rPr>
                <w:rFonts w:ascii="宋体" w:hAnsi="宋体"/>
                <w:color w:val="auto"/>
                <w:kern w:val="0"/>
                <w:sz w:val="24"/>
              </w:rPr>
            </w:pPr>
          </w:p>
        </w:tc>
        <w:tc>
          <w:tcPr>
            <w:tcW w:w="1186" w:type="dxa"/>
          </w:tcPr>
          <w:p w14:paraId="3A8254BA">
            <w:pPr>
              <w:autoSpaceDE w:val="0"/>
              <w:autoSpaceDN w:val="0"/>
              <w:adjustRightInd w:val="0"/>
              <w:snapToGrid w:val="0"/>
              <w:jc w:val="left"/>
              <w:rPr>
                <w:rFonts w:ascii="宋体" w:hAnsi="宋体"/>
                <w:color w:val="auto"/>
                <w:kern w:val="0"/>
                <w:sz w:val="24"/>
              </w:rPr>
            </w:pPr>
          </w:p>
        </w:tc>
        <w:tc>
          <w:tcPr>
            <w:tcW w:w="1188" w:type="dxa"/>
          </w:tcPr>
          <w:p w14:paraId="3C610BE5">
            <w:pPr>
              <w:autoSpaceDE w:val="0"/>
              <w:autoSpaceDN w:val="0"/>
              <w:adjustRightInd w:val="0"/>
              <w:snapToGrid w:val="0"/>
              <w:jc w:val="left"/>
              <w:rPr>
                <w:rFonts w:ascii="宋体" w:hAnsi="宋体"/>
                <w:color w:val="auto"/>
                <w:kern w:val="0"/>
                <w:sz w:val="24"/>
              </w:rPr>
            </w:pPr>
          </w:p>
        </w:tc>
        <w:tc>
          <w:tcPr>
            <w:tcW w:w="1186" w:type="dxa"/>
          </w:tcPr>
          <w:p w14:paraId="5A6A6F64">
            <w:pPr>
              <w:autoSpaceDE w:val="0"/>
              <w:autoSpaceDN w:val="0"/>
              <w:adjustRightInd w:val="0"/>
              <w:snapToGrid w:val="0"/>
              <w:jc w:val="left"/>
              <w:rPr>
                <w:rFonts w:ascii="宋体" w:hAnsi="宋体"/>
                <w:color w:val="auto"/>
                <w:kern w:val="0"/>
                <w:sz w:val="24"/>
              </w:rPr>
            </w:pPr>
          </w:p>
        </w:tc>
        <w:tc>
          <w:tcPr>
            <w:tcW w:w="1187" w:type="dxa"/>
          </w:tcPr>
          <w:p w14:paraId="64466274">
            <w:pPr>
              <w:autoSpaceDE w:val="0"/>
              <w:autoSpaceDN w:val="0"/>
              <w:adjustRightInd w:val="0"/>
              <w:snapToGrid w:val="0"/>
              <w:jc w:val="left"/>
              <w:rPr>
                <w:rFonts w:ascii="宋体" w:hAnsi="宋体"/>
                <w:color w:val="auto"/>
                <w:kern w:val="0"/>
                <w:sz w:val="24"/>
              </w:rPr>
            </w:pPr>
          </w:p>
        </w:tc>
      </w:tr>
      <w:tr w14:paraId="3E71A6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214928E">
            <w:pPr>
              <w:autoSpaceDE w:val="0"/>
              <w:autoSpaceDN w:val="0"/>
              <w:adjustRightInd w:val="0"/>
              <w:snapToGrid w:val="0"/>
              <w:jc w:val="left"/>
              <w:rPr>
                <w:rFonts w:ascii="宋体" w:hAnsi="宋体"/>
                <w:color w:val="auto"/>
                <w:kern w:val="0"/>
                <w:sz w:val="24"/>
              </w:rPr>
            </w:pPr>
          </w:p>
        </w:tc>
        <w:tc>
          <w:tcPr>
            <w:tcW w:w="1453" w:type="dxa"/>
          </w:tcPr>
          <w:p w14:paraId="23AA4ABF">
            <w:pPr>
              <w:autoSpaceDE w:val="0"/>
              <w:autoSpaceDN w:val="0"/>
              <w:adjustRightInd w:val="0"/>
              <w:snapToGrid w:val="0"/>
              <w:jc w:val="left"/>
              <w:rPr>
                <w:rFonts w:ascii="宋体" w:hAnsi="宋体"/>
                <w:color w:val="auto"/>
                <w:kern w:val="0"/>
                <w:sz w:val="24"/>
              </w:rPr>
            </w:pPr>
          </w:p>
        </w:tc>
        <w:tc>
          <w:tcPr>
            <w:tcW w:w="1186" w:type="dxa"/>
          </w:tcPr>
          <w:p w14:paraId="3988F6E1">
            <w:pPr>
              <w:autoSpaceDE w:val="0"/>
              <w:autoSpaceDN w:val="0"/>
              <w:adjustRightInd w:val="0"/>
              <w:snapToGrid w:val="0"/>
              <w:jc w:val="left"/>
              <w:rPr>
                <w:rFonts w:ascii="宋体" w:hAnsi="宋体"/>
                <w:color w:val="auto"/>
                <w:kern w:val="0"/>
                <w:sz w:val="24"/>
              </w:rPr>
            </w:pPr>
          </w:p>
        </w:tc>
        <w:tc>
          <w:tcPr>
            <w:tcW w:w="1188" w:type="dxa"/>
          </w:tcPr>
          <w:p w14:paraId="43105DFE">
            <w:pPr>
              <w:autoSpaceDE w:val="0"/>
              <w:autoSpaceDN w:val="0"/>
              <w:adjustRightInd w:val="0"/>
              <w:snapToGrid w:val="0"/>
              <w:jc w:val="left"/>
              <w:rPr>
                <w:rFonts w:ascii="宋体" w:hAnsi="宋体"/>
                <w:color w:val="auto"/>
                <w:kern w:val="0"/>
                <w:sz w:val="24"/>
              </w:rPr>
            </w:pPr>
          </w:p>
        </w:tc>
        <w:tc>
          <w:tcPr>
            <w:tcW w:w="1186" w:type="dxa"/>
          </w:tcPr>
          <w:p w14:paraId="0BD85FEA">
            <w:pPr>
              <w:autoSpaceDE w:val="0"/>
              <w:autoSpaceDN w:val="0"/>
              <w:adjustRightInd w:val="0"/>
              <w:snapToGrid w:val="0"/>
              <w:jc w:val="left"/>
              <w:rPr>
                <w:rFonts w:ascii="宋体" w:hAnsi="宋体"/>
                <w:color w:val="auto"/>
                <w:kern w:val="0"/>
                <w:sz w:val="24"/>
              </w:rPr>
            </w:pPr>
          </w:p>
        </w:tc>
        <w:tc>
          <w:tcPr>
            <w:tcW w:w="1188" w:type="dxa"/>
          </w:tcPr>
          <w:p w14:paraId="5123F68C">
            <w:pPr>
              <w:autoSpaceDE w:val="0"/>
              <w:autoSpaceDN w:val="0"/>
              <w:adjustRightInd w:val="0"/>
              <w:snapToGrid w:val="0"/>
              <w:jc w:val="left"/>
              <w:rPr>
                <w:rFonts w:ascii="宋体" w:hAnsi="宋体"/>
                <w:color w:val="auto"/>
                <w:kern w:val="0"/>
                <w:sz w:val="24"/>
              </w:rPr>
            </w:pPr>
          </w:p>
        </w:tc>
        <w:tc>
          <w:tcPr>
            <w:tcW w:w="1186" w:type="dxa"/>
          </w:tcPr>
          <w:p w14:paraId="4C35DB50">
            <w:pPr>
              <w:autoSpaceDE w:val="0"/>
              <w:autoSpaceDN w:val="0"/>
              <w:adjustRightInd w:val="0"/>
              <w:snapToGrid w:val="0"/>
              <w:jc w:val="left"/>
              <w:rPr>
                <w:rFonts w:ascii="宋体" w:hAnsi="宋体"/>
                <w:color w:val="auto"/>
                <w:kern w:val="0"/>
                <w:sz w:val="24"/>
              </w:rPr>
            </w:pPr>
          </w:p>
        </w:tc>
        <w:tc>
          <w:tcPr>
            <w:tcW w:w="1187" w:type="dxa"/>
          </w:tcPr>
          <w:p w14:paraId="089D75E3">
            <w:pPr>
              <w:autoSpaceDE w:val="0"/>
              <w:autoSpaceDN w:val="0"/>
              <w:adjustRightInd w:val="0"/>
              <w:snapToGrid w:val="0"/>
              <w:jc w:val="left"/>
              <w:rPr>
                <w:rFonts w:ascii="宋体" w:hAnsi="宋体"/>
                <w:color w:val="auto"/>
                <w:kern w:val="0"/>
                <w:sz w:val="24"/>
              </w:rPr>
            </w:pPr>
          </w:p>
        </w:tc>
      </w:tr>
      <w:tr w14:paraId="7CB657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84F8E98">
            <w:pPr>
              <w:autoSpaceDE w:val="0"/>
              <w:autoSpaceDN w:val="0"/>
              <w:adjustRightInd w:val="0"/>
              <w:snapToGrid w:val="0"/>
              <w:jc w:val="left"/>
              <w:rPr>
                <w:rFonts w:ascii="宋体" w:hAnsi="宋体"/>
                <w:color w:val="auto"/>
                <w:kern w:val="0"/>
                <w:sz w:val="24"/>
              </w:rPr>
            </w:pPr>
          </w:p>
        </w:tc>
        <w:tc>
          <w:tcPr>
            <w:tcW w:w="1453" w:type="dxa"/>
          </w:tcPr>
          <w:p w14:paraId="167A5808">
            <w:pPr>
              <w:autoSpaceDE w:val="0"/>
              <w:autoSpaceDN w:val="0"/>
              <w:adjustRightInd w:val="0"/>
              <w:snapToGrid w:val="0"/>
              <w:jc w:val="left"/>
              <w:rPr>
                <w:rFonts w:ascii="宋体" w:hAnsi="宋体"/>
                <w:color w:val="auto"/>
                <w:kern w:val="0"/>
                <w:sz w:val="24"/>
              </w:rPr>
            </w:pPr>
          </w:p>
        </w:tc>
        <w:tc>
          <w:tcPr>
            <w:tcW w:w="1186" w:type="dxa"/>
          </w:tcPr>
          <w:p w14:paraId="03ABC263">
            <w:pPr>
              <w:autoSpaceDE w:val="0"/>
              <w:autoSpaceDN w:val="0"/>
              <w:adjustRightInd w:val="0"/>
              <w:snapToGrid w:val="0"/>
              <w:jc w:val="left"/>
              <w:rPr>
                <w:rFonts w:ascii="宋体" w:hAnsi="宋体"/>
                <w:color w:val="auto"/>
                <w:kern w:val="0"/>
                <w:sz w:val="24"/>
              </w:rPr>
            </w:pPr>
          </w:p>
        </w:tc>
        <w:tc>
          <w:tcPr>
            <w:tcW w:w="1188" w:type="dxa"/>
          </w:tcPr>
          <w:p w14:paraId="57E7B8A9">
            <w:pPr>
              <w:autoSpaceDE w:val="0"/>
              <w:autoSpaceDN w:val="0"/>
              <w:adjustRightInd w:val="0"/>
              <w:snapToGrid w:val="0"/>
              <w:jc w:val="left"/>
              <w:rPr>
                <w:rFonts w:ascii="宋体" w:hAnsi="宋体"/>
                <w:color w:val="auto"/>
                <w:kern w:val="0"/>
                <w:sz w:val="24"/>
              </w:rPr>
            </w:pPr>
          </w:p>
        </w:tc>
        <w:tc>
          <w:tcPr>
            <w:tcW w:w="1186" w:type="dxa"/>
          </w:tcPr>
          <w:p w14:paraId="6012D18F">
            <w:pPr>
              <w:autoSpaceDE w:val="0"/>
              <w:autoSpaceDN w:val="0"/>
              <w:adjustRightInd w:val="0"/>
              <w:snapToGrid w:val="0"/>
              <w:jc w:val="left"/>
              <w:rPr>
                <w:rFonts w:ascii="宋体" w:hAnsi="宋体"/>
                <w:color w:val="auto"/>
                <w:kern w:val="0"/>
                <w:sz w:val="24"/>
              </w:rPr>
            </w:pPr>
          </w:p>
        </w:tc>
        <w:tc>
          <w:tcPr>
            <w:tcW w:w="1188" w:type="dxa"/>
          </w:tcPr>
          <w:p w14:paraId="5F4DF7AD">
            <w:pPr>
              <w:autoSpaceDE w:val="0"/>
              <w:autoSpaceDN w:val="0"/>
              <w:adjustRightInd w:val="0"/>
              <w:snapToGrid w:val="0"/>
              <w:jc w:val="left"/>
              <w:rPr>
                <w:rFonts w:ascii="宋体" w:hAnsi="宋体"/>
                <w:color w:val="auto"/>
                <w:kern w:val="0"/>
                <w:sz w:val="24"/>
              </w:rPr>
            </w:pPr>
          </w:p>
        </w:tc>
        <w:tc>
          <w:tcPr>
            <w:tcW w:w="1186" w:type="dxa"/>
          </w:tcPr>
          <w:p w14:paraId="3490FCE3">
            <w:pPr>
              <w:autoSpaceDE w:val="0"/>
              <w:autoSpaceDN w:val="0"/>
              <w:adjustRightInd w:val="0"/>
              <w:snapToGrid w:val="0"/>
              <w:jc w:val="left"/>
              <w:rPr>
                <w:rFonts w:ascii="宋体" w:hAnsi="宋体"/>
                <w:color w:val="auto"/>
                <w:kern w:val="0"/>
                <w:sz w:val="24"/>
              </w:rPr>
            </w:pPr>
          </w:p>
        </w:tc>
        <w:tc>
          <w:tcPr>
            <w:tcW w:w="1187" w:type="dxa"/>
          </w:tcPr>
          <w:p w14:paraId="1BAE7840">
            <w:pPr>
              <w:autoSpaceDE w:val="0"/>
              <w:autoSpaceDN w:val="0"/>
              <w:adjustRightInd w:val="0"/>
              <w:snapToGrid w:val="0"/>
              <w:jc w:val="left"/>
              <w:rPr>
                <w:rFonts w:ascii="宋体" w:hAnsi="宋体"/>
                <w:color w:val="auto"/>
                <w:kern w:val="0"/>
                <w:sz w:val="24"/>
              </w:rPr>
            </w:pPr>
          </w:p>
        </w:tc>
      </w:tr>
      <w:tr w14:paraId="4B6E99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912756E">
            <w:pPr>
              <w:autoSpaceDE w:val="0"/>
              <w:autoSpaceDN w:val="0"/>
              <w:adjustRightInd w:val="0"/>
              <w:snapToGrid w:val="0"/>
              <w:jc w:val="left"/>
              <w:rPr>
                <w:rFonts w:ascii="宋体" w:hAnsi="宋体"/>
                <w:color w:val="auto"/>
                <w:kern w:val="0"/>
                <w:sz w:val="24"/>
              </w:rPr>
            </w:pPr>
          </w:p>
        </w:tc>
        <w:tc>
          <w:tcPr>
            <w:tcW w:w="1453" w:type="dxa"/>
          </w:tcPr>
          <w:p w14:paraId="5AE5CF7A">
            <w:pPr>
              <w:autoSpaceDE w:val="0"/>
              <w:autoSpaceDN w:val="0"/>
              <w:adjustRightInd w:val="0"/>
              <w:snapToGrid w:val="0"/>
              <w:jc w:val="left"/>
              <w:rPr>
                <w:rFonts w:ascii="宋体" w:hAnsi="宋体"/>
                <w:color w:val="auto"/>
                <w:kern w:val="0"/>
                <w:sz w:val="24"/>
              </w:rPr>
            </w:pPr>
          </w:p>
        </w:tc>
        <w:tc>
          <w:tcPr>
            <w:tcW w:w="1186" w:type="dxa"/>
          </w:tcPr>
          <w:p w14:paraId="73682117">
            <w:pPr>
              <w:autoSpaceDE w:val="0"/>
              <w:autoSpaceDN w:val="0"/>
              <w:adjustRightInd w:val="0"/>
              <w:snapToGrid w:val="0"/>
              <w:jc w:val="left"/>
              <w:rPr>
                <w:rFonts w:ascii="宋体" w:hAnsi="宋体"/>
                <w:color w:val="auto"/>
                <w:kern w:val="0"/>
                <w:sz w:val="24"/>
              </w:rPr>
            </w:pPr>
          </w:p>
        </w:tc>
        <w:tc>
          <w:tcPr>
            <w:tcW w:w="1188" w:type="dxa"/>
          </w:tcPr>
          <w:p w14:paraId="1C7C5445">
            <w:pPr>
              <w:autoSpaceDE w:val="0"/>
              <w:autoSpaceDN w:val="0"/>
              <w:adjustRightInd w:val="0"/>
              <w:snapToGrid w:val="0"/>
              <w:jc w:val="left"/>
              <w:rPr>
                <w:rFonts w:ascii="宋体" w:hAnsi="宋体"/>
                <w:color w:val="auto"/>
                <w:kern w:val="0"/>
                <w:sz w:val="24"/>
              </w:rPr>
            </w:pPr>
          </w:p>
        </w:tc>
        <w:tc>
          <w:tcPr>
            <w:tcW w:w="1186" w:type="dxa"/>
          </w:tcPr>
          <w:p w14:paraId="23181D29">
            <w:pPr>
              <w:autoSpaceDE w:val="0"/>
              <w:autoSpaceDN w:val="0"/>
              <w:adjustRightInd w:val="0"/>
              <w:snapToGrid w:val="0"/>
              <w:jc w:val="left"/>
              <w:rPr>
                <w:rFonts w:ascii="宋体" w:hAnsi="宋体"/>
                <w:color w:val="auto"/>
                <w:kern w:val="0"/>
                <w:sz w:val="24"/>
              </w:rPr>
            </w:pPr>
          </w:p>
        </w:tc>
        <w:tc>
          <w:tcPr>
            <w:tcW w:w="1188" w:type="dxa"/>
          </w:tcPr>
          <w:p w14:paraId="7194CBC5">
            <w:pPr>
              <w:autoSpaceDE w:val="0"/>
              <w:autoSpaceDN w:val="0"/>
              <w:adjustRightInd w:val="0"/>
              <w:snapToGrid w:val="0"/>
              <w:jc w:val="left"/>
              <w:rPr>
                <w:rFonts w:ascii="宋体" w:hAnsi="宋体"/>
                <w:color w:val="auto"/>
                <w:kern w:val="0"/>
                <w:sz w:val="24"/>
              </w:rPr>
            </w:pPr>
          </w:p>
        </w:tc>
        <w:tc>
          <w:tcPr>
            <w:tcW w:w="1186" w:type="dxa"/>
          </w:tcPr>
          <w:p w14:paraId="5D0C171C">
            <w:pPr>
              <w:autoSpaceDE w:val="0"/>
              <w:autoSpaceDN w:val="0"/>
              <w:adjustRightInd w:val="0"/>
              <w:snapToGrid w:val="0"/>
              <w:jc w:val="left"/>
              <w:rPr>
                <w:rFonts w:ascii="宋体" w:hAnsi="宋体"/>
                <w:color w:val="auto"/>
                <w:kern w:val="0"/>
                <w:sz w:val="24"/>
              </w:rPr>
            </w:pPr>
          </w:p>
        </w:tc>
        <w:tc>
          <w:tcPr>
            <w:tcW w:w="1187" w:type="dxa"/>
          </w:tcPr>
          <w:p w14:paraId="34F1F8C9">
            <w:pPr>
              <w:autoSpaceDE w:val="0"/>
              <w:autoSpaceDN w:val="0"/>
              <w:adjustRightInd w:val="0"/>
              <w:snapToGrid w:val="0"/>
              <w:jc w:val="left"/>
              <w:rPr>
                <w:rFonts w:ascii="宋体" w:hAnsi="宋体"/>
                <w:color w:val="auto"/>
                <w:kern w:val="0"/>
                <w:sz w:val="24"/>
              </w:rPr>
            </w:pPr>
          </w:p>
        </w:tc>
      </w:tr>
      <w:tr w14:paraId="72A5A6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C06846F">
            <w:pPr>
              <w:autoSpaceDE w:val="0"/>
              <w:autoSpaceDN w:val="0"/>
              <w:adjustRightInd w:val="0"/>
              <w:snapToGrid w:val="0"/>
              <w:jc w:val="left"/>
              <w:rPr>
                <w:rFonts w:ascii="宋体" w:hAnsi="宋体"/>
                <w:color w:val="auto"/>
                <w:kern w:val="0"/>
                <w:sz w:val="24"/>
              </w:rPr>
            </w:pPr>
          </w:p>
        </w:tc>
        <w:tc>
          <w:tcPr>
            <w:tcW w:w="1453" w:type="dxa"/>
          </w:tcPr>
          <w:p w14:paraId="038E4EF2">
            <w:pPr>
              <w:autoSpaceDE w:val="0"/>
              <w:autoSpaceDN w:val="0"/>
              <w:adjustRightInd w:val="0"/>
              <w:snapToGrid w:val="0"/>
              <w:jc w:val="left"/>
              <w:rPr>
                <w:rFonts w:ascii="宋体" w:hAnsi="宋体"/>
                <w:color w:val="auto"/>
                <w:kern w:val="0"/>
                <w:sz w:val="24"/>
              </w:rPr>
            </w:pPr>
          </w:p>
        </w:tc>
        <w:tc>
          <w:tcPr>
            <w:tcW w:w="1186" w:type="dxa"/>
          </w:tcPr>
          <w:p w14:paraId="4AC6B13E">
            <w:pPr>
              <w:autoSpaceDE w:val="0"/>
              <w:autoSpaceDN w:val="0"/>
              <w:adjustRightInd w:val="0"/>
              <w:snapToGrid w:val="0"/>
              <w:jc w:val="left"/>
              <w:rPr>
                <w:rFonts w:ascii="宋体" w:hAnsi="宋体"/>
                <w:color w:val="auto"/>
                <w:kern w:val="0"/>
                <w:sz w:val="24"/>
              </w:rPr>
            </w:pPr>
          </w:p>
        </w:tc>
        <w:tc>
          <w:tcPr>
            <w:tcW w:w="1188" w:type="dxa"/>
          </w:tcPr>
          <w:p w14:paraId="135B9070">
            <w:pPr>
              <w:autoSpaceDE w:val="0"/>
              <w:autoSpaceDN w:val="0"/>
              <w:adjustRightInd w:val="0"/>
              <w:snapToGrid w:val="0"/>
              <w:jc w:val="left"/>
              <w:rPr>
                <w:rFonts w:ascii="宋体" w:hAnsi="宋体"/>
                <w:color w:val="auto"/>
                <w:kern w:val="0"/>
                <w:sz w:val="24"/>
              </w:rPr>
            </w:pPr>
          </w:p>
        </w:tc>
        <w:tc>
          <w:tcPr>
            <w:tcW w:w="1186" w:type="dxa"/>
          </w:tcPr>
          <w:p w14:paraId="67DD7342">
            <w:pPr>
              <w:autoSpaceDE w:val="0"/>
              <w:autoSpaceDN w:val="0"/>
              <w:adjustRightInd w:val="0"/>
              <w:snapToGrid w:val="0"/>
              <w:jc w:val="left"/>
              <w:rPr>
                <w:rFonts w:ascii="宋体" w:hAnsi="宋体"/>
                <w:color w:val="auto"/>
                <w:kern w:val="0"/>
                <w:sz w:val="24"/>
              </w:rPr>
            </w:pPr>
          </w:p>
        </w:tc>
        <w:tc>
          <w:tcPr>
            <w:tcW w:w="1188" w:type="dxa"/>
          </w:tcPr>
          <w:p w14:paraId="7A18DC6C">
            <w:pPr>
              <w:autoSpaceDE w:val="0"/>
              <w:autoSpaceDN w:val="0"/>
              <w:adjustRightInd w:val="0"/>
              <w:snapToGrid w:val="0"/>
              <w:jc w:val="left"/>
              <w:rPr>
                <w:rFonts w:ascii="宋体" w:hAnsi="宋体"/>
                <w:color w:val="auto"/>
                <w:kern w:val="0"/>
                <w:sz w:val="24"/>
              </w:rPr>
            </w:pPr>
          </w:p>
        </w:tc>
        <w:tc>
          <w:tcPr>
            <w:tcW w:w="1186" w:type="dxa"/>
          </w:tcPr>
          <w:p w14:paraId="4FC866F5">
            <w:pPr>
              <w:autoSpaceDE w:val="0"/>
              <w:autoSpaceDN w:val="0"/>
              <w:adjustRightInd w:val="0"/>
              <w:snapToGrid w:val="0"/>
              <w:jc w:val="left"/>
              <w:rPr>
                <w:rFonts w:ascii="宋体" w:hAnsi="宋体"/>
                <w:color w:val="auto"/>
                <w:kern w:val="0"/>
                <w:sz w:val="24"/>
              </w:rPr>
            </w:pPr>
          </w:p>
        </w:tc>
        <w:tc>
          <w:tcPr>
            <w:tcW w:w="1187" w:type="dxa"/>
          </w:tcPr>
          <w:p w14:paraId="305E90D2">
            <w:pPr>
              <w:autoSpaceDE w:val="0"/>
              <w:autoSpaceDN w:val="0"/>
              <w:adjustRightInd w:val="0"/>
              <w:snapToGrid w:val="0"/>
              <w:jc w:val="left"/>
              <w:rPr>
                <w:rFonts w:ascii="宋体" w:hAnsi="宋体"/>
                <w:color w:val="auto"/>
                <w:kern w:val="0"/>
                <w:sz w:val="24"/>
              </w:rPr>
            </w:pPr>
          </w:p>
        </w:tc>
      </w:tr>
      <w:tr w14:paraId="6E0E3D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ACBEFB8">
            <w:pPr>
              <w:autoSpaceDE w:val="0"/>
              <w:autoSpaceDN w:val="0"/>
              <w:adjustRightInd w:val="0"/>
              <w:snapToGrid w:val="0"/>
              <w:jc w:val="left"/>
              <w:rPr>
                <w:rFonts w:ascii="宋体" w:hAnsi="宋体"/>
                <w:color w:val="auto"/>
                <w:kern w:val="0"/>
                <w:sz w:val="24"/>
              </w:rPr>
            </w:pPr>
          </w:p>
        </w:tc>
        <w:tc>
          <w:tcPr>
            <w:tcW w:w="1453" w:type="dxa"/>
          </w:tcPr>
          <w:p w14:paraId="10CAB0F2">
            <w:pPr>
              <w:autoSpaceDE w:val="0"/>
              <w:autoSpaceDN w:val="0"/>
              <w:adjustRightInd w:val="0"/>
              <w:snapToGrid w:val="0"/>
              <w:jc w:val="left"/>
              <w:rPr>
                <w:rFonts w:ascii="宋体" w:hAnsi="宋体"/>
                <w:color w:val="auto"/>
                <w:kern w:val="0"/>
                <w:sz w:val="24"/>
              </w:rPr>
            </w:pPr>
          </w:p>
        </w:tc>
        <w:tc>
          <w:tcPr>
            <w:tcW w:w="1186" w:type="dxa"/>
          </w:tcPr>
          <w:p w14:paraId="6E859E22">
            <w:pPr>
              <w:autoSpaceDE w:val="0"/>
              <w:autoSpaceDN w:val="0"/>
              <w:adjustRightInd w:val="0"/>
              <w:snapToGrid w:val="0"/>
              <w:jc w:val="left"/>
              <w:rPr>
                <w:rFonts w:ascii="宋体" w:hAnsi="宋体"/>
                <w:color w:val="auto"/>
                <w:kern w:val="0"/>
                <w:sz w:val="24"/>
              </w:rPr>
            </w:pPr>
          </w:p>
        </w:tc>
        <w:tc>
          <w:tcPr>
            <w:tcW w:w="1188" w:type="dxa"/>
          </w:tcPr>
          <w:p w14:paraId="7886D08D">
            <w:pPr>
              <w:autoSpaceDE w:val="0"/>
              <w:autoSpaceDN w:val="0"/>
              <w:adjustRightInd w:val="0"/>
              <w:snapToGrid w:val="0"/>
              <w:jc w:val="left"/>
              <w:rPr>
                <w:rFonts w:ascii="宋体" w:hAnsi="宋体"/>
                <w:color w:val="auto"/>
                <w:kern w:val="0"/>
                <w:sz w:val="24"/>
              </w:rPr>
            </w:pPr>
          </w:p>
        </w:tc>
        <w:tc>
          <w:tcPr>
            <w:tcW w:w="1186" w:type="dxa"/>
          </w:tcPr>
          <w:p w14:paraId="02C6A88E">
            <w:pPr>
              <w:autoSpaceDE w:val="0"/>
              <w:autoSpaceDN w:val="0"/>
              <w:adjustRightInd w:val="0"/>
              <w:snapToGrid w:val="0"/>
              <w:jc w:val="left"/>
              <w:rPr>
                <w:rFonts w:ascii="宋体" w:hAnsi="宋体"/>
                <w:color w:val="auto"/>
                <w:kern w:val="0"/>
                <w:sz w:val="24"/>
              </w:rPr>
            </w:pPr>
          </w:p>
        </w:tc>
        <w:tc>
          <w:tcPr>
            <w:tcW w:w="1188" w:type="dxa"/>
          </w:tcPr>
          <w:p w14:paraId="5FDE9275">
            <w:pPr>
              <w:autoSpaceDE w:val="0"/>
              <w:autoSpaceDN w:val="0"/>
              <w:adjustRightInd w:val="0"/>
              <w:snapToGrid w:val="0"/>
              <w:jc w:val="left"/>
              <w:rPr>
                <w:rFonts w:ascii="宋体" w:hAnsi="宋体"/>
                <w:color w:val="auto"/>
                <w:kern w:val="0"/>
                <w:sz w:val="24"/>
              </w:rPr>
            </w:pPr>
          </w:p>
        </w:tc>
        <w:tc>
          <w:tcPr>
            <w:tcW w:w="1186" w:type="dxa"/>
          </w:tcPr>
          <w:p w14:paraId="5082877B">
            <w:pPr>
              <w:autoSpaceDE w:val="0"/>
              <w:autoSpaceDN w:val="0"/>
              <w:adjustRightInd w:val="0"/>
              <w:snapToGrid w:val="0"/>
              <w:jc w:val="left"/>
              <w:rPr>
                <w:rFonts w:ascii="宋体" w:hAnsi="宋体"/>
                <w:color w:val="auto"/>
                <w:kern w:val="0"/>
                <w:sz w:val="24"/>
              </w:rPr>
            </w:pPr>
          </w:p>
        </w:tc>
        <w:tc>
          <w:tcPr>
            <w:tcW w:w="1187" w:type="dxa"/>
          </w:tcPr>
          <w:p w14:paraId="29AACB5F">
            <w:pPr>
              <w:autoSpaceDE w:val="0"/>
              <w:autoSpaceDN w:val="0"/>
              <w:adjustRightInd w:val="0"/>
              <w:snapToGrid w:val="0"/>
              <w:jc w:val="left"/>
              <w:rPr>
                <w:rFonts w:ascii="宋体" w:hAnsi="宋体"/>
                <w:color w:val="auto"/>
                <w:kern w:val="0"/>
                <w:sz w:val="24"/>
              </w:rPr>
            </w:pPr>
          </w:p>
        </w:tc>
      </w:tr>
      <w:tr w14:paraId="2A7C24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D2DA7DC">
            <w:pPr>
              <w:autoSpaceDE w:val="0"/>
              <w:autoSpaceDN w:val="0"/>
              <w:adjustRightInd w:val="0"/>
              <w:snapToGrid w:val="0"/>
              <w:jc w:val="left"/>
              <w:rPr>
                <w:rFonts w:ascii="宋体" w:hAnsi="宋体"/>
                <w:color w:val="auto"/>
                <w:kern w:val="0"/>
                <w:sz w:val="24"/>
              </w:rPr>
            </w:pPr>
          </w:p>
        </w:tc>
        <w:tc>
          <w:tcPr>
            <w:tcW w:w="1453" w:type="dxa"/>
          </w:tcPr>
          <w:p w14:paraId="22053108">
            <w:pPr>
              <w:autoSpaceDE w:val="0"/>
              <w:autoSpaceDN w:val="0"/>
              <w:adjustRightInd w:val="0"/>
              <w:snapToGrid w:val="0"/>
              <w:jc w:val="left"/>
              <w:rPr>
                <w:rFonts w:ascii="宋体" w:hAnsi="宋体"/>
                <w:color w:val="auto"/>
                <w:kern w:val="0"/>
                <w:sz w:val="24"/>
              </w:rPr>
            </w:pPr>
          </w:p>
        </w:tc>
        <w:tc>
          <w:tcPr>
            <w:tcW w:w="1186" w:type="dxa"/>
          </w:tcPr>
          <w:p w14:paraId="1573FFA7">
            <w:pPr>
              <w:autoSpaceDE w:val="0"/>
              <w:autoSpaceDN w:val="0"/>
              <w:adjustRightInd w:val="0"/>
              <w:snapToGrid w:val="0"/>
              <w:jc w:val="left"/>
              <w:rPr>
                <w:rFonts w:ascii="宋体" w:hAnsi="宋体"/>
                <w:color w:val="auto"/>
                <w:kern w:val="0"/>
                <w:sz w:val="24"/>
              </w:rPr>
            </w:pPr>
          </w:p>
        </w:tc>
        <w:tc>
          <w:tcPr>
            <w:tcW w:w="1188" w:type="dxa"/>
          </w:tcPr>
          <w:p w14:paraId="538865E4">
            <w:pPr>
              <w:autoSpaceDE w:val="0"/>
              <w:autoSpaceDN w:val="0"/>
              <w:adjustRightInd w:val="0"/>
              <w:snapToGrid w:val="0"/>
              <w:jc w:val="left"/>
              <w:rPr>
                <w:rFonts w:ascii="宋体" w:hAnsi="宋体"/>
                <w:color w:val="auto"/>
                <w:kern w:val="0"/>
                <w:sz w:val="24"/>
              </w:rPr>
            </w:pPr>
          </w:p>
        </w:tc>
        <w:tc>
          <w:tcPr>
            <w:tcW w:w="1186" w:type="dxa"/>
          </w:tcPr>
          <w:p w14:paraId="66675869">
            <w:pPr>
              <w:autoSpaceDE w:val="0"/>
              <w:autoSpaceDN w:val="0"/>
              <w:adjustRightInd w:val="0"/>
              <w:snapToGrid w:val="0"/>
              <w:jc w:val="left"/>
              <w:rPr>
                <w:rFonts w:ascii="宋体" w:hAnsi="宋体"/>
                <w:color w:val="auto"/>
                <w:kern w:val="0"/>
                <w:sz w:val="24"/>
              </w:rPr>
            </w:pPr>
          </w:p>
        </w:tc>
        <w:tc>
          <w:tcPr>
            <w:tcW w:w="1188" w:type="dxa"/>
          </w:tcPr>
          <w:p w14:paraId="1118BE3C">
            <w:pPr>
              <w:autoSpaceDE w:val="0"/>
              <w:autoSpaceDN w:val="0"/>
              <w:adjustRightInd w:val="0"/>
              <w:snapToGrid w:val="0"/>
              <w:jc w:val="left"/>
              <w:rPr>
                <w:rFonts w:ascii="宋体" w:hAnsi="宋体"/>
                <w:color w:val="auto"/>
                <w:kern w:val="0"/>
                <w:sz w:val="24"/>
              </w:rPr>
            </w:pPr>
          </w:p>
        </w:tc>
        <w:tc>
          <w:tcPr>
            <w:tcW w:w="1186" w:type="dxa"/>
          </w:tcPr>
          <w:p w14:paraId="4153AE87">
            <w:pPr>
              <w:autoSpaceDE w:val="0"/>
              <w:autoSpaceDN w:val="0"/>
              <w:adjustRightInd w:val="0"/>
              <w:snapToGrid w:val="0"/>
              <w:jc w:val="left"/>
              <w:rPr>
                <w:rFonts w:ascii="宋体" w:hAnsi="宋体"/>
                <w:color w:val="auto"/>
                <w:kern w:val="0"/>
                <w:sz w:val="24"/>
              </w:rPr>
            </w:pPr>
          </w:p>
        </w:tc>
        <w:tc>
          <w:tcPr>
            <w:tcW w:w="1187" w:type="dxa"/>
          </w:tcPr>
          <w:p w14:paraId="15546F28">
            <w:pPr>
              <w:autoSpaceDE w:val="0"/>
              <w:autoSpaceDN w:val="0"/>
              <w:adjustRightInd w:val="0"/>
              <w:snapToGrid w:val="0"/>
              <w:jc w:val="left"/>
              <w:rPr>
                <w:rFonts w:ascii="宋体" w:hAnsi="宋体"/>
                <w:color w:val="auto"/>
                <w:kern w:val="0"/>
                <w:sz w:val="24"/>
              </w:rPr>
            </w:pPr>
          </w:p>
        </w:tc>
      </w:tr>
      <w:tr w14:paraId="3FF714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46C2AA8">
            <w:pPr>
              <w:autoSpaceDE w:val="0"/>
              <w:autoSpaceDN w:val="0"/>
              <w:adjustRightInd w:val="0"/>
              <w:snapToGrid w:val="0"/>
              <w:jc w:val="left"/>
              <w:rPr>
                <w:rFonts w:ascii="宋体" w:hAnsi="宋体"/>
                <w:color w:val="auto"/>
                <w:kern w:val="0"/>
                <w:sz w:val="24"/>
              </w:rPr>
            </w:pPr>
          </w:p>
        </w:tc>
        <w:tc>
          <w:tcPr>
            <w:tcW w:w="1453" w:type="dxa"/>
          </w:tcPr>
          <w:p w14:paraId="557F7C86">
            <w:pPr>
              <w:autoSpaceDE w:val="0"/>
              <w:autoSpaceDN w:val="0"/>
              <w:adjustRightInd w:val="0"/>
              <w:snapToGrid w:val="0"/>
              <w:jc w:val="left"/>
              <w:rPr>
                <w:rFonts w:ascii="宋体" w:hAnsi="宋体"/>
                <w:color w:val="auto"/>
                <w:kern w:val="0"/>
                <w:sz w:val="24"/>
              </w:rPr>
            </w:pPr>
          </w:p>
        </w:tc>
        <w:tc>
          <w:tcPr>
            <w:tcW w:w="1186" w:type="dxa"/>
          </w:tcPr>
          <w:p w14:paraId="2A8D00D3">
            <w:pPr>
              <w:autoSpaceDE w:val="0"/>
              <w:autoSpaceDN w:val="0"/>
              <w:adjustRightInd w:val="0"/>
              <w:snapToGrid w:val="0"/>
              <w:jc w:val="left"/>
              <w:rPr>
                <w:rFonts w:ascii="宋体" w:hAnsi="宋体"/>
                <w:color w:val="auto"/>
                <w:kern w:val="0"/>
                <w:sz w:val="24"/>
              </w:rPr>
            </w:pPr>
          </w:p>
        </w:tc>
        <w:tc>
          <w:tcPr>
            <w:tcW w:w="1188" w:type="dxa"/>
          </w:tcPr>
          <w:p w14:paraId="6F33718F">
            <w:pPr>
              <w:autoSpaceDE w:val="0"/>
              <w:autoSpaceDN w:val="0"/>
              <w:adjustRightInd w:val="0"/>
              <w:snapToGrid w:val="0"/>
              <w:jc w:val="left"/>
              <w:rPr>
                <w:rFonts w:ascii="宋体" w:hAnsi="宋体"/>
                <w:color w:val="auto"/>
                <w:kern w:val="0"/>
                <w:sz w:val="24"/>
              </w:rPr>
            </w:pPr>
          </w:p>
        </w:tc>
        <w:tc>
          <w:tcPr>
            <w:tcW w:w="1186" w:type="dxa"/>
          </w:tcPr>
          <w:p w14:paraId="7D0BAC94">
            <w:pPr>
              <w:autoSpaceDE w:val="0"/>
              <w:autoSpaceDN w:val="0"/>
              <w:adjustRightInd w:val="0"/>
              <w:snapToGrid w:val="0"/>
              <w:jc w:val="left"/>
              <w:rPr>
                <w:rFonts w:ascii="宋体" w:hAnsi="宋体"/>
                <w:color w:val="auto"/>
                <w:kern w:val="0"/>
                <w:sz w:val="24"/>
              </w:rPr>
            </w:pPr>
          </w:p>
        </w:tc>
        <w:tc>
          <w:tcPr>
            <w:tcW w:w="1188" w:type="dxa"/>
          </w:tcPr>
          <w:p w14:paraId="713BE7C1">
            <w:pPr>
              <w:autoSpaceDE w:val="0"/>
              <w:autoSpaceDN w:val="0"/>
              <w:adjustRightInd w:val="0"/>
              <w:snapToGrid w:val="0"/>
              <w:jc w:val="left"/>
              <w:rPr>
                <w:rFonts w:ascii="宋体" w:hAnsi="宋体"/>
                <w:color w:val="auto"/>
                <w:kern w:val="0"/>
                <w:sz w:val="24"/>
              </w:rPr>
            </w:pPr>
          </w:p>
        </w:tc>
        <w:tc>
          <w:tcPr>
            <w:tcW w:w="1186" w:type="dxa"/>
          </w:tcPr>
          <w:p w14:paraId="747F4439">
            <w:pPr>
              <w:autoSpaceDE w:val="0"/>
              <w:autoSpaceDN w:val="0"/>
              <w:adjustRightInd w:val="0"/>
              <w:snapToGrid w:val="0"/>
              <w:jc w:val="left"/>
              <w:rPr>
                <w:rFonts w:ascii="宋体" w:hAnsi="宋体"/>
                <w:color w:val="auto"/>
                <w:kern w:val="0"/>
                <w:sz w:val="24"/>
              </w:rPr>
            </w:pPr>
          </w:p>
        </w:tc>
        <w:tc>
          <w:tcPr>
            <w:tcW w:w="1187" w:type="dxa"/>
          </w:tcPr>
          <w:p w14:paraId="76FF4EDA">
            <w:pPr>
              <w:autoSpaceDE w:val="0"/>
              <w:autoSpaceDN w:val="0"/>
              <w:adjustRightInd w:val="0"/>
              <w:snapToGrid w:val="0"/>
              <w:jc w:val="left"/>
              <w:rPr>
                <w:rFonts w:ascii="宋体" w:hAnsi="宋体"/>
                <w:color w:val="auto"/>
                <w:kern w:val="0"/>
                <w:sz w:val="24"/>
              </w:rPr>
            </w:pPr>
          </w:p>
        </w:tc>
      </w:tr>
      <w:tr w14:paraId="12F5F4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A1CF33D">
            <w:pPr>
              <w:autoSpaceDE w:val="0"/>
              <w:autoSpaceDN w:val="0"/>
              <w:adjustRightInd w:val="0"/>
              <w:snapToGrid w:val="0"/>
              <w:jc w:val="left"/>
              <w:rPr>
                <w:rFonts w:ascii="宋体" w:hAnsi="宋体"/>
                <w:color w:val="auto"/>
                <w:kern w:val="0"/>
                <w:sz w:val="24"/>
              </w:rPr>
            </w:pPr>
          </w:p>
        </w:tc>
        <w:tc>
          <w:tcPr>
            <w:tcW w:w="1453" w:type="dxa"/>
          </w:tcPr>
          <w:p w14:paraId="026A7BBA">
            <w:pPr>
              <w:autoSpaceDE w:val="0"/>
              <w:autoSpaceDN w:val="0"/>
              <w:adjustRightInd w:val="0"/>
              <w:snapToGrid w:val="0"/>
              <w:jc w:val="left"/>
              <w:rPr>
                <w:rFonts w:ascii="宋体" w:hAnsi="宋体"/>
                <w:color w:val="auto"/>
                <w:kern w:val="0"/>
                <w:sz w:val="24"/>
              </w:rPr>
            </w:pPr>
          </w:p>
        </w:tc>
        <w:tc>
          <w:tcPr>
            <w:tcW w:w="1186" w:type="dxa"/>
          </w:tcPr>
          <w:p w14:paraId="4C7B6912">
            <w:pPr>
              <w:autoSpaceDE w:val="0"/>
              <w:autoSpaceDN w:val="0"/>
              <w:adjustRightInd w:val="0"/>
              <w:snapToGrid w:val="0"/>
              <w:jc w:val="left"/>
              <w:rPr>
                <w:rFonts w:ascii="宋体" w:hAnsi="宋体"/>
                <w:color w:val="auto"/>
                <w:kern w:val="0"/>
                <w:sz w:val="24"/>
              </w:rPr>
            </w:pPr>
          </w:p>
        </w:tc>
        <w:tc>
          <w:tcPr>
            <w:tcW w:w="1188" w:type="dxa"/>
          </w:tcPr>
          <w:p w14:paraId="6E8687C9">
            <w:pPr>
              <w:autoSpaceDE w:val="0"/>
              <w:autoSpaceDN w:val="0"/>
              <w:adjustRightInd w:val="0"/>
              <w:snapToGrid w:val="0"/>
              <w:jc w:val="left"/>
              <w:rPr>
                <w:rFonts w:ascii="宋体" w:hAnsi="宋体"/>
                <w:color w:val="auto"/>
                <w:kern w:val="0"/>
                <w:sz w:val="24"/>
              </w:rPr>
            </w:pPr>
          </w:p>
        </w:tc>
        <w:tc>
          <w:tcPr>
            <w:tcW w:w="1186" w:type="dxa"/>
          </w:tcPr>
          <w:p w14:paraId="45964813">
            <w:pPr>
              <w:autoSpaceDE w:val="0"/>
              <w:autoSpaceDN w:val="0"/>
              <w:adjustRightInd w:val="0"/>
              <w:snapToGrid w:val="0"/>
              <w:jc w:val="left"/>
              <w:rPr>
                <w:rFonts w:ascii="宋体" w:hAnsi="宋体"/>
                <w:color w:val="auto"/>
                <w:kern w:val="0"/>
                <w:sz w:val="24"/>
              </w:rPr>
            </w:pPr>
          </w:p>
        </w:tc>
        <w:tc>
          <w:tcPr>
            <w:tcW w:w="1188" w:type="dxa"/>
          </w:tcPr>
          <w:p w14:paraId="41ED3D59">
            <w:pPr>
              <w:autoSpaceDE w:val="0"/>
              <w:autoSpaceDN w:val="0"/>
              <w:adjustRightInd w:val="0"/>
              <w:snapToGrid w:val="0"/>
              <w:jc w:val="left"/>
              <w:rPr>
                <w:rFonts w:ascii="宋体" w:hAnsi="宋体"/>
                <w:color w:val="auto"/>
                <w:kern w:val="0"/>
                <w:sz w:val="24"/>
              </w:rPr>
            </w:pPr>
          </w:p>
        </w:tc>
        <w:tc>
          <w:tcPr>
            <w:tcW w:w="1186" w:type="dxa"/>
          </w:tcPr>
          <w:p w14:paraId="467A03FD">
            <w:pPr>
              <w:autoSpaceDE w:val="0"/>
              <w:autoSpaceDN w:val="0"/>
              <w:adjustRightInd w:val="0"/>
              <w:snapToGrid w:val="0"/>
              <w:jc w:val="left"/>
              <w:rPr>
                <w:rFonts w:ascii="宋体" w:hAnsi="宋体"/>
                <w:color w:val="auto"/>
                <w:kern w:val="0"/>
                <w:sz w:val="24"/>
              </w:rPr>
            </w:pPr>
          </w:p>
        </w:tc>
        <w:tc>
          <w:tcPr>
            <w:tcW w:w="1187" w:type="dxa"/>
          </w:tcPr>
          <w:p w14:paraId="421CFC39">
            <w:pPr>
              <w:autoSpaceDE w:val="0"/>
              <w:autoSpaceDN w:val="0"/>
              <w:adjustRightInd w:val="0"/>
              <w:snapToGrid w:val="0"/>
              <w:jc w:val="left"/>
              <w:rPr>
                <w:rFonts w:ascii="宋体" w:hAnsi="宋体"/>
                <w:color w:val="auto"/>
                <w:kern w:val="0"/>
                <w:sz w:val="24"/>
              </w:rPr>
            </w:pPr>
          </w:p>
        </w:tc>
      </w:tr>
      <w:tr w14:paraId="59B672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0425E1C">
            <w:pPr>
              <w:autoSpaceDE w:val="0"/>
              <w:autoSpaceDN w:val="0"/>
              <w:adjustRightInd w:val="0"/>
              <w:snapToGrid w:val="0"/>
              <w:jc w:val="left"/>
              <w:rPr>
                <w:rFonts w:ascii="宋体" w:hAnsi="宋体"/>
                <w:color w:val="auto"/>
                <w:kern w:val="0"/>
                <w:sz w:val="24"/>
              </w:rPr>
            </w:pPr>
          </w:p>
        </w:tc>
        <w:tc>
          <w:tcPr>
            <w:tcW w:w="1453" w:type="dxa"/>
          </w:tcPr>
          <w:p w14:paraId="31F9CEA7">
            <w:pPr>
              <w:autoSpaceDE w:val="0"/>
              <w:autoSpaceDN w:val="0"/>
              <w:adjustRightInd w:val="0"/>
              <w:snapToGrid w:val="0"/>
              <w:jc w:val="left"/>
              <w:rPr>
                <w:rFonts w:ascii="宋体" w:hAnsi="宋体"/>
                <w:color w:val="auto"/>
                <w:kern w:val="0"/>
                <w:sz w:val="24"/>
              </w:rPr>
            </w:pPr>
          </w:p>
        </w:tc>
        <w:tc>
          <w:tcPr>
            <w:tcW w:w="1186" w:type="dxa"/>
          </w:tcPr>
          <w:p w14:paraId="29B62147">
            <w:pPr>
              <w:autoSpaceDE w:val="0"/>
              <w:autoSpaceDN w:val="0"/>
              <w:adjustRightInd w:val="0"/>
              <w:snapToGrid w:val="0"/>
              <w:jc w:val="left"/>
              <w:rPr>
                <w:rFonts w:ascii="宋体" w:hAnsi="宋体"/>
                <w:color w:val="auto"/>
                <w:kern w:val="0"/>
                <w:sz w:val="24"/>
              </w:rPr>
            </w:pPr>
          </w:p>
        </w:tc>
        <w:tc>
          <w:tcPr>
            <w:tcW w:w="1188" w:type="dxa"/>
          </w:tcPr>
          <w:p w14:paraId="4E2F180A">
            <w:pPr>
              <w:autoSpaceDE w:val="0"/>
              <w:autoSpaceDN w:val="0"/>
              <w:adjustRightInd w:val="0"/>
              <w:snapToGrid w:val="0"/>
              <w:jc w:val="left"/>
              <w:rPr>
                <w:rFonts w:ascii="宋体" w:hAnsi="宋体"/>
                <w:color w:val="auto"/>
                <w:kern w:val="0"/>
                <w:sz w:val="24"/>
              </w:rPr>
            </w:pPr>
          </w:p>
        </w:tc>
        <w:tc>
          <w:tcPr>
            <w:tcW w:w="1186" w:type="dxa"/>
          </w:tcPr>
          <w:p w14:paraId="3E3819EC">
            <w:pPr>
              <w:autoSpaceDE w:val="0"/>
              <w:autoSpaceDN w:val="0"/>
              <w:adjustRightInd w:val="0"/>
              <w:snapToGrid w:val="0"/>
              <w:jc w:val="left"/>
              <w:rPr>
                <w:rFonts w:ascii="宋体" w:hAnsi="宋体"/>
                <w:color w:val="auto"/>
                <w:kern w:val="0"/>
                <w:sz w:val="24"/>
              </w:rPr>
            </w:pPr>
          </w:p>
        </w:tc>
        <w:tc>
          <w:tcPr>
            <w:tcW w:w="1188" w:type="dxa"/>
          </w:tcPr>
          <w:p w14:paraId="1ECBD748">
            <w:pPr>
              <w:autoSpaceDE w:val="0"/>
              <w:autoSpaceDN w:val="0"/>
              <w:adjustRightInd w:val="0"/>
              <w:snapToGrid w:val="0"/>
              <w:jc w:val="left"/>
              <w:rPr>
                <w:rFonts w:ascii="宋体" w:hAnsi="宋体"/>
                <w:color w:val="auto"/>
                <w:kern w:val="0"/>
                <w:sz w:val="24"/>
              </w:rPr>
            </w:pPr>
          </w:p>
        </w:tc>
        <w:tc>
          <w:tcPr>
            <w:tcW w:w="1186" w:type="dxa"/>
          </w:tcPr>
          <w:p w14:paraId="1926F1B5">
            <w:pPr>
              <w:autoSpaceDE w:val="0"/>
              <w:autoSpaceDN w:val="0"/>
              <w:adjustRightInd w:val="0"/>
              <w:snapToGrid w:val="0"/>
              <w:jc w:val="left"/>
              <w:rPr>
                <w:rFonts w:ascii="宋体" w:hAnsi="宋体"/>
                <w:color w:val="auto"/>
                <w:kern w:val="0"/>
                <w:sz w:val="24"/>
              </w:rPr>
            </w:pPr>
          </w:p>
        </w:tc>
        <w:tc>
          <w:tcPr>
            <w:tcW w:w="1187" w:type="dxa"/>
          </w:tcPr>
          <w:p w14:paraId="722C874F">
            <w:pPr>
              <w:autoSpaceDE w:val="0"/>
              <w:autoSpaceDN w:val="0"/>
              <w:adjustRightInd w:val="0"/>
              <w:snapToGrid w:val="0"/>
              <w:jc w:val="left"/>
              <w:rPr>
                <w:rFonts w:ascii="宋体" w:hAnsi="宋体"/>
                <w:color w:val="auto"/>
                <w:kern w:val="0"/>
                <w:sz w:val="24"/>
              </w:rPr>
            </w:pPr>
          </w:p>
        </w:tc>
      </w:tr>
      <w:tr w14:paraId="777794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68FE2B8">
            <w:pPr>
              <w:autoSpaceDE w:val="0"/>
              <w:autoSpaceDN w:val="0"/>
              <w:adjustRightInd w:val="0"/>
              <w:snapToGrid w:val="0"/>
              <w:jc w:val="left"/>
              <w:rPr>
                <w:rFonts w:ascii="宋体" w:hAnsi="宋体"/>
                <w:color w:val="auto"/>
                <w:kern w:val="0"/>
                <w:sz w:val="24"/>
              </w:rPr>
            </w:pPr>
          </w:p>
        </w:tc>
        <w:tc>
          <w:tcPr>
            <w:tcW w:w="1453" w:type="dxa"/>
          </w:tcPr>
          <w:p w14:paraId="3C3C41BE">
            <w:pPr>
              <w:autoSpaceDE w:val="0"/>
              <w:autoSpaceDN w:val="0"/>
              <w:adjustRightInd w:val="0"/>
              <w:snapToGrid w:val="0"/>
              <w:jc w:val="left"/>
              <w:rPr>
                <w:rFonts w:ascii="宋体" w:hAnsi="宋体"/>
                <w:color w:val="auto"/>
                <w:kern w:val="0"/>
                <w:sz w:val="24"/>
              </w:rPr>
            </w:pPr>
          </w:p>
        </w:tc>
        <w:tc>
          <w:tcPr>
            <w:tcW w:w="1186" w:type="dxa"/>
          </w:tcPr>
          <w:p w14:paraId="2C84585C">
            <w:pPr>
              <w:autoSpaceDE w:val="0"/>
              <w:autoSpaceDN w:val="0"/>
              <w:adjustRightInd w:val="0"/>
              <w:snapToGrid w:val="0"/>
              <w:jc w:val="left"/>
              <w:rPr>
                <w:rFonts w:ascii="宋体" w:hAnsi="宋体"/>
                <w:color w:val="auto"/>
                <w:kern w:val="0"/>
                <w:sz w:val="24"/>
              </w:rPr>
            </w:pPr>
          </w:p>
        </w:tc>
        <w:tc>
          <w:tcPr>
            <w:tcW w:w="1188" w:type="dxa"/>
          </w:tcPr>
          <w:p w14:paraId="123ADEED">
            <w:pPr>
              <w:autoSpaceDE w:val="0"/>
              <w:autoSpaceDN w:val="0"/>
              <w:adjustRightInd w:val="0"/>
              <w:snapToGrid w:val="0"/>
              <w:jc w:val="left"/>
              <w:rPr>
                <w:rFonts w:ascii="宋体" w:hAnsi="宋体"/>
                <w:color w:val="auto"/>
                <w:kern w:val="0"/>
                <w:sz w:val="24"/>
              </w:rPr>
            </w:pPr>
          </w:p>
        </w:tc>
        <w:tc>
          <w:tcPr>
            <w:tcW w:w="1186" w:type="dxa"/>
          </w:tcPr>
          <w:p w14:paraId="1021CF2A">
            <w:pPr>
              <w:autoSpaceDE w:val="0"/>
              <w:autoSpaceDN w:val="0"/>
              <w:adjustRightInd w:val="0"/>
              <w:snapToGrid w:val="0"/>
              <w:jc w:val="left"/>
              <w:rPr>
                <w:rFonts w:ascii="宋体" w:hAnsi="宋体"/>
                <w:color w:val="auto"/>
                <w:kern w:val="0"/>
                <w:sz w:val="24"/>
              </w:rPr>
            </w:pPr>
          </w:p>
        </w:tc>
        <w:tc>
          <w:tcPr>
            <w:tcW w:w="1188" w:type="dxa"/>
          </w:tcPr>
          <w:p w14:paraId="79E9D0C7">
            <w:pPr>
              <w:autoSpaceDE w:val="0"/>
              <w:autoSpaceDN w:val="0"/>
              <w:adjustRightInd w:val="0"/>
              <w:snapToGrid w:val="0"/>
              <w:jc w:val="left"/>
              <w:rPr>
                <w:rFonts w:ascii="宋体" w:hAnsi="宋体"/>
                <w:color w:val="auto"/>
                <w:kern w:val="0"/>
                <w:sz w:val="24"/>
              </w:rPr>
            </w:pPr>
          </w:p>
        </w:tc>
        <w:tc>
          <w:tcPr>
            <w:tcW w:w="1186" w:type="dxa"/>
          </w:tcPr>
          <w:p w14:paraId="1E700EE9">
            <w:pPr>
              <w:autoSpaceDE w:val="0"/>
              <w:autoSpaceDN w:val="0"/>
              <w:adjustRightInd w:val="0"/>
              <w:snapToGrid w:val="0"/>
              <w:jc w:val="left"/>
              <w:rPr>
                <w:rFonts w:ascii="宋体" w:hAnsi="宋体"/>
                <w:color w:val="auto"/>
                <w:kern w:val="0"/>
                <w:sz w:val="24"/>
              </w:rPr>
            </w:pPr>
          </w:p>
        </w:tc>
        <w:tc>
          <w:tcPr>
            <w:tcW w:w="1187" w:type="dxa"/>
          </w:tcPr>
          <w:p w14:paraId="4CAD049A">
            <w:pPr>
              <w:autoSpaceDE w:val="0"/>
              <w:autoSpaceDN w:val="0"/>
              <w:adjustRightInd w:val="0"/>
              <w:snapToGrid w:val="0"/>
              <w:jc w:val="left"/>
              <w:rPr>
                <w:rFonts w:ascii="宋体" w:hAnsi="宋体"/>
                <w:color w:val="auto"/>
                <w:kern w:val="0"/>
                <w:sz w:val="24"/>
              </w:rPr>
            </w:pPr>
          </w:p>
        </w:tc>
      </w:tr>
      <w:tr w14:paraId="7D8B84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D147DFF">
            <w:pPr>
              <w:autoSpaceDE w:val="0"/>
              <w:autoSpaceDN w:val="0"/>
              <w:adjustRightInd w:val="0"/>
              <w:snapToGrid w:val="0"/>
              <w:jc w:val="left"/>
              <w:rPr>
                <w:rFonts w:ascii="宋体" w:hAnsi="宋体"/>
                <w:color w:val="auto"/>
                <w:kern w:val="0"/>
                <w:sz w:val="24"/>
              </w:rPr>
            </w:pPr>
          </w:p>
        </w:tc>
        <w:tc>
          <w:tcPr>
            <w:tcW w:w="1453" w:type="dxa"/>
          </w:tcPr>
          <w:p w14:paraId="685436C0">
            <w:pPr>
              <w:autoSpaceDE w:val="0"/>
              <w:autoSpaceDN w:val="0"/>
              <w:adjustRightInd w:val="0"/>
              <w:snapToGrid w:val="0"/>
              <w:jc w:val="left"/>
              <w:rPr>
                <w:rFonts w:ascii="宋体" w:hAnsi="宋体"/>
                <w:color w:val="auto"/>
                <w:kern w:val="0"/>
                <w:sz w:val="24"/>
              </w:rPr>
            </w:pPr>
          </w:p>
        </w:tc>
        <w:tc>
          <w:tcPr>
            <w:tcW w:w="1186" w:type="dxa"/>
          </w:tcPr>
          <w:p w14:paraId="73371828">
            <w:pPr>
              <w:autoSpaceDE w:val="0"/>
              <w:autoSpaceDN w:val="0"/>
              <w:adjustRightInd w:val="0"/>
              <w:snapToGrid w:val="0"/>
              <w:jc w:val="left"/>
              <w:rPr>
                <w:rFonts w:ascii="宋体" w:hAnsi="宋体"/>
                <w:color w:val="auto"/>
                <w:kern w:val="0"/>
                <w:sz w:val="24"/>
              </w:rPr>
            </w:pPr>
          </w:p>
        </w:tc>
        <w:tc>
          <w:tcPr>
            <w:tcW w:w="1188" w:type="dxa"/>
          </w:tcPr>
          <w:p w14:paraId="2E9BBA84">
            <w:pPr>
              <w:autoSpaceDE w:val="0"/>
              <w:autoSpaceDN w:val="0"/>
              <w:adjustRightInd w:val="0"/>
              <w:snapToGrid w:val="0"/>
              <w:jc w:val="left"/>
              <w:rPr>
                <w:rFonts w:ascii="宋体" w:hAnsi="宋体"/>
                <w:color w:val="auto"/>
                <w:kern w:val="0"/>
                <w:sz w:val="24"/>
              </w:rPr>
            </w:pPr>
          </w:p>
        </w:tc>
        <w:tc>
          <w:tcPr>
            <w:tcW w:w="1186" w:type="dxa"/>
          </w:tcPr>
          <w:p w14:paraId="0D4F9302">
            <w:pPr>
              <w:autoSpaceDE w:val="0"/>
              <w:autoSpaceDN w:val="0"/>
              <w:adjustRightInd w:val="0"/>
              <w:snapToGrid w:val="0"/>
              <w:jc w:val="left"/>
              <w:rPr>
                <w:rFonts w:ascii="宋体" w:hAnsi="宋体"/>
                <w:color w:val="auto"/>
                <w:kern w:val="0"/>
                <w:sz w:val="24"/>
              </w:rPr>
            </w:pPr>
          </w:p>
        </w:tc>
        <w:tc>
          <w:tcPr>
            <w:tcW w:w="1188" w:type="dxa"/>
          </w:tcPr>
          <w:p w14:paraId="469454E9">
            <w:pPr>
              <w:autoSpaceDE w:val="0"/>
              <w:autoSpaceDN w:val="0"/>
              <w:adjustRightInd w:val="0"/>
              <w:snapToGrid w:val="0"/>
              <w:jc w:val="left"/>
              <w:rPr>
                <w:rFonts w:ascii="宋体" w:hAnsi="宋体"/>
                <w:color w:val="auto"/>
                <w:kern w:val="0"/>
                <w:sz w:val="24"/>
              </w:rPr>
            </w:pPr>
          </w:p>
        </w:tc>
        <w:tc>
          <w:tcPr>
            <w:tcW w:w="1186" w:type="dxa"/>
          </w:tcPr>
          <w:p w14:paraId="5828A22C">
            <w:pPr>
              <w:autoSpaceDE w:val="0"/>
              <w:autoSpaceDN w:val="0"/>
              <w:adjustRightInd w:val="0"/>
              <w:snapToGrid w:val="0"/>
              <w:jc w:val="left"/>
              <w:rPr>
                <w:rFonts w:ascii="宋体" w:hAnsi="宋体"/>
                <w:color w:val="auto"/>
                <w:kern w:val="0"/>
                <w:sz w:val="24"/>
              </w:rPr>
            </w:pPr>
          </w:p>
        </w:tc>
        <w:tc>
          <w:tcPr>
            <w:tcW w:w="1187" w:type="dxa"/>
          </w:tcPr>
          <w:p w14:paraId="5F5837B9">
            <w:pPr>
              <w:autoSpaceDE w:val="0"/>
              <w:autoSpaceDN w:val="0"/>
              <w:adjustRightInd w:val="0"/>
              <w:snapToGrid w:val="0"/>
              <w:jc w:val="left"/>
              <w:rPr>
                <w:rFonts w:ascii="宋体" w:hAnsi="宋体"/>
                <w:color w:val="auto"/>
                <w:kern w:val="0"/>
                <w:sz w:val="24"/>
              </w:rPr>
            </w:pPr>
          </w:p>
        </w:tc>
      </w:tr>
      <w:tr w14:paraId="4F98A6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572A149">
            <w:pPr>
              <w:autoSpaceDE w:val="0"/>
              <w:autoSpaceDN w:val="0"/>
              <w:adjustRightInd w:val="0"/>
              <w:snapToGrid w:val="0"/>
              <w:jc w:val="left"/>
              <w:rPr>
                <w:rFonts w:ascii="宋体" w:hAnsi="宋体"/>
                <w:color w:val="auto"/>
                <w:kern w:val="0"/>
                <w:sz w:val="24"/>
              </w:rPr>
            </w:pPr>
          </w:p>
        </w:tc>
        <w:tc>
          <w:tcPr>
            <w:tcW w:w="1453" w:type="dxa"/>
          </w:tcPr>
          <w:p w14:paraId="4BB92AF3">
            <w:pPr>
              <w:autoSpaceDE w:val="0"/>
              <w:autoSpaceDN w:val="0"/>
              <w:adjustRightInd w:val="0"/>
              <w:snapToGrid w:val="0"/>
              <w:jc w:val="left"/>
              <w:rPr>
                <w:rFonts w:ascii="宋体" w:hAnsi="宋体"/>
                <w:color w:val="auto"/>
                <w:kern w:val="0"/>
                <w:sz w:val="24"/>
              </w:rPr>
            </w:pPr>
          </w:p>
        </w:tc>
        <w:tc>
          <w:tcPr>
            <w:tcW w:w="1186" w:type="dxa"/>
          </w:tcPr>
          <w:p w14:paraId="4A01E9E3">
            <w:pPr>
              <w:autoSpaceDE w:val="0"/>
              <w:autoSpaceDN w:val="0"/>
              <w:adjustRightInd w:val="0"/>
              <w:snapToGrid w:val="0"/>
              <w:jc w:val="left"/>
              <w:rPr>
                <w:rFonts w:ascii="宋体" w:hAnsi="宋体"/>
                <w:color w:val="auto"/>
                <w:kern w:val="0"/>
                <w:sz w:val="24"/>
              </w:rPr>
            </w:pPr>
          </w:p>
        </w:tc>
        <w:tc>
          <w:tcPr>
            <w:tcW w:w="1188" w:type="dxa"/>
          </w:tcPr>
          <w:p w14:paraId="74DE59E8">
            <w:pPr>
              <w:autoSpaceDE w:val="0"/>
              <w:autoSpaceDN w:val="0"/>
              <w:adjustRightInd w:val="0"/>
              <w:snapToGrid w:val="0"/>
              <w:jc w:val="left"/>
              <w:rPr>
                <w:rFonts w:ascii="宋体" w:hAnsi="宋体"/>
                <w:color w:val="auto"/>
                <w:kern w:val="0"/>
                <w:sz w:val="24"/>
              </w:rPr>
            </w:pPr>
          </w:p>
        </w:tc>
        <w:tc>
          <w:tcPr>
            <w:tcW w:w="1186" w:type="dxa"/>
          </w:tcPr>
          <w:p w14:paraId="64CF9F81">
            <w:pPr>
              <w:autoSpaceDE w:val="0"/>
              <w:autoSpaceDN w:val="0"/>
              <w:adjustRightInd w:val="0"/>
              <w:snapToGrid w:val="0"/>
              <w:jc w:val="left"/>
              <w:rPr>
                <w:rFonts w:ascii="宋体" w:hAnsi="宋体"/>
                <w:color w:val="auto"/>
                <w:kern w:val="0"/>
                <w:sz w:val="24"/>
              </w:rPr>
            </w:pPr>
          </w:p>
        </w:tc>
        <w:tc>
          <w:tcPr>
            <w:tcW w:w="1188" w:type="dxa"/>
          </w:tcPr>
          <w:p w14:paraId="1700C6C3">
            <w:pPr>
              <w:autoSpaceDE w:val="0"/>
              <w:autoSpaceDN w:val="0"/>
              <w:adjustRightInd w:val="0"/>
              <w:snapToGrid w:val="0"/>
              <w:jc w:val="left"/>
              <w:rPr>
                <w:rFonts w:ascii="宋体" w:hAnsi="宋体"/>
                <w:color w:val="auto"/>
                <w:kern w:val="0"/>
                <w:sz w:val="24"/>
              </w:rPr>
            </w:pPr>
          </w:p>
        </w:tc>
        <w:tc>
          <w:tcPr>
            <w:tcW w:w="1186" w:type="dxa"/>
          </w:tcPr>
          <w:p w14:paraId="638F67DA">
            <w:pPr>
              <w:autoSpaceDE w:val="0"/>
              <w:autoSpaceDN w:val="0"/>
              <w:adjustRightInd w:val="0"/>
              <w:snapToGrid w:val="0"/>
              <w:jc w:val="left"/>
              <w:rPr>
                <w:rFonts w:ascii="宋体" w:hAnsi="宋体"/>
                <w:color w:val="auto"/>
                <w:kern w:val="0"/>
                <w:sz w:val="24"/>
              </w:rPr>
            </w:pPr>
          </w:p>
        </w:tc>
        <w:tc>
          <w:tcPr>
            <w:tcW w:w="1187" w:type="dxa"/>
          </w:tcPr>
          <w:p w14:paraId="7498B622">
            <w:pPr>
              <w:autoSpaceDE w:val="0"/>
              <w:autoSpaceDN w:val="0"/>
              <w:adjustRightInd w:val="0"/>
              <w:snapToGrid w:val="0"/>
              <w:jc w:val="left"/>
              <w:rPr>
                <w:rFonts w:ascii="宋体" w:hAnsi="宋体"/>
                <w:color w:val="auto"/>
                <w:kern w:val="0"/>
                <w:sz w:val="24"/>
              </w:rPr>
            </w:pPr>
          </w:p>
        </w:tc>
      </w:tr>
      <w:tr w14:paraId="17F3A0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1B53F11">
            <w:pPr>
              <w:autoSpaceDE w:val="0"/>
              <w:autoSpaceDN w:val="0"/>
              <w:adjustRightInd w:val="0"/>
              <w:snapToGrid w:val="0"/>
              <w:jc w:val="left"/>
              <w:rPr>
                <w:rFonts w:ascii="宋体" w:hAnsi="宋体"/>
                <w:color w:val="auto"/>
                <w:kern w:val="0"/>
                <w:sz w:val="24"/>
              </w:rPr>
            </w:pPr>
          </w:p>
        </w:tc>
        <w:tc>
          <w:tcPr>
            <w:tcW w:w="1453" w:type="dxa"/>
          </w:tcPr>
          <w:p w14:paraId="41DFF3A9">
            <w:pPr>
              <w:autoSpaceDE w:val="0"/>
              <w:autoSpaceDN w:val="0"/>
              <w:adjustRightInd w:val="0"/>
              <w:snapToGrid w:val="0"/>
              <w:jc w:val="left"/>
              <w:rPr>
                <w:rFonts w:ascii="宋体" w:hAnsi="宋体"/>
                <w:color w:val="auto"/>
                <w:kern w:val="0"/>
                <w:sz w:val="24"/>
              </w:rPr>
            </w:pPr>
          </w:p>
        </w:tc>
        <w:tc>
          <w:tcPr>
            <w:tcW w:w="1186" w:type="dxa"/>
          </w:tcPr>
          <w:p w14:paraId="6F6B5208">
            <w:pPr>
              <w:autoSpaceDE w:val="0"/>
              <w:autoSpaceDN w:val="0"/>
              <w:adjustRightInd w:val="0"/>
              <w:snapToGrid w:val="0"/>
              <w:jc w:val="left"/>
              <w:rPr>
                <w:rFonts w:ascii="宋体" w:hAnsi="宋体"/>
                <w:color w:val="auto"/>
                <w:kern w:val="0"/>
                <w:sz w:val="24"/>
              </w:rPr>
            </w:pPr>
          </w:p>
        </w:tc>
        <w:tc>
          <w:tcPr>
            <w:tcW w:w="1188" w:type="dxa"/>
          </w:tcPr>
          <w:p w14:paraId="451753E5">
            <w:pPr>
              <w:autoSpaceDE w:val="0"/>
              <w:autoSpaceDN w:val="0"/>
              <w:adjustRightInd w:val="0"/>
              <w:snapToGrid w:val="0"/>
              <w:jc w:val="left"/>
              <w:rPr>
                <w:rFonts w:ascii="宋体" w:hAnsi="宋体"/>
                <w:color w:val="auto"/>
                <w:kern w:val="0"/>
                <w:sz w:val="24"/>
              </w:rPr>
            </w:pPr>
          </w:p>
        </w:tc>
        <w:tc>
          <w:tcPr>
            <w:tcW w:w="1186" w:type="dxa"/>
          </w:tcPr>
          <w:p w14:paraId="676CA685">
            <w:pPr>
              <w:autoSpaceDE w:val="0"/>
              <w:autoSpaceDN w:val="0"/>
              <w:adjustRightInd w:val="0"/>
              <w:snapToGrid w:val="0"/>
              <w:jc w:val="left"/>
              <w:rPr>
                <w:rFonts w:ascii="宋体" w:hAnsi="宋体"/>
                <w:color w:val="auto"/>
                <w:kern w:val="0"/>
                <w:sz w:val="24"/>
              </w:rPr>
            </w:pPr>
          </w:p>
        </w:tc>
        <w:tc>
          <w:tcPr>
            <w:tcW w:w="1188" w:type="dxa"/>
          </w:tcPr>
          <w:p w14:paraId="469FE214">
            <w:pPr>
              <w:autoSpaceDE w:val="0"/>
              <w:autoSpaceDN w:val="0"/>
              <w:adjustRightInd w:val="0"/>
              <w:snapToGrid w:val="0"/>
              <w:jc w:val="left"/>
              <w:rPr>
                <w:rFonts w:ascii="宋体" w:hAnsi="宋体"/>
                <w:color w:val="auto"/>
                <w:kern w:val="0"/>
                <w:sz w:val="24"/>
              </w:rPr>
            </w:pPr>
          </w:p>
        </w:tc>
        <w:tc>
          <w:tcPr>
            <w:tcW w:w="1186" w:type="dxa"/>
          </w:tcPr>
          <w:p w14:paraId="10E177D0">
            <w:pPr>
              <w:autoSpaceDE w:val="0"/>
              <w:autoSpaceDN w:val="0"/>
              <w:adjustRightInd w:val="0"/>
              <w:snapToGrid w:val="0"/>
              <w:jc w:val="left"/>
              <w:rPr>
                <w:rFonts w:ascii="宋体" w:hAnsi="宋体"/>
                <w:color w:val="auto"/>
                <w:kern w:val="0"/>
                <w:sz w:val="24"/>
              </w:rPr>
            </w:pPr>
          </w:p>
        </w:tc>
        <w:tc>
          <w:tcPr>
            <w:tcW w:w="1187" w:type="dxa"/>
          </w:tcPr>
          <w:p w14:paraId="480AEE70">
            <w:pPr>
              <w:autoSpaceDE w:val="0"/>
              <w:autoSpaceDN w:val="0"/>
              <w:adjustRightInd w:val="0"/>
              <w:snapToGrid w:val="0"/>
              <w:jc w:val="left"/>
              <w:rPr>
                <w:rFonts w:ascii="宋体" w:hAnsi="宋体"/>
                <w:color w:val="auto"/>
                <w:kern w:val="0"/>
                <w:sz w:val="24"/>
              </w:rPr>
            </w:pPr>
          </w:p>
        </w:tc>
      </w:tr>
      <w:tr w14:paraId="767FAD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899007E">
            <w:pPr>
              <w:autoSpaceDE w:val="0"/>
              <w:autoSpaceDN w:val="0"/>
              <w:adjustRightInd w:val="0"/>
              <w:snapToGrid w:val="0"/>
              <w:jc w:val="left"/>
              <w:rPr>
                <w:rFonts w:ascii="宋体" w:hAnsi="宋体"/>
                <w:color w:val="auto"/>
                <w:kern w:val="0"/>
                <w:sz w:val="24"/>
              </w:rPr>
            </w:pPr>
          </w:p>
        </w:tc>
        <w:tc>
          <w:tcPr>
            <w:tcW w:w="1453" w:type="dxa"/>
          </w:tcPr>
          <w:p w14:paraId="0BCFA00F">
            <w:pPr>
              <w:autoSpaceDE w:val="0"/>
              <w:autoSpaceDN w:val="0"/>
              <w:adjustRightInd w:val="0"/>
              <w:snapToGrid w:val="0"/>
              <w:jc w:val="left"/>
              <w:rPr>
                <w:rFonts w:ascii="宋体" w:hAnsi="宋体"/>
                <w:color w:val="auto"/>
                <w:kern w:val="0"/>
                <w:sz w:val="24"/>
              </w:rPr>
            </w:pPr>
          </w:p>
        </w:tc>
        <w:tc>
          <w:tcPr>
            <w:tcW w:w="1186" w:type="dxa"/>
          </w:tcPr>
          <w:p w14:paraId="2F5DF25A">
            <w:pPr>
              <w:autoSpaceDE w:val="0"/>
              <w:autoSpaceDN w:val="0"/>
              <w:adjustRightInd w:val="0"/>
              <w:snapToGrid w:val="0"/>
              <w:jc w:val="left"/>
              <w:rPr>
                <w:rFonts w:ascii="宋体" w:hAnsi="宋体"/>
                <w:color w:val="auto"/>
                <w:kern w:val="0"/>
                <w:sz w:val="24"/>
              </w:rPr>
            </w:pPr>
          </w:p>
        </w:tc>
        <w:tc>
          <w:tcPr>
            <w:tcW w:w="1188" w:type="dxa"/>
          </w:tcPr>
          <w:p w14:paraId="644A497D">
            <w:pPr>
              <w:autoSpaceDE w:val="0"/>
              <w:autoSpaceDN w:val="0"/>
              <w:adjustRightInd w:val="0"/>
              <w:snapToGrid w:val="0"/>
              <w:jc w:val="left"/>
              <w:rPr>
                <w:rFonts w:ascii="宋体" w:hAnsi="宋体"/>
                <w:color w:val="auto"/>
                <w:kern w:val="0"/>
                <w:sz w:val="24"/>
              </w:rPr>
            </w:pPr>
          </w:p>
        </w:tc>
        <w:tc>
          <w:tcPr>
            <w:tcW w:w="1186" w:type="dxa"/>
          </w:tcPr>
          <w:p w14:paraId="1011DCC7">
            <w:pPr>
              <w:autoSpaceDE w:val="0"/>
              <w:autoSpaceDN w:val="0"/>
              <w:adjustRightInd w:val="0"/>
              <w:snapToGrid w:val="0"/>
              <w:jc w:val="left"/>
              <w:rPr>
                <w:rFonts w:ascii="宋体" w:hAnsi="宋体"/>
                <w:color w:val="auto"/>
                <w:kern w:val="0"/>
                <w:sz w:val="24"/>
              </w:rPr>
            </w:pPr>
          </w:p>
        </w:tc>
        <w:tc>
          <w:tcPr>
            <w:tcW w:w="1188" w:type="dxa"/>
          </w:tcPr>
          <w:p w14:paraId="50ECAB3B">
            <w:pPr>
              <w:autoSpaceDE w:val="0"/>
              <w:autoSpaceDN w:val="0"/>
              <w:adjustRightInd w:val="0"/>
              <w:snapToGrid w:val="0"/>
              <w:jc w:val="left"/>
              <w:rPr>
                <w:rFonts w:ascii="宋体" w:hAnsi="宋体"/>
                <w:color w:val="auto"/>
                <w:kern w:val="0"/>
                <w:sz w:val="24"/>
              </w:rPr>
            </w:pPr>
          </w:p>
        </w:tc>
        <w:tc>
          <w:tcPr>
            <w:tcW w:w="1186" w:type="dxa"/>
          </w:tcPr>
          <w:p w14:paraId="1C73B37C">
            <w:pPr>
              <w:autoSpaceDE w:val="0"/>
              <w:autoSpaceDN w:val="0"/>
              <w:adjustRightInd w:val="0"/>
              <w:snapToGrid w:val="0"/>
              <w:jc w:val="left"/>
              <w:rPr>
                <w:rFonts w:ascii="宋体" w:hAnsi="宋体"/>
                <w:color w:val="auto"/>
                <w:kern w:val="0"/>
                <w:sz w:val="24"/>
              </w:rPr>
            </w:pPr>
          </w:p>
        </w:tc>
        <w:tc>
          <w:tcPr>
            <w:tcW w:w="1187" w:type="dxa"/>
          </w:tcPr>
          <w:p w14:paraId="4AEBAAB7">
            <w:pPr>
              <w:autoSpaceDE w:val="0"/>
              <w:autoSpaceDN w:val="0"/>
              <w:adjustRightInd w:val="0"/>
              <w:snapToGrid w:val="0"/>
              <w:jc w:val="left"/>
              <w:rPr>
                <w:rFonts w:ascii="宋体" w:hAnsi="宋体"/>
                <w:color w:val="auto"/>
                <w:kern w:val="0"/>
                <w:sz w:val="24"/>
              </w:rPr>
            </w:pPr>
          </w:p>
        </w:tc>
      </w:tr>
      <w:tr w14:paraId="67FF6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74E3C37">
            <w:pPr>
              <w:autoSpaceDE w:val="0"/>
              <w:autoSpaceDN w:val="0"/>
              <w:adjustRightInd w:val="0"/>
              <w:snapToGrid w:val="0"/>
              <w:jc w:val="left"/>
              <w:rPr>
                <w:rFonts w:ascii="宋体" w:hAnsi="宋体"/>
                <w:color w:val="auto"/>
                <w:kern w:val="0"/>
                <w:sz w:val="24"/>
              </w:rPr>
            </w:pPr>
          </w:p>
        </w:tc>
        <w:tc>
          <w:tcPr>
            <w:tcW w:w="1453" w:type="dxa"/>
          </w:tcPr>
          <w:p w14:paraId="3B3AC40D">
            <w:pPr>
              <w:autoSpaceDE w:val="0"/>
              <w:autoSpaceDN w:val="0"/>
              <w:adjustRightInd w:val="0"/>
              <w:snapToGrid w:val="0"/>
              <w:jc w:val="left"/>
              <w:rPr>
                <w:rFonts w:ascii="宋体" w:hAnsi="宋体"/>
                <w:color w:val="auto"/>
                <w:kern w:val="0"/>
                <w:sz w:val="24"/>
              </w:rPr>
            </w:pPr>
          </w:p>
        </w:tc>
        <w:tc>
          <w:tcPr>
            <w:tcW w:w="1186" w:type="dxa"/>
          </w:tcPr>
          <w:p w14:paraId="08350AF7">
            <w:pPr>
              <w:autoSpaceDE w:val="0"/>
              <w:autoSpaceDN w:val="0"/>
              <w:adjustRightInd w:val="0"/>
              <w:snapToGrid w:val="0"/>
              <w:jc w:val="left"/>
              <w:rPr>
                <w:rFonts w:ascii="宋体" w:hAnsi="宋体"/>
                <w:color w:val="auto"/>
                <w:kern w:val="0"/>
                <w:sz w:val="24"/>
              </w:rPr>
            </w:pPr>
          </w:p>
        </w:tc>
        <w:tc>
          <w:tcPr>
            <w:tcW w:w="1188" w:type="dxa"/>
          </w:tcPr>
          <w:p w14:paraId="248D58FA">
            <w:pPr>
              <w:autoSpaceDE w:val="0"/>
              <w:autoSpaceDN w:val="0"/>
              <w:adjustRightInd w:val="0"/>
              <w:snapToGrid w:val="0"/>
              <w:jc w:val="left"/>
              <w:rPr>
                <w:rFonts w:ascii="宋体" w:hAnsi="宋体"/>
                <w:color w:val="auto"/>
                <w:kern w:val="0"/>
                <w:sz w:val="24"/>
              </w:rPr>
            </w:pPr>
          </w:p>
        </w:tc>
        <w:tc>
          <w:tcPr>
            <w:tcW w:w="1186" w:type="dxa"/>
          </w:tcPr>
          <w:p w14:paraId="704672D3">
            <w:pPr>
              <w:autoSpaceDE w:val="0"/>
              <w:autoSpaceDN w:val="0"/>
              <w:adjustRightInd w:val="0"/>
              <w:snapToGrid w:val="0"/>
              <w:jc w:val="left"/>
              <w:rPr>
                <w:rFonts w:ascii="宋体" w:hAnsi="宋体"/>
                <w:color w:val="auto"/>
                <w:kern w:val="0"/>
                <w:sz w:val="24"/>
              </w:rPr>
            </w:pPr>
          </w:p>
        </w:tc>
        <w:tc>
          <w:tcPr>
            <w:tcW w:w="1188" w:type="dxa"/>
          </w:tcPr>
          <w:p w14:paraId="7094E2B6">
            <w:pPr>
              <w:autoSpaceDE w:val="0"/>
              <w:autoSpaceDN w:val="0"/>
              <w:adjustRightInd w:val="0"/>
              <w:snapToGrid w:val="0"/>
              <w:jc w:val="left"/>
              <w:rPr>
                <w:rFonts w:ascii="宋体" w:hAnsi="宋体"/>
                <w:color w:val="auto"/>
                <w:kern w:val="0"/>
                <w:sz w:val="24"/>
              </w:rPr>
            </w:pPr>
          </w:p>
        </w:tc>
        <w:tc>
          <w:tcPr>
            <w:tcW w:w="1186" w:type="dxa"/>
          </w:tcPr>
          <w:p w14:paraId="3BF5804D">
            <w:pPr>
              <w:autoSpaceDE w:val="0"/>
              <w:autoSpaceDN w:val="0"/>
              <w:adjustRightInd w:val="0"/>
              <w:snapToGrid w:val="0"/>
              <w:jc w:val="left"/>
              <w:rPr>
                <w:rFonts w:ascii="宋体" w:hAnsi="宋体"/>
                <w:color w:val="auto"/>
                <w:kern w:val="0"/>
                <w:sz w:val="24"/>
              </w:rPr>
            </w:pPr>
          </w:p>
        </w:tc>
        <w:tc>
          <w:tcPr>
            <w:tcW w:w="1187" w:type="dxa"/>
          </w:tcPr>
          <w:p w14:paraId="42043703">
            <w:pPr>
              <w:autoSpaceDE w:val="0"/>
              <w:autoSpaceDN w:val="0"/>
              <w:adjustRightInd w:val="0"/>
              <w:snapToGrid w:val="0"/>
              <w:jc w:val="left"/>
              <w:rPr>
                <w:rFonts w:ascii="宋体" w:hAnsi="宋体"/>
                <w:color w:val="auto"/>
                <w:kern w:val="0"/>
                <w:sz w:val="24"/>
              </w:rPr>
            </w:pPr>
          </w:p>
        </w:tc>
      </w:tr>
      <w:tr w14:paraId="2B2DC5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EE8645B">
            <w:pPr>
              <w:autoSpaceDE w:val="0"/>
              <w:autoSpaceDN w:val="0"/>
              <w:adjustRightInd w:val="0"/>
              <w:snapToGrid w:val="0"/>
              <w:jc w:val="left"/>
              <w:rPr>
                <w:rFonts w:ascii="宋体" w:hAnsi="宋体"/>
                <w:color w:val="auto"/>
                <w:kern w:val="0"/>
                <w:sz w:val="24"/>
              </w:rPr>
            </w:pPr>
          </w:p>
        </w:tc>
        <w:tc>
          <w:tcPr>
            <w:tcW w:w="1453" w:type="dxa"/>
          </w:tcPr>
          <w:p w14:paraId="5E49E2CD">
            <w:pPr>
              <w:autoSpaceDE w:val="0"/>
              <w:autoSpaceDN w:val="0"/>
              <w:adjustRightInd w:val="0"/>
              <w:snapToGrid w:val="0"/>
              <w:jc w:val="left"/>
              <w:rPr>
                <w:rFonts w:ascii="宋体" w:hAnsi="宋体"/>
                <w:color w:val="auto"/>
                <w:kern w:val="0"/>
                <w:sz w:val="24"/>
              </w:rPr>
            </w:pPr>
          </w:p>
        </w:tc>
        <w:tc>
          <w:tcPr>
            <w:tcW w:w="1186" w:type="dxa"/>
          </w:tcPr>
          <w:p w14:paraId="72693581">
            <w:pPr>
              <w:autoSpaceDE w:val="0"/>
              <w:autoSpaceDN w:val="0"/>
              <w:adjustRightInd w:val="0"/>
              <w:snapToGrid w:val="0"/>
              <w:jc w:val="left"/>
              <w:rPr>
                <w:rFonts w:ascii="宋体" w:hAnsi="宋体"/>
                <w:color w:val="auto"/>
                <w:kern w:val="0"/>
                <w:sz w:val="24"/>
              </w:rPr>
            </w:pPr>
          </w:p>
        </w:tc>
        <w:tc>
          <w:tcPr>
            <w:tcW w:w="1188" w:type="dxa"/>
          </w:tcPr>
          <w:p w14:paraId="5A4BFB26">
            <w:pPr>
              <w:autoSpaceDE w:val="0"/>
              <w:autoSpaceDN w:val="0"/>
              <w:adjustRightInd w:val="0"/>
              <w:snapToGrid w:val="0"/>
              <w:jc w:val="left"/>
              <w:rPr>
                <w:rFonts w:ascii="宋体" w:hAnsi="宋体"/>
                <w:color w:val="auto"/>
                <w:kern w:val="0"/>
                <w:sz w:val="24"/>
              </w:rPr>
            </w:pPr>
          </w:p>
        </w:tc>
        <w:tc>
          <w:tcPr>
            <w:tcW w:w="1186" w:type="dxa"/>
          </w:tcPr>
          <w:p w14:paraId="08E0276C">
            <w:pPr>
              <w:autoSpaceDE w:val="0"/>
              <w:autoSpaceDN w:val="0"/>
              <w:adjustRightInd w:val="0"/>
              <w:snapToGrid w:val="0"/>
              <w:jc w:val="left"/>
              <w:rPr>
                <w:rFonts w:ascii="宋体" w:hAnsi="宋体"/>
                <w:color w:val="auto"/>
                <w:kern w:val="0"/>
                <w:sz w:val="24"/>
              </w:rPr>
            </w:pPr>
          </w:p>
        </w:tc>
        <w:tc>
          <w:tcPr>
            <w:tcW w:w="1188" w:type="dxa"/>
          </w:tcPr>
          <w:p w14:paraId="24DB0BE5">
            <w:pPr>
              <w:autoSpaceDE w:val="0"/>
              <w:autoSpaceDN w:val="0"/>
              <w:adjustRightInd w:val="0"/>
              <w:snapToGrid w:val="0"/>
              <w:jc w:val="left"/>
              <w:rPr>
                <w:rFonts w:ascii="宋体" w:hAnsi="宋体"/>
                <w:color w:val="auto"/>
                <w:kern w:val="0"/>
                <w:sz w:val="24"/>
              </w:rPr>
            </w:pPr>
          </w:p>
        </w:tc>
        <w:tc>
          <w:tcPr>
            <w:tcW w:w="1186" w:type="dxa"/>
          </w:tcPr>
          <w:p w14:paraId="324A612F">
            <w:pPr>
              <w:autoSpaceDE w:val="0"/>
              <w:autoSpaceDN w:val="0"/>
              <w:adjustRightInd w:val="0"/>
              <w:snapToGrid w:val="0"/>
              <w:jc w:val="left"/>
              <w:rPr>
                <w:rFonts w:ascii="宋体" w:hAnsi="宋体"/>
                <w:color w:val="auto"/>
                <w:kern w:val="0"/>
                <w:sz w:val="24"/>
              </w:rPr>
            </w:pPr>
          </w:p>
        </w:tc>
        <w:tc>
          <w:tcPr>
            <w:tcW w:w="1187" w:type="dxa"/>
          </w:tcPr>
          <w:p w14:paraId="54914BA7">
            <w:pPr>
              <w:autoSpaceDE w:val="0"/>
              <w:autoSpaceDN w:val="0"/>
              <w:adjustRightInd w:val="0"/>
              <w:snapToGrid w:val="0"/>
              <w:jc w:val="left"/>
              <w:rPr>
                <w:rFonts w:ascii="宋体" w:hAnsi="宋体"/>
                <w:color w:val="auto"/>
                <w:kern w:val="0"/>
                <w:sz w:val="24"/>
              </w:rPr>
            </w:pPr>
          </w:p>
        </w:tc>
      </w:tr>
      <w:tr w14:paraId="0A86FA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A9448C5">
            <w:pPr>
              <w:autoSpaceDE w:val="0"/>
              <w:autoSpaceDN w:val="0"/>
              <w:adjustRightInd w:val="0"/>
              <w:snapToGrid w:val="0"/>
              <w:jc w:val="left"/>
              <w:rPr>
                <w:rFonts w:ascii="宋体" w:hAnsi="宋体"/>
                <w:color w:val="auto"/>
                <w:kern w:val="0"/>
                <w:sz w:val="24"/>
              </w:rPr>
            </w:pPr>
          </w:p>
        </w:tc>
        <w:tc>
          <w:tcPr>
            <w:tcW w:w="1453" w:type="dxa"/>
          </w:tcPr>
          <w:p w14:paraId="70E0EAF6">
            <w:pPr>
              <w:autoSpaceDE w:val="0"/>
              <w:autoSpaceDN w:val="0"/>
              <w:adjustRightInd w:val="0"/>
              <w:snapToGrid w:val="0"/>
              <w:jc w:val="left"/>
              <w:rPr>
                <w:rFonts w:ascii="宋体" w:hAnsi="宋体"/>
                <w:color w:val="auto"/>
                <w:kern w:val="0"/>
                <w:sz w:val="24"/>
              </w:rPr>
            </w:pPr>
          </w:p>
        </w:tc>
        <w:tc>
          <w:tcPr>
            <w:tcW w:w="1186" w:type="dxa"/>
          </w:tcPr>
          <w:p w14:paraId="2DBA517D">
            <w:pPr>
              <w:autoSpaceDE w:val="0"/>
              <w:autoSpaceDN w:val="0"/>
              <w:adjustRightInd w:val="0"/>
              <w:snapToGrid w:val="0"/>
              <w:jc w:val="left"/>
              <w:rPr>
                <w:rFonts w:ascii="宋体" w:hAnsi="宋体"/>
                <w:color w:val="auto"/>
                <w:kern w:val="0"/>
                <w:sz w:val="24"/>
              </w:rPr>
            </w:pPr>
          </w:p>
        </w:tc>
        <w:tc>
          <w:tcPr>
            <w:tcW w:w="1188" w:type="dxa"/>
          </w:tcPr>
          <w:p w14:paraId="523FF2B8">
            <w:pPr>
              <w:autoSpaceDE w:val="0"/>
              <w:autoSpaceDN w:val="0"/>
              <w:adjustRightInd w:val="0"/>
              <w:snapToGrid w:val="0"/>
              <w:jc w:val="left"/>
              <w:rPr>
                <w:rFonts w:ascii="宋体" w:hAnsi="宋体"/>
                <w:color w:val="auto"/>
                <w:kern w:val="0"/>
                <w:sz w:val="24"/>
              </w:rPr>
            </w:pPr>
          </w:p>
        </w:tc>
        <w:tc>
          <w:tcPr>
            <w:tcW w:w="1186" w:type="dxa"/>
          </w:tcPr>
          <w:p w14:paraId="3DB20369">
            <w:pPr>
              <w:autoSpaceDE w:val="0"/>
              <w:autoSpaceDN w:val="0"/>
              <w:adjustRightInd w:val="0"/>
              <w:snapToGrid w:val="0"/>
              <w:jc w:val="left"/>
              <w:rPr>
                <w:rFonts w:ascii="宋体" w:hAnsi="宋体"/>
                <w:color w:val="auto"/>
                <w:kern w:val="0"/>
                <w:sz w:val="24"/>
              </w:rPr>
            </w:pPr>
          </w:p>
        </w:tc>
        <w:tc>
          <w:tcPr>
            <w:tcW w:w="1188" w:type="dxa"/>
          </w:tcPr>
          <w:p w14:paraId="667CC5D9">
            <w:pPr>
              <w:autoSpaceDE w:val="0"/>
              <w:autoSpaceDN w:val="0"/>
              <w:adjustRightInd w:val="0"/>
              <w:snapToGrid w:val="0"/>
              <w:jc w:val="left"/>
              <w:rPr>
                <w:rFonts w:ascii="宋体" w:hAnsi="宋体"/>
                <w:color w:val="auto"/>
                <w:kern w:val="0"/>
                <w:sz w:val="24"/>
              </w:rPr>
            </w:pPr>
          </w:p>
        </w:tc>
        <w:tc>
          <w:tcPr>
            <w:tcW w:w="1186" w:type="dxa"/>
          </w:tcPr>
          <w:p w14:paraId="12B39E0D">
            <w:pPr>
              <w:autoSpaceDE w:val="0"/>
              <w:autoSpaceDN w:val="0"/>
              <w:adjustRightInd w:val="0"/>
              <w:snapToGrid w:val="0"/>
              <w:jc w:val="left"/>
              <w:rPr>
                <w:rFonts w:ascii="宋体" w:hAnsi="宋体"/>
                <w:color w:val="auto"/>
                <w:kern w:val="0"/>
                <w:sz w:val="24"/>
              </w:rPr>
            </w:pPr>
          </w:p>
        </w:tc>
        <w:tc>
          <w:tcPr>
            <w:tcW w:w="1187" w:type="dxa"/>
          </w:tcPr>
          <w:p w14:paraId="4D5AB536">
            <w:pPr>
              <w:autoSpaceDE w:val="0"/>
              <w:autoSpaceDN w:val="0"/>
              <w:adjustRightInd w:val="0"/>
              <w:snapToGrid w:val="0"/>
              <w:jc w:val="left"/>
              <w:rPr>
                <w:rFonts w:ascii="宋体" w:hAnsi="宋体"/>
                <w:color w:val="auto"/>
                <w:kern w:val="0"/>
                <w:sz w:val="24"/>
              </w:rPr>
            </w:pPr>
          </w:p>
        </w:tc>
      </w:tr>
      <w:tr w14:paraId="26CE4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EE6A33E">
            <w:pPr>
              <w:autoSpaceDE w:val="0"/>
              <w:autoSpaceDN w:val="0"/>
              <w:adjustRightInd w:val="0"/>
              <w:snapToGrid w:val="0"/>
              <w:jc w:val="left"/>
              <w:rPr>
                <w:rFonts w:ascii="宋体" w:hAnsi="宋体"/>
                <w:color w:val="auto"/>
                <w:kern w:val="0"/>
                <w:sz w:val="24"/>
              </w:rPr>
            </w:pPr>
          </w:p>
        </w:tc>
        <w:tc>
          <w:tcPr>
            <w:tcW w:w="1453" w:type="dxa"/>
          </w:tcPr>
          <w:p w14:paraId="439FA880">
            <w:pPr>
              <w:autoSpaceDE w:val="0"/>
              <w:autoSpaceDN w:val="0"/>
              <w:adjustRightInd w:val="0"/>
              <w:snapToGrid w:val="0"/>
              <w:jc w:val="left"/>
              <w:rPr>
                <w:rFonts w:ascii="宋体" w:hAnsi="宋体"/>
                <w:color w:val="auto"/>
                <w:kern w:val="0"/>
                <w:sz w:val="24"/>
              </w:rPr>
            </w:pPr>
          </w:p>
        </w:tc>
        <w:tc>
          <w:tcPr>
            <w:tcW w:w="1186" w:type="dxa"/>
          </w:tcPr>
          <w:p w14:paraId="2CCF0938">
            <w:pPr>
              <w:autoSpaceDE w:val="0"/>
              <w:autoSpaceDN w:val="0"/>
              <w:adjustRightInd w:val="0"/>
              <w:snapToGrid w:val="0"/>
              <w:jc w:val="left"/>
              <w:rPr>
                <w:rFonts w:ascii="宋体" w:hAnsi="宋体"/>
                <w:color w:val="auto"/>
                <w:kern w:val="0"/>
                <w:sz w:val="24"/>
              </w:rPr>
            </w:pPr>
          </w:p>
        </w:tc>
        <w:tc>
          <w:tcPr>
            <w:tcW w:w="1188" w:type="dxa"/>
          </w:tcPr>
          <w:p w14:paraId="2FD59B59">
            <w:pPr>
              <w:autoSpaceDE w:val="0"/>
              <w:autoSpaceDN w:val="0"/>
              <w:adjustRightInd w:val="0"/>
              <w:snapToGrid w:val="0"/>
              <w:jc w:val="left"/>
              <w:rPr>
                <w:rFonts w:ascii="宋体" w:hAnsi="宋体"/>
                <w:color w:val="auto"/>
                <w:kern w:val="0"/>
                <w:sz w:val="24"/>
              </w:rPr>
            </w:pPr>
          </w:p>
        </w:tc>
        <w:tc>
          <w:tcPr>
            <w:tcW w:w="1186" w:type="dxa"/>
          </w:tcPr>
          <w:p w14:paraId="0B1433F6">
            <w:pPr>
              <w:autoSpaceDE w:val="0"/>
              <w:autoSpaceDN w:val="0"/>
              <w:adjustRightInd w:val="0"/>
              <w:snapToGrid w:val="0"/>
              <w:jc w:val="left"/>
              <w:rPr>
                <w:rFonts w:ascii="宋体" w:hAnsi="宋体"/>
                <w:color w:val="auto"/>
                <w:kern w:val="0"/>
                <w:sz w:val="24"/>
              </w:rPr>
            </w:pPr>
          </w:p>
        </w:tc>
        <w:tc>
          <w:tcPr>
            <w:tcW w:w="1188" w:type="dxa"/>
          </w:tcPr>
          <w:p w14:paraId="21FBCF2A">
            <w:pPr>
              <w:autoSpaceDE w:val="0"/>
              <w:autoSpaceDN w:val="0"/>
              <w:adjustRightInd w:val="0"/>
              <w:snapToGrid w:val="0"/>
              <w:jc w:val="left"/>
              <w:rPr>
                <w:rFonts w:ascii="宋体" w:hAnsi="宋体"/>
                <w:color w:val="auto"/>
                <w:kern w:val="0"/>
                <w:sz w:val="24"/>
              </w:rPr>
            </w:pPr>
          </w:p>
        </w:tc>
        <w:tc>
          <w:tcPr>
            <w:tcW w:w="1186" w:type="dxa"/>
          </w:tcPr>
          <w:p w14:paraId="524FC544">
            <w:pPr>
              <w:autoSpaceDE w:val="0"/>
              <w:autoSpaceDN w:val="0"/>
              <w:adjustRightInd w:val="0"/>
              <w:snapToGrid w:val="0"/>
              <w:jc w:val="left"/>
              <w:rPr>
                <w:rFonts w:ascii="宋体" w:hAnsi="宋体"/>
                <w:color w:val="auto"/>
                <w:kern w:val="0"/>
                <w:sz w:val="24"/>
              </w:rPr>
            </w:pPr>
          </w:p>
        </w:tc>
        <w:tc>
          <w:tcPr>
            <w:tcW w:w="1187" w:type="dxa"/>
          </w:tcPr>
          <w:p w14:paraId="25ADB406">
            <w:pPr>
              <w:autoSpaceDE w:val="0"/>
              <w:autoSpaceDN w:val="0"/>
              <w:adjustRightInd w:val="0"/>
              <w:snapToGrid w:val="0"/>
              <w:jc w:val="left"/>
              <w:rPr>
                <w:rFonts w:ascii="宋体" w:hAnsi="宋体"/>
                <w:color w:val="auto"/>
                <w:kern w:val="0"/>
                <w:sz w:val="24"/>
              </w:rPr>
            </w:pPr>
          </w:p>
        </w:tc>
      </w:tr>
      <w:tr w14:paraId="414D43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21E43CE">
            <w:pPr>
              <w:autoSpaceDE w:val="0"/>
              <w:autoSpaceDN w:val="0"/>
              <w:adjustRightInd w:val="0"/>
              <w:snapToGrid w:val="0"/>
              <w:jc w:val="left"/>
              <w:rPr>
                <w:rFonts w:ascii="宋体" w:hAnsi="宋体"/>
                <w:color w:val="auto"/>
                <w:kern w:val="0"/>
                <w:sz w:val="24"/>
              </w:rPr>
            </w:pPr>
          </w:p>
        </w:tc>
        <w:tc>
          <w:tcPr>
            <w:tcW w:w="1453" w:type="dxa"/>
          </w:tcPr>
          <w:p w14:paraId="4A77B851">
            <w:pPr>
              <w:autoSpaceDE w:val="0"/>
              <w:autoSpaceDN w:val="0"/>
              <w:adjustRightInd w:val="0"/>
              <w:snapToGrid w:val="0"/>
              <w:jc w:val="left"/>
              <w:rPr>
                <w:rFonts w:ascii="宋体" w:hAnsi="宋体"/>
                <w:color w:val="auto"/>
                <w:kern w:val="0"/>
                <w:sz w:val="24"/>
              </w:rPr>
            </w:pPr>
          </w:p>
        </w:tc>
        <w:tc>
          <w:tcPr>
            <w:tcW w:w="1186" w:type="dxa"/>
          </w:tcPr>
          <w:p w14:paraId="47E4A0E0">
            <w:pPr>
              <w:autoSpaceDE w:val="0"/>
              <w:autoSpaceDN w:val="0"/>
              <w:adjustRightInd w:val="0"/>
              <w:snapToGrid w:val="0"/>
              <w:jc w:val="left"/>
              <w:rPr>
                <w:rFonts w:ascii="宋体" w:hAnsi="宋体"/>
                <w:color w:val="auto"/>
                <w:kern w:val="0"/>
                <w:sz w:val="24"/>
              </w:rPr>
            </w:pPr>
          </w:p>
        </w:tc>
        <w:tc>
          <w:tcPr>
            <w:tcW w:w="1188" w:type="dxa"/>
          </w:tcPr>
          <w:p w14:paraId="209A4FF9">
            <w:pPr>
              <w:autoSpaceDE w:val="0"/>
              <w:autoSpaceDN w:val="0"/>
              <w:adjustRightInd w:val="0"/>
              <w:snapToGrid w:val="0"/>
              <w:jc w:val="left"/>
              <w:rPr>
                <w:rFonts w:ascii="宋体" w:hAnsi="宋体"/>
                <w:color w:val="auto"/>
                <w:kern w:val="0"/>
                <w:sz w:val="24"/>
              </w:rPr>
            </w:pPr>
          </w:p>
        </w:tc>
        <w:tc>
          <w:tcPr>
            <w:tcW w:w="1186" w:type="dxa"/>
          </w:tcPr>
          <w:p w14:paraId="6B0CDEB3">
            <w:pPr>
              <w:autoSpaceDE w:val="0"/>
              <w:autoSpaceDN w:val="0"/>
              <w:adjustRightInd w:val="0"/>
              <w:snapToGrid w:val="0"/>
              <w:jc w:val="left"/>
              <w:rPr>
                <w:rFonts w:ascii="宋体" w:hAnsi="宋体"/>
                <w:color w:val="auto"/>
                <w:kern w:val="0"/>
                <w:sz w:val="24"/>
              </w:rPr>
            </w:pPr>
          </w:p>
        </w:tc>
        <w:tc>
          <w:tcPr>
            <w:tcW w:w="1188" w:type="dxa"/>
          </w:tcPr>
          <w:p w14:paraId="51851541">
            <w:pPr>
              <w:autoSpaceDE w:val="0"/>
              <w:autoSpaceDN w:val="0"/>
              <w:adjustRightInd w:val="0"/>
              <w:snapToGrid w:val="0"/>
              <w:jc w:val="left"/>
              <w:rPr>
                <w:rFonts w:ascii="宋体" w:hAnsi="宋体"/>
                <w:color w:val="auto"/>
                <w:kern w:val="0"/>
                <w:sz w:val="24"/>
              </w:rPr>
            </w:pPr>
          </w:p>
        </w:tc>
        <w:tc>
          <w:tcPr>
            <w:tcW w:w="1186" w:type="dxa"/>
          </w:tcPr>
          <w:p w14:paraId="6249EDFD">
            <w:pPr>
              <w:autoSpaceDE w:val="0"/>
              <w:autoSpaceDN w:val="0"/>
              <w:adjustRightInd w:val="0"/>
              <w:snapToGrid w:val="0"/>
              <w:jc w:val="left"/>
              <w:rPr>
                <w:rFonts w:ascii="宋体" w:hAnsi="宋体"/>
                <w:color w:val="auto"/>
                <w:kern w:val="0"/>
                <w:sz w:val="24"/>
              </w:rPr>
            </w:pPr>
          </w:p>
        </w:tc>
        <w:tc>
          <w:tcPr>
            <w:tcW w:w="1187" w:type="dxa"/>
          </w:tcPr>
          <w:p w14:paraId="560F554E">
            <w:pPr>
              <w:autoSpaceDE w:val="0"/>
              <w:autoSpaceDN w:val="0"/>
              <w:adjustRightInd w:val="0"/>
              <w:snapToGrid w:val="0"/>
              <w:jc w:val="left"/>
              <w:rPr>
                <w:rFonts w:ascii="宋体" w:hAnsi="宋体"/>
                <w:color w:val="auto"/>
                <w:kern w:val="0"/>
                <w:sz w:val="24"/>
              </w:rPr>
            </w:pPr>
          </w:p>
        </w:tc>
      </w:tr>
      <w:tr w14:paraId="684572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8B7D021">
            <w:pPr>
              <w:autoSpaceDE w:val="0"/>
              <w:autoSpaceDN w:val="0"/>
              <w:adjustRightInd w:val="0"/>
              <w:snapToGrid w:val="0"/>
              <w:jc w:val="left"/>
              <w:rPr>
                <w:rFonts w:ascii="宋体" w:hAnsi="宋体"/>
                <w:color w:val="auto"/>
                <w:kern w:val="0"/>
                <w:sz w:val="24"/>
              </w:rPr>
            </w:pPr>
          </w:p>
        </w:tc>
        <w:tc>
          <w:tcPr>
            <w:tcW w:w="1453" w:type="dxa"/>
          </w:tcPr>
          <w:p w14:paraId="7616703B">
            <w:pPr>
              <w:autoSpaceDE w:val="0"/>
              <w:autoSpaceDN w:val="0"/>
              <w:adjustRightInd w:val="0"/>
              <w:snapToGrid w:val="0"/>
              <w:jc w:val="left"/>
              <w:rPr>
                <w:rFonts w:ascii="宋体" w:hAnsi="宋体"/>
                <w:color w:val="auto"/>
                <w:kern w:val="0"/>
                <w:sz w:val="24"/>
              </w:rPr>
            </w:pPr>
          </w:p>
        </w:tc>
        <w:tc>
          <w:tcPr>
            <w:tcW w:w="1186" w:type="dxa"/>
          </w:tcPr>
          <w:p w14:paraId="4DF0CA52">
            <w:pPr>
              <w:autoSpaceDE w:val="0"/>
              <w:autoSpaceDN w:val="0"/>
              <w:adjustRightInd w:val="0"/>
              <w:snapToGrid w:val="0"/>
              <w:jc w:val="left"/>
              <w:rPr>
                <w:rFonts w:ascii="宋体" w:hAnsi="宋体"/>
                <w:color w:val="auto"/>
                <w:kern w:val="0"/>
                <w:sz w:val="24"/>
              </w:rPr>
            </w:pPr>
          </w:p>
        </w:tc>
        <w:tc>
          <w:tcPr>
            <w:tcW w:w="1188" w:type="dxa"/>
          </w:tcPr>
          <w:p w14:paraId="525B99D8">
            <w:pPr>
              <w:autoSpaceDE w:val="0"/>
              <w:autoSpaceDN w:val="0"/>
              <w:adjustRightInd w:val="0"/>
              <w:snapToGrid w:val="0"/>
              <w:jc w:val="left"/>
              <w:rPr>
                <w:rFonts w:ascii="宋体" w:hAnsi="宋体"/>
                <w:color w:val="auto"/>
                <w:kern w:val="0"/>
                <w:sz w:val="24"/>
              </w:rPr>
            </w:pPr>
          </w:p>
        </w:tc>
        <w:tc>
          <w:tcPr>
            <w:tcW w:w="1186" w:type="dxa"/>
          </w:tcPr>
          <w:p w14:paraId="015C1CD2">
            <w:pPr>
              <w:autoSpaceDE w:val="0"/>
              <w:autoSpaceDN w:val="0"/>
              <w:adjustRightInd w:val="0"/>
              <w:snapToGrid w:val="0"/>
              <w:jc w:val="left"/>
              <w:rPr>
                <w:rFonts w:ascii="宋体" w:hAnsi="宋体"/>
                <w:color w:val="auto"/>
                <w:kern w:val="0"/>
                <w:sz w:val="24"/>
              </w:rPr>
            </w:pPr>
          </w:p>
        </w:tc>
        <w:tc>
          <w:tcPr>
            <w:tcW w:w="1188" w:type="dxa"/>
          </w:tcPr>
          <w:p w14:paraId="778A8A1F">
            <w:pPr>
              <w:autoSpaceDE w:val="0"/>
              <w:autoSpaceDN w:val="0"/>
              <w:adjustRightInd w:val="0"/>
              <w:snapToGrid w:val="0"/>
              <w:jc w:val="left"/>
              <w:rPr>
                <w:rFonts w:ascii="宋体" w:hAnsi="宋体"/>
                <w:color w:val="auto"/>
                <w:kern w:val="0"/>
                <w:sz w:val="24"/>
              </w:rPr>
            </w:pPr>
          </w:p>
        </w:tc>
        <w:tc>
          <w:tcPr>
            <w:tcW w:w="1186" w:type="dxa"/>
          </w:tcPr>
          <w:p w14:paraId="2BE05596">
            <w:pPr>
              <w:autoSpaceDE w:val="0"/>
              <w:autoSpaceDN w:val="0"/>
              <w:adjustRightInd w:val="0"/>
              <w:snapToGrid w:val="0"/>
              <w:jc w:val="left"/>
              <w:rPr>
                <w:rFonts w:ascii="宋体" w:hAnsi="宋体"/>
                <w:color w:val="auto"/>
                <w:kern w:val="0"/>
                <w:sz w:val="24"/>
              </w:rPr>
            </w:pPr>
          </w:p>
        </w:tc>
        <w:tc>
          <w:tcPr>
            <w:tcW w:w="1187" w:type="dxa"/>
          </w:tcPr>
          <w:p w14:paraId="1A3E2E0B">
            <w:pPr>
              <w:autoSpaceDE w:val="0"/>
              <w:autoSpaceDN w:val="0"/>
              <w:adjustRightInd w:val="0"/>
              <w:snapToGrid w:val="0"/>
              <w:jc w:val="left"/>
              <w:rPr>
                <w:rFonts w:ascii="宋体" w:hAnsi="宋体"/>
                <w:color w:val="auto"/>
                <w:kern w:val="0"/>
                <w:sz w:val="24"/>
              </w:rPr>
            </w:pPr>
          </w:p>
        </w:tc>
      </w:tr>
      <w:tr w14:paraId="5DA7DB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80FB020">
            <w:pPr>
              <w:autoSpaceDE w:val="0"/>
              <w:autoSpaceDN w:val="0"/>
              <w:adjustRightInd w:val="0"/>
              <w:snapToGrid w:val="0"/>
              <w:jc w:val="left"/>
              <w:rPr>
                <w:rFonts w:ascii="宋体" w:hAnsi="宋体"/>
                <w:color w:val="auto"/>
                <w:kern w:val="0"/>
                <w:sz w:val="24"/>
              </w:rPr>
            </w:pPr>
          </w:p>
        </w:tc>
        <w:tc>
          <w:tcPr>
            <w:tcW w:w="1453" w:type="dxa"/>
          </w:tcPr>
          <w:p w14:paraId="0DB22456">
            <w:pPr>
              <w:autoSpaceDE w:val="0"/>
              <w:autoSpaceDN w:val="0"/>
              <w:adjustRightInd w:val="0"/>
              <w:snapToGrid w:val="0"/>
              <w:jc w:val="left"/>
              <w:rPr>
                <w:rFonts w:ascii="宋体" w:hAnsi="宋体"/>
                <w:color w:val="auto"/>
                <w:kern w:val="0"/>
                <w:sz w:val="24"/>
              </w:rPr>
            </w:pPr>
          </w:p>
        </w:tc>
        <w:tc>
          <w:tcPr>
            <w:tcW w:w="1186" w:type="dxa"/>
          </w:tcPr>
          <w:p w14:paraId="1D0C7EE0">
            <w:pPr>
              <w:autoSpaceDE w:val="0"/>
              <w:autoSpaceDN w:val="0"/>
              <w:adjustRightInd w:val="0"/>
              <w:snapToGrid w:val="0"/>
              <w:jc w:val="left"/>
              <w:rPr>
                <w:rFonts w:ascii="宋体" w:hAnsi="宋体"/>
                <w:color w:val="auto"/>
                <w:kern w:val="0"/>
                <w:sz w:val="24"/>
              </w:rPr>
            </w:pPr>
          </w:p>
        </w:tc>
        <w:tc>
          <w:tcPr>
            <w:tcW w:w="1188" w:type="dxa"/>
          </w:tcPr>
          <w:p w14:paraId="01B7180B">
            <w:pPr>
              <w:autoSpaceDE w:val="0"/>
              <w:autoSpaceDN w:val="0"/>
              <w:adjustRightInd w:val="0"/>
              <w:snapToGrid w:val="0"/>
              <w:jc w:val="left"/>
              <w:rPr>
                <w:rFonts w:ascii="宋体" w:hAnsi="宋体"/>
                <w:color w:val="auto"/>
                <w:kern w:val="0"/>
                <w:sz w:val="24"/>
              </w:rPr>
            </w:pPr>
          </w:p>
        </w:tc>
        <w:tc>
          <w:tcPr>
            <w:tcW w:w="1186" w:type="dxa"/>
          </w:tcPr>
          <w:p w14:paraId="5E2E0AAB">
            <w:pPr>
              <w:autoSpaceDE w:val="0"/>
              <w:autoSpaceDN w:val="0"/>
              <w:adjustRightInd w:val="0"/>
              <w:snapToGrid w:val="0"/>
              <w:jc w:val="left"/>
              <w:rPr>
                <w:rFonts w:ascii="宋体" w:hAnsi="宋体"/>
                <w:color w:val="auto"/>
                <w:kern w:val="0"/>
                <w:sz w:val="24"/>
              </w:rPr>
            </w:pPr>
          </w:p>
        </w:tc>
        <w:tc>
          <w:tcPr>
            <w:tcW w:w="1188" w:type="dxa"/>
          </w:tcPr>
          <w:p w14:paraId="25000CFA">
            <w:pPr>
              <w:autoSpaceDE w:val="0"/>
              <w:autoSpaceDN w:val="0"/>
              <w:adjustRightInd w:val="0"/>
              <w:snapToGrid w:val="0"/>
              <w:jc w:val="left"/>
              <w:rPr>
                <w:rFonts w:ascii="宋体" w:hAnsi="宋体"/>
                <w:color w:val="auto"/>
                <w:kern w:val="0"/>
                <w:sz w:val="24"/>
              </w:rPr>
            </w:pPr>
          </w:p>
        </w:tc>
        <w:tc>
          <w:tcPr>
            <w:tcW w:w="1186" w:type="dxa"/>
          </w:tcPr>
          <w:p w14:paraId="10BB1FF5">
            <w:pPr>
              <w:autoSpaceDE w:val="0"/>
              <w:autoSpaceDN w:val="0"/>
              <w:adjustRightInd w:val="0"/>
              <w:snapToGrid w:val="0"/>
              <w:jc w:val="left"/>
              <w:rPr>
                <w:rFonts w:ascii="宋体" w:hAnsi="宋体"/>
                <w:color w:val="auto"/>
                <w:kern w:val="0"/>
                <w:sz w:val="24"/>
              </w:rPr>
            </w:pPr>
          </w:p>
        </w:tc>
        <w:tc>
          <w:tcPr>
            <w:tcW w:w="1187" w:type="dxa"/>
          </w:tcPr>
          <w:p w14:paraId="74CC8A87">
            <w:pPr>
              <w:autoSpaceDE w:val="0"/>
              <w:autoSpaceDN w:val="0"/>
              <w:adjustRightInd w:val="0"/>
              <w:snapToGrid w:val="0"/>
              <w:jc w:val="left"/>
              <w:rPr>
                <w:rFonts w:ascii="宋体" w:hAnsi="宋体"/>
                <w:color w:val="auto"/>
                <w:kern w:val="0"/>
                <w:sz w:val="24"/>
              </w:rPr>
            </w:pPr>
          </w:p>
        </w:tc>
      </w:tr>
      <w:tr w14:paraId="1C71C8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CDDDC18">
            <w:pPr>
              <w:autoSpaceDE w:val="0"/>
              <w:autoSpaceDN w:val="0"/>
              <w:adjustRightInd w:val="0"/>
              <w:snapToGrid w:val="0"/>
              <w:jc w:val="left"/>
              <w:rPr>
                <w:rFonts w:ascii="宋体" w:hAnsi="宋体"/>
                <w:color w:val="auto"/>
                <w:kern w:val="0"/>
                <w:sz w:val="24"/>
              </w:rPr>
            </w:pPr>
          </w:p>
        </w:tc>
        <w:tc>
          <w:tcPr>
            <w:tcW w:w="1453" w:type="dxa"/>
          </w:tcPr>
          <w:p w14:paraId="20262E2D">
            <w:pPr>
              <w:autoSpaceDE w:val="0"/>
              <w:autoSpaceDN w:val="0"/>
              <w:adjustRightInd w:val="0"/>
              <w:snapToGrid w:val="0"/>
              <w:jc w:val="left"/>
              <w:rPr>
                <w:rFonts w:ascii="宋体" w:hAnsi="宋体"/>
                <w:color w:val="auto"/>
                <w:kern w:val="0"/>
                <w:sz w:val="24"/>
              </w:rPr>
            </w:pPr>
          </w:p>
        </w:tc>
        <w:tc>
          <w:tcPr>
            <w:tcW w:w="1186" w:type="dxa"/>
          </w:tcPr>
          <w:p w14:paraId="10448A8E">
            <w:pPr>
              <w:autoSpaceDE w:val="0"/>
              <w:autoSpaceDN w:val="0"/>
              <w:adjustRightInd w:val="0"/>
              <w:snapToGrid w:val="0"/>
              <w:jc w:val="left"/>
              <w:rPr>
                <w:rFonts w:ascii="宋体" w:hAnsi="宋体"/>
                <w:color w:val="auto"/>
                <w:kern w:val="0"/>
                <w:sz w:val="24"/>
              </w:rPr>
            </w:pPr>
          </w:p>
        </w:tc>
        <w:tc>
          <w:tcPr>
            <w:tcW w:w="1188" w:type="dxa"/>
          </w:tcPr>
          <w:p w14:paraId="664BF7F5">
            <w:pPr>
              <w:autoSpaceDE w:val="0"/>
              <w:autoSpaceDN w:val="0"/>
              <w:adjustRightInd w:val="0"/>
              <w:snapToGrid w:val="0"/>
              <w:jc w:val="left"/>
              <w:rPr>
                <w:rFonts w:ascii="宋体" w:hAnsi="宋体"/>
                <w:color w:val="auto"/>
                <w:kern w:val="0"/>
                <w:sz w:val="24"/>
              </w:rPr>
            </w:pPr>
          </w:p>
        </w:tc>
        <w:tc>
          <w:tcPr>
            <w:tcW w:w="1186" w:type="dxa"/>
          </w:tcPr>
          <w:p w14:paraId="3EDC4510">
            <w:pPr>
              <w:autoSpaceDE w:val="0"/>
              <w:autoSpaceDN w:val="0"/>
              <w:adjustRightInd w:val="0"/>
              <w:snapToGrid w:val="0"/>
              <w:jc w:val="left"/>
              <w:rPr>
                <w:rFonts w:ascii="宋体" w:hAnsi="宋体"/>
                <w:color w:val="auto"/>
                <w:kern w:val="0"/>
                <w:sz w:val="24"/>
              </w:rPr>
            </w:pPr>
          </w:p>
        </w:tc>
        <w:tc>
          <w:tcPr>
            <w:tcW w:w="1188" w:type="dxa"/>
          </w:tcPr>
          <w:p w14:paraId="2127B859">
            <w:pPr>
              <w:autoSpaceDE w:val="0"/>
              <w:autoSpaceDN w:val="0"/>
              <w:adjustRightInd w:val="0"/>
              <w:snapToGrid w:val="0"/>
              <w:jc w:val="left"/>
              <w:rPr>
                <w:rFonts w:ascii="宋体" w:hAnsi="宋体"/>
                <w:color w:val="auto"/>
                <w:kern w:val="0"/>
                <w:sz w:val="24"/>
              </w:rPr>
            </w:pPr>
          </w:p>
        </w:tc>
        <w:tc>
          <w:tcPr>
            <w:tcW w:w="1186" w:type="dxa"/>
          </w:tcPr>
          <w:p w14:paraId="2A18A45C">
            <w:pPr>
              <w:autoSpaceDE w:val="0"/>
              <w:autoSpaceDN w:val="0"/>
              <w:adjustRightInd w:val="0"/>
              <w:snapToGrid w:val="0"/>
              <w:jc w:val="left"/>
              <w:rPr>
                <w:rFonts w:ascii="宋体" w:hAnsi="宋体"/>
                <w:color w:val="auto"/>
                <w:kern w:val="0"/>
                <w:sz w:val="24"/>
              </w:rPr>
            </w:pPr>
          </w:p>
        </w:tc>
        <w:tc>
          <w:tcPr>
            <w:tcW w:w="1187" w:type="dxa"/>
          </w:tcPr>
          <w:p w14:paraId="52C80C96">
            <w:pPr>
              <w:autoSpaceDE w:val="0"/>
              <w:autoSpaceDN w:val="0"/>
              <w:adjustRightInd w:val="0"/>
              <w:snapToGrid w:val="0"/>
              <w:jc w:val="left"/>
              <w:rPr>
                <w:rFonts w:ascii="宋体" w:hAnsi="宋体"/>
                <w:color w:val="auto"/>
                <w:kern w:val="0"/>
                <w:sz w:val="24"/>
              </w:rPr>
            </w:pPr>
          </w:p>
        </w:tc>
      </w:tr>
      <w:tr w14:paraId="6A82D6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423774E">
            <w:pPr>
              <w:autoSpaceDE w:val="0"/>
              <w:autoSpaceDN w:val="0"/>
              <w:adjustRightInd w:val="0"/>
              <w:snapToGrid w:val="0"/>
              <w:jc w:val="left"/>
              <w:rPr>
                <w:rFonts w:ascii="宋体" w:hAnsi="宋体"/>
                <w:color w:val="auto"/>
                <w:kern w:val="0"/>
                <w:sz w:val="24"/>
              </w:rPr>
            </w:pPr>
          </w:p>
        </w:tc>
        <w:tc>
          <w:tcPr>
            <w:tcW w:w="1453" w:type="dxa"/>
          </w:tcPr>
          <w:p w14:paraId="09925C6A">
            <w:pPr>
              <w:autoSpaceDE w:val="0"/>
              <w:autoSpaceDN w:val="0"/>
              <w:adjustRightInd w:val="0"/>
              <w:snapToGrid w:val="0"/>
              <w:jc w:val="left"/>
              <w:rPr>
                <w:rFonts w:ascii="宋体" w:hAnsi="宋体"/>
                <w:color w:val="auto"/>
                <w:kern w:val="0"/>
                <w:sz w:val="24"/>
              </w:rPr>
            </w:pPr>
          </w:p>
        </w:tc>
        <w:tc>
          <w:tcPr>
            <w:tcW w:w="1186" w:type="dxa"/>
          </w:tcPr>
          <w:p w14:paraId="3CCB9C4E">
            <w:pPr>
              <w:autoSpaceDE w:val="0"/>
              <w:autoSpaceDN w:val="0"/>
              <w:adjustRightInd w:val="0"/>
              <w:snapToGrid w:val="0"/>
              <w:jc w:val="left"/>
              <w:rPr>
                <w:rFonts w:ascii="宋体" w:hAnsi="宋体"/>
                <w:color w:val="auto"/>
                <w:kern w:val="0"/>
                <w:sz w:val="24"/>
              </w:rPr>
            </w:pPr>
          </w:p>
        </w:tc>
        <w:tc>
          <w:tcPr>
            <w:tcW w:w="1188" w:type="dxa"/>
          </w:tcPr>
          <w:p w14:paraId="45D76EA6">
            <w:pPr>
              <w:autoSpaceDE w:val="0"/>
              <w:autoSpaceDN w:val="0"/>
              <w:adjustRightInd w:val="0"/>
              <w:snapToGrid w:val="0"/>
              <w:jc w:val="left"/>
              <w:rPr>
                <w:rFonts w:ascii="宋体" w:hAnsi="宋体"/>
                <w:color w:val="auto"/>
                <w:kern w:val="0"/>
                <w:sz w:val="24"/>
              </w:rPr>
            </w:pPr>
          </w:p>
        </w:tc>
        <w:tc>
          <w:tcPr>
            <w:tcW w:w="1186" w:type="dxa"/>
          </w:tcPr>
          <w:p w14:paraId="3A40F38D">
            <w:pPr>
              <w:autoSpaceDE w:val="0"/>
              <w:autoSpaceDN w:val="0"/>
              <w:adjustRightInd w:val="0"/>
              <w:snapToGrid w:val="0"/>
              <w:jc w:val="left"/>
              <w:rPr>
                <w:rFonts w:ascii="宋体" w:hAnsi="宋体"/>
                <w:color w:val="auto"/>
                <w:kern w:val="0"/>
                <w:sz w:val="24"/>
              </w:rPr>
            </w:pPr>
          </w:p>
        </w:tc>
        <w:tc>
          <w:tcPr>
            <w:tcW w:w="1188" w:type="dxa"/>
          </w:tcPr>
          <w:p w14:paraId="1799F347">
            <w:pPr>
              <w:autoSpaceDE w:val="0"/>
              <w:autoSpaceDN w:val="0"/>
              <w:adjustRightInd w:val="0"/>
              <w:snapToGrid w:val="0"/>
              <w:jc w:val="left"/>
              <w:rPr>
                <w:rFonts w:ascii="宋体" w:hAnsi="宋体"/>
                <w:color w:val="auto"/>
                <w:kern w:val="0"/>
                <w:sz w:val="24"/>
              </w:rPr>
            </w:pPr>
          </w:p>
        </w:tc>
        <w:tc>
          <w:tcPr>
            <w:tcW w:w="1186" w:type="dxa"/>
          </w:tcPr>
          <w:p w14:paraId="32102BFF">
            <w:pPr>
              <w:autoSpaceDE w:val="0"/>
              <w:autoSpaceDN w:val="0"/>
              <w:adjustRightInd w:val="0"/>
              <w:snapToGrid w:val="0"/>
              <w:jc w:val="left"/>
              <w:rPr>
                <w:rFonts w:ascii="宋体" w:hAnsi="宋体"/>
                <w:color w:val="auto"/>
                <w:kern w:val="0"/>
                <w:sz w:val="24"/>
              </w:rPr>
            </w:pPr>
          </w:p>
        </w:tc>
        <w:tc>
          <w:tcPr>
            <w:tcW w:w="1187" w:type="dxa"/>
          </w:tcPr>
          <w:p w14:paraId="7DB40E97">
            <w:pPr>
              <w:autoSpaceDE w:val="0"/>
              <w:autoSpaceDN w:val="0"/>
              <w:adjustRightInd w:val="0"/>
              <w:snapToGrid w:val="0"/>
              <w:jc w:val="left"/>
              <w:rPr>
                <w:rFonts w:ascii="宋体" w:hAnsi="宋体"/>
                <w:color w:val="auto"/>
                <w:kern w:val="0"/>
                <w:sz w:val="24"/>
              </w:rPr>
            </w:pPr>
          </w:p>
        </w:tc>
      </w:tr>
    </w:tbl>
    <w:p w14:paraId="41C00F08">
      <w:pPr>
        <w:autoSpaceDE w:val="0"/>
        <w:autoSpaceDN w:val="0"/>
        <w:adjustRightInd w:val="0"/>
        <w:snapToGrid w:val="0"/>
        <w:spacing w:line="20" w:lineRule="exact"/>
        <w:jc w:val="left"/>
        <w:rPr>
          <w:rFonts w:ascii="宋体" w:hAnsi="宋体"/>
          <w:color w:val="auto"/>
          <w:kern w:val="0"/>
        </w:rPr>
      </w:pPr>
    </w:p>
    <w:p w14:paraId="403799FD">
      <w:pPr>
        <w:jc w:val="center"/>
        <w:rPr>
          <w:rFonts w:ascii="宋体" w:hAnsi="宋体"/>
          <w:b/>
          <w:color w:val="auto"/>
        </w:rPr>
      </w:pPr>
      <w:bookmarkStart w:id="2052" w:name="_Toc430530542"/>
      <w:r>
        <w:rPr>
          <w:rFonts w:ascii="宋体" w:hAnsi="宋体"/>
          <w:color w:val="auto"/>
          <w:sz w:val="28"/>
        </w:rPr>
        <w:br w:type="page"/>
      </w:r>
      <w:bookmarkStart w:id="2053" w:name="_Toc509218860"/>
      <w:bookmarkStart w:id="2054" w:name="_Toc534185837"/>
      <w:r>
        <w:rPr>
          <w:color w:val="auto"/>
          <w:sz w:val="32"/>
          <w:szCs w:val="32"/>
        </w:rPr>
        <w:t>附表四：计划开、竣工日期和施工进度网络图</w:t>
      </w:r>
      <w:bookmarkEnd w:id="2034"/>
      <w:bookmarkEnd w:id="2035"/>
      <w:bookmarkEnd w:id="2036"/>
      <w:bookmarkEnd w:id="2037"/>
      <w:bookmarkEnd w:id="2052"/>
      <w:bookmarkEnd w:id="2053"/>
      <w:bookmarkEnd w:id="2054"/>
    </w:p>
    <w:p w14:paraId="0F17D413">
      <w:pPr>
        <w:autoSpaceDE w:val="0"/>
        <w:autoSpaceDN w:val="0"/>
        <w:adjustRightInd w:val="0"/>
        <w:snapToGrid w:val="0"/>
        <w:spacing w:line="360" w:lineRule="auto"/>
        <w:jc w:val="left"/>
        <w:rPr>
          <w:rFonts w:ascii="宋体" w:hAnsi="宋体"/>
          <w:color w:val="auto"/>
          <w:kern w:val="0"/>
          <w:sz w:val="20"/>
          <w:szCs w:val="20"/>
        </w:rPr>
      </w:pPr>
    </w:p>
    <w:p w14:paraId="120BE164">
      <w:pPr>
        <w:autoSpaceDE w:val="0"/>
        <w:autoSpaceDN w:val="0"/>
        <w:adjustRightInd w:val="0"/>
        <w:snapToGrid w:val="0"/>
        <w:spacing w:line="360" w:lineRule="auto"/>
        <w:ind w:firstLine="420"/>
        <w:jc w:val="left"/>
        <w:rPr>
          <w:rFonts w:ascii="宋体" w:hAnsi="宋体"/>
          <w:color w:val="auto"/>
          <w:kern w:val="0"/>
          <w:szCs w:val="21"/>
        </w:rPr>
      </w:pPr>
      <w:r>
        <w:rPr>
          <w:rFonts w:ascii="宋体" w:hAnsi="宋体"/>
          <w:color w:val="auto"/>
          <w:kern w:val="0"/>
          <w:szCs w:val="21"/>
        </w:rPr>
        <w:t xml:space="preserve">1. </w:t>
      </w:r>
      <w:r>
        <w:rPr>
          <w:rFonts w:ascii="宋体" w:hAnsi="宋体"/>
          <w:color w:val="auto"/>
          <w:spacing w:val="1"/>
          <w:kern w:val="0"/>
          <w:szCs w:val="21"/>
        </w:rPr>
        <w:t>投标人</w:t>
      </w:r>
      <w:r>
        <w:rPr>
          <w:rFonts w:ascii="宋体" w:hAnsi="宋体"/>
          <w:color w:val="auto"/>
          <w:spacing w:val="2"/>
          <w:kern w:val="0"/>
          <w:szCs w:val="21"/>
        </w:rPr>
        <w:t>应</w:t>
      </w:r>
      <w:r>
        <w:rPr>
          <w:rFonts w:ascii="宋体" w:hAnsi="宋体"/>
          <w:color w:val="auto"/>
          <w:spacing w:val="1"/>
          <w:kern w:val="0"/>
          <w:szCs w:val="21"/>
        </w:rPr>
        <w:t>递交</w:t>
      </w:r>
      <w:r>
        <w:rPr>
          <w:rFonts w:ascii="宋体" w:hAnsi="宋体"/>
          <w:color w:val="auto"/>
          <w:spacing w:val="2"/>
          <w:kern w:val="0"/>
          <w:szCs w:val="21"/>
        </w:rPr>
        <w:t>施</w:t>
      </w:r>
      <w:r>
        <w:rPr>
          <w:rFonts w:ascii="宋体" w:hAnsi="宋体"/>
          <w:color w:val="auto"/>
          <w:spacing w:val="1"/>
          <w:kern w:val="0"/>
          <w:szCs w:val="21"/>
        </w:rPr>
        <w:t>工</w:t>
      </w:r>
      <w:r>
        <w:rPr>
          <w:rFonts w:ascii="宋体" w:hAnsi="宋体"/>
          <w:color w:val="auto"/>
          <w:spacing w:val="2"/>
          <w:kern w:val="0"/>
          <w:szCs w:val="21"/>
        </w:rPr>
        <w:t>进</w:t>
      </w:r>
      <w:r>
        <w:rPr>
          <w:rFonts w:ascii="宋体" w:hAnsi="宋体"/>
          <w:color w:val="auto"/>
          <w:spacing w:val="1"/>
          <w:kern w:val="0"/>
          <w:szCs w:val="21"/>
        </w:rPr>
        <w:t>度网</w:t>
      </w:r>
      <w:r>
        <w:rPr>
          <w:rFonts w:ascii="宋体" w:hAnsi="宋体"/>
          <w:color w:val="auto"/>
          <w:spacing w:val="2"/>
          <w:kern w:val="0"/>
          <w:szCs w:val="21"/>
        </w:rPr>
        <w:t>络</w:t>
      </w:r>
      <w:r>
        <w:rPr>
          <w:rFonts w:ascii="宋体" w:hAnsi="宋体"/>
          <w:color w:val="auto"/>
          <w:spacing w:val="1"/>
          <w:kern w:val="0"/>
          <w:szCs w:val="21"/>
        </w:rPr>
        <w:t>图</w:t>
      </w:r>
      <w:r>
        <w:rPr>
          <w:rFonts w:ascii="宋体" w:hAnsi="宋体"/>
          <w:color w:val="auto"/>
          <w:spacing w:val="2"/>
          <w:kern w:val="0"/>
          <w:szCs w:val="21"/>
        </w:rPr>
        <w:t>或</w:t>
      </w:r>
      <w:r>
        <w:rPr>
          <w:rFonts w:ascii="宋体" w:hAnsi="宋体"/>
          <w:color w:val="auto"/>
          <w:spacing w:val="1"/>
          <w:kern w:val="0"/>
          <w:szCs w:val="21"/>
        </w:rPr>
        <w:t>施工</w:t>
      </w:r>
      <w:r>
        <w:rPr>
          <w:rFonts w:ascii="宋体" w:hAnsi="宋体"/>
          <w:color w:val="auto"/>
          <w:spacing w:val="2"/>
          <w:kern w:val="0"/>
          <w:szCs w:val="21"/>
        </w:rPr>
        <w:t>进</w:t>
      </w:r>
      <w:r>
        <w:rPr>
          <w:rFonts w:ascii="宋体" w:hAnsi="宋体"/>
          <w:color w:val="auto"/>
          <w:spacing w:val="1"/>
          <w:kern w:val="0"/>
          <w:szCs w:val="21"/>
        </w:rPr>
        <w:t>度</w:t>
      </w:r>
      <w:r>
        <w:rPr>
          <w:rFonts w:ascii="宋体" w:hAnsi="宋体"/>
          <w:color w:val="auto"/>
          <w:spacing w:val="2"/>
          <w:kern w:val="0"/>
          <w:szCs w:val="21"/>
        </w:rPr>
        <w:t>表</w:t>
      </w:r>
      <w:r>
        <w:rPr>
          <w:rFonts w:ascii="宋体" w:hAnsi="宋体"/>
          <w:color w:val="auto"/>
          <w:spacing w:val="1"/>
          <w:kern w:val="0"/>
          <w:szCs w:val="21"/>
        </w:rPr>
        <w:t>，说</w:t>
      </w:r>
      <w:r>
        <w:rPr>
          <w:rFonts w:ascii="宋体" w:hAnsi="宋体"/>
          <w:color w:val="auto"/>
          <w:spacing w:val="2"/>
          <w:kern w:val="0"/>
          <w:szCs w:val="21"/>
        </w:rPr>
        <w:t>明</w:t>
      </w:r>
      <w:r>
        <w:rPr>
          <w:rFonts w:ascii="宋体" w:hAnsi="宋体"/>
          <w:color w:val="auto"/>
          <w:spacing w:val="1"/>
          <w:kern w:val="0"/>
          <w:szCs w:val="21"/>
        </w:rPr>
        <w:t>按</w:t>
      </w:r>
      <w:r>
        <w:rPr>
          <w:rFonts w:hint="eastAsia" w:ascii="宋体" w:hAnsi="宋体"/>
          <w:color w:val="auto"/>
          <w:spacing w:val="2"/>
          <w:kern w:val="0"/>
          <w:szCs w:val="21"/>
        </w:rPr>
        <w:t>采购</w:t>
      </w:r>
      <w:r>
        <w:rPr>
          <w:rFonts w:ascii="宋体" w:hAnsi="宋体"/>
          <w:color w:val="auto"/>
          <w:spacing w:val="1"/>
          <w:kern w:val="0"/>
          <w:szCs w:val="21"/>
        </w:rPr>
        <w:t>文</w:t>
      </w:r>
      <w:r>
        <w:rPr>
          <w:rFonts w:ascii="宋体" w:hAnsi="宋体"/>
          <w:color w:val="auto"/>
          <w:spacing w:val="2"/>
          <w:kern w:val="0"/>
          <w:szCs w:val="21"/>
        </w:rPr>
        <w:t>件</w:t>
      </w:r>
      <w:r>
        <w:rPr>
          <w:rFonts w:ascii="宋体" w:hAnsi="宋体"/>
          <w:color w:val="auto"/>
          <w:spacing w:val="1"/>
          <w:kern w:val="0"/>
          <w:szCs w:val="21"/>
        </w:rPr>
        <w:t>要</w:t>
      </w:r>
      <w:r>
        <w:rPr>
          <w:rFonts w:ascii="宋体" w:hAnsi="宋体"/>
          <w:color w:val="auto"/>
          <w:spacing w:val="2"/>
          <w:kern w:val="0"/>
          <w:szCs w:val="21"/>
        </w:rPr>
        <w:t>求</w:t>
      </w:r>
      <w:r>
        <w:rPr>
          <w:rFonts w:ascii="宋体" w:hAnsi="宋体"/>
          <w:color w:val="auto"/>
          <w:spacing w:val="1"/>
          <w:kern w:val="0"/>
          <w:szCs w:val="21"/>
        </w:rPr>
        <w:t>的计</w:t>
      </w:r>
      <w:r>
        <w:rPr>
          <w:rFonts w:ascii="宋体" w:hAnsi="宋体"/>
          <w:color w:val="auto"/>
          <w:spacing w:val="2"/>
          <w:kern w:val="0"/>
          <w:szCs w:val="21"/>
        </w:rPr>
        <w:t>划</w:t>
      </w:r>
      <w:r>
        <w:rPr>
          <w:rFonts w:ascii="宋体" w:hAnsi="宋体"/>
          <w:color w:val="auto"/>
          <w:spacing w:val="1"/>
          <w:kern w:val="0"/>
          <w:szCs w:val="21"/>
        </w:rPr>
        <w:t>工</w:t>
      </w:r>
      <w:r>
        <w:rPr>
          <w:rFonts w:ascii="宋体" w:hAnsi="宋体"/>
          <w:color w:val="auto"/>
          <w:spacing w:val="4"/>
          <w:kern w:val="0"/>
          <w:szCs w:val="21"/>
        </w:rPr>
        <w:t>期</w:t>
      </w:r>
      <w:r>
        <w:rPr>
          <w:rFonts w:ascii="宋体" w:hAnsi="宋体"/>
          <w:color w:val="auto"/>
          <w:spacing w:val="2"/>
          <w:kern w:val="0"/>
          <w:szCs w:val="21"/>
        </w:rPr>
        <w:t>进</w:t>
      </w:r>
      <w:r>
        <w:rPr>
          <w:rFonts w:ascii="宋体" w:hAnsi="宋体"/>
          <w:color w:val="auto"/>
          <w:spacing w:val="1"/>
          <w:kern w:val="0"/>
          <w:szCs w:val="21"/>
        </w:rPr>
        <w:t>行</w:t>
      </w:r>
      <w:r>
        <w:rPr>
          <w:rFonts w:ascii="宋体" w:hAnsi="宋体"/>
          <w:color w:val="auto"/>
          <w:kern w:val="0"/>
          <w:szCs w:val="21"/>
        </w:rPr>
        <w:t>施工的各个关键日期。</w:t>
      </w:r>
    </w:p>
    <w:p w14:paraId="084D5EC4">
      <w:pPr>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2.施工进</w:t>
      </w:r>
      <w:r>
        <w:rPr>
          <w:rFonts w:ascii="宋体" w:hAnsi="宋体"/>
          <w:color w:val="auto"/>
          <w:spacing w:val="-1"/>
          <w:kern w:val="0"/>
          <w:szCs w:val="21"/>
        </w:rPr>
        <w:t>度</w:t>
      </w:r>
      <w:r>
        <w:rPr>
          <w:rFonts w:ascii="宋体" w:hAnsi="宋体"/>
          <w:color w:val="auto"/>
          <w:kern w:val="0"/>
          <w:szCs w:val="21"/>
        </w:rPr>
        <w:t>表可采用网络图（或横道图）表示。</w:t>
      </w:r>
    </w:p>
    <w:p w14:paraId="20F4E202">
      <w:pPr>
        <w:jc w:val="center"/>
        <w:rPr>
          <w:rFonts w:ascii="宋体" w:hAnsi="宋体"/>
          <w:color w:val="auto"/>
          <w:sz w:val="28"/>
        </w:rPr>
      </w:pPr>
      <w:bookmarkStart w:id="2055" w:name="_Toc277082654"/>
      <w:bookmarkStart w:id="2056" w:name="_Toc287607880"/>
      <w:bookmarkStart w:id="2057" w:name="_Toc534185838"/>
      <w:bookmarkStart w:id="2058" w:name="_Toc287620827"/>
      <w:bookmarkStart w:id="2059" w:name="_Toc224103508"/>
      <w:bookmarkStart w:id="2060" w:name="_Toc430530543"/>
      <w:bookmarkStart w:id="2061" w:name="_Toc509218861"/>
      <w:r>
        <w:rPr>
          <w:rFonts w:ascii="宋体" w:hAnsi="宋体"/>
          <w:color w:val="auto"/>
          <w:kern w:val="0"/>
          <w:sz w:val="24"/>
        </w:rPr>
        <w:br w:type="page"/>
      </w:r>
      <w:r>
        <w:rPr>
          <w:color w:val="auto"/>
          <w:sz w:val="32"/>
          <w:szCs w:val="32"/>
        </w:rPr>
        <w:t>附表五：施工总平面图</w:t>
      </w:r>
      <w:bookmarkEnd w:id="2055"/>
      <w:bookmarkEnd w:id="2056"/>
      <w:bookmarkEnd w:id="2057"/>
      <w:bookmarkEnd w:id="2058"/>
      <w:bookmarkEnd w:id="2059"/>
      <w:bookmarkEnd w:id="2060"/>
      <w:bookmarkEnd w:id="2061"/>
    </w:p>
    <w:p w14:paraId="04ACCC36">
      <w:pPr>
        <w:autoSpaceDE w:val="0"/>
        <w:autoSpaceDN w:val="0"/>
        <w:adjustRightInd w:val="0"/>
        <w:snapToGrid w:val="0"/>
        <w:spacing w:line="360" w:lineRule="auto"/>
        <w:jc w:val="left"/>
        <w:rPr>
          <w:rFonts w:ascii="宋体" w:hAnsi="宋体"/>
          <w:color w:val="auto"/>
          <w:kern w:val="0"/>
          <w:sz w:val="20"/>
          <w:szCs w:val="20"/>
        </w:rPr>
      </w:pPr>
    </w:p>
    <w:p w14:paraId="1D71A694">
      <w:pPr>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投标人应递交一份施工总平面图</w:t>
      </w:r>
      <w:r>
        <w:rPr>
          <w:rFonts w:ascii="宋体" w:hAnsi="宋体"/>
          <w:color w:val="auto"/>
          <w:spacing w:val="-47"/>
          <w:kern w:val="0"/>
          <w:szCs w:val="21"/>
        </w:rPr>
        <w:t>，</w:t>
      </w:r>
      <w:r>
        <w:rPr>
          <w:rFonts w:ascii="宋体" w:hAnsi="宋体"/>
          <w:color w:val="auto"/>
          <w:kern w:val="0"/>
          <w:szCs w:val="21"/>
        </w:rPr>
        <w:t>绘出现场临时设施布置图表并附文字说明</w:t>
      </w:r>
      <w:r>
        <w:rPr>
          <w:rFonts w:ascii="宋体" w:hAnsi="宋体"/>
          <w:color w:val="auto"/>
          <w:spacing w:val="-47"/>
          <w:kern w:val="0"/>
          <w:szCs w:val="21"/>
        </w:rPr>
        <w:t>，</w:t>
      </w:r>
      <w:r>
        <w:rPr>
          <w:rFonts w:ascii="宋体" w:hAnsi="宋体"/>
          <w:color w:val="auto"/>
          <w:kern w:val="0"/>
          <w:szCs w:val="21"/>
        </w:rPr>
        <w:t>说明临时 设施</w:t>
      </w:r>
      <w:r>
        <w:rPr>
          <w:rFonts w:ascii="宋体" w:hAnsi="宋体"/>
          <w:color w:val="auto"/>
          <w:spacing w:val="-11"/>
          <w:kern w:val="0"/>
          <w:szCs w:val="21"/>
        </w:rPr>
        <w:t>、</w:t>
      </w:r>
      <w:r>
        <w:rPr>
          <w:rFonts w:ascii="宋体" w:hAnsi="宋体"/>
          <w:color w:val="auto"/>
          <w:kern w:val="0"/>
          <w:szCs w:val="21"/>
        </w:rPr>
        <w:t>加工车间</w:t>
      </w:r>
      <w:r>
        <w:rPr>
          <w:rFonts w:ascii="宋体" w:hAnsi="宋体"/>
          <w:color w:val="auto"/>
          <w:spacing w:val="-11"/>
          <w:kern w:val="0"/>
          <w:szCs w:val="21"/>
        </w:rPr>
        <w:t>、</w:t>
      </w:r>
      <w:r>
        <w:rPr>
          <w:rFonts w:ascii="宋体" w:hAnsi="宋体"/>
          <w:color w:val="auto"/>
          <w:kern w:val="0"/>
          <w:szCs w:val="21"/>
        </w:rPr>
        <w:t>现场办公</w:t>
      </w:r>
      <w:r>
        <w:rPr>
          <w:rFonts w:ascii="宋体" w:hAnsi="宋体"/>
          <w:color w:val="auto"/>
          <w:spacing w:val="-11"/>
          <w:kern w:val="0"/>
          <w:szCs w:val="21"/>
        </w:rPr>
        <w:t>、</w:t>
      </w:r>
      <w:r>
        <w:rPr>
          <w:rFonts w:ascii="宋体" w:hAnsi="宋体"/>
          <w:color w:val="auto"/>
          <w:kern w:val="0"/>
          <w:szCs w:val="21"/>
        </w:rPr>
        <w:t>设备及仓储</w:t>
      </w:r>
      <w:r>
        <w:rPr>
          <w:rFonts w:ascii="宋体" w:hAnsi="宋体"/>
          <w:color w:val="auto"/>
          <w:spacing w:val="-11"/>
          <w:kern w:val="0"/>
          <w:szCs w:val="21"/>
        </w:rPr>
        <w:t>、</w:t>
      </w:r>
      <w:r>
        <w:rPr>
          <w:rFonts w:ascii="宋体" w:hAnsi="宋体"/>
          <w:color w:val="auto"/>
          <w:kern w:val="0"/>
          <w:szCs w:val="21"/>
        </w:rPr>
        <w:t>供电</w:t>
      </w:r>
      <w:r>
        <w:rPr>
          <w:rFonts w:ascii="宋体" w:hAnsi="宋体"/>
          <w:color w:val="auto"/>
          <w:spacing w:val="-11"/>
          <w:kern w:val="0"/>
          <w:szCs w:val="21"/>
        </w:rPr>
        <w:t>、</w:t>
      </w:r>
      <w:r>
        <w:rPr>
          <w:rFonts w:ascii="宋体" w:hAnsi="宋体"/>
          <w:color w:val="auto"/>
          <w:kern w:val="0"/>
          <w:szCs w:val="21"/>
        </w:rPr>
        <w:t>供水</w:t>
      </w:r>
      <w:r>
        <w:rPr>
          <w:rFonts w:ascii="宋体" w:hAnsi="宋体"/>
          <w:color w:val="auto"/>
          <w:spacing w:val="-10"/>
          <w:kern w:val="0"/>
          <w:szCs w:val="21"/>
        </w:rPr>
        <w:t>、</w:t>
      </w:r>
      <w:r>
        <w:rPr>
          <w:rFonts w:ascii="宋体" w:hAnsi="宋体"/>
          <w:color w:val="auto"/>
          <w:kern w:val="0"/>
          <w:szCs w:val="21"/>
        </w:rPr>
        <w:t>卫生</w:t>
      </w:r>
      <w:r>
        <w:rPr>
          <w:rFonts w:ascii="宋体" w:hAnsi="宋体"/>
          <w:color w:val="auto"/>
          <w:spacing w:val="-11"/>
          <w:kern w:val="0"/>
          <w:szCs w:val="21"/>
        </w:rPr>
        <w:t>、</w:t>
      </w:r>
      <w:r>
        <w:rPr>
          <w:rFonts w:ascii="宋体" w:hAnsi="宋体"/>
          <w:color w:val="auto"/>
          <w:kern w:val="0"/>
          <w:szCs w:val="21"/>
        </w:rPr>
        <w:t>生活</w:t>
      </w:r>
      <w:r>
        <w:rPr>
          <w:rFonts w:ascii="宋体" w:hAnsi="宋体"/>
          <w:color w:val="auto"/>
          <w:spacing w:val="-11"/>
          <w:kern w:val="0"/>
          <w:szCs w:val="21"/>
        </w:rPr>
        <w:t>、</w:t>
      </w:r>
      <w:r>
        <w:rPr>
          <w:rFonts w:ascii="宋体" w:hAnsi="宋体"/>
          <w:color w:val="auto"/>
          <w:kern w:val="0"/>
          <w:szCs w:val="21"/>
        </w:rPr>
        <w:t>道路</w:t>
      </w:r>
      <w:r>
        <w:rPr>
          <w:rFonts w:ascii="宋体" w:hAnsi="宋体"/>
          <w:color w:val="auto"/>
          <w:spacing w:val="-11"/>
          <w:kern w:val="0"/>
          <w:szCs w:val="21"/>
        </w:rPr>
        <w:t>、</w:t>
      </w:r>
      <w:r>
        <w:rPr>
          <w:rFonts w:ascii="宋体" w:hAnsi="宋体"/>
          <w:color w:val="auto"/>
          <w:spacing w:val="1"/>
          <w:kern w:val="0"/>
          <w:szCs w:val="21"/>
        </w:rPr>
        <w:t>消</w:t>
      </w:r>
      <w:r>
        <w:rPr>
          <w:rFonts w:ascii="宋体" w:hAnsi="宋体"/>
          <w:color w:val="auto"/>
          <w:kern w:val="0"/>
          <w:szCs w:val="21"/>
        </w:rPr>
        <w:t>防等设施的情况和布置。</w:t>
      </w:r>
    </w:p>
    <w:p w14:paraId="757969CD">
      <w:pPr>
        <w:autoSpaceDE w:val="0"/>
        <w:autoSpaceDN w:val="0"/>
        <w:adjustRightInd w:val="0"/>
        <w:snapToGrid w:val="0"/>
        <w:spacing w:line="360" w:lineRule="auto"/>
        <w:jc w:val="left"/>
        <w:rPr>
          <w:rFonts w:ascii="宋体" w:hAnsi="宋体"/>
          <w:color w:val="auto"/>
          <w:kern w:val="0"/>
          <w:szCs w:val="21"/>
        </w:rPr>
      </w:pPr>
      <w:r>
        <w:rPr>
          <w:rFonts w:ascii="宋体" w:hAnsi="宋体"/>
          <w:color w:val="auto"/>
          <w:kern w:val="0"/>
          <w:szCs w:val="21"/>
        </w:rPr>
        <w:br w:type="page"/>
      </w:r>
    </w:p>
    <w:p w14:paraId="1D55CC3D">
      <w:pPr>
        <w:jc w:val="center"/>
        <w:rPr>
          <w:color w:val="auto"/>
          <w:sz w:val="32"/>
          <w:szCs w:val="32"/>
        </w:rPr>
      </w:pPr>
      <w:bookmarkStart w:id="2062" w:name="_Toc224103509"/>
      <w:bookmarkStart w:id="2063" w:name="_Toc509218862"/>
      <w:bookmarkStart w:id="2064" w:name="_Toc287607881"/>
      <w:bookmarkStart w:id="2065" w:name="_Toc534185839"/>
      <w:bookmarkStart w:id="2066" w:name="_Toc430530544"/>
      <w:bookmarkStart w:id="2067" w:name="_Toc277082655"/>
      <w:bookmarkStart w:id="2068" w:name="_Toc287620828"/>
      <w:r>
        <w:rPr>
          <w:rFonts w:hint="eastAsia"/>
          <w:color w:val="auto"/>
          <w:sz w:val="32"/>
          <w:szCs w:val="32"/>
        </w:rPr>
        <w:t>附表六：临时用地表</w:t>
      </w:r>
      <w:bookmarkEnd w:id="2062"/>
      <w:bookmarkEnd w:id="2063"/>
      <w:bookmarkEnd w:id="2064"/>
      <w:bookmarkEnd w:id="2065"/>
      <w:bookmarkEnd w:id="2066"/>
      <w:bookmarkEnd w:id="2067"/>
      <w:bookmarkEnd w:id="2068"/>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076045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16E7C1AB">
            <w:pPr>
              <w:autoSpaceDE w:val="0"/>
              <w:autoSpaceDN w:val="0"/>
              <w:adjustRightInd w:val="0"/>
              <w:snapToGrid w:val="0"/>
              <w:jc w:val="center"/>
              <w:rPr>
                <w:rFonts w:ascii="宋体" w:hAnsi="宋体"/>
                <w:color w:val="auto"/>
                <w:kern w:val="0"/>
                <w:sz w:val="24"/>
              </w:rPr>
            </w:pPr>
            <w:r>
              <w:rPr>
                <w:rFonts w:ascii="宋体" w:hAnsi="宋体"/>
                <w:color w:val="auto"/>
                <w:kern w:val="0"/>
                <w:szCs w:val="21"/>
              </w:rPr>
              <w:t>用 途</w:t>
            </w:r>
          </w:p>
        </w:tc>
        <w:tc>
          <w:tcPr>
            <w:tcW w:w="2381" w:type="dxa"/>
            <w:vAlign w:val="center"/>
          </w:tcPr>
          <w:p w14:paraId="1507DC51">
            <w:pPr>
              <w:autoSpaceDE w:val="0"/>
              <w:autoSpaceDN w:val="0"/>
              <w:adjustRightInd w:val="0"/>
              <w:snapToGrid w:val="0"/>
              <w:jc w:val="center"/>
              <w:rPr>
                <w:rFonts w:ascii="宋体" w:hAnsi="宋体"/>
                <w:color w:val="auto"/>
                <w:kern w:val="0"/>
                <w:sz w:val="24"/>
              </w:rPr>
            </w:pPr>
            <w:r>
              <w:rPr>
                <w:rFonts w:ascii="宋体" w:hAnsi="宋体"/>
                <w:color w:val="auto"/>
                <w:kern w:val="0"/>
                <w:szCs w:val="21"/>
              </w:rPr>
              <w:t>面 积（平</w:t>
            </w:r>
            <w:r>
              <w:rPr>
                <w:rFonts w:ascii="宋体" w:hAnsi="宋体"/>
                <w:color w:val="auto"/>
                <w:spacing w:val="-1"/>
                <w:kern w:val="0"/>
                <w:szCs w:val="21"/>
              </w:rPr>
              <w:t>方</w:t>
            </w:r>
            <w:r>
              <w:rPr>
                <w:rFonts w:ascii="宋体" w:hAnsi="宋体"/>
                <w:color w:val="auto"/>
                <w:kern w:val="0"/>
                <w:szCs w:val="21"/>
              </w:rPr>
              <w:t>米）</w:t>
            </w:r>
          </w:p>
        </w:tc>
        <w:tc>
          <w:tcPr>
            <w:tcW w:w="2383" w:type="dxa"/>
            <w:vAlign w:val="center"/>
          </w:tcPr>
          <w:p w14:paraId="7DF56A2A">
            <w:pPr>
              <w:autoSpaceDE w:val="0"/>
              <w:autoSpaceDN w:val="0"/>
              <w:adjustRightInd w:val="0"/>
              <w:snapToGrid w:val="0"/>
              <w:jc w:val="center"/>
              <w:rPr>
                <w:rFonts w:ascii="宋体" w:hAnsi="宋体"/>
                <w:color w:val="auto"/>
                <w:kern w:val="0"/>
                <w:sz w:val="24"/>
              </w:rPr>
            </w:pPr>
            <w:r>
              <w:rPr>
                <w:rFonts w:ascii="宋体" w:hAnsi="宋体"/>
                <w:color w:val="auto"/>
                <w:kern w:val="0"/>
                <w:szCs w:val="21"/>
              </w:rPr>
              <w:t>位 置</w:t>
            </w:r>
          </w:p>
        </w:tc>
        <w:tc>
          <w:tcPr>
            <w:tcW w:w="2384" w:type="dxa"/>
            <w:vAlign w:val="center"/>
          </w:tcPr>
          <w:p w14:paraId="54A8CD20">
            <w:pPr>
              <w:autoSpaceDE w:val="0"/>
              <w:autoSpaceDN w:val="0"/>
              <w:adjustRightInd w:val="0"/>
              <w:snapToGrid w:val="0"/>
              <w:jc w:val="center"/>
              <w:rPr>
                <w:rFonts w:ascii="宋体" w:hAnsi="宋体"/>
                <w:color w:val="auto"/>
                <w:kern w:val="0"/>
                <w:sz w:val="24"/>
              </w:rPr>
            </w:pPr>
            <w:r>
              <w:rPr>
                <w:rFonts w:ascii="宋体" w:hAnsi="宋体"/>
                <w:color w:val="auto"/>
                <w:kern w:val="0"/>
                <w:szCs w:val="21"/>
              </w:rPr>
              <w:t>需用时间</w:t>
            </w:r>
          </w:p>
        </w:tc>
      </w:tr>
      <w:tr w14:paraId="48E12C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86EA575">
            <w:pPr>
              <w:autoSpaceDE w:val="0"/>
              <w:autoSpaceDN w:val="0"/>
              <w:adjustRightInd w:val="0"/>
              <w:snapToGrid w:val="0"/>
              <w:jc w:val="left"/>
              <w:rPr>
                <w:rFonts w:ascii="宋体" w:hAnsi="宋体"/>
                <w:color w:val="auto"/>
                <w:kern w:val="0"/>
                <w:sz w:val="24"/>
              </w:rPr>
            </w:pPr>
          </w:p>
        </w:tc>
        <w:tc>
          <w:tcPr>
            <w:tcW w:w="2381" w:type="dxa"/>
          </w:tcPr>
          <w:p w14:paraId="6F1DD029">
            <w:pPr>
              <w:autoSpaceDE w:val="0"/>
              <w:autoSpaceDN w:val="0"/>
              <w:adjustRightInd w:val="0"/>
              <w:snapToGrid w:val="0"/>
              <w:jc w:val="left"/>
              <w:rPr>
                <w:rFonts w:ascii="宋体" w:hAnsi="宋体"/>
                <w:color w:val="auto"/>
                <w:kern w:val="0"/>
                <w:sz w:val="24"/>
              </w:rPr>
            </w:pPr>
          </w:p>
        </w:tc>
        <w:tc>
          <w:tcPr>
            <w:tcW w:w="2383" w:type="dxa"/>
          </w:tcPr>
          <w:p w14:paraId="47515F45">
            <w:pPr>
              <w:autoSpaceDE w:val="0"/>
              <w:autoSpaceDN w:val="0"/>
              <w:adjustRightInd w:val="0"/>
              <w:snapToGrid w:val="0"/>
              <w:jc w:val="left"/>
              <w:rPr>
                <w:rFonts w:ascii="宋体" w:hAnsi="宋体"/>
                <w:color w:val="auto"/>
                <w:kern w:val="0"/>
                <w:sz w:val="24"/>
              </w:rPr>
            </w:pPr>
          </w:p>
        </w:tc>
        <w:tc>
          <w:tcPr>
            <w:tcW w:w="2384" w:type="dxa"/>
          </w:tcPr>
          <w:p w14:paraId="2631A657">
            <w:pPr>
              <w:autoSpaceDE w:val="0"/>
              <w:autoSpaceDN w:val="0"/>
              <w:adjustRightInd w:val="0"/>
              <w:snapToGrid w:val="0"/>
              <w:jc w:val="left"/>
              <w:rPr>
                <w:rFonts w:ascii="宋体" w:hAnsi="宋体"/>
                <w:color w:val="auto"/>
                <w:kern w:val="0"/>
                <w:sz w:val="24"/>
              </w:rPr>
            </w:pPr>
          </w:p>
        </w:tc>
      </w:tr>
      <w:tr w14:paraId="1BDE12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E7A181">
            <w:pPr>
              <w:autoSpaceDE w:val="0"/>
              <w:autoSpaceDN w:val="0"/>
              <w:adjustRightInd w:val="0"/>
              <w:snapToGrid w:val="0"/>
              <w:jc w:val="left"/>
              <w:rPr>
                <w:rFonts w:ascii="宋体" w:hAnsi="宋体"/>
                <w:color w:val="auto"/>
                <w:kern w:val="0"/>
                <w:sz w:val="24"/>
              </w:rPr>
            </w:pPr>
          </w:p>
        </w:tc>
        <w:tc>
          <w:tcPr>
            <w:tcW w:w="2381" w:type="dxa"/>
          </w:tcPr>
          <w:p w14:paraId="3C72A45E">
            <w:pPr>
              <w:autoSpaceDE w:val="0"/>
              <w:autoSpaceDN w:val="0"/>
              <w:adjustRightInd w:val="0"/>
              <w:snapToGrid w:val="0"/>
              <w:jc w:val="left"/>
              <w:rPr>
                <w:rFonts w:ascii="宋体" w:hAnsi="宋体"/>
                <w:color w:val="auto"/>
                <w:kern w:val="0"/>
                <w:sz w:val="24"/>
              </w:rPr>
            </w:pPr>
          </w:p>
        </w:tc>
        <w:tc>
          <w:tcPr>
            <w:tcW w:w="2383" w:type="dxa"/>
          </w:tcPr>
          <w:p w14:paraId="2E804E3E">
            <w:pPr>
              <w:autoSpaceDE w:val="0"/>
              <w:autoSpaceDN w:val="0"/>
              <w:adjustRightInd w:val="0"/>
              <w:snapToGrid w:val="0"/>
              <w:jc w:val="left"/>
              <w:rPr>
                <w:rFonts w:ascii="宋体" w:hAnsi="宋体"/>
                <w:color w:val="auto"/>
                <w:kern w:val="0"/>
                <w:sz w:val="24"/>
              </w:rPr>
            </w:pPr>
          </w:p>
        </w:tc>
        <w:tc>
          <w:tcPr>
            <w:tcW w:w="2384" w:type="dxa"/>
          </w:tcPr>
          <w:p w14:paraId="0B289699">
            <w:pPr>
              <w:autoSpaceDE w:val="0"/>
              <w:autoSpaceDN w:val="0"/>
              <w:adjustRightInd w:val="0"/>
              <w:snapToGrid w:val="0"/>
              <w:jc w:val="left"/>
              <w:rPr>
                <w:rFonts w:ascii="宋体" w:hAnsi="宋体"/>
                <w:color w:val="auto"/>
                <w:kern w:val="0"/>
                <w:sz w:val="24"/>
              </w:rPr>
            </w:pPr>
          </w:p>
        </w:tc>
      </w:tr>
      <w:tr w14:paraId="55EB4B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EE81BDE">
            <w:pPr>
              <w:autoSpaceDE w:val="0"/>
              <w:autoSpaceDN w:val="0"/>
              <w:adjustRightInd w:val="0"/>
              <w:snapToGrid w:val="0"/>
              <w:jc w:val="left"/>
              <w:rPr>
                <w:rFonts w:ascii="宋体" w:hAnsi="宋体"/>
                <w:color w:val="auto"/>
                <w:kern w:val="0"/>
                <w:sz w:val="24"/>
              </w:rPr>
            </w:pPr>
          </w:p>
        </w:tc>
        <w:tc>
          <w:tcPr>
            <w:tcW w:w="2381" w:type="dxa"/>
          </w:tcPr>
          <w:p w14:paraId="2EB082D6">
            <w:pPr>
              <w:autoSpaceDE w:val="0"/>
              <w:autoSpaceDN w:val="0"/>
              <w:adjustRightInd w:val="0"/>
              <w:snapToGrid w:val="0"/>
              <w:jc w:val="left"/>
              <w:rPr>
                <w:rFonts w:ascii="宋体" w:hAnsi="宋体"/>
                <w:color w:val="auto"/>
                <w:kern w:val="0"/>
                <w:sz w:val="24"/>
              </w:rPr>
            </w:pPr>
          </w:p>
        </w:tc>
        <w:tc>
          <w:tcPr>
            <w:tcW w:w="2383" w:type="dxa"/>
          </w:tcPr>
          <w:p w14:paraId="4A9022CC">
            <w:pPr>
              <w:autoSpaceDE w:val="0"/>
              <w:autoSpaceDN w:val="0"/>
              <w:adjustRightInd w:val="0"/>
              <w:snapToGrid w:val="0"/>
              <w:jc w:val="left"/>
              <w:rPr>
                <w:rFonts w:ascii="宋体" w:hAnsi="宋体"/>
                <w:color w:val="auto"/>
                <w:kern w:val="0"/>
                <w:sz w:val="24"/>
              </w:rPr>
            </w:pPr>
          </w:p>
        </w:tc>
        <w:tc>
          <w:tcPr>
            <w:tcW w:w="2384" w:type="dxa"/>
          </w:tcPr>
          <w:p w14:paraId="00084A3E">
            <w:pPr>
              <w:autoSpaceDE w:val="0"/>
              <w:autoSpaceDN w:val="0"/>
              <w:adjustRightInd w:val="0"/>
              <w:snapToGrid w:val="0"/>
              <w:jc w:val="left"/>
              <w:rPr>
                <w:rFonts w:ascii="宋体" w:hAnsi="宋体"/>
                <w:color w:val="auto"/>
                <w:kern w:val="0"/>
                <w:sz w:val="24"/>
              </w:rPr>
            </w:pPr>
          </w:p>
        </w:tc>
      </w:tr>
      <w:tr w14:paraId="497709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A9D7077">
            <w:pPr>
              <w:autoSpaceDE w:val="0"/>
              <w:autoSpaceDN w:val="0"/>
              <w:adjustRightInd w:val="0"/>
              <w:snapToGrid w:val="0"/>
              <w:jc w:val="left"/>
              <w:rPr>
                <w:rFonts w:ascii="宋体" w:hAnsi="宋体"/>
                <w:color w:val="auto"/>
                <w:kern w:val="0"/>
                <w:sz w:val="24"/>
              </w:rPr>
            </w:pPr>
          </w:p>
        </w:tc>
        <w:tc>
          <w:tcPr>
            <w:tcW w:w="2381" w:type="dxa"/>
          </w:tcPr>
          <w:p w14:paraId="77546A4C">
            <w:pPr>
              <w:autoSpaceDE w:val="0"/>
              <w:autoSpaceDN w:val="0"/>
              <w:adjustRightInd w:val="0"/>
              <w:snapToGrid w:val="0"/>
              <w:jc w:val="left"/>
              <w:rPr>
                <w:rFonts w:ascii="宋体" w:hAnsi="宋体"/>
                <w:color w:val="auto"/>
                <w:kern w:val="0"/>
                <w:sz w:val="24"/>
              </w:rPr>
            </w:pPr>
          </w:p>
        </w:tc>
        <w:tc>
          <w:tcPr>
            <w:tcW w:w="2383" w:type="dxa"/>
          </w:tcPr>
          <w:p w14:paraId="26FC7491">
            <w:pPr>
              <w:autoSpaceDE w:val="0"/>
              <w:autoSpaceDN w:val="0"/>
              <w:adjustRightInd w:val="0"/>
              <w:snapToGrid w:val="0"/>
              <w:jc w:val="left"/>
              <w:rPr>
                <w:rFonts w:ascii="宋体" w:hAnsi="宋体"/>
                <w:color w:val="auto"/>
                <w:kern w:val="0"/>
                <w:sz w:val="24"/>
              </w:rPr>
            </w:pPr>
          </w:p>
        </w:tc>
        <w:tc>
          <w:tcPr>
            <w:tcW w:w="2384" w:type="dxa"/>
          </w:tcPr>
          <w:p w14:paraId="1C01718A">
            <w:pPr>
              <w:autoSpaceDE w:val="0"/>
              <w:autoSpaceDN w:val="0"/>
              <w:adjustRightInd w:val="0"/>
              <w:snapToGrid w:val="0"/>
              <w:jc w:val="left"/>
              <w:rPr>
                <w:rFonts w:ascii="宋体" w:hAnsi="宋体"/>
                <w:color w:val="auto"/>
                <w:kern w:val="0"/>
                <w:sz w:val="24"/>
              </w:rPr>
            </w:pPr>
          </w:p>
        </w:tc>
      </w:tr>
      <w:tr w14:paraId="1232FD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4F0A1D5">
            <w:pPr>
              <w:autoSpaceDE w:val="0"/>
              <w:autoSpaceDN w:val="0"/>
              <w:adjustRightInd w:val="0"/>
              <w:snapToGrid w:val="0"/>
              <w:jc w:val="left"/>
              <w:rPr>
                <w:rFonts w:ascii="宋体" w:hAnsi="宋体"/>
                <w:color w:val="auto"/>
                <w:kern w:val="0"/>
                <w:sz w:val="24"/>
              </w:rPr>
            </w:pPr>
          </w:p>
        </w:tc>
        <w:tc>
          <w:tcPr>
            <w:tcW w:w="2381" w:type="dxa"/>
          </w:tcPr>
          <w:p w14:paraId="333D3BB1">
            <w:pPr>
              <w:autoSpaceDE w:val="0"/>
              <w:autoSpaceDN w:val="0"/>
              <w:adjustRightInd w:val="0"/>
              <w:snapToGrid w:val="0"/>
              <w:jc w:val="left"/>
              <w:rPr>
                <w:rFonts w:ascii="宋体" w:hAnsi="宋体"/>
                <w:color w:val="auto"/>
                <w:kern w:val="0"/>
                <w:sz w:val="24"/>
              </w:rPr>
            </w:pPr>
          </w:p>
        </w:tc>
        <w:tc>
          <w:tcPr>
            <w:tcW w:w="2383" w:type="dxa"/>
          </w:tcPr>
          <w:p w14:paraId="0D00D187">
            <w:pPr>
              <w:autoSpaceDE w:val="0"/>
              <w:autoSpaceDN w:val="0"/>
              <w:adjustRightInd w:val="0"/>
              <w:snapToGrid w:val="0"/>
              <w:jc w:val="left"/>
              <w:rPr>
                <w:rFonts w:ascii="宋体" w:hAnsi="宋体"/>
                <w:color w:val="auto"/>
                <w:kern w:val="0"/>
                <w:sz w:val="24"/>
              </w:rPr>
            </w:pPr>
          </w:p>
        </w:tc>
        <w:tc>
          <w:tcPr>
            <w:tcW w:w="2384" w:type="dxa"/>
          </w:tcPr>
          <w:p w14:paraId="3F567214">
            <w:pPr>
              <w:autoSpaceDE w:val="0"/>
              <w:autoSpaceDN w:val="0"/>
              <w:adjustRightInd w:val="0"/>
              <w:snapToGrid w:val="0"/>
              <w:jc w:val="left"/>
              <w:rPr>
                <w:rFonts w:ascii="宋体" w:hAnsi="宋体"/>
                <w:color w:val="auto"/>
                <w:kern w:val="0"/>
                <w:sz w:val="24"/>
              </w:rPr>
            </w:pPr>
          </w:p>
        </w:tc>
      </w:tr>
      <w:tr w14:paraId="433370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956AF60">
            <w:pPr>
              <w:autoSpaceDE w:val="0"/>
              <w:autoSpaceDN w:val="0"/>
              <w:adjustRightInd w:val="0"/>
              <w:snapToGrid w:val="0"/>
              <w:jc w:val="left"/>
              <w:rPr>
                <w:rFonts w:ascii="宋体" w:hAnsi="宋体"/>
                <w:color w:val="auto"/>
                <w:kern w:val="0"/>
                <w:sz w:val="24"/>
              </w:rPr>
            </w:pPr>
          </w:p>
        </w:tc>
        <w:tc>
          <w:tcPr>
            <w:tcW w:w="2381" w:type="dxa"/>
          </w:tcPr>
          <w:p w14:paraId="63BF35C3">
            <w:pPr>
              <w:autoSpaceDE w:val="0"/>
              <w:autoSpaceDN w:val="0"/>
              <w:adjustRightInd w:val="0"/>
              <w:snapToGrid w:val="0"/>
              <w:jc w:val="left"/>
              <w:rPr>
                <w:rFonts w:ascii="宋体" w:hAnsi="宋体"/>
                <w:color w:val="auto"/>
                <w:kern w:val="0"/>
                <w:sz w:val="24"/>
              </w:rPr>
            </w:pPr>
          </w:p>
        </w:tc>
        <w:tc>
          <w:tcPr>
            <w:tcW w:w="2383" w:type="dxa"/>
          </w:tcPr>
          <w:p w14:paraId="744B9D45">
            <w:pPr>
              <w:autoSpaceDE w:val="0"/>
              <w:autoSpaceDN w:val="0"/>
              <w:adjustRightInd w:val="0"/>
              <w:snapToGrid w:val="0"/>
              <w:jc w:val="left"/>
              <w:rPr>
                <w:rFonts w:ascii="宋体" w:hAnsi="宋体"/>
                <w:color w:val="auto"/>
                <w:kern w:val="0"/>
                <w:sz w:val="24"/>
              </w:rPr>
            </w:pPr>
          </w:p>
        </w:tc>
        <w:tc>
          <w:tcPr>
            <w:tcW w:w="2384" w:type="dxa"/>
          </w:tcPr>
          <w:p w14:paraId="03E18412">
            <w:pPr>
              <w:autoSpaceDE w:val="0"/>
              <w:autoSpaceDN w:val="0"/>
              <w:adjustRightInd w:val="0"/>
              <w:snapToGrid w:val="0"/>
              <w:jc w:val="left"/>
              <w:rPr>
                <w:rFonts w:ascii="宋体" w:hAnsi="宋体"/>
                <w:color w:val="auto"/>
                <w:kern w:val="0"/>
                <w:sz w:val="24"/>
              </w:rPr>
            </w:pPr>
          </w:p>
        </w:tc>
      </w:tr>
      <w:tr w14:paraId="038A57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2EC208D">
            <w:pPr>
              <w:autoSpaceDE w:val="0"/>
              <w:autoSpaceDN w:val="0"/>
              <w:adjustRightInd w:val="0"/>
              <w:snapToGrid w:val="0"/>
              <w:jc w:val="left"/>
              <w:rPr>
                <w:rFonts w:ascii="宋体" w:hAnsi="宋体"/>
                <w:color w:val="auto"/>
                <w:kern w:val="0"/>
                <w:sz w:val="24"/>
              </w:rPr>
            </w:pPr>
          </w:p>
        </w:tc>
        <w:tc>
          <w:tcPr>
            <w:tcW w:w="2381" w:type="dxa"/>
          </w:tcPr>
          <w:p w14:paraId="62AB0D96">
            <w:pPr>
              <w:autoSpaceDE w:val="0"/>
              <w:autoSpaceDN w:val="0"/>
              <w:adjustRightInd w:val="0"/>
              <w:snapToGrid w:val="0"/>
              <w:jc w:val="left"/>
              <w:rPr>
                <w:rFonts w:ascii="宋体" w:hAnsi="宋体"/>
                <w:color w:val="auto"/>
                <w:kern w:val="0"/>
                <w:sz w:val="24"/>
              </w:rPr>
            </w:pPr>
          </w:p>
        </w:tc>
        <w:tc>
          <w:tcPr>
            <w:tcW w:w="2383" w:type="dxa"/>
          </w:tcPr>
          <w:p w14:paraId="32EDC2B7">
            <w:pPr>
              <w:autoSpaceDE w:val="0"/>
              <w:autoSpaceDN w:val="0"/>
              <w:adjustRightInd w:val="0"/>
              <w:snapToGrid w:val="0"/>
              <w:jc w:val="left"/>
              <w:rPr>
                <w:rFonts w:ascii="宋体" w:hAnsi="宋体"/>
                <w:color w:val="auto"/>
                <w:kern w:val="0"/>
                <w:sz w:val="24"/>
              </w:rPr>
            </w:pPr>
          </w:p>
        </w:tc>
        <w:tc>
          <w:tcPr>
            <w:tcW w:w="2384" w:type="dxa"/>
          </w:tcPr>
          <w:p w14:paraId="12748FCF">
            <w:pPr>
              <w:autoSpaceDE w:val="0"/>
              <w:autoSpaceDN w:val="0"/>
              <w:adjustRightInd w:val="0"/>
              <w:snapToGrid w:val="0"/>
              <w:jc w:val="left"/>
              <w:rPr>
                <w:rFonts w:ascii="宋体" w:hAnsi="宋体"/>
                <w:color w:val="auto"/>
                <w:kern w:val="0"/>
                <w:sz w:val="24"/>
              </w:rPr>
            </w:pPr>
          </w:p>
        </w:tc>
      </w:tr>
      <w:tr w14:paraId="155882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1522A4F">
            <w:pPr>
              <w:autoSpaceDE w:val="0"/>
              <w:autoSpaceDN w:val="0"/>
              <w:adjustRightInd w:val="0"/>
              <w:snapToGrid w:val="0"/>
              <w:jc w:val="left"/>
              <w:rPr>
                <w:rFonts w:ascii="宋体" w:hAnsi="宋体"/>
                <w:color w:val="auto"/>
                <w:kern w:val="0"/>
                <w:sz w:val="24"/>
              </w:rPr>
            </w:pPr>
          </w:p>
        </w:tc>
        <w:tc>
          <w:tcPr>
            <w:tcW w:w="2381" w:type="dxa"/>
          </w:tcPr>
          <w:p w14:paraId="2720A53D">
            <w:pPr>
              <w:autoSpaceDE w:val="0"/>
              <w:autoSpaceDN w:val="0"/>
              <w:adjustRightInd w:val="0"/>
              <w:snapToGrid w:val="0"/>
              <w:jc w:val="left"/>
              <w:rPr>
                <w:rFonts w:ascii="宋体" w:hAnsi="宋体"/>
                <w:color w:val="auto"/>
                <w:kern w:val="0"/>
                <w:sz w:val="24"/>
              </w:rPr>
            </w:pPr>
          </w:p>
        </w:tc>
        <w:tc>
          <w:tcPr>
            <w:tcW w:w="2383" w:type="dxa"/>
          </w:tcPr>
          <w:p w14:paraId="6C073330">
            <w:pPr>
              <w:autoSpaceDE w:val="0"/>
              <w:autoSpaceDN w:val="0"/>
              <w:adjustRightInd w:val="0"/>
              <w:snapToGrid w:val="0"/>
              <w:jc w:val="left"/>
              <w:rPr>
                <w:rFonts w:ascii="宋体" w:hAnsi="宋体"/>
                <w:color w:val="auto"/>
                <w:kern w:val="0"/>
                <w:sz w:val="24"/>
              </w:rPr>
            </w:pPr>
          </w:p>
        </w:tc>
        <w:tc>
          <w:tcPr>
            <w:tcW w:w="2384" w:type="dxa"/>
          </w:tcPr>
          <w:p w14:paraId="2AB7AADC">
            <w:pPr>
              <w:autoSpaceDE w:val="0"/>
              <w:autoSpaceDN w:val="0"/>
              <w:adjustRightInd w:val="0"/>
              <w:snapToGrid w:val="0"/>
              <w:jc w:val="left"/>
              <w:rPr>
                <w:rFonts w:ascii="宋体" w:hAnsi="宋体"/>
                <w:color w:val="auto"/>
                <w:kern w:val="0"/>
                <w:sz w:val="24"/>
              </w:rPr>
            </w:pPr>
          </w:p>
        </w:tc>
      </w:tr>
      <w:tr w14:paraId="156584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1A31A25">
            <w:pPr>
              <w:autoSpaceDE w:val="0"/>
              <w:autoSpaceDN w:val="0"/>
              <w:adjustRightInd w:val="0"/>
              <w:snapToGrid w:val="0"/>
              <w:jc w:val="left"/>
              <w:rPr>
                <w:rFonts w:ascii="宋体" w:hAnsi="宋体"/>
                <w:color w:val="auto"/>
                <w:kern w:val="0"/>
                <w:sz w:val="24"/>
              </w:rPr>
            </w:pPr>
          </w:p>
        </w:tc>
        <w:tc>
          <w:tcPr>
            <w:tcW w:w="2381" w:type="dxa"/>
          </w:tcPr>
          <w:p w14:paraId="765F270C">
            <w:pPr>
              <w:autoSpaceDE w:val="0"/>
              <w:autoSpaceDN w:val="0"/>
              <w:adjustRightInd w:val="0"/>
              <w:snapToGrid w:val="0"/>
              <w:jc w:val="left"/>
              <w:rPr>
                <w:rFonts w:ascii="宋体" w:hAnsi="宋体"/>
                <w:color w:val="auto"/>
                <w:kern w:val="0"/>
                <w:sz w:val="24"/>
              </w:rPr>
            </w:pPr>
          </w:p>
        </w:tc>
        <w:tc>
          <w:tcPr>
            <w:tcW w:w="2383" w:type="dxa"/>
          </w:tcPr>
          <w:p w14:paraId="6A16B4C8">
            <w:pPr>
              <w:autoSpaceDE w:val="0"/>
              <w:autoSpaceDN w:val="0"/>
              <w:adjustRightInd w:val="0"/>
              <w:snapToGrid w:val="0"/>
              <w:jc w:val="left"/>
              <w:rPr>
                <w:rFonts w:ascii="宋体" w:hAnsi="宋体"/>
                <w:color w:val="auto"/>
                <w:kern w:val="0"/>
                <w:sz w:val="24"/>
              </w:rPr>
            </w:pPr>
          </w:p>
        </w:tc>
        <w:tc>
          <w:tcPr>
            <w:tcW w:w="2384" w:type="dxa"/>
          </w:tcPr>
          <w:p w14:paraId="1627607C">
            <w:pPr>
              <w:autoSpaceDE w:val="0"/>
              <w:autoSpaceDN w:val="0"/>
              <w:adjustRightInd w:val="0"/>
              <w:snapToGrid w:val="0"/>
              <w:jc w:val="left"/>
              <w:rPr>
                <w:rFonts w:ascii="宋体" w:hAnsi="宋体"/>
                <w:color w:val="auto"/>
                <w:kern w:val="0"/>
                <w:sz w:val="24"/>
              </w:rPr>
            </w:pPr>
          </w:p>
        </w:tc>
      </w:tr>
      <w:tr w14:paraId="6F9684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3150BC2">
            <w:pPr>
              <w:autoSpaceDE w:val="0"/>
              <w:autoSpaceDN w:val="0"/>
              <w:adjustRightInd w:val="0"/>
              <w:snapToGrid w:val="0"/>
              <w:jc w:val="left"/>
              <w:rPr>
                <w:rFonts w:ascii="宋体" w:hAnsi="宋体"/>
                <w:color w:val="auto"/>
                <w:kern w:val="0"/>
                <w:sz w:val="24"/>
              </w:rPr>
            </w:pPr>
          </w:p>
        </w:tc>
        <w:tc>
          <w:tcPr>
            <w:tcW w:w="2381" w:type="dxa"/>
          </w:tcPr>
          <w:p w14:paraId="6FFAAE3A">
            <w:pPr>
              <w:autoSpaceDE w:val="0"/>
              <w:autoSpaceDN w:val="0"/>
              <w:adjustRightInd w:val="0"/>
              <w:snapToGrid w:val="0"/>
              <w:jc w:val="left"/>
              <w:rPr>
                <w:rFonts w:ascii="宋体" w:hAnsi="宋体"/>
                <w:color w:val="auto"/>
                <w:kern w:val="0"/>
                <w:sz w:val="24"/>
              </w:rPr>
            </w:pPr>
          </w:p>
        </w:tc>
        <w:tc>
          <w:tcPr>
            <w:tcW w:w="2383" w:type="dxa"/>
          </w:tcPr>
          <w:p w14:paraId="7A107773">
            <w:pPr>
              <w:autoSpaceDE w:val="0"/>
              <w:autoSpaceDN w:val="0"/>
              <w:adjustRightInd w:val="0"/>
              <w:snapToGrid w:val="0"/>
              <w:jc w:val="left"/>
              <w:rPr>
                <w:rFonts w:ascii="宋体" w:hAnsi="宋体"/>
                <w:color w:val="auto"/>
                <w:kern w:val="0"/>
                <w:sz w:val="24"/>
              </w:rPr>
            </w:pPr>
          </w:p>
        </w:tc>
        <w:tc>
          <w:tcPr>
            <w:tcW w:w="2384" w:type="dxa"/>
          </w:tcPr>
          <w:p w14:paraId="54197659">
            <w:pPr>
              <w:autoSpaceDE w:val="0"/>
              <w:autoSpaceDN w:val="0"/>
              <w:adjustRightInd w:val="0"/>
              <w:snapToGrid w:val="0"/>
              <w:jc w:val="left"/>
              <w:rPr>
                <w:rFonts w:ascii="宋体" w:hAnsi="宋体"/>
                <w:color w:val="auto"/>
                <w:kern w:val="0"/>
                <w:sz w:val="24"/>
              </w:rPr>
            </w:pPr>
          </w:p>
        </w:tc>
      </w:tr>
      <w:tr w14:paraId="6B2DE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85D265B">
            <w:pPr>
              <w:autoSpaceDE w:val="0"/>
              <w:autoSpaceDN w:val="0"/>
              <w:adjustRightInd w:val="0"/>
              <w:snapToGrid w:val="0"/>
              <w:jc w:val="left"/>
              <w:rPr>
                <w:rFonts w:ascii="宋体" w:hAnsi="宋体"/>
                <w:color w:val="auto"/>
                <w:kern w:val="0"/>
                <w:sz w:val="24"/>
              </w:rPr>
            </w:pPr>
          </w:p>
        </w:tc>
        <w:tc>
          <w:tcPr>
            <w:tcW w:w="2381" w:type="dxa"/>
          </w:tcPr>
          <w:p w14:paraId="41D3E4BD">
            <w:pPr>
              <w:autoSpaceDE w:val="0"/>
              <w:autoSpaceDN w:val="0"/>
              <w:adjustRightInd w:val="0"/>
              <w:snapToGrid w:val="0"/>
              <w:jc w:val="left"/>
              <w:rPr>
                <w:rFonts w:ascii="宋体" w:hAnsi="宋体"/>
                <w:color w:val="auto"/>
                <w:kern w:val="0"/>
                <w:sz w:val="24"/>
              </w:rPr>
            </w:pPr>
          </w:p>
        </w:tc>
        <w:tc>
          <w:tcPr>
            <w:tcW w:w="2383" w:type="dxa"/>
          </w:tcPr>
          <w:p w14:paraId="55F4EB82">
            <w:pPr>
              <w:autoSpaceDE w:val="0"/>
              <w:autoSpaceDN w:val="0"/>
              <w:adjustRightInd w:val="0"/>
              <w:snapToGrid w:val="0"/>
              <w:jc w:val="left"/>
              <w:rPr>
                <w:rFonts w:ascii="宋体" w:hAnsi="宋体"/>
                <w:color w:val="auto"/>
                <w:kern w:val="0"/>
                <w:sz w:val="24"/>
              </w:rPr>
            </w:pPr>
          </w:p>
        </w:tc>
        <w:tc>
          <w:tcPr>
            <w:tcW w:w="2384" w:type="dxa"/>
          </w:tcPr>
          <w:p w14:paraId="26427293">
            <w:pPr>
              <w:autoSpaceDE w:val="0"/>
              <w:autoSpaceDN w:val="0"/>
              <w:adjustRightInd w:val="0"/>
              <w:snapToGrid w:val="0"/>
              <w:jc w:val="left"/>
              <w:rPr>
                <w:rFonts w:ascii="宋体" w:hAnsi="宋体"/>
                <w:color w:val="auto"/>
                <w:kern w:val="0"/>
                <w:sz w:val="24"/>
              </w:rPr>
            </w:pPr>
          </w:p>
        </w:tc>
      </w:tr>
      <w:tr w14:paraId="2775B0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A5E25C8">
            <w:pPr>
              <w:autoSpaceDE w:val="0"/>
              <w:autoSpaceDN w:val="0"/>
              <w:adjustRightInd w:val="0"/>
              <w:snapToGrid w:val="0"/>
              <w:jc w:val="left"/>
              <w:rPr>
                <w:rFonts w:ascii="宋体" w:hAnsi="宋体"/>
                <w:color w:val="auto"/>
                <w:kern w:val="0"/>
                <w:sz w:val="24"/>
              </w:rPr>
            </w:pPr>
          </w:p>
        </w:tc>
        <w:tc>
          <w:tcPr>
            <w:tcW w:w="2381" w:type="dxa"/>
          </w:tcPr>
          <w:p w14:paraId="438F0206">
            <w:pPr>
              <w:autoSpaceDE w:val="0"/>
              <w:autoSpaceDN w:val="0"/>
              <w:adjustRightInd w:val="0"/>
              <w:snapToGrid w:val="0"/>
              <w:jc w:val="left"/>
              <w:rPr>
                <w:rFonts w:ascii="宋体" w:hAnsi="宋体"/>
                <w:color w:val="auto"/>
                <w:kern w:val="0"/>
                <w:sz w:val="24"/>
              </w:rPr>
            </w:pPr>
          </w:p>
        </w:tc>
        <w:tc>
          <w:tcPr>
            <w:tcW w:w="2383" w:type="dxa"/>
          </w:tcPr>
          <w:p w14:paraId="1C808F6B">
            <w:pPr>
              <w:autoSpaceDE w:val="0"/>
              <w:autoSpaceDN w:val="0"/>
              <w:adjustRightInd w:val="0"/>
              <w:snapToGrid w:val="0"/>
              <w:jc w:val="left"/>
              <w:rPr>
                <w:rFonts w:ascii="宋体" w:hAnsi="宋体"/>
                <w:color w:val="auto"/>
                <w:kern w:val="0"/>
                <w:sz w:val="24"/>
              </w:rPr>
            </w:pPr>
          </w:p>
        </w:tc>
        <w:tc>
          <w:tcPr>
            <w:tcW w:w="2384" w:type="dxa"/>
          </w:tcPr>
          <w:p w14:paraId="25C85BD7">
            <w:pPr>
              <w:autoSpaceDE w:val="0"/>
              <w:autoSpaceDN w:val="0"/>
              <w:adjustRightInd w:val="0"/>
              <w:snapToGrid w:val="0"/>
              <w:jc w:val="left"/>
              <w:rPr>
                <w:rFonts w:ascii="宋体" w:hAnsi="宋体"/>
                <w:color w:val="auto"/>
                <w:kern w:val="0"/>
                <w:sz w:val="24"/>
              </w:rPr>
            </w:pPr>
          </w:p>
        </w:tc>
      </w:tr>
      <w:tr w14:paraId="2F227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C9A50B9">
            <w:pPr>
              <w:autoSpaceDE w:val="0"/>
              <w:autoSpaceDN w:val="0"/>
              <w:adjustRightInd w:val="0"/>
              <w:snapToGrid w:val="0"/>
              <w:jc w:val="left"/>
              <w:rPr>
                <w:rFonts w:ascii="宋体" w:hAnsi="宋体"/>
                <w:color w:val="auto"/>
                <w:kern w:val="0"/>
                <w:sz w:val="24"/>
              </w:rPr>
            </w:pPr>
          </w:p>
        </w:tc>
        <w:tc>
          <w:tcPr>
            <w:tcW w:w="2381" w:type="dxa"/>
          </w:tcPr>
          <w:p w14:paraId="40B07A30">
            <w:pPr>
              <w:autoSpaceDE w:val="0"/>
              <w:autoSpaceDN w:val="0"/>
              <w:adjustRightInd w:val="0"/>
              <w:snapToGrid w:val="0"/>
              <w:jc w:val="left"/>
              <w:rPr>
                <w:rFonts w:ascii="宋体" w:hAnsi="宋体"/>
                <w:color w:val="auto"/>
                <w:kern w:val="0"/>
                <w:sz w:val="24"/>
              </w:rPr>
            </w:pPr>
          </w:p>
        </w:tc>
        <w:tc>
          <w:tcPr>
            <w:tcW w:w="2383" w:type="dxa"/>
          </w:tcPr>
          <w:p w14:paraId="549414C8">
            <w:pPr>
              <w:autoSpaceDE w:val="0"/>
              <w:autoSpaceDN w:val="0"/>
              <w:adjustRightInd w:val="0"/>
              <w:snapToGrid w:val="0"/>
              <w:jc w:val="left"/>
              <w:rPr>
                <w:rFonts w:ascii="宋体" w:hAnsi="宋体"/>
                <w:color w:val="auto"/>
                <w:kern w:val="0"/>
                <w:sz w:val="24"/>
              </w:rPr>
            </w:pPr>
          </w:p>
        </w:tc>
        <w:tc>
          <w:tcPr>
            <w:tcW w:w="2384" w:type="dxa"/>
          </w:tcPr>
          <w:p w14:paraId="1A769C42">
            <w:pPr>
              <w:autoSpaceDE w:val="0"/>
              <w:autoSpaceDN w:val="0"/>
              <w:adjustRightInd w:val="0"/>
              <w:snapToGrid w:val="0"/>
              <w:jc w:val="left"/>
              <w:rPr>
                <w:rFonts w:ascii="宋体" w:hAnsi="宋体"/>
                <w:color w:val="auto"/>
                <w:kern w:val="0"/>
                <w:sz w:val="24"/>
              </w:rPr>
            </w:pPr>
          </w:p>
        </w:tc>
      </w:tr>
      <w:tr w14:paraId="773FC8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DE1EACF">
            <w:pPr>
              <w:autoSpaceDE w:val="0"/>
              <w:autoSpaceDN w:val="0"/>
              <w:adjustRightInd w:val="0"/>
              <w:snapToGrid w:val="0"/>
              <w:jc w:val="left"/>
              <w:rPr>
                <w:rFonts w:ascii="宋体" w:hAnsi="宋体"/>
                <w:color w:val="auto"/>
                <w:kern w:val="0"/>
                <w:sz w:val="24"/>
              </w:rPr>
            </w:pPr>
          </w:p>
        </w:tc>
        <w:tc>
          <w:tcPr>
            <w:tcW w:w="2381" w:type="dxa"/>
          </w:tcPr>
          <w:p w14:paraId="3A649468">
            <w:pPr>
              <w:autoSpaceDE w:val="0"/>
              <w:autoSpaceDN w:val="0"/>
              <w:adjustRightInd w:val="0"/>
              <w:snapToGrid w:val="0"/>
              <w:jc w:val="left"/>
              <w:rPr>
                <w:rFonts w:ascii="宋体" w:hAnsi="宋体"/>
                <w:color w:val="auto"/>
                <w:kern w:val="0"/>
                <w:sz w:val="24"/>
              </w:rPr>
            </w:pPr>
          </w:p>
        </w:tc>
        <w:tc>
          <w:tcPr>
            <w:tcW w:w="2383" w:type="dxa"/>
          </w:tcPr>
          <w:p w14:paraId="218E2EE2">
            <w:pPr>
              <w:autoSpaceDE w:val="0"/>
              <w:autoSpaceDN w:val="0"/>
              <w:adjustRightInd w:val="0"/>
              <w:snapToGrid w:val="0"/>
              <w:jc w:val="left"/>
              <w:rPr>
                <w:rFonts w:ascii="宋体" w:hAnsi="宋体"/>
                <w:color w:val="auto"/>
                <w:kern w:val="0"/>
                <w:sz w:val="24"/>
              </w:rPr>
            </w:pPr>
          </w:p>
        </w:tc>
        <w:tc>
          <w:tcPr>
            <w:tcW w:w="2384" w:type="dxa"/>
          </w:tcPr>
          <w:p w14:paraId="79E8C617">
            <w:pPr>
              <w:autoSpaceDE w:val="0"/>
              <w:autoSpaceDN w:val="0"/>
              <w:adjustRightInd w:val="0"/>
              <w:snapToGrid w:val="0"/>
              <w:jc w:val="left"/>
              <w:rPr>
                <w:rFonts w:ascii="宋体" w:hAnsi="宋体"/>
                <w:color w:val="auto"/>
                <w:kern w:val="0"/>
                <w:sz w:val="24"/>
              </w:rPr>
            </w:pPr>
          </w:p>
        </w:tc>
      </w:tr>
      <w:tr w14:paraId="0CAD13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63DA86C">
            <w:pPr>
              <w:autoSpaceDE w:val="0"/>
              <w:autoSpaceDN w:val="0"/>
              <w:adjustRightInd w:val="0"/>
              <w:snapToGrid w:val="0"/>
              <w:jc w:val="left"/>
              <w:rPr>
                <w:rFonts w:ascii="宋体" w:hAnsi="宋体"/>
                <w:color w:val="auto"/>
                <w:kern w:val="0"/>
                <w:sz w:val="24"/>
              </w:rPr>
            </w:pPr>
          </w:p>
        </w:tc>
        <w:tc>
          <w:tcPr>
            <w:tcW w:w="2381" w:type="dxa"/>
          </w:tcPr>
          <w:p w14:paraId="03DDA902">
            <w:pPr>
              <w:autoSpaceDE w:val="0"/>
              <w:autoSpaceDN w:val="0"/>
              <w:adjustRightInd w:val="0"/>
              <w:snapToGrid w:val="0"/>
              <w:jc w:val="left"/>
              <w:rPr>
                <w:rFonts w:ascii="宋体" w:hAnsi="宋体"/>
                <w:color w:val="auto"/>
                <w:kern w:val="0"/>
                <w:sz w:val="24"/>
              </w:rPr>
            </w:pPr>
          </w:p>
        </w:tc>
        <w:tc>
          <w:tcPr>
            <w:tcW w:w="2383" w:type="dxa"/>
          </w:tcPr>
          <w:p w14:paraId="1BBA969C">
            <w:pPr>
              <w:autoSpaceDE w:val="0"/>
              <w:autoSpaceDN w:val="0"/>
              <w:adjustRightInd w:val="0"/>
              <w:snapToGrid w:val="0"/>
              <w:jc w:val="left"/>
              <w:rPr>
                <w:rFonts w:ascii="宋体" w:hAnsi="宋体"/>
                <w:color w:val="auto"/>
                <w:kern w:val="0"/>
                <w:sz w:val="24"/>
              </w:rPr>
            </w:pPr>
          </w:p>
        </w:tc>
        <w:tc>
          <w:tcPr>
            <w:tcW w:w="2384" w:type="dxa"/>
          </w:tcPr>
          <w:p w14:paraId="2C56994F">
            <w:pPr>
              <w:autoSpaceDE w:val="0"/>
              <w:autoSpaceDN w:val="0"/>
              <w:adjustRightInd w:val="0"/>
              <w:snapToGrid w:val="0"/>
              <w:jc w:val="left"/>
              <w:rPr>
                <w:rFonts w:ascii="宋体" w:hAnsi="宋体"/>
                <w:color w:val="auto"/>
                <w:kern w:val="0"/>
                <w:sz w:val="24"/>
              </w:rPr>
            </w:pPr>
          </w:p>
        </w:tc>
      </w:tr>
      <w:tr w14:paraId="1EF61C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7C09CBE">
            <w:pPr>
              <w:autoSpaceDE w:val="0"/>
              <w:autoSpaceDN w:val="0"/>
              <w:adjustRightInd w:val="0"/>
              <w:snapToGrid w:val="0"/>
              <w:jc w:val="left"/>
              <w:rPr>
                <w:rFonts w:ascii="宋体" w:hAnsi="宋体"/>
                <w:color w:val="auto"/>
                <w:kern w:val="0"/>
                <w:sz w:val="24"/>
              </w:rPr>
            </w:pPr>
          </w:p>
        </w:tc>
        <w:tc>
          <w:tcPr>
            <w:tcW w:w="2381" w:type="dxa"/>
          </w:tcPr>
          <w:p w14:paraId="0B1F6248">
            <w:pPr>
              <w:autoSpaceDE w:val="0"/>
              <w:autoSpaceDN w:val="0"/>
              <w:adjustRightInd w:val="0"/>
              <w:snapToGrid w:val="0"/>
              <w:jc w:val="left"/>
              <w:rPr>
                <w:rFonts w:ascii="宋体" w:hAnsi="宋体"/>
                <w:color w:val="auto"/>
                <w:kern w:val="0"/>
                <w:sz w:val="24"/>
              </w:rPr>
            </w:pPr>
          </w:p>
        </w:tc>
        <w:tc>
          <w:tcPr>
            <w:tcW w:w="2383" w:type="dxa"/>
          </w:tcPr>
          <w:p w14:paraId="33F603F0">
            <w:pPr>
              <w:autoSpaceDE w:val="0"/>
              <w:autoSpaceDN w:val="0"/>
              <w:adjustRightInd w:val="0"/>
              <w:snapToGrid w:val="0"/>
              <w:jc w:val="left"/>
              <w:rPr>
                <w:rFonts w:ascii="宋体" w:hAnsi="宋体"/>
                <w:color w:val="auto"/>
                <w:kern w:val="0"/>
                <w:sz w:val="24"/>
              </w:rPr>
            </w:pPr>
          </w:p>
        </w:tc>
        <w:tc>
          <w:tcPr>
            <w:tcW w:w="2384" w:type="dxa"/>
          </w:tcPr>
          <w:p w14:paraId="6AE4BE66">
            <w:pPr>
              <w:autoSpaceDE w:val="0"/>
              <w:autoSpaceDN w:val="0"/>
              <w:adjustRightInd w:val="0"/>
              <w:snapToGrid w:val="0"/>
              <w:jc w:val="left"/>
              <w:rPr>
                <w:rFonts w:ascii="宋体" w:hAnsi="宋体"/>
                <w:color w:val="auto"/>
                <w:kern w:val="0"/>
                <w:sz w:val="24"/>
              </w:rPr>
            </w:pPr>
          </w:p>
        </w:tc>
      </w:tr>
      <w:tr w14:paraId="7CFF8C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873DA71">
            <w:pPr>
              <w:autoSpaceDE w:val="0"/>
              <w:autoSpaceDN w:val="0"/>
              <w:adjustRightInd w:val="0"/>
              <w:snapToGrid w:val="0"/>
              <w:jc w:val="left"/>
              <w:rPr>
                <w:rFonts w:ascii="宋体" w:hAnsi="宋体"/>
                <w:color w:val="auto"/>
                <w:kern w:val="0"/>
                <w:sz w:val="24"/>
              </w:rPr>
            </w:pPr>
          </w:p>
        </w:tc>
        <w:tc>
          <w:tcPr>
            <w:tcW w:w="2381" w:type="dxa"/>
          </w:tcPr>
          <w:p w14:paraId="61AC5E88">
            <w:pPr>
              <w:autoSpaceDE w:val="0"/>
              <w:autoSpaceDN w:val="0"/>
              <w:adjustRightInd w:val="0"/>
              <w:snapToGrid w:val="0"/>
              <w:jc w:val="left"/>
              <w:rPr>
                <w:rFonts w:ascii="宋体" w:hAnsi="宋体"/>
                <w:color w:val="auto"/>
                <w:kern w:val="0"/>
                <w:sz w:val="24"/>
              </w:rPr>
            </w:pPr>
          </w:p>
        </w:tc>
        <w:tc>
          <w:tcPr>
            <w:tcW w:w="2383" w:type="dxa"/>
          </w:tcPr>
          <w:p w14:paraId="39019ABD">
            <w:pPr>
              <w:autoSpaceDE w:val="0"/>
              <w:autoSpaceDN w:val="0"/>
              <w:adjustRightInd w:val="0"/>
              <w:snapToGrid w:val="0"/>
              <w:jc w:val="left"/>
              <w:rPr>
                <w:rFonts w:ascii="宋体" w:hAnsi="宋体"/>
                <w:color w:val="auto"/>
                <w:kern w:val="0"/>
                <w:sz w:val="24"/>
              </w:rPr>
            </w:pPr>
          </w:p>
        </w:tc>
        <w:tc>
          <w:tcPr>
            <w:tcW w:w="2384" w:type="dxa"/>
          </w:tcPr>
          <w:p w14:paraId="29A8BA5D">
            <w:pPr>
              <w:autoSpaceDE w:val="0"/>
              <w:autoSpaceDN w:val="0"/>
              <w:adjustRightInd w:val="0"/>
              <w:snapToGrid w:val="0"/>
              <w:jc w:val="left"/>
              <w:rPr>
                <w:rFonts w:ascii="宋体" w:hAnsi="宋体"/>
                <w:color w:val="auto"/>
                <w:kern w:val="0"/>
                <w:sz w:val="24"/>
              </w:rPr>
            </w:pPr>
          </w:p>
        </w:tc>
      </w:tr>
      <w:tr w14:paraId="5C63D0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84BE74D">
            <w:pPr>
              <w:autoSpaceDE w:val="0"/>
              <w:autoSpaceDN w:val="0"/>
              <w:adjustRightInd w:val="0"/>
              <w:snapToGrid w:val="0"/>
              <w:jc w:val="left"/>
              <w:rPr>
                <w:rFonts w:ascii="宋体" w:hAnsi="宋体"/>
                <w:color w:val="auto"/>
                <w:kern w:val="0"/>
                <w:sz w:val="24"/>
              </w:rPr>
            </w:pPr>
          </w:p>
        </w:tc>
        <w:tc>
          <w:tcPr>
            <w:tcW w:w="2381" w:type="dxa"/>
          </w:tcPr>
          <w:p w14:paraId="59194F24">
            <w:pPr>
              <w:autoSpaceDE w:val="0"/>
              <w:autoSpaceDN w:val="0"/>
              <w:adjustRightInd w:val="0"/>
              <w:snapToGrid w:val="0"/>
              <w:jc w:val="left"/>
              <w:rPr>
                <w:rFonts w:ascii="宋体" w:hAnsi="宋体"/>
                <w:color w:val="auto"/>
                <w:kern w:val="0"/>
                <w:sz w:val="24"/>
              </w:rPr>
            </w:pPr>
          </w:p>
        </w:tc>
        <w:tc>
          <w:tcPr>
            <w:tcW w:w="2383" w:type="dxa"/>
          </w:tcPr>
          <w:p w14:paraId="06DF9737">
            <w:pPr>
              <w:autoSpaceDE w:val="0"/>
              <w:autoSpaceDN w:val="0"/>
              <w:adjustRightInd w:val="0"/>
              <w:snapToGrid w:val="0"/>
              <w:jc w:val="left"/>
              <w:rPr>
                <w:rFonts w:ascii="宋体" w:hAnsi="宋体"/>
                <w:color w:val="auto"/>
                <w:kern w:val="0"/>
                <w:sz w:val="24"/>
              </w:rPr>
            </w:pPr>
          </w:p>
        </w:tc>
        <w:tc>
          <w:tcPr>
            <w:tcW w:w="2384" w:type="dxa"/>
          </w:tcPr>
          <w:p w14:paraId="52E5CA50">
            <w:pPr>
              <w:autoSpaceDE w:val="0"/>
              <w:autoSpaceDN w:val="0"/>
              <w:adjustRightInd w:val="0"/>
              <w:snapToGrid w:val="0"/>
              <w:jc w:val="left"/>
              <w:rPr>
                <w:rFonts w:ascii="宋体" w:hAnsi="宋体"/>
                <w:color w:val="auto"/>
                <w:kern w:val="0"/>
                <w:sz w:val="24"/>
              </w:rPr>
            </w:pPr>
          </w:p>
        </w:tc>
      </w:tr>
      <w:tr w14:paraId="4E9689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CEAAD91">
            <w:pPr>
              <w:autoSpaceDE w:val="0"/>
              <w:autoSpaceDN w:val="0"/>
              <w:adjustRightInd w:val="0"/>
              <w:snapToGrid w:val="0"/>
              <w:jc w:val="left"/>
              <w:rPr>
                <w:rFonts w:ascii="宋体" w:hAnsi="宋体"/>
                <w:color w:val="auto"/>
                <w:kern w:val="0"/>
                <w:sz w:val="24"/>
              </w:rPr>
            </w:pPr>
          </w:p>
        </w:tc>
        <w:tc>
          <w:tcPr>
            <w:tcW w:w="2381" w:type="dxa"/>
          </w:tcPr>
          <w:p w14:paraId="3CF35D52">
            <w:pPr>
              <w:autoSpaceDE w:val="0"/>
              <w:autoSpaceDN w:val="0"/>
              <w:adjustRightInd w:val="0"/>
              <w:snapToGrid w:val="0"/>
              <w:jc w:val="left"/>
              <w:rPr>
                <w:rFonts w:ascii="宋体" w:hAnsi="宋体"/>
                <w:color w:val="auto"/>
                <w:kern w:val="0"/>
                <w:sz w:val="24"/>
              </w:rPr>
            </w:pPr>
          </w:p>
        </w:tc>
        <w:tc>
          <w:tcPr>
            <w:tcW w:w="2383" w:type="dxa"/>
          </w:tcPr>
          <w:p w14:paraId="573ABBA3">
            <w:pPr>
              <w:autoSpaceDE w:val="0"/>
              <w:autoSpaceDN w:val="0"/>
              <w:adjustRightInd w:val="0"/>
              <w:snapToGrid w:val="0"/>
              <w:jc w:val="left"/>
              <w:rPr>
                <w:rFonts w:ascii="宋体" w:hAnsi="宋体"/>
                <w:color w:val="auto"/>
                <w:kern w:val="0"/>
                <w:sz w:val="24"/>
              </w:rPr>
            </w:pPr>
          </w:p>
        </w:tc>
        <w:tc>
          <w:tcPr>
            <w:tcW w:w="2384" w:type="dxa"/>
          </w:tcPr>
          <w:p w14:paraId="2705E52B">
            <w:pPr>
              <w:autoSpaceDE w:val="0"/>
              <w:autoSpaceDN w:val="0"/>
              <w:adjustRightInd w:val="0"/>
              <w:snapToGrid w:val="0"/>
              <w:jc w:val="left"/>
              <w:rPr>
                <w:rFonts w:ascii="宋体" w:hAnsi="宋体"/>
                <w:color w:val="auto"/>
                <w:kern w:val="0"/>
                <w:sz w:val="24"/>
              </w:rPr>
            </w:pPr>
          </w:p>
        </w:tc>
      </w:tr>
      <w:tr w14:paraId="45F5FF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57D1BEA">
            <w:pPr>
              <w:autoSpaceDE w:val="0"/>
              <w:autoSpaceDN w:val="0"/>
              <w:adjustRightInd w:val="0"/>
              <w:snapToGrid w:val="0"/>
              <w:jc w:val="left"/>
              <w:rPr>
                <w:rFonts w:ascii="宋体" w:hAnsi="宋体"/>
                <w:color w:val="auto"/>
                <w:kern w:val="0"/>
                <w:sz w:val="24"/>
              </w:rPr>
            </w:pPr>
          </w:p>
        </w:tc>
        <w:tc>
          <w:tcPr>
            <w:tcW w:w="2381" w:type="dxa"/>
          </w:tcPr>
          <w:p w14:paraId="5245B1C6">
            <w:pPr>
              <w:autoSpaceDE w:val="0"/>
              <w:autoSpaceDN w:val="0"/>
              <w:adjustRightInd w:val="0"/>
              <w:snapToGrid w:val="0"/>
              <w:jc w:val="left"/>
              <w:rPr>
                <w:rFonts w:ascii="宋体" w:hAnsi="宋体"/>
                <w:color w:val="auto"/>
                <w:kern w:val="0"/>
                <w:sz w:val="24"/>
              </w:rPr>
            </w:pPr>
          </w:p>
        </w:tc>
        <w:tc>
          <w:tcPr>
            <w:tcW w:w="2383" w:type="dxa"/>
          </w:tcPr>
          <w:p w14:paraId="2965CC10">
            <w:pPr>
              <w:autoSpaceDE w:val="0"/>
              <w:autoSpaceDN w:val="0"/>
              <w:adjustRightInd w:val="0"/>
              <w:snapToGrid w:val="0"/>
              <w:jc w:val="left"/>
              <w:rPr>
                <w:rFonts w:ascii="宋体" w:hAnsi="宋体"/>
                <w:color w:val="auto"/>
                <w:kern w:val="0"/>
                <w:sz w:val="24"/>
              </w:rPr>
            </w:pPr>
          </w:p>
        </w:tc>
        <w:tc>
          <w:tcPr>
            <w:tcW w:w="2384" w:type="dxa"/>
          </w:tcPr>
          <w:p w14:paraId="4BCD3597">
            <w:pPr>
              <w:autoSpaceDE w:val="0"/>
              <w:autoSpaceDN w:val="0"/>
              <w:adjustRightInd w:val="0"/>
              <w:snapToGrid w:val="0"/>
              <w:jc w:val="left"/>
              <w:rPr>
                <w:rFonts w:ascii="宋体" w:hAnsi="宋体"/>
                <w:color w:val="auto"/>
                <w:kern w:val="0"/>
                <w:sz w:val="24"/>
              </w:rPr>
            </w:pPr>
          </w:p>
        </w:tc>
      </w:tr>
      <w:tr w14:paraId="099031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8B84720">
            <w:pPr>
              <w:autoSpaceDE w:val="0"/>
              <w:autoSpaceDN w:val="0"/>
              <w:adjustRightInd w:val="0"/>
              <w:snapToGrid w:val="0"/>
              <w:jc w:val="left"/>
              <w:rPr>
                <w:rFonts w:ascii="宋体" w:hAnsi="宋体"/>
                <w:color w:val="auto"/>
                <w:kern w:val="0"/>
                <w:sz w:val="24"/>
              </w:rPr>
            </w:pPr>
          </w:p>
        </w:tc>
        <w:tc>
          <w:tcPr>
            <w:tcW w:w="2381" w:type="dxa"/>
          </w:tcPr>
          <w:p w14:paraId="567158B1">
            <w:pPr>
              <w:autoSpaceDE w:val="0"/>
              <w:autoSpaceDN w:val="0"/>
              <w:adjustRightInd w:val="0"/>
              <w:snapToGrid w:val="0"/>
              <w:jc w:val="left"/>
              <w:rPr>
                <w:rFonts w:ascii="宋体" w:hAnsi="宋体"/>
                <w:color w:val="auto"/>
                <w:kern w:val="0"/>
                <w:sz w:val="24"/>
              </w:rPr>
            </w:pPr>
          </w:p>
        </w:tc>
        <w:tc>
          <w:tcPr>
            <w:tcW w:w="2383" w:type="dxa"/>
          </w:tcPr>
          <w:p w14:paraId="5C4E8BB4">
            <w:pPr>
              <w:autoSpaceDE w:val="0"/>
              <w:autoSpaceDN w:val="0"/>
              <w:adjustRightInd w:val="0"/>
              <w:snapToGrid w:val="0"/>
              <w:jc w:val="left"/>
              <w:rPr>
                <w:rFonts w:ascii="宋体" w:hAnsi="宋体"/>
                <w:color w:val="auto"/>
                <w:kern w:val="0"/>
                <w:sz w:val="24"/>
              </w:rPr>
            </w:pPr>
          </w:p>
        </w:tc>
        <w:tc>
          <w:tcPr>
            <w:tcW w:w="2384" w:type="dxa"/>
          </w:tcPr>
          <w:p w14:paraId="09EC516D">
            <w:pPr>
              <w:autoSpaceDE w:val="0"/>
              <w:autoSpaceDN w:val="0"/>
              <w:adjustRightInd w:val="0"/>
              <w:snapToGrid w:val="0"/>
              <w:jc w:val="left"/>
              <w:rPr>
                <w:rFonts w:ascii="宋体" w:hAnsi="宋体"/>
                <w:color w:val="auto"/>
                <w:kern w:val="0"/>
                <w:sz w:val="24"/>
              </w:rPr>
            </w:pPr>
          </w:p>
        </w:tc>
      </w:tr>
      <w:tr w14:paraId="35D1B5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C78189A">
            <w:pPr>
              <w:autoSpaceDE w:val="0"/>
              <w:autoSpaceDN w:val="0"/>
              <w:adjustRightInd w:val="0"/>
              <w:snapToGrid w:val="0"/>
              <w:jc w:val="left"/>
              <w:rPr>
                <w:rFonts w:ascii="宋体" w:hAnsi="宋体"/>
                <w:color w:val="auto"/>
                <w:kern w:val="0"/>
                <w:sz w:val="24"/>
              </w:rPr>
            </w:pPr>
          </w:p>
        </w:tc>
        <w:tc>
          <w:tcPr>
            <w:tcW w:w="2381" w:type="dxa"/>
          </w:tcPr>
          <w:p w14:paraId="34EE91C3">
            <w:pPr>
              <w:autoSpaceDE w:val="0"/>
              <w:autoSpaceDN w:val="0"/>
              <w:adjustRightInd w:val="0"/>
              <w:snapToGrid w:val="0"/>
              <w:jc w:val="left"/>
              <w:rPr>
                <w:rFonts w:ascii="宋体" w:hAnsi="宋体"/>
                <w:color w:val="auto"/>
                <w:kern w:val="0"/>
                <w:sz w:val="24"/>
              </w:rPr>
            </w:pPr>
          </w:p>
        </w:tc>
        <w:tc>
          <w:tcPr>
            <w:tcW w:w="2383" w:type="dxa"/>
          </w:tcPr>
          <w:p w14:paraId="79777A68">
            <w:pPr>
              <w:autoSpaceDE w:val="0"/>
              <w:autoSpaceDN w:val="0"/>
              <w:adjustRightInd w:val="0"/>
              <w:snapToGrid w:val="0"/>
              <w:jc w:val="left"/>
              <w:rPr>
                <w:rFonts w:ascii="宋体" w:hAnsi="宋体"/>
                <w:color w:val="auto"/>
                <w:kern w:val="0"/>
                <w:sz w:val="24"/>
              </w:rPr>
            </w:pPr>
          </w:p>
        </w:tc>
        <w:tc>
          <w:tcPr>
            <w:tcW w:w="2384" w:type="dxa"/>
          </w:tcPr>
          <w:p w14:paraId="647A9ED2">
            <w:pPr>
              <w:autoSpaceDE w:val="0"/>
              <w:autoSpaceDN w:val="0"/>
              <w:adjustRightInd w:val="0"/>
              <w:snapToGrid w:val="0"/>
              <w:jc w:val="left"/>
              <w:rPr>
                <w:rFonts w:ascii="宋体" w:hAnsi="宋体"/>
                <w:color w:val="auto"/>
                <w:kern w:val="0"/>
                <w:sz w:val="24"/>
              </w:rPr>
            </w:pPr>
          </w:p>
        </w:tc>
      </w:tr>
    </w:tbl>
    <w:p w14:paraId="4850EA6A">
      <w:pPr>
        <w:autoSpaceDE w:val="0"/>
        <w:autoSpaceDN w:val="0"/>
        <w:adjustRightInd w:val="0"/>
        <w:snapToGrid w:val="0"/>
        <w:spacing w:line="20" w:lineRule="exact"/>
        <w:jc w:val="left"/>
        <w:rPr>
          <w:rFonts w:ascii="宋体" w:hAnsi="宋体"/>
          <w:color w:val="auto"/>
          <w:kern w:val="0"/>
        </w:rPr>
      </w:pPr>
    </w:p>
    <w:p w14:paraId="09B6451B">
      <w:pPr>
        <w:autoSpaceDE w:val="0"/>
        <w:autoSpaceDN w:val="0"/>
        <w:adjustRightInd w:val="0"/>
        <w:snapToGrid w:val="0"/>
        <w:spacing w:line="360" w:lineRule="auto"/>
        <w:jc w:val="center"/>
        <w:rPr>
          <w:rFonts w:ascii="宋体" w:hAnsi="宋体"/>
          <w:color w:val="auto"/>
          <w:sz w:val="36"/>
          <w:szCs w:val="36"/>
        </w:rPr>
      </w:pPr>
      <w:r>
        <w:rPr>
          <w:rFonts w:ascii="宋体" w:hAnsi="宋体"/>
          <w:color w:val="auto"/>
          <w:sz w:val="36"/>
          <w:szCs w:val="36"/>
        </w:rPr>
        <w:br w:type="page"/>
      </w:r>
    </w:p>
    <w:p w14:paraId="4B8FD9FC">
      <w:pPr>
        <w:pStyle w:val="4"/>
        <w:spacing w:line="360" w:lineRule="auto"/>
        <w:jc w:val="center"/>
        <w:rPr>
          <w:rFonts w:ascii="宋体" w:hAnsi="宋体"/>
          <w:b w:val="0"/>
          <w:bCs w:val="0"/>
          <w:color w:val="auto"/>
          <w:sz w:val="44"/>
          <w:szCs w:val="44"/>
        </w:rPr>
      </w:pPr>
      <w:bookmarkStart w:id="2069" w:name="_Toc224103510"/>
      <w:bookmarkStart w:id="2070" w:name="_Toc277082656"/>
      <w:bookmarkStart w:id="2071" w:name="_Toc287607882"/>
      <w:bookmarkStart w:id="2072" w:name="_Toc287620829"/>
      <w:bookmarkStart w:id="2073" w:name="_Toc430530545"/>
      <w:bookmarkStart w:id="2074" w:name="_Toc28854"/>
      <w:r>
        <w:rPr>
          <w:rFonts w:hint="eastAsia" w:ascii="宋体" w:hAnsi="宋体"/>
          <w:b w:val="0"/>
          <w:bCs w:val="0"/>
          <w:color w:val="auto"/>
          <w:sz w:val="44"/>
          <w:szCs w:val="44"/>
        </w:rPr>
        <w:t>四、</w:t>
      </w:r>
      <w:bookmarkEnd w:id="2069"/>
      <w:bookmarkEnd w:id="2070"/>
      <w:bookmarkEnd w:id="2071"/>
      <w:bookmarkEnd w:id="2072"/>
      <w:bookmarkEnd w:id="2073"/>
      <w:r>
        <w:rPr>
          <w:rFonts w:hint="eastAsia" w:ascii="宋体" w:hAnsi="宋体"/>
          <w:b w:val="0"/>
          <w:bCs w:val="0"/>
          <w:color w:val="auto"/>
          <w:sz w:val="44"/>
          <w:szCs w:val="44"/>
        </w:rPr>
        <w:t>资格审查部分</w:t>
      </w:r>
      <w:bookmarkEnd w:id="2074"/>
    </w:p>
    <w:p w14:paraId="449194BD">
      <w:pPr>
        <w:spacing w:line="360" w:lineRule="auto"/>
        <w:jc w:val="center"/>
        <w:rPr>
          <w:rFonts w:ascii="宋体" w:hAnsi="宋体"/>
          <w:color w:val="auto"/>
          <w:kern w:val="0"/>
          <w:sz w:val="32"/>
          <w:szCs w:val="32"/>
        </w:rPr>
      </w:pPr>
      <w:r>
        <w:rPr>
          <w:rFonts w:ascii="宋体" w:hAnsi="宋体"/>
          <w:color w:val="auto"/>
          <w:sz w:val="32"/>
          <w:szCs w:val="32"/>
        </w:rPr>
        <w:br w:type="page"/>
      </w:r>
      <w:r>
        <w:rPr>
          <w:rFonts w:hint="eastAsia" w:ascii="宋体" w:hAnsi="宋体"/>
          <w:color w:val="auto"/>
          <w:kern w:val="0"/>
          <w:sz w:val="32"/>
          <w:szCs w:val="32"/>
          <w:u w:val="single"/>
        </w:rPr>
        <w:t xml:space="preserve">                   （项目名称）</w:t>
      </w:r>
    </w:p>
    <w:p w14:paraId="18CA28A9">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57D50B76">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49BC144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6E1C7B0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58910B42">
      <w:pPr>
        <w:autoSpaceDE w:val="0"/>
        <w:autoSpaceDN w:val="0"/>
        <w:adjustRightInd w:val="0"/>
        <w:snapToGrid w:val="0"/>
        <w:spacing w:line="360" w:lineRule="auto"/>
        <w:jc w:val="left"/>
        <w:rPr>
          <w:rFonts w:ascii="宋体" w:hAnsi="宋体"/>
          <w:color w:val="auto"/>
          <w:kern w:val="0"/>
          <w:sz w:val="16"/>
          <w:szCs w:val="16"/>
        </w:rPr>
      </w:pPr>
    </w:p>
    <w:p w14:paraId="2AD6AF77">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7851CC71">
      <w:pPr>
        <w:autoSpaceDE w:val="0"/>
        <w:autoSpaceDN w:val="0"/>
        <w:adjustRightInd w:val="0"/>
        <w:snapToGrid w:val="0"/>
        <w:spacing w:line="360" w:lineRule="auto"/>
        <w:jc w:val="left"/>
        <w:rPr>
          <w:rFonts w:ascii="宋体" w:hAnsi="宋体" w:cs="MingLiU"/>
          <w:color w:val="auto"/>
          <w:kern w:val="0"/>
          <w:sz w:val="20"/>
          <w:szCs w:val="20"/>
        </w:rPr>
      </w:pPr>
    </w:p>
    <w:p w14:paraId="69C1BFC4">
      <w:pPr>
        <w:adjustRightInd w:val="0"/>
        <w:snapToGrid w:val="0"/>
        <w:spacing w:line="264" w:lineRule="auto"/>
        <w:rPr>
          <w:rFonts w:ascii="宋体" w:hAnsi="宋体"/>
          <w:color w:val="auto"/>
          <w:szCs w:val="21"/>
        </w:rPr>
      </w:pPr>
    </w:p>
    <w:p w14:paraId="1702C085">
      <w:pPr>
        <w:autoSpaceDE w:val="0"/>
        <w:autoSpaceDN w:val="0"/>
        <w:adjustRightInd w:val="0"/>
        <w:snapToGrid w:val="0"/>
        <w:spacing w:line="360" w:lineRule="auto"/>
        <w:jc w:val="left"/>
        <w:rPr>
          <w:rFonts w:ascii="宋体" w:hAnsi="宋体" w:cs="MingLiU"/>
          <w:color w:val="auto"/>
          <w:kern w:val="0"/>
          <w:sz w:val="20"/>
          <w:szCs w:val="20"/>
        </w:rPr>
      </w:pPr>
    </w:p>
    <w:p w14:paraId="417D4065">
      <w:pPr>
        <w:autoSpaceDE w:val="0"/>
        <w:autoSpaceDN w:val="0"/>
        <w:adjustRightInd w:val="0"/>
        <w:snapToGrid w:val="0"/>
        <w:spacing w:line="360" w:lineRule="auto"/>
        <w:jc w:val="left"/>
        <w:rPr>
          <w:rFonts w:ascii="宋体" w:hAnsi="宋体" w:cs="MingLiU"/>
          <w:color w:val="auto"/>
          <w:kern w:val="0"/>
          <w:sz w:val="20"/>
          <w:szCs w:val="20"/>
        </w:rPr>
      </w:pPr>
    </w:p>
    <w:p w14:paraId="47B3D0B7">
      <w:pPr>
        <w:autoSpaceDE w:val="0"/>
        <w:autoSpaceDN w:val="0"/>
        <w:adjustRightInd w:val="0"/>
        <w:snapToGrid w:val="0"/>
        <w:spacing w:line="360" w:lineRule="auto"/>
        <w:jc w:val="left"/>
        <w:rPr>
          <w:rFonts w:ascii="宋体" w:hAnsi="宋体" w:cs="MingLiU"/>
          <w:color w:val="auto"/>
          <w:kern w:val="0"/>
          <w:sz w:val="20"/>
          <w:szCs w:val="20"/>
        </w:rPr>
      </w:pPr>
    </w:p>
    <w:p w14:paraId="7567265E">
      <w:pPr>
        <w:autoSpaceDE w:val="0"/>
        <w:autoSpaceDN w:val="0"/>
        <w:adjustRightInd w:val="0"/>
        <w:snapToGrid w:val="0"/>
        <w:spacing w:line="360" w:lineRule="auto"/>
        <w:jc w:val="left"/>
        <w:rPr>
          <w:rFonts w:ascii="宋体" w:hAnsi="宋体" w:cs="MingLiU"/>
          <w:color w:val="auto"/>
          <w:kern w:val="0"/>
          <w:sz w:val="20"/>
          <w:szCs w:val="20"/>
        </w:rPr>
      </w:pPr>
    </w:p>
    <w:p w14:paraId="5BBE825D">
      <w:pPr>
        <w:autoSpaceDE w:val="0"/>
        <w:autoSpaceDN w:val="0"/>
        <w:adjustRightInd w:val="0"/>
        <w:snapToGrid w:val="0"/>
        <w:spacing w:line="360" w:lineRule="auto"/>
        <w:jc w:val="left"/>
        <w:rPr>
          <w:rFonts w:ascii="宋体" w:hAnsi="宋体" w:cs="MingLiU"/>
          <w:color w:val="auto"/>
          <w:kern w:val="0"/>
          <w:sz w:val="20"/>
          <w:szCs w:val="20"/>
        </w:rPr>
      </w:pPr>
    </w:p>
    <w:p w14:paraId="064A7049">
      <w:pPr>
        <w:autoSpaceDE w:val="0"/>
        <w:autoSpaceDN w:val="0"/>
        <w:adjustRightInd w:val="0"/>
        <w:snapToGrid w:val="0"/>
        <w:spacing w:line="360" w:lineRule="auto"/>
        <w:jc w:val="left"/>
        <w:rPr>
          <w:rFonts w:ascii="宋体" w:hAnsi="宋体" w:cs="MingLiU"/>
          <w:color w:val="auto"/>
          <w:kern w:val="0"/>
          <w:sz w:val="20"/>
          <w:szCs w:val="20"/>
        </w:rPr>
      </w:pPr>
    </w:p>
    <w:p w14:paraId="133E4209">
      <w:pPr>
        <w:autoSpaceDE w:val="0"/>
        <w:autoSpaceDN w:val="0"/>
        <w:adjustRightInd w:val="0"/>
        <w:snapToGrid w:val="0"/>
        <w:spacing w:line="360" w:lineRule="auto"/>
        <w:jc w:val="left"/>
        <w:rPr>
          <w:rFonts w:ascii="宋体" w:hAnsi="宋体" w:cs="MingLiU"/>
          <w:color w:val="auto"/>
          <w:kern w:val="0"/>
          <w:sz w:val="20"/>
          <w:szCs w:val="20"/>
        </w:rPr>
      </w:pPr>
    </w:p>
    <w:p w14:paraId="6919791A">
      <w:pPr>
        <w:autoSpaceDE w:val="0"/>
        <w:autoSpaceDN w:val="0"/>
        <w:adjustRightInd w:val="0"/>
        <w:snapToGrid w:val="0"/>
        <w:spacing w:line="360" w:lineRule="auto"/>
        <w:jc w:val="left"/>
        <w:rPr>
          <w:rFonts w:ascii="宋体" w:hAnsi="宋体" w:cs="MingLiU"/>
          <w:color w:val="auto"/>
          <w:kern w:val="0"/>
          <w:sz w:val="20"/>
          <w:szCs w:val="20"/>
        </w:rPr>
      </w:pPr>
    </w:p>
    <w:p w14:paraId="701ACE5C">
      <w:pPr>
        <w:autoSpaceDE w:val="0"/>
        <w:autoSpaceDN w:val="0"/>
        <w:adjustRightInd w:val="0"/>
        <w:snapToGrid w:val="0"/>
        <w:spacing w:line="360" w:lineRule="auto"/>
        <w:jc w:val="left"/>
        <w:rPr>
          <w:rFonts w:ascii="宋体" w:hAnsi="宋体" w:cs="MingLiU"/>
          <w:color w:val="auto"/>
          <w:kern w:val="0"/>
          <w:sz w:val="20"/>
          <w:szCs w:val="20"/>
        </w:rPr>
      </w:pPr>
    </w:p>
    <w:p w14:paraId="6DE190BA">
      <w:pPr>
        <w:autoSpaceDE w:val="0"/>
        <w:autoSpaceDN w:val="0"/>
        <w:adjustRightInd w:val="0"/>
        <w:snapToGrid w:val="0"/>
        <w:spacing w:line="360" w:lineRule="auto"/>
        <w:jc w:val="left"/>
        <w:rPr>
          <w:rFonts w:ascii="宋体" w:hAnsi="宋体" w:cs="MingLiU"/>
          <w:color w:val="auto"/>
          <w:kern w:val="0"/>
          <w:sz w:val="20"/>
          <w:szCs w:val="20"/>
        </w:rPr>
      </w:pPr>
    </w:p>
    <w:p w14:paraId="1AFEE032">
      <w:pPr>
        <w:autoSpaceDE w:val="0"/>
        <w:autoSpaceDN w:val="0"/>
        <w:adjustRightInd w:val="0"/>
        <w:snapToGrid w:val="0"/>
        <w:spacing w:line="360" w:lineRule="auto"/>
        <w:jc w:val="left"/>
        <w:rPr>
          <w:rFonts w:ascii="宋体" w:hAnsi="宋体" w:cs="MingLiU"/>
          <w:color w:val="auto"/>
          <w:kern w:val="0"/>
          <w:sz w:val="20"/>
          <w:szCs w:val="20"/>
        </w:rPr>
      </w:pPr>
    </w:p>
    <w:p w14:paraId="0BB5F84E">
      <w:pPr>
        <w:autoSpaceDE w:val="0"/>
        <w:autoSpaceDN w:val="0"/>
        <w:adjustRightInd w:val="0"/>
        <w:snapToGrid w:val="0"/>
        <w:spacing w:line="360" w:lineRule="auto"/>
        <w:jc w:val="left"/>
        <w:rPr>
          <w:rFonts w:ascii="宋体" w:hAnsi="宋体" w:cs="MingLiU"/>
          <w:color w:val="auto"/>
          <w:kern w:val="0"/>
          <w:sz w:val="20"/>
          <w:szCs w:val="20"/>
        </w:rPr>
      </w:pPr>
    </w:p>
    <w:p w14:paraId="591A91AE">
      <w:pPr>
        <w:autoSpaceDE w:val="0"/>
        <w:autoSpaceDN w:val="0"/>
        <w:adjustRightInd w:val="0"/>
        <w:snapToGrid w:val="0"/>
        <w:spacing w:line="360" w:lineRule="auto"/>
        <w:jc w:val="left"/>
        <w:rPr>
          <w:rFonts w:ascii="宋体" w:hAnsi="宋体" w:cs="MingLiU"/>
          <w:color w:val="auto"/>
          <w:kern w:val="0"/>
          <w:sz w:val="20"/>
          <w:szCs w:val="20"/>
        </w:rPr>
      </w:pPr>
    </w:p>
    <w:p w14:paraId="4012DED7">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03706FCB">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签字</w:t>
      </w:r>
      <w:r>
        <w:rPr>
          <w:rFonts w:ascii="宋体" w:hAnsi="宋体"/>
          <w:color w:val="auto"/>
          <w:w w:val="99"/>
          <w:kern w:val="0"/>
          <w:sz w:val="28"/>
          <w:szCs w:val="28"/>
        </w:rPr>
        <w:t>或盖章）</w:t>
      </w:r>
    </w:p>
    <w:p w14:paraId="4420448F">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75CE854F">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99"/>
          <w:kern w:val="0"/>
          <w:sz w:val="28"/>
          <w:szCs w:val="28"/>
        </w:rPr>
        <w:br w:type="page"/>
      </w:r>
    </w:p>
    <w:p w14:paraId="181F1F8F">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14:paraId="79E87E16">
      <w:pPr>
        <w:spacing w:line="360" w:lineRule="auto"/>
        <w:jc w:val="center"/>
        <w:rPr>
          <w:rFonts w:ascii="宋体" w:hAnsi="宋体"/>
          <w:b/>
          <w:color w:val="auto"/>
          <w:kern w:val="0"/>
          <w:sz w:val="32"/>
          <w:szCs w:val="32"/>
        </w:rPr>
      </w:pPr>
    </w:p>
    <w:p w14:paraId="6DCABB60">
      <w:pPr>
        <w:spacing w:line="360" w:lineRule="auto"/>
        <w:ind w:firstLine="420" w:firstLineChars="200"/>
        <w:rPr>
          <w:rFonts w:ascii="宋体" w:hAnsi="宋体"/>
          <w:color w:val="auto"/>
          <w:szCs w:val="21"/>
        </w:rPr>
      </w:pPr>
      <w:r>
        <w:rPr>
          <w:rFonts w:ascii="宋体" w:hAnsi="宋体"/>
          <w:color w:val="auto"/>
          <w:szCs w:val="21"/>
        </w:rPr>
        <w:t>（一）</w:t>
      </w:r>
      <w:r>
        <w:rPr>
          <w:rFonts w:hint="eastAsia" w:ascii="宋体" w:hAnsi="宋体"/>
          <w:color w:val="auto"/>
          <w:szCs w:val="21"/>
        </w:rPr>
        <w:t>法定代表人身份证明或附有法定代表人身份证明的授权委托书</w:t>
      </w:r>
    </w:p>
    <w:p w14:paraId="32BEE342">
      <w:pPr>
        <w:spacing w:line="360" w:lineRule="auto"/>
        <w:ind w:firstLine="420" w:firstLineChars="200"/>
        <w:rPr>
          <w:rFonts w:ascii="宋体" w:hAnsi="宋体"/>
          <w:color w:val="auto"/>
          <w:szCs w:val="21"/>
        </w:rPr>
      </w:pPr>
      <w:r>
        <w:rPr>
          <w:rFonts w:ascii="宋体" w:hAnsi="宋体"/>
          <w:color w:val="auto"/>
          <w:szCs w:val="21"/>
        </w:rPr>
        <w:t>（二）联合体协议书</w:t>
      </w:r>
      <w:r>
        <w:rPr>
          <w:rFonts w:hint="eastAsia" w:ascii="宋体" w:hAnsi="宋体"/>
          <w:color w:val="auto"/>
          <w:szCs w:val="21"/>
        </w:rPr>
        <w:t>（如有）</w:t>
      </w:r>
    </w:p>
    <w:p w14:paraId="5A5C1117">
      <w:pPr>
        <w:spacing w:line="360" w:lineRule="auto"/>
        <w:ind w:firstLine="420" w:firstLineChars="200"/>
        <w:rPr>
          <w:rFonts w:ascii="宋体" w:hAnsi="宋体"/>
          <w:color w:val="auto"/>
          <w:szCs w:val="21"/>
        </w:rPr>
      </w:pPr>
      <w:r>
        <w:rPr>
          <w:rFonts w:ascii="宋体" w:hAnsi="宋体"/>
          <w:color w:val="auto"/>
          <w:szCs w:val="21"/>
        </w:rPr>
        <w:t>（三）投标人基本情况表</w:t>
      </w:r>
    </w:p>
    <w:p w14:paraId="603A3A3C">
      <w:pPr>
        <w:spacing w:line="360" w:lineRule="auto"/>
        <w:ind w:firstLine="420" w:firstLineChars="200"/>
        <w:rPr>
          <w:rFonts w:ascii="宋体" w:hAnsi="宋体"/>
          <w:color w:val="auto"/>
          <w:szCs w:val="21"/>
        </w:rPr>
      </w:pPr>
      <w:r>
        <w:rPr>
          <w:rFonts w:ascii="宋体" w:hAnsi="宋体"/>
          <w:color w:val="auto"/>
          <w:szCs w:val="21"/>
        </w:rPr>
        <w:t>（四）项目管理机构</w:t>
      </w:r>
    </w:p>
    <w:p w14:paraId="7D09E15C">
      <w:pPr>
        <w:spacing w:line="360" w:lineRule="auto"/>
        <w:ind w:firstLine="420" w:firstLineChars="200"/>
        <w:rPr>
          <w:rFonts w:ascii="宋体" w:hAnsi="宋体"/>
          <w:color w:val="auto"/>
          <w:szCs w:val="21"/>
        </w:rPr>
      </w:pPr>
      <w:r>
        <w:rPr>
          <w:rFonts w:ascii="宋体" w:hAnsi="宋体"/>
          <w:color w:val="auto"/>
          <w:szCs w:val="21"/>
        </w:rPr>
        <w:t>（五）近年财务状况表</w:t>
      </w:r>
    </w:p>
    <w:p w14:paraId="00762CFE">
      <w:pPr>
        <w:spacing w:line="360" w:lineRule="auto"/>
        <w:ind w:firstLine="420" w:firstLineChars="200"/>
        <w:rPr>
          <w:rFonts w:ascii="宋体" w:hAnsi="宋体"/>
          <w:color w:val="auto"/>
          <w:szCs w:val="21"/>
        </w:rPr>
      </w:pPr>
      <w:r>
        <w:rPr>
          <w:rFonts w:ascii="宋体" w:hAnsi="宋体"/>
          <w:color w:val="auto"/>
          <w:szCs w:val="21"/>
        </w:rPr>
        <w:t>（六）类似项目情况表</w:t>
      </w:r>
    </w:p>
    <w:p w14:paraId="779EDCE6">
      <w:pPr>
        <w:spacing w:line="360" w:lineRule="auto"/>
        <w:ind w:firstLine="420" w:firstLineChars="200"/>
        <w:rPr>
          <w:rFonts w:ascii="宋体" w:hAnsi="宋体"/>
          <w:color w:val="auto"/>
          <w:szCs w:val="21"/>
        </w:rPr>
      </w:pPr>
      <w:r>
        <w:rPr>
          <w:rFonts w:ascii="宋体" w:hAnsi="宋体"/>
          <w:color w:val="auto"/>
          <w:szCs w:val="21"/>
        </w:rPr>
        <w:t>（七）</w:t>
      </w:r>
      <w:r>
        <w:rPr>
          <w:rFonts w:hint="eastAsia" w:ascii="宋体" w:hAnsi="宋体"/>
          <w:color w:val="auto"/>
          <w:szCs w:val="21"/>
        </w:rPr>
        <w:t>承诺</w:t>
      </w:r>
    </w:p>
    <w:p w14:paraId="26CE2A2B">
      <w:pPr>
        <w:spacing w:line="360" w:lineRule="auto"/>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八</w:t>
      </w:r>
      <w:r>
        <w:rPr>
          <w:rFonts w:ascii="宋体" w:hAnsi="宋体"/>
          <w:color w:val="auto"/>
          <w:szCs w:val="21"/>
        </w:rPr>
        <w:t>）其他资料</w:t>
      </w:r>
    </w:p>
    <w:p w14:paraId="5C287067">
      <w:pPr>
        <w:spacing w:line="360" w:lineRule="auto"/>
        <w:jc w:val="center"/>
        <w:rPr>
          <w:rFonts w:ascii="宋体" w:hAnsi="宋体"/>
          <w:b/>
          <w:color w:val="auto"/>
          <w:kern w:val="0"/>
          <w:sz w:val="32"/>
          <w:szCs w:val="32"/>
        </w:rPr>
      </w:pPr>
    </w:p>
    <w:p w14:paraId="46AB8F09">
      <w:pPr>
        <w:spacing w:line="360" w:lineRule="auto"/>
        <w:jc w:val="center"/>
        <w:rPr>
          <w:rFonts w:ascii="宋体" w:hAnsi="宋体"/>
          <w:b/>
          <w:color w:val="auto"/>
          <w:kern w:val="0"/>
          <w:sz w:val="32"/>
          <w:szCs w:val="32"/>
        </w:rPr>
      </w:pPr>
    </w:p>
    <w:p w14:paraId="57069DF9">
      <w:pPr>
        <w:pStyle w:val="5"/>
        <w:spacing w:before="0" w:after="0" w:line="240" w:lineRule="auto"/>
        <w:jc w:val="center"/>
        <w:rPr>
          <w:rFonts w:ascii="宋体" w:hAnsi="宋体"/>
          <w:color w:val="auto"/>
          <w:sz w:val="36"/>
          <w:szCs w:val="36"/>
        </w:rPr>
      </w:pPr>
      <w:r>
        <w:rPr>
          <w:rFonts w:ascii="宋体" w:hAnsi="宋体"/>
          <w:color w:val="auto"/>
        </w:rPr>
        <w:br w:type="page"/>
      </w:r>
      <w:bookmarkStart w:id="2075" w:name="_Toc11760"/>
      <w:bookmarkStart w:id="2076" w:name="_Toc224103511"/>
      <w:bookmarkStart w:id="2077" w:name="_Toc430530546"/>
      <w:bookmarkStart w:id="2078" w:name="_Toc277082657"/>
      <w:bookmarkStart w:id="2079" w:name="_Toc287607883"/>
      <w:bookmarkStart w:id="2080" w:name="_Toc287620830"/>
      <w:r>
        <w:rPr>
          <w:rFonts w:hint="eastAsia" w:ascii="宋体" w:hAnsi="宋体"/>
          <w:b w:val="0"/>
          <w:bCs w:val="0"/>
          <w:color w:val="auto"/>
        </w:rPr>
        <w:t>（一）法定代表人身份证明或附有法定代表人身份证明的授权委托书</w:t>
      </w:r>
      <w:bookmarkEnd w:id="2075"/>
      <w:bookmarkEnd w:id="2076"/>
      <w:bookmarkEnd w:id="2077"/>
      <w:bookmarkEnd w:id="2078"/>
      <w:bookmarkEnd w:id="2079"/>
      <w:bookmarkEnd w:id="2080"/>
    </w:p>
    <w:p w14:paraId="1F4AA9D6">
      <w:pPr>
        <w:spacing w:line="480" w:lineRule="auto"/>
        <w:jc w:val="center"/>
        <w:rPr>
          <w:rFonts w:ascii="宋体" w:hAnsi="宋体"/>
          <w:color w:val="auto"/>
          <w:sz w:val="28"/>
        </w:rPr>
      </w:pPr>
      <w:r>
        <w:rPr>
          <w:rFonts w:hint="eastAsia" w:ascii="宋体" w:hAnsi="宋体"/>
          <w:color w:val="auto"/>
          <w:sz w:val="28"/>
        </w:rPr>
        <w:t>法定代表人身份证明</w:t>
      </w:r>
    </w:p>
    <w:p w14:paraId="29415799">
      <w:pPr>
        <w:spacing w:line="480" w:lineRule="auto"/>
        <w:jc w:val="center"/>
        <w:rPr>
          <w:rFonts w:ascii="宋体" w:hAnsi="宋体"/>
          <w:color w:val="auto"/>
        </w:rPr>
      </w:pPr>
    </w:p>
    <w:p w14:paraId="2E459F67">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C06A3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90FD95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1FD5FA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532C5F2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6E0F4D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3781465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14CCDBF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43DF6A98">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附：法定代表人身份证明扫描件（双面）</w:t>
      </w:r>
    </w:p>
    <w:p w14:paraId="235C980D">
      <w:pPr>
        <w:autoSpaceDE w:val="0"/>
        <w:autoSpaceDN w:val="0"/>
        <w:adjustRightInd w:val="0"/>
        <w:snapToGrid w:val="0"/>
        <w:spacing w:line="360" w:lineRule="auto"/>
        <w:jc w:val="left"/>
        <w:rPr>
          <w:rFonts w:ascii="宋体" w:hAnsi="宋体"/>
          <w:color w:val="auto"/>
          <w:szCs w:val="21"/>
        </w:rPr>
      </w:pPr>
    </w:p>
    <w:p w14:paraId="0666ACBA">
      <w:pPr>
        <w:pStyle w:val="2"/>
        <w:spacing w:after="0" w:line="360" w:lineRule="auto"/>
        <w:rPr>
          <w:rFonts w:ascii="宋体" w:hAnsi="宋体"/>
          <w:color w:val="auto"/>
          <w:szCs w:val="21"/>
        </w:rPr>
      </w:pPr>
    </w:p>
    <w:p w14:paraId="3E751449">
      <w:pPr>
        <w:pStyle w:val="2"/>
        <w:spacing w:after="0" w:line="360" w:lineRule="auto"/>
        <w:rPr>
          <w:rFonts w:ascii="宋体" w:hAnsi="宋体"/>
          <w:color w:val="auto"/>
          <w:szCs w:val="21"/>
        </w:rPr>
      </w:pPr>
    </w:p>
    <w:p w14:paraId="242E5E91">
      <w:pPr>
        <w:pStyle w:val="2"/>
        <w:spacing w:after="0" w:line="360" w:lineRule="auto"/>
        <w:rPr>
          <w:rFonts w:ascii="宋体" w:hAnsi="宋体"/>
          <w:color w:val="auto"/>
          <w:szCs w:val="21"/>
        </w:rPr>
      </w:pPr>
    </w:p>
    <w:p w14:paraId="6D595366">
      <w:pPr>
        <w:pStyle w:val="2"/>
        <w:spacing w:after="0" w:line="360" w:lineRule="auto"/>
        <w:rPr>
          <w:rFonts w:ascii="宋体" w:hAnsi="宋体"/>
          <w:color w:val="auto"/>
          <w:szCs w:val="21"/>
        </w:rPr>
      </w:pPr>
    </w:p>
    <w:p w14:paraId="230837BE">
      <w:pPr>
        <w:pStyle w:val="2"/>
        <w:spacing w:after="0" w:line="360" w:lineRule="auto"/>
        <w:rPr>
          <w:rFonts w:ascii="宋体" w:hAnsi="宋体"/>
          <w:color w:val="auto"/>
          <w:szCs w:val="21"/>
        </w:rPr>
      </w:pPr>
    </w:p>
    <w:p w14:paraId="219ADA74">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20BEBBA9">
      <w:pPr>
        <w:autoSpaceDE w:val="0"/>
        <w:autoSpaceDN w:val="0"/>
        <w:adjustRightInd w:val="0"/>
        <w:snapToGrid w:val="0"/>
        <w:spacing w:line="480" w:lineRule="auto"/>
        <w:jc w:val="left"/>
        <w:rPr>
          <w:rFonts w:ascii="宋体" w:hAnsi="宋体"/>
          <w:color w:val="auto"/>
          <w:kern w:val="0"/>
          <w:sz w:val="20"/>
          <w:szCs w:val="20"/>
        </w:rPr>
      </w:pPr>
    </w:p>
    <w:p w14:paraId="0D0EBD7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175B4C36">
      <w:pPr>
        <w:autoSpaceDE w:val="0"/>
        <w:autoSpaceDN w:val="0"/>
        <w:adjustRightInd w:val="0"/>
        <w:snapToGrid w:val="0"/>
        <w:spacing w:line="360" w:lineRule="auto"/>
        <w:jc w:val="left"/>
        <w:rPr>
          <w:rFonts w:ascii="宋体" w:hAnsi="宋体"/>
          <w:color w:val="auto"/>
          <w:kern w:val="0"/>
        </w:rPr>
      </w:pPr>
    </w:p>
    <w:p w14:paraId="67CAC7E3">
      <w:pPr>
        <w:autoSpaceDE w:val="0"/>
        <w:autoSpaceDN w:val="0"/>
        <w:adjustRightInd w:val="0"/>
        <w:snapToGrid w:val="0"/>
        <w:spacing w:line="360" w:lineRule="auto"/>
        <w:jc w:val="left"/>
        <w:rPr>
          <w:rFonts w:ascii="宋体" w:hAnsi="宋体"/>
          <w:color w:val="auto"/>
          <w:kern w:val="0"/>
        </w:rPr>
      </w:pPr>
    </w:p>
    <w:p w14:paraId="6214273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rFonts w:ascii="宋体" w:hAnsi="宋体"/>
          <w:color w:val="auto"/>
        </w:rPr>
        <w:t>注：法定代表人身份证明需按上述格式填写完整，不可缺少内容。在此基础上增加内容的不影响其有效性</w:t>
      </w:r>
      <w:r>
        <w:rPr>
          <w:rFonts w:hint="eastAsia" w:ascii="宋体" w:hAnsi="宋体"/>
          <w:color w:val="auto"/>
          <w:kern w:val="0"/>
          <w:szCs w:val="21"/>
        </w:rPr>
        <w:t>。</w:t>
      </w:r>
    </w:p>
    <w:p w14:paraId="4827849A">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p>
    <w:p w14:paraId="1D69AC04">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728A14A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06A1B3B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7FED0B9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4FC924A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5BD83FC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5056C6E4">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签字</w:t>
      </w:r>
      <w:r>
        <w:rPr>
          <w:rFonts w:ascii="宋体" w:hAnsi="宋体"/>
          <w:color w:val="auto"/>
          <w:kern w:val="0"/>
          <w:szCs w:val="21"/>
        </w:rPr>
        <w:t>或盖章）</w:t>
      </w:r>
    </w:p>
    <w:p w14:paraId="7AAD9AF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527619C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签字</w:t>
      </w:r>
      <w:r>
        <w:rPr>
          <w:rFonts w:hint="eastAsia" w:ascii="宋体" w:hAnsi="宋体"/>
          <w:color w:val="auto"/>
          <w:spacing w:val="-1"/>
          <w:kern w:val="0"/>
          <w:szCs w:val="21"/>
        </w:rPr>
        <w:t>）</w:t>
      </w:r>
    </w:p>
    <w:p w14:paraId="6D920476">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672B33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70C3674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681FBB29">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14:paraId="4F3EF91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7126D2F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1B4FEA0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560017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EED862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135918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27A68F">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rPr>
      </w:pPr>
    </w:p>
    <w:p w14:paraId="1D56B07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679D97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56ED6C4">
      <w:pPr>
        <w:tabs>
          <w:tab w:val="left" w:pos="5760"/>
        </w:tabs>
        <w:autoSpaceDE w:val="0"/>
        <w:autoSpaceDN w:val="0"/>
        <w:adjustRightInd w:val="0"/>
        <w:spacing w:line="360" w:lineRule="auto"/>
        <w:ind w:firstLine="420" w:firstLineChars="200"/>
        <w:rPr>
          <w:rFonts w:ascii="宋体" w:hAnsi="宋体"/>
          <w:color w:val="auto"/>
          <w:kern w:val="0"/>
        </w:rPr>
      </w:pPr>
    </w:p>
    <w:p w14:paraId="2E8C982B">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3992E2A">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1FCBF5A9">
      <w:pPr>
        <w:autoSpaceDE w:val="0"/>
        <w:autoSpaceDN w:val="0"/>
        <w:adjustRightInd w:val="0"/>
        <w:snapToGrid w:val="0"/>
        <w:jc w:val="center"/>
        <w:rPr>
          <w:rFonts w:ascii="宋体" w:hAnsi="宋体"/>
          <w:color w:val="auto"/>
        </w:rPr>
      </w:pPr>
      <w:r>
        <w:rPr>
          <w:rFonts w:ascii="宋体" w:hAnsi="宋体"/>
          <w:color w:val="auto"/>
        </w:rPr>
        <w:br w:type="page"/>
      </w:r>
    </w:p>
    <w:p w14:paraId="44B64F25">
      <w:pPr>
        <w:pStyle w:val="5"/>
        <w:spacing w:before="0" w:after="0" w:line="240" w:lineRule="auto"/>
        <w:jc w:val="center"/>
        <w:rPr>
          <w:rFonts w:ascii="宋体" w:hAnsi="宋体"/>
          <w:b w:val="0"/>
          <w:bCs w:val="0"/>
          <w:color w:val="auto"/>
        </w:rPr>
      </w:pPr>
      <w:bookmarkStart w:id="2081" w:name="_Toc430530547"/>
      <w:bookmarkStart w:id="2082" w:name="_Toc963"/>
      <w:bookmarkStart w:id="2083" w:name="_Toc224103512"/>
      <w:bookmarkStart w:id="2084" w:name="_Toc287620831"/>
      <w:bookmarkStart w:id="2085" w:name="_Toc287607884"/>
      <w:bookmarkStart w:id="2086" w:name="_Toc277082658"/>
      <w:r>
        <w:rPr>
          <w:rFonts w:hint="eastAsia" w:ascii="宋体" w:hAnsi="宋体"/>
          <w:b w:val="0"/>
          <w:bCs w:val="0"/>
          <w:color w:val="auto"/>
        </w:rPr>
        <w:t>（二）联合体协议书</w:t>
      </w:r>
      <w:bookmarkEnd w:id="2081"/>
      <w:r>
        <w:rPr>
          <w:rFonts w:hint="eastAsia" w:ascii="宋体" w:hAnsi="宋体"/>
          <w:b w:val="0"/>
          <w:bCs w:val="0"/>
          <w:color w:val="auto"/>
        </w:rPr>
        <w:t>（如有）</w:t>
      </w:r>
      <w:bookmarkEnd w:id="2082"/>
    </w:p>
    <w:bookmarkEnd w:id="2083"/>
    <w:bookmarkEnd w:id="2084"/>
    <w:bookmarkEnd w:id="2085"/>
    <w:bookmarkEnd w:id="2086"/>
    <w:p w14:paraId="58576289">
      <w:pPr>
        <w:autoSpaceDE w:val="0"/>
        <w:autoSpaceDN w:val="0"/>
        <w:adjustRightInd w:val="0"/>
        <w:snapToGrid w:val="0"/>
        <w:spacing w:line="500" w:lineRule="exact"/>
        <w:ind w:firstLine="420" w:firstLineChars="200"/>
        <w:rPr>
          <w:rFonts w:ascii="宋体" w:hAnsi="宋体"/>
          <w:snapToGrid w:val="0"/>
          <w:color w:val="auto"/>
          <w:kern w:val="0"/>
          <w:szCs w:val="21"/>
        </w:rPr>
      </w:pPr>
      <w:bookmarkStart w:id="2087" w:name="_Toc287607887"/>
      <w:bookmarkStart w:id="2088" w:name="_Toc277082659"/>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（所有成员单位名称）</w:t>
      </w:r>
      <w:r>
        <w:rPr>
          <w:rFonts w:ascii="宋体" w:hAnsi="宋体"/>
          <w:snapToGrid w:val="0"/>
          <w:color w:val="auto"/>
          <w:kern w:val="0"/>
          <w:szCs w:val="21"/>
        </w:rPr>
        <w:t>自愿组成联合体，共同参加</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（项目名称）</w:t>
      </w:r>
      <w:r>
        <w:rPr>
          <w:rFonts w:ascii="宋体" w:hAnsi="宋体"/>
          <w:snapToGrid w:val="0"/>
          <w:color w:val="auto"/>
          <w:kern w:val="0"/>
          <w:szCs w:val="21"/>
        </w:rPr>
        <w:t>投标。现就联合体投标事宜订立如下协议。</w:t>
      </w:r>
    </w:p>
    <w:p w14:paraId="2E719296">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color w:val="auto"/>
          <w:kern w:val="0"/>
          <w:szCs w:val="21"/>
        </w:rPr>
      </w:pPr>
      <w:r>
        <w:rPr>
          <w:rFonts w:ascii="宋体" w:hAnsi="宋体"/>
          <w:snapToGrid w:val="0"/>
          <w:color w:val="auto"/>
          <w:kern w:val="0"/>
          <w:szCs w:val="21"/>
        </w:rPr>
        <w:t>1.</w:t>
      </w:r>
      <w:r>
        <w:rPr>
          <w:rFonts w:ascii="宋体" w:hAnsi="宋体"/>
          <w:snapToGrid w:val="0"/>
          <w:color w:val="auto"/>
          <w:kern w:val="0"/>
          <w:szCs w:val="21"/>
          <w:u w:val="single"/>
        </w:rPr>
        <w:tab/>
      </w:r>
      <w:r>
        <w:rPr>
          <w:rFonts w:ascii="宋体" w:hAnsi="宋体"/>
          <w:snapToGrid w:val="0"/>
          <w:color w:val="auto"/>
          <w:kern w:val="0"/>
          <w:szCs w:val="21"/>
          <w:u w:val="single"/>
        </w:rPr>
        <w:t>（某成员单位名称）</w:t>
      </w:r>
      <w:r>
        <w:rPr>
          <w:rFonts w:hint="eastAsia" w:ascii="宋体" w:hAnsi="宋体"/>
          <w:snapToGrid w:val="0"/>
          <w:color w:val="auto"/>
          <w:kern w:val="0"/>
          <w:szCs w:val="21"/>
        </w:rPr>
        <w:t>为</w:t>
      </w:r>
      <w:r>
        <w:rPr>
          <w:rFonts w:hint="eastAsia" w:ascii="宋体" w:hAnsi="宋体"/>
          <w:snapToGrid w:val="0"/>
          <w:color w:val="auto"/>
          <w:kern w:val="0"/>
          <w:szCs w:val="21"/>
          <w:u w:val="single"/>
        </w:rPr>
        <w:tab/>
      </w:r>
      <w:r>
        <w:rPr>
          <w:rFonts w:hint="eastAsia" w:ascii="宋体" w:hAnsi="宋体"/>
          <w:snapToGrid w:val="0"/>
          <w:color w:val="auto"/>
          <w:kern w:val="0"/>
          <w:szCs w:val="21"/>
          <w:u w:val="single"/>
        </w:rPr>
        <w:t xml:space="preserve">      （项目名称）</w:t>
      </w:r>
      <w:r>
        <w:rPr>
          <w:rFonts w:ascii="宋体" w:hAnsi="宋体"/>
          <w:snapToGrid w:val="0"/>
          <w:color w:val="auto"/>
          <w:kern w:val="0"/>
          <w:szCs w:val="21"/>
        </w:rPr>
        <w:t>联合体牵头人。由联合体牵头人单位递交投标保证金。</w:t>
      </w:r>
    </w:p>
    <w:p w14:paraId="3CD46FCB">
      <w:pPr>
        <w:autoSpaceDE w:val="0"/>
        <w:autoSpaceDN w:val="0"/>
        <w:adjustRightInd w:val="0"/>
        <w:snapToGrid w:val="0"/>
        <w:spacing w:line="500" w:lineRule="exact"/>
        <w:ind w:firstLine="420"/>
        <w:rPr>
          <w:rFonts w:ascii="宋体" w:hAnsi="宋体"/>
          <w:snapToGrid w:val="0"/>
          <w:color w:val="auto"/>
          <w:kern w:val="0"/>
          <w:szCs w:val="21"/>
        </w:rPr>
      </w:pPr>
      <w:r>
        <w:rPr>
          <w:rFonts w:ascii="宋体" w:hAnsi="宋体"/>
          <w:snapToGrid w:val="0"/>
          <w:color w:val="auto"/>
          <w:kern w:val="0"/>
          <w:szCs w:val="21"/>
        </w:rPr>
        <w:t>2.联合体牵头人合法代表联合体各成员负责本</w:t>
      </w:r>
      <w:r>
        <w:rPr>
          <w:rFonts w:hint="eastAsia" w:ascii="宋体" w:hAnsi="宋体"/>
          <w:snapToGrid w:val="0"/>
          <w:color w:val="auto"/>
          <w:kern w:val="0"/>
          <w:szCs w:val="21"/>
        </w:rPr>
        <w:t>采购</w:t>
      </w:r>
      <w:r>
        <w:rPr>
          <w:rFonts w:ascii="宋体" w:hAnsi="宋体"/>
          <w:snapToGrid w:val="0"/>
          <w:color w:val="auto"/>
          <w:kern w:val="0"/>
          <w:szCs w:val="21"/>
        </w:rPr>
        <w:t>项目投标文件编制和合同谈判活动， 并代表联合体提交和接收相关的资料、信息及指示，并处理与之有关的一切事务，负责合同 实施阶段的主办、组织和协调工作。</w:t>
      </w:r>
    </w:p>
    <w:p w14:paraId="4E2A4256">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3.联合体将严格按照</w:t>
      </w:r>
      <w:r>
        <w:rPr>
          <w:rFonts w:hint="eastAsia" w:ascii="宋体" w:hAnsi="宋体"/>
          <w:snapToGrid w:val="0"/>
          <w:color w:val="auto"/>
          <w:kern w:val="0"/>
          <w:szCs w:val="21"/>
        </w:rPr>
        <w:t>采购</w:t>
      </w:r>
      <w:r>
        <w:rPr>
          <w:rFonts w:ascii="宋体" w:hAnsi="宋体"/>
          <w:snapToGrid w:val="0"/>
          <w:color w:val="auto"/>
          <w:kern w:val="0"/>
          <w:szCs w:val="21"/>
        </w:rPr>
        <w:t>文件的各项要求，递交投标文件，履行合同，并对外承担连带责任。</w:t>
      </w:r>
    </w:p>
    <w:p w14:paraId="5F68AFE2">
      <w:pPr>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4.联合体牵头人代表联合体签署投标文件</w:t>
      </w:r>
      <w:r>
        <w:rPr>
          <w:rFonts w:ascii="宋体" w:hAnsi="宋体"/>
          <w:color w:val="auto"/>
          <w:spacing w:val="-19"/>
          <w:kern w:val="0"/>
          <w:szCs w:val="21"/>
        </w:rPr>
        <w:t>，</w:t>
      </w:r>
      <w:r>
        <w:rPr>
          <w:rFonts w:ascii="宋体" w:hAnsi="宋体"/>
          <w:color w:val="auto"/>
          <w:kern w:val="0"/>
          <w:szCs w:val="21"/>
        </w:rPr>
        <w:t>联合体牵头人的所有承诺均认为代表了联合体各成员。</w:t>
      </w:r>
    </w:p>
    <w:p w14:paraId="5D44E934">
      <w:pPr>
        <w:autoSpaceDE w:val="0"/>
        <w:autoSpaceDN w:val="0"/>
        <w:adjustRightInd w:val="0"/>
        <w:spacing w:line="500" w:lineRule="exact"/>
        <w:ind w:firstLine="420" w:firstLineChars="200"/>
        <w:jc w:val="left"/>
        <w:rPr>
          <w:rFonts w:ascii="宋体" w:hAnsi="宋体"/>
          <w:color w:val="auto"/>
          <w:kern w:val="0"/>
          <w:szCs w:val="21"/>
        </w:rPr>
      </w:pPr>
      <w:r>
        <w:rPr>
          <w:rFonts w:ascii="宋体" w:hAnsi="宋体"/>
          <w:snapToGrid w:val="0"/>
          <w:color w:val="auto"/>
          <w:kern w:val="0"/>
          <w:szCs w:val="21"/>
        </w:rPr>
        <w:t>5.</w:t>
      </w:r>
      <w:r>
        <w:rPr>
          <w:rFonts w:ascii="宋体" w:hAnsi="宋体"/>
          <w:color w:val="auto"/>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10AD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5097C891">
            <w:pPr>
              <w:autoSpaceDE w:val="0"/>
              <w:autoSpaceDN w:val="0"/>
              <w:adjustRightInd w:val="0"/>
              <w:snapToGrid w:val="0"/>
              <w:spacing w:line="500" w:lineRule="exact"/>
              <w:jc w:val="center"/>
              <w:rPr>
                <w:rFonts w:ascii="宋体" w:hAnsi="宋体"/>
                <w:snapToGrid w:val="0"/>
                <w:color w:val="auto"/>
                <w:kern w:val="0"/>
                <w:szCs w:val="21"/>
              </w:rPr>
            </w:pPr>
            <w:r>
              <w:rPr>
                <w:rFonts w:ascii="宋体" w:hAnsi="宋体"/>
                <w:snapToGrid w:val="0"/>
                <w:color w:val="auto"/>
                <w:kern w:val="0"/>
                <w:szCs w:val="21"/>
              </w:rPr>
              <w:t>单位名称</w:t>
            </w:r>
          </w:p>
        </w:tc>
        <w:tc>
          <w:tcPr>
            <w:tcW w:w="2410" w:type="dxa"/>
          </w:tcPr>
          <w:p w14:paraId="3C4F90B1">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4EC87F51">
            <w:pPr>
              <w:autoSpaceDE w:val="0"/>
              <w:autoSpaceDN w:val="0"/>
              <w:adjustRightInd w:val="0"/>
              <w:snapToGrid w:val="0"/>
              <w:spacing w:line="500" w:lineRule="exact"/>
              <w:jc w:val="center"/>
              <w:rPr>
                <w:rFonts w:ascii="宋体" w:hAnsi="宋体"/>
                <w:snapToGrid w:val="0"/>
                <w:color w:val="auto"/>
                <w:kern w:val="0"/>
                <w:szCs w:val="21"/>
              </w:rPr>
            </w:pPr>
            <w:r>
              <w:rPr>
                <w:rFonts w:ascii="宋体" w:hAnsi="宋体"/>
                <w:snapToGrid w:val="0"/>
                <w:color w:val="auto"/>
                <w:kern w:val="0"/>
                <w:szCs w:val="21"/>
              </w:rPr>
              <w:t>职责分工</w:t>
            </w:r>
          </w:p>
        </w:tc>
      </w:tr>
      <w:tr w14:paraId="69BA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017850C">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联合体牵头人名称</w:t>
            </w:r>
          </w:p>
        </w:tc>
        <w:tc>
          <w:tcPr>
            <w:tcW w:w="2410" w:type="dxa"/>
          </w:tcPr>
          <w:p w14:paraId="2C95F1A2">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240B0FFA">
            <w:pPr>
              <w:autoSpaceDE w:val="0"/>
              <w:autoSpaceDN w:val="0"/>
              <w:adjustRightInd w:val="0"/>
              <w:snapToGrid w:val="0"/>
              <w:spacing w:line="500" w:lineRule="exact"/>
              <w:ind w:firstLine="420"/>
              <w:jc w:val="left"/>
              <w:rPr>
                <w:rFonts w:ascii="宋体" w:hAnsi="宋体"/>
                <w:snapToGrid w:val="0"/>
                <w:color w:val="auto"/>
                <w:kern w:val="0"/>
                <w:szCs w:val="21"/>
              </w:rPr>
            </w:pPr>
          </w:p>
        </w:tc>
      </w:tr>
      <w:tr w14:paraId="75B3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5D4D8C20">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联合体其他成员单位一名称</w:t>
            </w:r>
          </w:p>
        </w:tc>
        <w:tc>
          <w:tcPr>
            <w:tcW w:w="2410" w:type="dxa"/>
          </w:tcPr>
          <w:p w14:paraId="191D64E4">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5B44CD79">
            <w:pPr>
              <w:autoSpaceDE w:val="0"/>
              <w:autoSpaceDN w:val="0"/>
              <w:adjustRightInd w:val="0"/>
              <w:snapToGrid w:val="0"/>
              <w:spacing w:line="500" w:lineRule="exact"/>
              <w:ind w:firstLine="420"/>
              <w:jc w:val="left"/>
              <w:rPr>
                <w:rFonts w:ascii="宋体" w:hAnsi="宋体"/>
                <w:snapToGrid w:val="0"/>
                <w:color w:val="auto"/>
                <w:kern w:val="0"/>
                <w:szCs w:val="21"/>
              </w:rPr>
            </w:pPr>
          </w:p>
        </w:tc>
      </w:tr>
      <w:tr w14:paraId="1B87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4E82E0D">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联合体其他成员单位二名称</w:t>
            </w:r>
          </w:p>
        </w:tc>
        <w:tc>
          <w:tcPr>
            <w:tcW w:w="2410" w:type="dxa"/>
          </w:tcPr>
          <w:p w14:paraId="18C57EA5">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社会信用代码</w:t>
            </w:r>
          </w:p>
        </w:tc>
        <w:tc>
          <w:tcPr>
            <w:tcW w:w="2885" w:type="dxa"/>
          </w:tcPr>
          <w:p w14:paraId="45BCC63E">
            <w:pPr>
              <w:autoSpaceDE w:val="0"/>
              <w:autoSpaceDN w:val="0"/>
              <w:adjustRightInd w:val="0"/>
              <w:snapToGrid w:val="0"/>
              <w:spacing w:line="500" w:lineRule="exact"/>
              <w:ind w:firstLine="420"/>
              <w:jc w:val="left"/>
              <w:rPr>
                <w:rFonts w:ascii="宋体" w:hAnsi="宋体"/>
                <w:snapToGrid w:val="0"/>
                <w:color w:val="auto"/>
                <w:kern w:val="0"/>
                <w:szCs w:val="21"/>
              </w:rPr>
            </w:pPr>
          </w:p>
        </w:tc>
      </w:tr>
      <w:tr w14:paraId="37AE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31A5EA1D">
            <w:pPr>
              <w:autoSpaceDE w:val="0"/>
              <w:autoSpaceDN w:val="0"/>
              <w:adjustRightInd w:val="0"/>
              <w:snapToGrid w:val="0"/>
              <w:spacing w:line="500" w:lineRule="exact"/>
              <w:ind w:firstLine="420"/>
              <w:jc w:val="left"/>
              <w:rPr>
                <w:rFonts w:ascii="宋体" w:hAnsi="宋体"/>
                <w:snapToGrid w:val="0"/>
                <w:color w:val="auto"/>
                <w:kern w:val="0"/>
                <w:szCs w:val="21"/>
              </w:rPr>
            </w:pPr>
            <w:r>
              <w:rPr>
                <w:rFonts w:ascii="宋体" w:hAnsi="宋体"/>
                <w:snapToGrid w:val="0"/>
                <w:color w:val="auto"/>
                <w:kern w:val="0"/>
                <w:szCs w:val="21"/>
              </w:rPr>
              <w:t>……</w:t>
            </w:r>
          </w:p>
        </w:tc>
        <w:tc>
          <w:tcPr>
            <w:tcW w:w="2410" w:type="dxa"/>
          </w:tcPr>
          <w:p w14:paraId="3E474ACC">
            <w:pPr>
              <w:autoSpaceDE w:val="0"/>
              <w:autoSpaceDN w:val="0"/>
              <w:adjustRightInd w:val="0"/>
              <w:snapToGrid w:val="0"/>
              <w:spacing w:line="500" w:lineRule="exact"/>
              <w:ind w:firstLine="420"/>
              <w:jc w:val="left"/>
              <w:rPr>
                <w:rFonts w:ascii="宋体" w:hAnsi="宋体"/>
                <w:snapToGrid w:val="0"/>
                <w:color w:val="auto"/>
                <w:kern w:val="0"/>
                <w:szCs w:val="21"/>
              </w:rPr>
            </w:pPr>
          </w:p>
        </w:tc>
        <w:tc>
          <w:tcPr>
            <w:tcW w:w="2885" w:type="dxa"/>
          </w:tcPr>
          <w:p w14:paraId="09869133">
            <w:pPr>
              <w:autoSpaceDE w:val="0"/>
              <w:autoSpaceDN w:val="0"/>
              <w:adjustRightInd w:val="0"/>
              <w:snapToGrid w:val="0"/>
              <w:spacing w:line="500" w:lineRule="exact"/>
              <w:ind w:firstLine="420"/>
              <w:jc w:val="left"/>
              <w:rPr>
                <w:rFonts w:ascii="宋体" w:hAnsi="宋体"/>
                <w:snapToGrid w:val="0"/>
                <w:color w:val="auto"/>
                <w:kern w:val="0"/>
                <w:szCs w:val="21"/>
              </w:rPr>
            </w:pPr>
          </w:p>
        </w:tc>
      </w:tr>
    </w:tbl>
    <w:p w14:paraId="56F56404">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color w:val="auto"/>
          <w:spacing w:val="7"/>
          <w:kern w:val="0"/>
          <w:szCs w:val="21"/>
        </w:rPr>
      </w:pPr>
      <w:r>
        <w:rPr>
          <w:rFonts w:ascii="宋体" w:hAnsi="宋体"/>
          <w:color w:val="auto"/>
          <w:kern w:val="0"/>
          <w:szCs w:val="21"/>
        </w:rPr>
        <w:t>6</w:t>
      </w:r>
      <w:r>
        <w:rPr>
          <w:rFonts w:ascii="宋体" w:hAnsi="宋体"/>
          <w:color w:val="auto"/>
          <w:spacing w:val="7"/>
          <w:kern w:val="0"/>
          <w:szCs w:val="21"/>
        </w:rPr>
        <w:t>.</w:t>
      </w:r>
      <w:r>
        <w:rPr>
          <w:rFonts w:hint="eastAsia" w:ascii="宋体" w:hAnsi="宋体"/>
          <w:color w:val="auto"/>
          <w:spacing w:val="7"/>
          <w:kern w:val="0"/>
          <w:szCs w:val="21"/>
        </w:rPr>
        <w:t>由联合体牵头人委派本项目的委托代理人。</w:t>
      </w:r>
    </w:p>
    <w:p w14:paraId="376F72FF">
      <w:pPr>
        <w:autoSpaceDE w:val="0"/>
        <w:autoSpaceDN w:val="0"/>
        <w:adjustRightInd w:val="0"/>
        <w:spacing w:line="500" w:lineRule="exact"/>
        <w:ind w:firstLine="448" w:firstLineChars="200"/>
        <w:jc w:val="left"/>
        <w:rPr>
          <w:rFonts w:ascii="宋体" w:hAnsi="宋体"/>
          <w:color w:val="auto"/>
          <w:kern w:val="0"/>
          <w:szCs w:val="21"/>
        </w:rPr>
      </w:pPr>
      <w:r>
        <w:rPr>
          <w:rFonts w:hint="eastAsia" w:ascii="宋体" w:hAnsi="宋体"/>
          <w:color w:val="auto"/>
          <w:spacing w:val="7"/>
          <w:kern w:val="0"/>
          <w:szCs w:val="21"/>
        </w:rPr>
        <w:t>7.</w:t>
      </w:r>
      <w:r>
        <w:rPr>
          <w:rFonts w:ascii="宋体" w:hAnsi="宋体"/>
          <w:color w:val="auto"/>
          <w:spacing w:val="7"/>
          <w:kern w:val="0"/>
          <w:szCs w:val="21"/>
        </w:rPr>
        <w:t>投标工作和联合体</w:t>
      </w:r>
      <w:r>
        <w:rPr>
          <w:rFonts w:ascii="宋体" w:hAnsi="宋体"/>
          <w:color w:val="auto"/>
          <w:spacing w:val="5"/>
          <w:kern w:val="0"/>
          <w:szCs w:val="21"/>
        </w:rPr>
        <w:t>在</w:t>
      </w:r>
      <w:r>
        <w:rPr>
          <w:rFonts w:ascii="宋体" w:hAnsi="宋体"/>
          <w:color w:val="auto"/>
          <w:spacing w:val="7"/>
          <w:kern w:val="0"/>
          <w:szCs w:val="21"/>
        </w:rPr>
        <w:t>中标后工程实施过</w:t>
      </w:r>
      <w:r>
        <w:rPr>
          <w:rFonts w:ascii="宋体" w:hAnsi="宋体"/>
          <w:color w:val="auto"/>
          <w:spacing w:val="5"/>
          <w:kern w:val="0"/>
          <w:szCs w:val="21"/>
        </w:rPr>
        <w:t>程</w:t>
      </w:r>
      <w:r>
        <w:rPr>
          <w:rFonts w:ascii="宋体" w:hAnsi="宋体"/>
          <w:color w:val="auto"/>
          <w:spacing w:val="7"/>
          <w:kern w:val="0"/>
          <w:szCs w:val="21"/>
        </w:rPr>
        <w:t>中的有关费用按各</w:t>
      </w:r>
      <w:r>
        <w:rPr>
          <w:rFonts w:ascii="宋体" w:hAnsi="宋体"/>
          <w:color w:val="auto"/>
          <w:spacing w:val="5"/>
          <w:kern w:val="0"/>
          <w:szCs w:val="21"/>
        </w:rPr>
        <w:t>自</w:t>
      </w:r>
      <w:r>
        <w:rPr>
          <w:rFonts w:ascii="宋体" w:hAnsi="宋体"/>
          <w:color w:val="auto"/>
          <w:spacing w:val="7"/>
          <w:kern w:val="0"/>
          <w:szCs w:val="21"/>
        </w:rPr>
        <w:t>承担的工作</w:t>
      </w:r>
      <w:r>
        <w:rPr>
          <w:rFonts w:ascii="宋体" w:hAnsi="宋体"/>
          <w:color w:val="auto"/>
          <w:kern w:val="0"/>
          <w:szCs w:val="21"/>
        </w:rPr>
        <w:t>量分摊。</w:t>
      </w:r>
    </w:p>
    <w:p w14:paraId="74BB6B27">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8</w:t>
      </w:r>
      <w:r>
        <w:rPr>
          <w:rFonts w:ascii="宋体" w:hAnsi="宋体"/>
          <w:snapToGrid w:val="0"/>
          <w:color w:val="auto"/>
          <w:kern w:val="0"/>
          <w:szCs w:val="21"/>
        </w:rPr>
        <w:t>.本协议书自签署之日起生效，合同履行完毕后自动失效。</w:t>
      </w:r>
    </w:p>
    <w:p w14:paraId="54050B48">
      <w:pPr>
        <w:autoSpaceDE w:val="0"/>
        <w:autoSpaceDN w:val="0"/>
        <w:adjustRightInd w:val="0"/>
        <w:snapToGrid w:val="0"/>
        <w:spacing w:line="500" w:lineRule="exact"/>
        <w:ind w:firstLine="390" w:firstLineChars="186"/>
        <w:jc w:val="left"/>
        <w:rPr>
          <w:rFonts w:ascii="宋体" w:hAnsi="宋体"/>
          <w:snapToGrid w:val="0"/>
          <w:color w:val="auto"/>
          <w:kern w:val="0"/>
          <w:szCs w:val="21"/>
        </w:rPr>
      </w:pPr>
      <w:r>
        <w:rPr>
          <w:rFonts w:hint="eastAsia" w:ascii="宋体" w:hAnsi="宋体"/>
          <w:snapToGrid w:val="0"/>
          <w:color w:val="auto"/>
          <w:kern w:val="0"/>
          <w:szCs w:val="21"/>
        </w:rPr>
        <w:t>9</w:t>
      </w:r>
      <w:r>
        <w:rPr>
          <w:rFonts w:ascii="宋体" w:hAnsi="宋体"/>
          <w:snapToGrid w:val="0"/>
          <w:color w:val="auto"/>
          <w:kern w:val="0"/>
          <w:szCs w:val="21"/>
        </w:rPr>
        <w:t>.本协议书一式</w:t>
      </w:r>
      <w:r>
        <w:rPr>
          <w:rFonts w:hint="eastAsia" w:ascii="宋体" w:hAnsi="宋体"/>
          <w:snapToGrid w:val="0"/>
          <w:color w:val="auto"/>
          <w:kern w:val="0"/>
          <w:szCs w:val="21"/>
          <w:u w:val="single"/>
        </w:rPr>
        <w:t xml:space="preserve">    </w:t>
      </w:r>
      <w:r>
        <w:rPr>
          <w:rFonts w:ascii="宋体" w:hAnsi="宋体"/>
          <w:snapToGrid w:val="0"/>
          <w:color w:val="auto"/>
          <w:kern w:val="0"/>
          <w:szCs w:val="21"/>
        </w:rPr>
        <w:t>份，联合体成员和</w:t>
      </w:r>
      <w:r>
        <w:rPr>
          <w:rFonts w:hint="eastAsia" w:ascii="宋体" w:hAnsi="宋体"/>
          <w:snapToGrid w:val="0"/>
          <w:color w:val="auto"/>
          <w:kern w:val="0"/>
          <w:szCs w:val="21"/>
        </w:rPr>
        <w:t>采购</w:t>
      </w:r>
      <w:r>
        <w:rPr>
          <w:rFonts w:ascii="宋体" w:hAnsi="宋体"/>
          <w:snapToGrid w:val="0"/>
          <w:color w:val="auto"/>
          <w:kern w:val="0"/>
          <w:szCs w:val="21"/>
        </w:rPr>
        <w:t>人各执</w:t>
      </w:r>
      <w:r>
        <w:rPr>
          <w:rFonts w:hint="eastAsia" w:ascii="宋体" w:hAnsi="宋体"/>
          <w:snapToGrid w:val="0"/>
          <w:color w:val="auto"/>
          <w:kern w:val="0"/>
          <w:szCs w:val="21"/>
          <w:u w:val="single"/>
        </w:rPr>
        <w:t xml:space="preserve">    </w:t>
      </w:r>
      <w:r>
        <w:rPr>
          <w:rFonts w:ascii="宋体" w:hAnsi="宋体"/>
          <w:snapToGrid w:val="0"/>
          <w:color w:val="auto"/>
          <w:kern w:val="0"/>
          <w:szCs w:val="21"/>
        </w:rPr>
        <w:t>份。</w:t>
      </w:r>
    </w:p>
    <w:p w14:paraId="0E102287">
      <w:pPr>
        <w:autoSpaceDE w:val="0"/>
        <w:autoSpaceDN w:val="0"/>
        <w:adjustRightInd w:val="0"/>
        <w:snapToGrid w:val="0"/>
        <w:spacing w:line="500" w:lineRule="exact"/>
        <w:ind w:firstLine="390" w:firstLineChars="186"/>
        <w:jc w:val="left"/>
        <w:rPr>
          <w:rFonts w:ascii="宋体" w:hAnsi="宋体"/>
          <w:snapToGrid w:val="0"/>
          <w:color w:val="auto"/>
          <w:kern w:val="0"/>
          <w:szCs w:val="21"/>
        </w:rPr>
      </w:pPr>
    </w:p>
    <w:p w14:paraId="49D4FE38">
      <w:pPr>
        <w:tabs>
          <w:tab w:val="left" w:pos="4840"/>
        </w:tabs>
        <w:autoSpaceDE w:val="0"/>
        <w:autoSpaceDN w:val="0"/>
        <w:adjustRightInd w:val="0"/>
        <w:snapToGrid w:val="0"/>
        <w:spacing w:line="50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牵头人名称：</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（盖单位法人章）</w:t>
      </w:r>
    </w:p>
    <w:p w14:paraId="776E962F">
      <w:pPr>
        <w:tabs>
          <w:tab w:val="left" w:pos="5260"/>
        </w:tabs>
        <w:autoSpaceDE w:val="0"/>
        <w:autoSpaceDN w:val="0"/>
        <w:adjustRightInd w:val="0"/>
        <w:snapToGrid w:val="0"/>
        <w:spacing w:line="500" w:lineRule="exact"/>
        <w:ind w:firstLine="420" w:firstLineChars="200"/>
        <w:jc w:val="left"/>
        <w:rPr>
          <w:rFonts w:ascii="宋体" w:hAnsi="宋体"/>
          <w:snapToGrid w:val="0"/>
          <w:color w:val="auto"/>
          <w:kern w:val="0"/>
          <w:szCs w:val="21"/>
        </w:rPr>
      </w:pPr>
      <w:r>
        <w:rPr>
          <w:rFonts w:ascii="宋体" w:hAnsi="宋体"/>
          <w:snapToGrid w:val="0"/>
          <w:color w:val="auto"/>
          <w:kern w:val="0"/>
          <w:position w:val="-2"/>
          <w:szCs w:val="21"/>
        </w:rPr>
        <w:t>法定代表人或其委托代理人：</w:t>
      </w:r>
      <w:r>
        <w:rPr>
          <w:rFonts w:hint="eastAsia" w:ascii="宋体" w:hAnsi="宋体"/>
          <w:snapToGrid w:val="0"/>
          <w:color w:val="auto"/>
          <w:kern w:val="0"/>
          <w:position w:val="-2"/>
          <w:szCs w:val="21"/>
          <w:u w:val="single"/>
        </w:rPr>
        <w:t xml:space="preserve">                                    </w:t>
      </w:r>
      <w:r>
        <w:rPr>
          <w:rFonts w:ascii="宋体" w:hAnsi="宋体"/>
          <w:snapToGrid w:val="0"/>
          <w:color w:val="auto"/>
          <w:kern w:val="0"/>
          <w:position w:val="-2"/>
          <w:szCs w:val="21"/>
        </w:rPr>
        <w:t>（</w:t>
      </w:r>
      <w:r>
        <w:rPr>
          <w:rFonts w:hint="eastAsia" w:ascii="宋体" w:hAnsi="宋体"/>
          <w:snapToGrid w:val="0"/>
          <w:color w:val="auto"/>
          <w:kern w:val="0"/>
          <w:szCs w:val="21"/>
        </w:rPr>
        <w:t>签字</w:t>
      </w:r>
      <w:r>
        <w:rPr>
          <w:rFonts w:ascii="宋体" w:hAnsi="宋体"/>
          <w:snapToGrid w:val="0"/>
          <w:color w:val="auto"/>
          <w:kern w:val="0"/>
          <w:szCs w:val="21"/>
        </w:rPr>
        <w:t>或盖章</w:t>
      </w:r>
      <w:r>
        <w:rPr>
          <w:rFonts w:ascii="宋体" w:hAnsi="宋体"/>
          <w:snapToGrid w:val="0"/>
          <w:color w:val="auto"/>
          <w:kern w:val="0"/>
          <w:position w:val="-2"/>
          <w:szCs w:val="21"/>
        </w:rPr>
        <w:t>）</w:t>
      </w:r>
    </w:p>
    <w:p w14:paraId="359D79FD">
      <w:pPr>
        <w:tabs>
          <w:tab w:val="left" w:pos="7890"/>
        </w:tabs>
        <w:autoSpaceDE w:val="0"/>
        <w:autoSpaceDN w:val="0"/>
        <w:adjustRightInd w:val="0"/>
        <w:spacing w:line="500" w:lineRule="exact"/>
        <w:ind w:firstLine="420" w:firstLineChars="200"/>
        <w:jc w:val="left"/>
        <w:rPr>
          <w:rFonts w:ascii="宋体" w:hAnsi="宋体"/>
          <w:color w:val="auto"/>
          <w:kern w:val="0"/>
          <w:szCs w:val="21"/>
        </w:rPr>
      </w:pPr>
      <w:r>
        <w:rPr>
          <w:rFonts w:hint="eastAsia" w:ascii="宋体" w:hAnsi="宋体"/>
          <w:color w:val="auto"/>
          <w:kern w:val="0"/>
          <w:szCs w:val="21"/>
        </w:rPr>
        <w:t>联合体其他成员单位</w:t>
      </w:r>
      <w:r>
        <w:rPr>
          <w:rFonts w:ascii="宋体" w:hAnsi="宋体"/>
          <w:color w:val="auto"/>
          <w:kern w:val="0"/>
          <w:szCs w:val="21"/>
        </w:rPr>
        <w:t>一名称：</w:t>
      </w:r>
      <w:r>
        <w:rPr>
          <w:rFonts w:hint="eastAsia" w:ascii="宋体" w:hAnsi="宋体"/>
          <w:color w:val="auto"/>
          <w:kern w:val="0"/>
          <w:szCs w:val="21"/>
          <w:u w:val="single"/>
        </w:rPr>
        <w:t xml:space="preserve">                                    </w:t>
      </w:r>
      <w:r>
        <w:rPr>
          <w:rFonts w:hint="eastAsia" w:ascii="宋体" w:hAnsi="宋体"/>
          <w:color w:val="auto"/>
          <w:kern w:val="0"/>
          <w:szCs w:val="21"/>
        </w:rPr>
        <w:t>（</w:t>
      </w:r>
      <w:r>
        <w:rPr>
          <w:rFonts w:ascii="宋体" w:hAnsi="宋体"/>
          <w:color w:val="auto"/>
          <w:kern w:val="0"/>
          <w:szCs w:val="21"/>
        </w:rPr>
        <w:t>盖单位法人章）</w:t>
      </w:r>
    </w:p>
    <w:p w14:paraId="24D5FFB7">
      <w:pPr>
        <w:tabs>
          <w:tab w:val="left" w:pos="7740"/>
        </w:tabs>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法定代表人或其委托代理人</w:t>
      </w:r>
      <w:r>
        <w:rPr>
          <w:rFonts w:hint="eastAsia" w:ascii="宋体" w:hAnsi="宋体"/>
          <w:color w:val="auto"/>
          <w:kern w:val="0"/>
          <w:szCs w:val="21"/>
        </w:rPr>
        <w:t>：</w:t>
      </w:r>
      <w:r>
        <w:rPr>
          <w:rFonts w:hint="eastAsia" w:ascii="宋体" w:hAnsi="宋体"/>
          <w:color w:val="auto"/>
          <w:kern w:val="0"/>
          <w:szCs w:val="21"/>
          <w:u w:val="single"/>
        </w:rPr>
        <w:t xml:space="preserve">                                    </w:t>
      </w:r>
      <w:r>
        <w:rPr>
          <w:rFonts w:ascii="宋体" w:hAnsi="宋体"/>
          <w:color w:val="auto"/>
          <w:spacing w:val="-1"/>
          <w:kern w:val="0"/>
          <w:szCs w:val="21"/>
        </w:rPr>
        <w:t>（</w:t>
      </w:r>
      <w:r>
        <w:rPr>
          <w:rFonts w:hint="eastAsia" w:ascii="宋体" w:hAnsi="宋体"/>
          <w:color w:val="auto"/>
          <w:kern w:val="0"/>
          <w:szCs w:val="21"/>
        </w:rPr>
        <w:t>签字</w:t>
      </w:r>
      <w:r>
        <w:rPr>
          <w:rFonts w:ascii="宋体" w:hAnsi="宋体"/>
          <w:snapToGrid w:val="0"/>
          <w:color w:val="auto"/>
          <w:kern w:val="0"/>
          <w:szCs w:val="21"/>
        </w:rPr>
        <w:t>或盖章</w:t>
      </w:r>
      <w:r>
        <w:rPr>
          <w:rFonts w:ascii="宋体" w:hAnsi="宋体"/>
          <w:color w:val="auto"/>
          <w:kern w:val="0"/>
          <w:szCs w:val="21"/>
        </w:rPr>
        <w:t>）</w:t>
      </w:r>
    </w:p>
    <w:p w14:paraId="5A5C2356">
      <w:pPr>
        <w:tabs>
          <w:tab w:val="left" w:pos="7890"/>
        </w:tabs>
        <w:autoSpaceDE w:val="0"/>
        <w:autoSpaceDN w:val="0"/>
        <w:adjustRightInd w:val="0"/>
        <w:spacing w:line="500" w:lineRule="exact"/>
        <w:ind w:firstLine="420" w:firstLineChars="200"/>
        <w:jc w:val="left"/>
        <w:rPr>
          <w:rFonts w:ascii="宋体" w:hAnsi="宋体"/>
          <w:color w:val="auto"/>
          <w:kern w:val="0"/>
          <w:szCs w:val="21"/>
        </w:rPr>
      </w:pPr>
      <w:r>
        <w:rPr>
          <w:rFonts w:hint="eastAsia" w:ascii="宋体" w:hAnsi="宋体"/>
          <w:color w:val="auto"/>
          <w:kern w:val="0"/>
          <w:szCs w:val="21"/>
        </w:rPr>
        <w:t>联合体其他成员单位二</w:t>
      </w:r>
      <w:r>
        <w:rPr>
          <w:rFonts w:ascii="宋体" w:hAnsi="宋体"/>
          <w:color w:val="auto"/>
          <w:kern w:val="0"/>
          <w:szCs w:val="21"/>
        </w:rPr>
        <w:t>名称：</w:t>
      </w:r>
      <w:r>
        <w:rPr>
          <w:rFonts w:hint="eastAsia" w:ascii="宋体" w:hAnsi="宋体"/>
          <w:color w:val="auto"/>
          <w:kern w:val="0"/>
          <w:szCs w:val="21"/>
          <w:u w:val="single"/>
        </w:rPr>
        <w:t xml:space="preserve">                                    </w:t>
      </w:r>
      <w:r>
        <w:rPr>
          <w:rFonts w:hint="eastAsia" w:ascii="宋体" w:hAnsi="宋体"/>
          <w:color w:val="auto"/>
          <w:kern w:val="0"/>
          <w:szCs w:val="21"/>
        </w:rPr>
        <w:t>（</w:t>
      </w:r>
      <w:r>
        <w:rPr>
          <w:rFonts w:ascii="宋体" w:hAnsi="宋体"/>
          <w:color w:val="auto"/>
          <w:kern w:val="0"/>
          <w:szCs w:val="21"/>
        </w:rPr>
        <w:t>盖单位法人章）</w:t>
      </w:r>
    </w:p>
    <w:p w14:paraId="1AE6FB0B">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法定代表人或其委托代理人</w:t>
      </w:r>
      <w:r>
        <w:rPr>
          <w:rFonts w:hint="eastAsia" w:ascii="宋体" w:hAnsi="宋体"/>
          <w:color w:val="auto"/>
          <w:kern w:val="0"/>
          <w:szCs w:val="21"/>
        </w:rPr>
        <w:t>：</w:t>
      </w:r>
      <w:r>
        <w:rPr>
          <w:rFonts w:hint="eastAsia" w:ascii="宋体" w:hAnsi="宋体"/>
          <w:color w:val="auto"/>
          <w:kern w:val="0"/>
          <w:szCs w:val="21"/>
          <w:u w:val="single"/>
        </w:rPr>
        <w:t xml:space="preserve">                                    </w:t>
      </w:r>
      <w:r>
        <w:rPr>
          <w:rFonts w:ascii="宋体" w:hAnsi="宋体"/>
          <w:color w:val="auto"/>
          <w:spacing w:val="-1"/>
          <w:kern w:val="0"/>
          <w:szCs w:val="21"/>
        </w:rPr>
        <w:t>（</w:t>
      </w:r>
      <w:r>
        <w:rPr>
          <w:rFonts w:hint="eastAsia" w:ascii="宋体" w:hAnsi="宋体"/>
          <w:color w:val="auto"/>
          <w:kern w:val="0"/>
          <w:szCs w:val="21"/>
        </w:rPr>
        <w:t>签字</w:t>
      </w:r>
      <w:r>
        <w:rPr>
          <w:rFonts w:ascii="宋体" w:hAnsi="宋体"/>
          <w:snapToGrid w:val="0"/>
          <w:color w:val="auto"/>
          <w:kern w:val="0"/>
          <w:szCs w:val="21"/>
        </w:rPr>
        <w:t>或盖章</w:t>
      </w:r>
      <w:r>
        <w:rPr>
          <w:rFonts w:ascii="宋体" w:hAnsi="宋体"/>
          <w:color w:val="auto"/>
          <w:kern w:val="0"/>
          <w:szCs w:val="21"/>
        </w:rPr>
        <w:t>）</w:t>
      </w:r>
    </w:p>
    <w:p w14:paraId="26640D63">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rPr>
      </w:pPr>
      <w:r>
        <w:rPr>
          <w:rFonts w:ascii="宋体" w:hAnsi="宋体"/>
          <w:color w:val="auto"/>
          <w:kern w:val="0"/>
          <w:szCs w:val="21"/>
        </w:rPr>
        <w:t>……</w:t>
      </w:r>
    </w:p>
    <w:p w14:paraId="732E7F1B">
      <w:pPr>
        <w:tabs>
          <w:tab w:val="left" w:pos="3840"/>
          <w:tab w:val="left" w:pos="4780"/>
          <w:tab w:val="left" w:pos="5720"/>
        </w:tabs>
        <w:autoSpaceDE w:val="0"/>
        <w:autoSpaceDN w:val="0"/>
        <w:adjustRightInd w:val="0"/>
        <w:snapToGrid w:val="0"/>
        <w:spacing w:beforeLines="50" w:line="500" w:lineRule="exact"/>
        <w:ind w:right="420" w:firstLine="5565" w:firstLineChars="2650"/>
        <w:jc w:val="right"/>
        <w:rPr>
          <w:rFonts w:ascii="宋体" w:hAnsi="宋体"/>
          <w:snapToGrid w:val="0"/>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5BB37A58">
      <w:pPr>
        <w:spacing w:line="360" w:lineRule="auto"/>
        <w:jc w:val="center"/>
        <w:rPr>
          <w:rFonts w:ascii="宋体" w:hAnsi="宋体"/>
          <w:snapToGrid w:val="0"/>
          <w:color w:val="auto"/>
          <w:szCs w:val="21"/>
        </w:rPr>
      </w:pPr>
    </w:p>
    <w:p w14:paraId="19048FF9">
      <w:pPr>
        <w:spacing w:line="500" w:lineRule="exact"/>
        <w:ind w:firstLine="420" w:firstLineChars="200"/>
        <w:jc w:val="left"/>
        <w:rPr>
          <w:rFonts w:ascii="宋体" w:hAnsi="宋体"/>
          <w:snapToGrid w:val="0"/>
          <w:color w:val="auto"/>
          <w:szCs w:val="21"/>
        </w:rPr>
      </w:pPr>
      <w:r>
        <w:rPr>
          <w:rFonts w:ascii="宋体" w:hAnsi="宋体"/>
          <w:snapToGrid w:val="0"/>
          <w:color w:val="auto"/>
          <w:szCs w:val="21"/>
        </w:rPr>
        <w:t>注：</w:t>
      </w:r>
      <w:r>
        <w:rPr>
          <w:rFonts w:hint="eastAsia" w:ascii="宋体" w:hAnsi="宋体"/>
          <w:snapToGrid w:val="0"/>
          <w:color w:val="auto"/>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2EED8F60">
      <w:pPr>
        <w:spacing w:line="500" w:lineRule="exact"/>
        <w:ind w:firstLine="420" w:firstLineChars="200"/>
        <w:jc w:val="left"/>
        <w:rPr>
          <w:rFonts w:ascii="宋体" w:hAnsi="宋体"/>
          <w:color w:val="auto"/>
          <w:szCs w:val="21"/>
        </w:rPr>
      </w:pPr>
      <w:r>
        <w:rPr>
          <w:rFonts w:hint="eastAsia" w:ascii="宋体" w:hAnsi="宋体"/>
          <w:snapToGrid w:val="0"/>
          <w:color w:val="auto"/>
          <w:szCs w:val="21"/>
        </w:rPr>
        <w:t>2.</w:t>
      </w:r>
      <w:r>
        <w:rPr>
          <w:rFonts w:ascii="宋体" w:hAnsi="宋体"/>
          <w:snapToGrid w:val="0"/>
          <w:color w:val="auto"/>
          <w:szCs w:val="21"/>
        </w:rPr>
        <w:t>本协议书由委托代理人</w:t>
      </w:r>
      <w:r>
        <w:rPr>
          <w:rFonts w:hint="eastAsia" w:ascii="宋体" w:hAnsi="宋体"/>
          <w:snapToGrid w:val="0"/>
          <w:color w:val="auto"/>
          <w:szCs w:val="21"/>
        </w:rPr>
        <w:t>签字</w:t>
      </w:r>
      <w:r>
        <w:rPr>
          <w:rFonts w:ascii="宋体" w:hAnsi="宋体"/>
          <w:snapToGrid w:val="0"/>
          <w:color w:val="auto"/>
          <w:szCs w:val="21"/>
        </w:rPr>
        <w:t>或盖章的，应附法定代表人</w:t>
      </w:r>
      <w:r>
        <w:rPr>
          <w:rFonts w:hint="eastAsia" w:ascii="宋体" w:hAnsi="宋体"/>
          <w:snapToGrid w:val="0"/>
          <w:color w:val="auto"/>
          <w:szCs w:val="21"/>
        </w:rPr>
        <w:t>签字</w:t>
      </w:r>
      <w:r>
        <w:rPr>
          <w:rFonts w:ascii="宋体" w:hAnsi="宋体"/>
          <w:snapToGrid w:val="0"/>
          <w:color w:val="auto"/>
          <w:szCs w:val="21"/>
        </w:rPr>
        <w:t>或盖章的授权委托书。</w:t>
      </w:r>
    </w:p>
    <w:p w14:paraId="601C676E">
      <w:pPr>
        <w:spacing w:line="20" w:lineRule="exact"/>
        <w:jc w:val="center"/>
        <w:rPr>
          <w:rFonts w:ascii="宋体" w:hAnsi="宋体"/>
          <w:color w:val="auto"/>
          <w:szCs w:val="21"/>
        </w:rPr>
      </w:pPr>
    </w:p>
    <w:p w14:paraId="3D6AEB37">
      <w:pPr>
        <w:pStyle w:val="5"/>
        <w:spacing w:before="0" w:after="0" w:line="240" w:lineRule="auto"/>
        <w:jc w:val="center"/>
        <w:rPr>
          <w:rFonts w:ascii="宋体" w:hAnsi="宋体"/>
          <w:color w:val="auto"/>
        </w:rPr>
      </w:pPr>
      <w:r>
        <w:rPr>
          <w:rFonts w:ascii="宋体" w:hAnsi="宋体"/>
          <w:color w:val="auto"/>
          <w:szCs w:val="21"/>
        </w:rPr>
        <w:br w:type="page"/>
      </w:r>
      <w:bookmarkStart w:id="2089" w:name="_Toc2293"/>
      <w:r>
        <w:rPr>
          <w:rFonts w:hint="eastAsia" w:ascii="宋体" w:hAnsi="宋体"/>
          <w:b w:val="0"/>
          <w:bCs w:val="0"/>
          <w:color w:val="auto"/>
        </w:rPr>
        <w:t>（三）投标人基本情况表</w:t>
      </w:r>
      <w:bookmarkEnd w:id="208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459D99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A3A258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9"/>
            <w:vAlign w:val="center"/>
          </w:tcPr>
          <w:p w14:paraId="311D401E">
            <w:pPr>
              <w:autoSpaceDE w:val="0"/>
              <w:autoSpaceDN w:val="0"/>
              <w:adjustRightInd w:val="0"/>
              <w:snapToGrid w:val="0"/>
              <w:jc w:val="center"/>
              <w:rPr>
                <w:rFonts w:ascii="宋体" w:hAnsi="宋体"/>
                <w:color w:val="auto"/>
                <w:kern w:val="0"/>
                <w:szCs w:val="21"/>
              </w:rPr>
            </w:pPr>
          </w:p>
        </w:tc>
      </w:tr>
      <w:tr w14:paraId="25134B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4E8C65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0536E0E7">
            <w:pPr>
              <w:autoSpaceDE w:val="0"/>
              <w:autoSpaceDN w:val="0"/>
              <w:adjustRightInd w:val="0"/>
              <w:snapToGrid w:val="0"/>
              <w:jc w:val="center"/>
              <w:rPr>
                <w:rFonts w:ascii="宋体" w:hAnsi="宋体"/>
                <w:color w:val="auto"/>
                <w:kern w:val="0"/>
                <w:szCs w:val="21"/>
              </w:rPr>
            </w:pPr>
          </w:p>
        </w:tc>
        <w:tc>
          <w:tcPr>
            <w:tcW w:w="1392" w:type="dxa"/>
            <w:vAlign w:val="center"/>
          </w:tcPr>
          <w:p w14:paraId="40AFB2E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765" w:type="dxa"/>
            <w:gridSpan w:val="3"/>
            <w:vAlign w:val="center"/>
          </w:tcPr>
          <w:p w14:paraId="58A6CF98">
            <w:pPr>
              <w:autoSpaceDE w:val="0"/>
              <w:autoSpaceDN w:val="0"/>
              <w:adjustRightInd w:val="0"/>
              <w:snapToGrid w:val="0"/>
              <w:jc w:val="center"/>
              <w:rPr>
                <w:rFonts w:ascii="宋体" w:hAnsi="宋体"/>
                <w:color w:val="auto"/>
                <w:kern w:val="0"/>
                <w:szCs w:val="21"/>
              </w:rPr>
            </w:pPr>
          </w:p>
        </w:tc>
      </w:tr>
      <w:tr w14:paraId="3D9C4E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6670B34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608CB7D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26AF0746">
            <w:pPr>
              <w:autoSpaceDE w:val="0"/>
              <w:autoSpaceDN w:val="0"/>
              <w:adjustRightInd w:val="0"/>
              <w:snapToGrid w:val="0"/>
              <w:jc w:val="center"/>
              <w:rPr>
                <w:rFonts w:ascii="宋体" w:hAnsi="宋体"/>
                <w:color w:val="auto"/>
                <w:kern w:val="0"/>
                <w:szCs w:val="21"/>
              </w:rPr>
            </w:pPr>
          </w:p>
        </w:tc>
        <w:tc>
          <w:tcPr>
            <w:tcW w:w="1392" w:type="dxa"/>
            <w:vAlign w:val="center"/>
          </w:tcPr>
          <w:p w14:paraId="413F082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765" w:type="dxa"/>
            <w:gridSpan w:val="3"/>
            <w:vAlign w:val="center"/>
          </w:tcPr>
          <w:p w14:paraId="7AC1E202">
            <w:pPr>
              <w:autoSpaceDE w:val="0"/>
              <w:autoSpaceDN w:val="0"/>
              <w:adjustRightInd w:val="0"/>
              <w:snapToGrid w:val="0"/>
              <w:jc w:val="center"/>
              <w:rPr>
                <w:rFonts w:ascii="宋体" w:hAnsi="宋体"/>
                <w:color w:val="auto"/>
                <w:kern w:val="0"/>
                <w:szCs w:val="21"/>
              </w:rPr>
            </w:pPr>
          </w:p>
        </w:tc>
      </w:tr>
      <w:tr w14:paraId="5C357C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3CC5C35A">
            <w:pPr>
              <w:autoSpaceDE w:val="0"/>
              <w:autoSpaceDN w:val="0"/>
              <w:adjustRightInd w:val="0"/>
              <w:snapToGrid w:val="0"/>
              <w:jc w:val="center"/>
              <w:rPr>
                <w:rFonts w:ascii="宋体" w:hAnsi="宋体"/>
                <w:color w:val="auto"/>
                <w:kern w:val="0"/>
                <w:szCs w:val="21"/>
              </w:rPr>
            </w:pPr>
          </w:p>
        </w:tc>
        <w:tc>
          <w:tcPr>
            <w:tcW w:w="967" w:type="dxa"/>
            <w:vAlign w:val="center"/>
          </w:tcPr>
          <w:p w14:paraId="5BCF6911">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30BC1C56">
            <w:pPr>
              <w:autoSpaceDE w:val="0"/>
              <w:autoSpaceDN w:val="0"/>
              <w:adjustRightInd w:val="0"/>
              <w:snapToGrid w:val="0"/>
              <w:jc w:val="center"/>
              <w:rPr>
                <w:rFonts w:ascii="宋体" w:hAnsi="宋体"/>
                <w:color w:val="auto"/>
                <w:kern w:val="0"/>
                <w:szCs w:val="21"/>
              </w:rPr>
            </w:pPr>
          </w:p>
        </w:tc>
        <w:tc>
          <w:tcPr>
            <w:tcW w:w="1392" w:type="dxa"/>
            <w:vAlign w:val="center"/>
          </w:tcPr>
          <w:p w14:paraId="34A6E0E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765" w:type="dxa"/>
            <w:gridSpan w:val="3"/>
            <w:vAlign w:val="center"/>
          </w:tcPr>
          <w:p w14:paraId="532C55ED">
            <w:pPr>
              <w:autoSpaceDE w:val="0"/>
              <w:autoSpaceDN w:val="0"/>
              <w:adjustRightInd w:val="0"/>
              <w:snapToGrid w:val="0"/>
              <w:jc w:val="center"/>
              <w:rPr>
                <w:rFonts w:ascii="宋体" w:hAnsi="宋体"/>
                <w:color w:val="auto"/>
                <w:kern w:val="0"/>
                <w:szCs w:val="21"/>
              </w:rPr>
            </w:pPr>
          </w:p>
        </w:tc>
      </w:tr>
      <w:tr w14:paraId="337EF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93C54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9"/>
            <w:vAlign w:val="center"/>
          </w:tcPr>
          <w:p w14:paraId="6CE0EA12">
            <w:pPr>
              <w:autoSpaceDE w:val="0"/>
              <w:autoSpaceDN w:val="0"/>
              <w:adjustRightInd w:val="0"/>
              <w:snapToGrid w:val="0"/>
              <w:jc w:val="center"/>
              <w:rPr>
                <w:rFonts w:ascii="宋体" w:hAnsi="宋体"/>
                <w:color w:val="auto"/>
                <w:kern w:val="0"/>
                <w:szCs w:val="21"/>
              </w:rPr>
            </w:pPr>
          </w:p>
        </w:tc>
      </w:tr>
      <w:tr w14:paraId="13B389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94362D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1A586B3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51923B9A">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6A78809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3CA2011B">
            <w:pPr>
              <w:autoSpaceDE w:val="0"/>
              <w:autoSpaceDN w:val="0"/>
              <w:adjustRightInd w:val="0"/>
              <w:snapToGrid w:val="0"/>
              <w:jc w:val="center"/>
              <w:rPr>
                <w:rFonts w:ascii="宋体" w:hAnsi="宋体"/>
                <w:color w:val="auto"/>
                <w:kern w:val="0"/>
                <w:szCs w:val="21"/>
              </w:rPr>
            </w:pPr>
          </w:p>
        </w:tc>
        <w:tc>
          <w:tcPr>
            <w:tcW w:w="925" w:type="dxa"/>
            <w:vAlign w:val="center"/>
          </w:tcPr>
          <w:p w14:paraId="36B11E1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6B461D96">
            <w:pPr>
              <w:autoSpaceDE w:val="0"/>
              <w:autoSpaceDN w:val="0"/>
              <w:adjustRightInd w:val="0"/>
              <w:snapToGrid w:val="0"/>
              <w:jc w:val="center"/>
              <w:rPr>
                <w:rFonts w:ascii="宋体" w:hAnsi="宋体"/>
                <w:color w:val="auto"/>
                <w:kern w:val="0"/>
                <w:szCs w:val="21"/>
              </w:rPr>
            </w:pPr>
          </w:p>
        </w:tc>
      </w:tr>
      <w:tr w14:paraId="0082D2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783B44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7B782B8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29D56782">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02434AF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6F8FE1E8">
            <w:pPr>
              <w:autoSpaceDE w:val="0"/>
              <w:autoSpaceDN w:val="0"/>
              <w:adjustRightInd w:val="0"/>
              <w:snapToGrid w:val="0"/>
              <w:jc w:val="center"/>
              <w:rPr>
                <w:rFonts w:ascii="宋体" w:hAnsi="宋体"/>
                <w:color w:val="auto"/>
                <w:kern w:val="0"/>
                <w:szCs w:val="21"/>
              </w:rPr>
            </w:pPr>
          </w:p>
        </w:tc>
        <w:tc>
          <w:tcPr>
            <w:tcW w:w="925" w:type="dxa"/>
            <w:vAlign w:val="center"/>
          </w:tcPr>
          <w:p w14:paraId="5044710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1A37FE40">
            <w:pPr>
              <w:autoSpaceDE w:val="0"/>
              <w:autoSpaceDN w:val="0"/>
              <w:adjustRightInd w:val="0"/>
              <w:snapToGrid w:val="0"/>
              <w:jc w:val="center"/>
              <w:rPr>
                <w:rFonts w:ascii="宋体" w:hAnsi="宋体"/>
                <w:color w:val="auto"/>
                <w:kern w:val="0"/>
                <w:szCs w:val="21"/>
              </w:rPr>
            </w:pPr>
          </w:p>
        </w:tc>
      </w:tr>
      <w:tr w14:paraId="685A47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F43394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316E3ABD">
            <w:pPr>
              <w:autoSpaceDE w:val="0"/>
              <w:autoSpaceDN w:val="0"/>
              <w:adjustRightInd w:val="0"/>
              <w:snapToGrid w:val="0"/>
              <w:jc w:val="center"/>
              <w:rPr>
                <w:rFonts w:ascii="宋体" w:hAnsi="宋体"/>
                <w:color w:val="auto"/>
                <w:kern w:val="0"/>
                <w:szCs w:val="21"/>
              </w:rPr>
            </w:pPr>
          </w:p>
        </w:tc>
        <w:tc>
          <w:tcPr>
            <w:tcW w:w="5616" w:type="dxa"/>
            <w:gridSpan w:val="7"/>
            <w:vAlign w:val="center"/>
          </w:tcPr>
          <w:p w14:paraId="5D0B28A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2813E3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14B794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5C18A236">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23341F7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5FC4863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236" w:type="dxa"/>
            <w:gridSpan w:val="2"/>
            <w:vAlign w:val="center"/>
          </w:tcPr>
          <w:p w14:paraId="1F7E3537">
            <w:pPr>
              <w:autoSpaceDE w:val="0"/>
              <w:autoSpaceDN w:val="0"/>
              <w:adjustRightInd w:val="0"/>
              <w:snapToGrid w:val="0"/>
              <w:jc w:val="center"/>
              <w:rPr>
                <w:rFonts w:ascii="宋体" w:hAnsi="宋体"/>
                <w:color w:val="auto"/>
                <w:kern w:val="0"/>
                <w:szCs w:val="21"/>
              </w:rPr>
            </w:pPr>
          </w:p>
        </w:tc>
      </w:tr>
      <w:tr w14:paraId="2C6FC3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BA6DF6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营业执照号</w:t>
            </w:r>
          </w:p>
        </w:tc>
        <w:tc>
          <w:tcPr>
            <w:tcW w:w="1991" w:type="dxa"/>
            <w:gridSpan w:val="2"/>
            <w:vAlign w:val="center"/>
          </w:tcPr>
          <w:p w14:paraId="4B196257">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57D80429">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145F81D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236" w:type="dxa"/>
            <w:gridSpan w:val="2"/>
            <w:vAlign w:val="center"/>
          </w:tcPr>
          <w:p w14:paraId="28727AF8">
            <w:pPr>
              <w:autoSpaceDE w:val="0"/>
              <w:autoSpaceDN w:val="0"/>
              <w:adjustRightInd w:val="0"/>
              <w:snapToGrid w:val="0"/>
              <w:jc w:val="center"/>
              <w:rPr>
                <w:rFonts w:ascii="宋体" w:hAnsi="宋体"/>
                <w:color w:val="auto"/>
                <w:kern w:val="0"/>
                <w:szCs w:val="21"/>
              </w:rPr>
            </w:pPr>
          </w:p>
        </w:tc>
      </w:tr>
      <w:tr w14:paraId="5366AC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37CD90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6598A420">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18B5BC0B">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55E8172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236" w:type="dxa"/>
            <w:gridSpan w:val="2"/>
            <w:vAlign w:val="center"/>
          </w:tcPr>
          <w:p w14:paraId="098F2328">
            <w:pPr>
              <w:autoSpaceDE w:val="0"/>
              <w:autoSpaceDN w:val="0"/>
              <w:adjustRightInd w:val="0"/>
              <w:snapToGrid w:val="0"/>
              <w:jc w:val="center"/>
              <w:rPr>
                <w:rFonts w:ascii="宋体" w:hAnsi="宋体"/>
                <w:color w:val="auto"/>
                <w:kern w:val="0"/>
                <w:szCs w:val="21"/>
              </w:rPr>
            </w:pPr>
          </w:p>
        </w:tc>
      </w:tr>
      <w:tr w14:paraId="364FC7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BE8F8A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3B783B67">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53A518BB">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0955D3D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236" w:type="dxa"/>
            <w:gridSpan w:val="2"/>
            <w:vAlign w:val="center"/>
          </w:tcPr>
          <w:p w14:paraId="25D4AFE1">
            <w:pPr>
              <w:autoSpaceDE w:val="0"/>
              <w:autoSpaceDN w:val="0"/>
              <w:adjustRightInd w:val="0"/>
              <w:snapToGrid w:val="0"/>
              <w:jc w:val="center"/>
              <w:rPr>
                <w:rFonts w:ascii="宋体" w:hAnsi="宋体"/>
                <w:color w:val="auto"/>
                <w:kern w:val="0"/>
                <w:szCs w:val="21"/>
              </w:rPr>
            </w:pPr>
          </w:p>
        </w:tc>
      </w:tr>
      <w:tr w14:paraId="5FD955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DECE735">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021BBB4D">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5354283F">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55618B32">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236" w:type="dxa"/>
            <w:gridSpan w:val="2"/>
            <w:vAlign w:val="center"/>
          </w:tcPr>
          <w:p w14:paraId="6CEB3F2B">
            <w:pPr>
              <w:autoSpaceDE w:val="0"/>
              <w:autoSpaceDN w:val="0"/>
              <w:adjustRightInd w:val="0"/>
              <w:snapToGrid w:val="0"/>
              <w:jc w:val="center"/>
              <w:rPr>
                <w:rFonts w:ascii="宋体" w:hAnsi="宋体"/>
                <w:color w:val="auto"/>
                <w:kern w:val="0"/>
                <w:szCs w:val="21"/>
              </w:rPr>
            </w:pPr>
          </w:p>
        </w:tc>
      </w:tr>
      <w:tr w14:paraId="73487A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3E9849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9"/>
            <w:vAlign w:val="center"/>
          </w:tcPr>
          <w:p w14:paraId="7E242465">
            <w:pPr>
              <w:autoSpaceDE w:val="0"/>
              <w:autoSpaceDN w:val="0"/>
              <w:adjustRightInd w:val="0"/>
              <w:snapToGrid w:val="0"/>
              <w:jc w:val="center"/>
              <w:rPr>
                <w:rFonts w:ascii="宋体" w:hAnsi="宋体"/>
                <w:color w:val="auto"/>
                <w:kern w:val="0"/>
                <w:szCs w:val="21"/>
              </w:rPr>
            </w:pPr>
          </w:p>
        </w:tc>
      </w:tr>
      <w:tr w14:paraId="01CBB5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DC802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9"/>
            <w:vAlign w:val="center"/>
          </w:tcPr>
          <w:p w14:paraId="00F6368D">
            <w:pPr>
              <w:autoSpaceDE w:val="0"/>
              <w:autoSpaceDN w:val="0"/>
              <w:adjustRightInd w:val="0"/>
              <w:snapToGrid w:val="0"/>
              <w:jc w:val="center"/>
              <w:rPr>
                <w:rFonts w:ascii="宋体" w:hAnsi="宋体"/>
                <w:color w:val="auto"/>
                <w:kern w:val="0"/>
                <w:szCs w:val="21"/>
              </w:rPr>
            </w:pPr>
          </w:p>
        </w:tc>
      </w:tr>
    </w:tbl>
    <w:p w14:paraId="1329D012">
      <w:pPr>
        <w:spacing w:line="360" w:lineRule="auto"/>
        <w:jc w:val="center"/>
        <w:rPr>
          <w:rFonts w:ascii="宋体" w:hAnsi="宋体"/>
          <w:color w:val="auto"/>
          <w:szCs w:val="21"/>
        </w:rPr>
      </w:pPr>
    </w:p>
    <w:p w14:paraId="61FFCAD9">
      <w:pPr>
        <w:pStyle w:val="5"/>
        <w:spacing w:before="0" w:after="0" w:line="240" w:lineRule="auto"/>
        <w:jc w:val="center"/>
        <w:rPr>
          <w:rFonts w:ascii="宋体" w:hAnsi="宋体"/>
          <w:b w:val="0"/>
          <w:bCs w:val="0"/>
          <w:color w:val="auto"/>
        </w:rPr>
      </w:pPr>
      <w:r>
        <w:rPr>
          <w:rFonts w:ascii="宋体" w:hAnsi="宋体"/>
          <w:color w:val="auto"/>
          <w:szCs w:val="21"/>
        </w:rPr>
        <w:br w:type="page"/>
      </w:r>
      <w:bookmarkStart w:id="2090" w:name="_Toc534185840"/>
      <w:bookmarkStart w:id="2091" w:name="_Toc6097"/>
      <w:bookmarkStart w:id="2092" w:name="_Toc509218863"/>
      <w:r>
        <w:rPr>
          <w:rFonts w:hint="eastAsia" w:ascii="宋体" w:hAnsi="宋体"/>
          <w:b w:val="0"/>
          <w:bCs w:val="0"/>
          <w:color w:val="auto"/>
        </w:rPr>
        <w:t>（四）项目管理机构</w:t>
      </w:r>
      <w:bookmarkEnd w:id="2090"/>
      <w:bookmarkEnd w:id="2091"/>
      <w:bookmarkEnd w:id="2092"/>
    </w:p>
    <w:p w14:paraId="665610F6">
      <w:pPr>
        <w:spacing w:line="360" w:lineRule="auto"/>
        <w:rPr>
          <w:rFonts w:ascii="宋体" w:hAnsi="宋体"/>
          <w:color w:val="auto"/>
        </w:rPr>
      </w:pPr>
    </w:p>
    <w:p w14:paraId="34281B97">
      <w:pPr>
        <w:autoSpaceDE w:val="0"/>
        <w:autoSpaceDN w:val="0"/>
        <w:adjustRightInd w:val="0"/>
        <w:snapToGrid w:val="0"/>
        <w:spacing w:line="360" w:lineRule="auto"/>
        <w:jc w:val="center"/>
        <w:rPr>
          <w:rFonts w:ascii="宋体" w:hAnsi="宋体" w:cs="MingLiU"/>
          <w:color w:val="auto"/>
          <w:kern w:val="0"/>
          <w:sz w:val="28"/>
          <w:szCs w:val="28"/>
        </w:rPr>
      </w:pPr>
      <w:r>
        <w:rPr>
          <w:rFonts w:hint="eastAsia" w:ascii="宋体" w:hAnsi="宋体" w:cs="MingLiU"/>
          <w:color w:val="auto"/>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089282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19FDEC3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职务</w:t>
            </w:r>
          </w:p>
        </w:tc>
        <w:tc>
          <w:tcPr>
            <w:tcW w:w="734" w:type="dxa"/>
            <w:vMerge w:val="restart"/>
            <w:vAlign w:val="center"/>
          </w:tcPr>
          <w:p w14:paraId="0E1AF56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姓名</w:t>
            </w:r>
          </w:p>
        </w:tc>
        <w:tc>
          <w:tcPr>
            <w:tcW w:w="776" w:type="dxa"/>
            <w:vMerge w:val="restart"/>
            <w:vAlign w:val="center"/>
          </w:tcPr>
          <w:p w14:paraId="6F04E58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职称</w:t>
            </w:r>
          </w:p>
        </w:tc>
        <w:tc>
          <w:tcPr>
            <w:tcW w:w="6220" w:type="dxa"/>
            <w:gridSpan w:val="5"/>
            <w:vAlign w:val="center"/>
          </w:tcPr>
          <w:p w14:paraId="5B2E822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执业或职业资格证明</w:t>
            </w:r>
          </w:p>
        </w:tc>
        <w:tc>
          <w:tcPr>
            <w:tcW w:w="896" w:type="dxa"/>
            <w:vAlign w:val="center"/>
          </w:tcPr>
          <w:p w14:paraId="2B0BCA3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r>
      <w:tr w14:paraId="6E872F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56BBBCC0">
            <w:pPr>
              <w:autoSpaceDE w:val="0"/>
              <w:autoSpaceDN w:val="0"/>
              <w:adjustRightInd w:val="0"/>
              <w:snapToGrid w:val="0"/>
              <w:jc w:val="left"/>
              <w:rPr>
                <w:rFonts w:ascii="宋体" w:hAnsi="宋体"/>
                <w:color w:val="auto"/>
                <w:kern w:val="0"/>
                <w:szCs w:val="21"/>
              </w:rPr>
            </w:pPr>
          </w:p>
        </w:tc>
        <w:tc>
          <w:tcPr>
            <w:tcW w:w="734" w:type="dxa"/>
            <w:vMerge w:val="continue"/>
          </w:tcPr>
          <w:p w14:paraId="6945C4D3">
            <w:pPr>
              <w:autoSpaceDE w:val="0"/>
              <w:autoSpaceDN w:val="0"/>
              <w:adjustRightInd w:val="0"/>
              <w:snapToGrid w:val="0"/>
              <w:jc w:val="left"/>
              <w:rPr>
                <w:rFonts w:ascii="宋体" w:hAnsi="宋体"/>
                <w:color w:val="auto"/>
                <w:kern w:val="0"/>
                <w:szCs w:val="21"/>
              </w:rPr>
            </w:pPr>
          </w:p>
        </w:tc>
        <w:tc>
          <w:tcPr>
            <w:tcW w:w="776" w:type="dxa"/>
            <w:vMerge w:val="continue"/>
          </w:tcPr>
          <w:p w14:paraId="0BFE7298">
            <w:pPr>
              <w:autoSpaceDE w:val="0"/>
              <w:autoSpaceDN w:val="0"/>
              <w:adjustRightInd w:val="0"/>
              <w:snapToGrid w:val="0"/>
              <w:jc w:val="left"/>
              <w:rPr>
                <w:rFonts w:ascii="宋体" w:hAnsi="宋体"/>
                <w:color w:val="auto"/>
                <w:kern w:val="0"/>
                <w:szCs w:val="21"/>
              </w:rPr>
            </w:pPr>
          </w:p>
        </w:tc>
        <w:tc>
          <w:tcPr>
            <w:tcW w:w="1167" w:type="dxa"/>
            <w:vAlign w:val="center"/>
          </w:tcPr>
          <w:p w14:paraId="02BB5E5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证书名称</w:t>
            </w:r>
          </w:p>
        </w:tc>
        <w:tc>
          <w:tcPr>
            <w:tcW w:w="776" w:type="dxa"/>
            <w:vAlign w:val="center"/>
          </w:tcPr>
          <w:p w14:paraId="1D57DB8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级别</w:t>
            </w:r>
          </w:p>
        </w:tc>
        <w:tc>
          <w:tcPr>
            <w:tcW w:w="778" w:type="dxa"/>
            <w:vAlign w:val="center"/>
          </w:tcPr>
          <w:p w14:paraId="21A46D2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证号</w:t>
            </w:r>
          </w:p>
        </w:tc>
        <w:tc>
          <w:tcPr>
            <w:tcW w:w="776" w:type="dxa"/>
            <w:vAlign w:val="center"/>
          </w:tcPr>
          <w:p w14:paraId="46D1E44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专业</w:t>
            </w:r>
          </w:p>
        </w:tc>
        <w:tc>
          <w:tcPr>
            <w:tcW w:w="2723" w:type="dxa"/>
            <w:vAlign w:val="center"/>
          </w:tcPr>
          <w:p w14:paraId="0C80291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养老保险</w:t>
            </w:r>
          </w:p>
        </w:tc>
        <w:tc>
          <w:tcPr>
            <w:tcW w:w="896" w:type="dxa"/>
          </w:tcPr>
          <w:p w14:paraId="3CF2FD50">
            <w:pPr>
              <w:autoSpaceDE w:val="0"/>
              <w:autoSpaceDN w:val="0"/>
              <w:adjustRightInd w:val="0"/>
              <w:snapToGrid w:val="0"/>
              <w:jc w:val="left"/>
              <w:rPr>
                <w:rFonts w:ascii="宋体" w:hAnsi="宋体"/>
                <w:color w:val="auto"/>
                <w:kern w:val="0"/>
                <w:szCs w:val="21"/>
              </w:rPr>
            </w:pPr>
          </w:p>
        </w:tc>
      </w:tr>
      <w:tr w14:paraId="0B0FE0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BC12A06">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项目经理</w:t>
            </w:r>
          </w:p>
        </w:tc>
        <w:tc>
          <w:tcPr>
            <w:tcW w:w="734" w:type="dxa"/>
          </w:tcPr>
          <w:p w14:paraId="3EB3B1A7">
            <w:pPr>
              <w:autoSpaceDE w:val="0"/>
              <w:autoSpaceDN w:val="0"/>
              <w:adjustRightInd w:val="0"/>
              <w:snapToGrid w:val="0"/>
              <w:jc w:val="left"/>
              <w:rPr>
                <w:rFonts w:ascii="宋体" w:hAnsi="宋体"/>
                <w:color w:val="auto"/>
                <w:kern w:val="0"/>
                <w:szCs w:val="21"/>
              </w:rPr>
            </w:pPr>
          </w:p>
        </w:tc>
        <w:tc>
          <w:tcPr>
            <w:tcW w:w="776" w:type="dxa"/>
          </w:tcPr>
          <w:p w14:paraId="453F182C">
            <w:pPr>
              <w:autoSpaceDE w:val="0"/>
              <w:autoSpaceDN w:val="0"/>
              <w:adjustRightInd w:val="0"/>
              <w:snapToGrid w:val="0"/>
              <w:jc w:val="left"/>
              <w:rPr>
                <w:rFonts w:ascii="宋体" w:hAnsi="宋体"/>
                <w:color w:val="auto"/>
                <w:kern w:val="0"/>
                <w:szCs w:val="21"/>
              </w:rPr>
            </w:pPr>
          </w:p>
        </w:tc>
        <w:tc>
          <w:tcPr>
            <w:tcW w:w="1167" w:type="dxa"/>
          </w:tcPr>
          <w:p w14:paraId="5E0C3F77">
            <w:pPr>
              <w:autoSpaceDE w:val="0"/>
              <w:autoSpaceDN w:val="0"/>
              <w:adjustRightInd w:val="0"/>
              <w:snapToGrid w:val="0"/>
              <w:jc w:val="left"/>
              <w:rPr>
                <w:rFonts w:ascii="宋体" w:hAnsi="宋体"/>
                <w:color w:val="auto"/>
                <w:kern w:val="0"/>
                <w:szCs w:val="21"/>
              </w:rPr>
            </w:pPr>
          </w:p>
        </w:tc>
        <w:tc>
          <w:tcPr>
            <w:tcW w:w="776" w:type="dxa"/>
          </w:tcPr>
          <w:p w14:paraId="06F1C72B">
            <w:pPr>
              <w:autoSpaceDE w:val="0"/>
              <w:autoSpaceDN w:val="0"/>
              <w:adjustRightInd w:val="0"/>
              <w:snapToGrid w:val="0"/>
              <w:jc w:val="left"/>
              <w:rPr>
                <w:rFonts w:ascii="宋体" w:hAnsi="宋体"/>
                <w:color w:val="auto"/>
                <w:kern w:val="0"/>
                <w:szCs w:val="21"/>
              </w:rPr>
            </w:pPr>
          </w:p>
        </w:tc>
        <w:tc>
          <w:tcPr>
            <w:tcW w:w="778" w:type="dxa"/>
          </w:tcPr>
          <w:p w14:paraId="1DA0FEA7">
            <w:pPr>
              <w:autoSpaceDE w:val="0"/>
              <w:autoSpaceDN w:val="0"/>
              <w:adjustRightInd w:val="0"/>
              <w:snapToGrid w:val="0"/>
              <w:jc w:val="left"/>
              <w:rPr>
                <w:rFonts w:ascii="宋体" w:hAnsi="宋体"/>
                <w:color w:val="auto"/>
                <w:kern w:val="0"/>
                <w:szCs w:val="21"/>
              </w:rPr>
            </w:pPr>
          </w:p>
        </w:tc>
        <w:tc>
          <w:tcPr>
            <w:tcW w:w="776" w:type="dxa"/>
          </w:tcPr>
          <w:p w14:paraId="3AEE8397">
            <w:pPr>
              <w:autoSpaceDE w:val="0"/>
              <w:autoSpaceDN w:val="0"/>
              <w:adjustRightInd w:val="0"/>
              <w:snapToGrid w:val="0"/>
              <w:jc w:val="left"/>
              <w:rPr>
                <w:rFonts w:ascii="宋体" w:hAnsi="宋体"/>
                <w:color w:val="auto"/>
                <w:kern w:val="0"/>
                <w:szCs w:val="21"/>
              </w:rPr>
            </w:pPr>
          </w:p>
        </w:tc>
        <w:tc>
          <w:tcPr>
            <w:tcW w:w="2723" w:type="dxa"/>
          </w:tcPr>
          <w:p w14:paraId="31640496">
            <w:pPr>
              <w:autoSpaceDE w:val="0"/>
              <w:autoSpaceDN w:val="0"/>
              <w:adjustRightInd w:val="0"/>
              <w:snapToGrid w:val="0"/>
              <w:jc w:val="left"/>
              <w:rPr>
                <w:rFonts w:ascii="宋体" w:hAnsi="宋体"/>
                <w:color w:val="auto"/>
                <w:kern w:val="0"/>
                <w:szCs w:val="21"/>
              </w:rPr>
            </w:pPr>
          </w:p>
        </w:tc>
        <w:tc>
          <w:tcPr>
            <w:tcW w:w="896" w:type="dxa"/>
          </w:tcPr>
          <w:p w14:paraId="54D94889">
            <w:pPr>
              <w:autoSpaceDE w:val="0"/>
              <w:autoSpaceDN w:val="0"/>
              <w:adjustRightInd w:val="0"/>
              <w:snapToGrid w:val="0"/>
              <w:jc w:val="left"/>
              <w:rPr>
                <w:rFonts w:ascii="宋体" w:hAnsi="宋体"/>
                <w:color w:val="auto"/>
                <w:kern w:val="0"/>
                <w:szCs w:val="21"/>
              </w:rPr>
            </w:pPr>
          </w:p>
        </w:tc>
      </w:tr>
      <w:tr w14:paraId="08BFC2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73B00B67">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项目技术负责人</w:t>
            </w:r>
          </w:p>
        </w:tc>
        <w:tc>
          <w:tcPr>
            <w:tcW w:w="734" w:type="dxa"/>
          </w:tcPr>
          <w:p w14:paraId="0CC170B9">
            <w:pPr>
              <w:autoSpaceDE w:val="0"/>
              <w:autoSpaceDN w:val="0"/>
              <w:adjustRightInd w:val="0"/>
              <w:snapToGrid w:val="0"/>
              <w:jc w:val="left"/>
              <w:rPr>
                <w:rFonts w:ascii="宋体" w:hAnsi="宋体"/>
                <w:color w:val="auto"/>
                <w:kern w:val="0"/>
                <w:szCs w:val="21"/>
              </w:rPr>
            </w:pPr>
          </w:p>
        </w:tc>
        <w:tc>
          <w:tcPr>
            <w:tcW w:w="776" w:type="dxa"/>
          </w:tcPr>
          <w:p w14:paraId="2C24235E">
            <w:pPr>
              <w:autoSpaceDE w:val="0"/>
              <w:autoSpaceDN w:val="0"/>
              <w:adjustRightInd w:val="0"/>
              <w:snapToGrid w:val="0"/>
              <w:jc w:val="left"/>
              <w:rPr>
                <w:rFonts w:ascii="宋体" w:hAnsi="宋体"/>
                <w:color w:val="auto"/>
                <w:kern w:val="0"/>
                <w:szCs w:val="21"/>
              </w:rPr>
            </w:pPr>
          </w:p>
        </w:tc>
        <w:tc>
          <w:tcPr>
            <w:tcW w:w="1167" w:type="dxa"/>
          </w:tcPr>
          <w:p w14:paraId="0C326B0A">
            <w:pPr>
              <w:autoSpaceDE w:val="0"/>
              <w:autoSpaceDN w:val="0"/>
              <w:adjustRightInd w:val="0"/>
              <w:snapToGrid w:val="0"/>
              <w:jc w:val="left"/>
              <w:rPr>
                <w:rFonts w:ascii="宋体" w:hAnsi="宋体"/>
                <w:color w:val="auto"/>
                <w:kern w:val="0"/>
                <w:szCs w:val="21"/>
              </w:rPr>
            </w:pPr>
          </w:p>
        </w:tc>
        <w:tc>
          <w:tcPr>
            <w:tcW w:w="776" w:type="dxa"/>
          </w:tcPr>
          <w:p w14:paraId="233A6021">
            <w:pPr>
              <w:autoSpaceDE w:val="0"/>
              <w:autoSpaceDN w:val="0"/>
              <w:adjustRightInd w:val="0"/>
              <w:snapToGrid w:val="0"/>
              <w:jc w:val="left"/>
              <w:rPr>
                <w:rFonts w:ascii="宋体" w:hAnsi="宋体"/>
                <w:color w:val="auto"/>
                <w:kern w:val="0"/>
                <w:szCs w:val="21"/>
              </w:rPr>
            </w:pPr>
          </w:p>
        </w:tc>
        <w:tc>
          <w:tcPr>
            <w:tcW w:w="778" w:type="dxa"/>
          </w:tcPr>
          <w:p w14:paraId="75CCE172">
            <w:pPr>
              <w:autoSpaceDE w:val="0"/>
              <w:autoSpaceDN w:val="0"/>
              <w:adjustRightInd w:val="0"/>
              <w:snapToGrid w:val="0"/>
              <w:jc w:val="left"/>
              <w:rPr>
                <w:rFonts w:ascii="宋体" w:hAnsi="宋体"/>
                <w:color w:val="auto"/>
                <w:kern w:val="0"/>
                <w:szCs w:val="21"/>
              </w:rPr>
            </w:pPr>
          </w:p>
        </w:tc>
        <w:tc>
          <w:tcPr>
            <w:tcW w:w="776" w:type="dxa"/>
          </w:tcPr>
          <w:p w14:paraId="51CC57AF">
            <w:pPr>
              <w:autoSpaceDE w:val="0"/>
              <w:autoSpaceDN w:val="0"/>
              <w:adjustRightInd w:val="0"/>
              <w:snapToGrid w:val="0"/>
              <w:jc w:val="left"/>
              <w:rPr>
                <w:rFonts w:ascii="宋体" w:hAnsi="宋体"/>
                <w:color w:val="auto"/>
                <w:kern w:val="0"/>
                <w:szCs w:val="21"/>
              </w:rPr>
            </w:pPr>
          </w:p>
        </w:tc>
        <w:tc>
          <w:tcPr>
            <w:tcW w:w="2723" w:type="dxa"/>
          </w:tcPr>
          <w:p w14:paraId="4B9E5D84">
            <w:pPr>
              <w:autoSpaceDE w:val="0"/>
              <w:autoSpaceDN w:val="0"/>
              <w:adjustRightInd w:val="0"/>
              <w:snapToGrid w:val="0"/>
              <w:jc w:val="left"/>
              <w:rPr>
                <w:rFonts w:ascii="宋体" w:hAnsi="宋体"/>
                <w:color w:val="auto"/>
                <w:kern w:val="0"/>
                <w:szCs w:val="21"/>
              </w:rPr>
            </w:pPr>
          </w:p>
        </w:tc>
        <w:tc>
          <w:tcPr>
            <w:tcW w:w="896" w:type="dxa"/>
          </w:tcPr>
          <w:p w14:paraId="40A9D614">
            <w:pPr>
              <w:autoSpaceDE w:val="0"/>
              <w:autoSpaceDN w:val="0"/>
              <w:adjustRightInd w:val="0"/>
              <w:snapToGrid w:val="0"/>
              <w:jc w:val="left"/>
              <w:rPr>
                <w:rFonts w:ascii="宋体" w:hAnsi="宋体"/>
                <w:color w:val="auto"/>
                <w:kern w:val="0"/>
                <w:szCs w:val="21"/>
              </w:rPr>
            </w:pPr>
          </w:p>
        </w:tc>
      </w:tr>
      <w:tr w14:paraId="0D9EEC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0D85A83">
            <w:pPr>
              <w:autoSpaceDE w:val="0"/>
              <w:autoSpaceDN w:val="0"/>
              <w:adjustRightInd w:val="0"/>
              <w:snapToGrid w:val="0"/>
              <w:jc w:val="left"/>
              <w:rPr>
                <w:rFonts w:ascii="宋体" w:hAnsi="宋体"/>
                <w:color w:val="auto"/>
                <w:kern w:val="0"/>
                <w:szCs w:val="21"/>
              </w:rPr>
            </w:pPr>
          </w:p>
        </w:tc>
        <w:tc>
          <w:tcPr>
            <w:tcW w:w="734" w:type="dxa"/>
          </w:tcPr>
          <w:p w14:paraId="4B560740">
            <w:pPr>
              <w:autoSpaceDE w:val="0"/>
              <w:autoSpaceDN w:val="0"/>
              <w:adjustRightInd w:val="0"/>
              <w:snapToGrid w:val="0"/>
              <w:jc w:val="left"/>
              <w:rPr>
                <w:rFonts w:ascii="宋体" w:hAnsi="宋体"/>
                <w:color w:val="auto"/>
                <w:kern w:val="0"/>
                <w:szCs w:val="21"/>
              </w:rPr>
            </w:pPr>
          </w:p>
        </w:tc>
        <w:tc>
          <w:tcPr>
            <w:tcW w:w="776" w:type="dxa"/>
          </w:tcPr>
          <w:p w14:paraId="3368456E">
            <w:pPr>
              <w:autoSpaceDE w:val="0"/>
              <w:autoSpaceDN w:val="0"/>
              <w:adjustRightInd w:val="0"/>
              <w:snapToGrid w:val="0"/>
              <w:jc w:val="left"/>
              <w:rPr>
                <w:rFonts w:ascii="宋体" w:hAnsi="宋体"/>
                <w:color w:val="auto"/>
                <w:kern w:val="0"/>
                <w:szCs w:val="21"/>
              </w:rPr>
            </w:pPr>
          </w:p>
        </w:tc>
        <w:tc>
          <w:tcPr>
            <w:tcW w:w="1167" w:type="dxa"/>
          </w:tcPr>
          <w:p w14:paraId="0D5B2938">
            <w:pPr>
              <w:autoSpaceDE w:val="0"/>
              <w:autoSpaceDN w:val="0"/>
              <w:adjustRightInd w:val="0"/>
              <w:snapToGrid w:val="0"/>
              <w:jc w:val="left"/>
              <w:rPr>
                <w:rFonts w:ascii="宋体" w:hAnsi="宋体"/>
                <w:color w:val="auto"/>
                <w:kern w:val="0"/>
                <w:szCs w:val="21"/>
              </w:rPr>
            </w:pPr>
          </w:p>
        </w:tc>
        <w:tc>
          <w:tcPr>
            <w:tcW w:w="776" w:type="dxa"/>
          </w:tcPr>
          <w:p w14:paraId="2652ADF8">
            <w:pPr>
              <w:autoSpaceDE w:val="0"/>
              <w:autoSpaceDN w:val="0"/>
              <w:adjustRightInd w:val="0"/>
              <w:snapToGrid w:val="0"/>
              <w:jc w:val="left"/>
              <w:rPr>
                <w:rFonts w:ascii="宋体" w:hAnsi="宋体"/>
                <w:color w:val="auto"/>
                <w:kern w:val="0"/>
                <w:szCs w:val="21"/>
              </w:rPr>
            </w:pPr>
          </w:p>
        </w:tc>
        <w:tc>
          <w:tcPr>
            <w:tcW w:w="778" w:type="dxa"/>
          </w:tcPr>
          <w:p w14:paraId="7E75689D">
            <w:pPr>
              <w:autoSpaceDE w:val="0"/>
              <w:autoSpaceDN w:val="0"/>
              <w:adjustRightInd w:val="0"/>
              <w:snapToGrid w:val="0"/>
              <w:jc w:val="left"/>
              <w:rPr>
                <w:rFonts w:ascii="宋体" w:hAnsi="宋体"/>
                <w:color w:val="auto"/>
                <w:kern w:val="0"/>
                <w:szCs w:val="21"/>
              </w:rPr>
            </w:pPr>
          </w:p>
        </w:tc>
        <w:tc>
          <w:tcPr>
            <w:tcW w:w="776" w:type="dxa"/>
          </w:tcPr>
          <w:p w14:paraId="3D07F04F">
            <w:pPr>
              <w:autoSpaceDE w:val="0"/>
              <w:autoSpaceDN w:val="0"/>
              <w:adjustRightInd w:val="0"/>
              <w:snapToGrid w:val="0"/>
              <w:jc w:val="left"/>
              <w:rPr>
                <w:rFonts w:ascii="宋体" w:hAnsi="宋体"/>
                <w:color w:val="auto"/>
                <w:kern w:val="0"/>
                <w:szCs w:val="21"/>
              </w:rPr>
            </w:pPr>
          </w:p>
        </w:tc>
        <w:tc>
          <w:tcPr>
            <w:tcW w:w="2723" w:type="dxa"/>
          </w:tcPr>
          <w:p w14:paraId="732554C2">
            <w:pPr>
              <w:autoSpaceDE w:val="0"/>
              <w:autoSpaceDN w:val="0"/>
              <w:adjustRightInd w:val="0"/>
              <w:snapToGrid w:val="0"/>
              <w:jc w:val="left"/>
              <w:rPr>
                <w:rFonts w:ascii="宋体" w:hAnsi="宋体"/>
                <w:color w:val="auto"/>
                <w:kern w:val="0"/>
                <w:szCs w:val="21"/>
              </w:rPr>
            </w:pPr>
          </w:p>
        </w:tc>
        <w:tc>
          <w:tcPr>
            <w:tcW w:w="896" w:type="dxa"/>
          </w:tcPr>
          <w:p w14:paraId="4A6D98E1">
            <w:pPr>
              <w:autoSpaceDE w:val="0"/>
              <w:autoSpaceDN w:val="0"/>
              <w:adjustRightInd w:val="0"/>
              <w:snapToGrid w:val="0"/>
              <w:jc w:val="left"/>
              <w:rPr>
                <w:rFonts w:ascii="宋体" w:hAnsi="宋体"/>
                <w:color w:val="auto"/>
                <w:kern w:val="0"/>
                <w:szCs w:val="21"/>
              </w:rPr>
            </w:pPr>
          </w:p>
        </w:tc>
      </w:tr>
      <w:tr w14:paraId="2C50AA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48780A">
            <w:pPr>
              <w:autoSpaceDE w:val="0"/>
              <w:autoSpaceDN w:val="0"/>
              <w:adjustRightInd w:val="0"/>
              <w:snapToGrid w:val="0"/>
              <w:jc w:val="left"/>
              <w:rPr>
                <w:rFonts w:ascii="宋体" w:hAnsi="宋体"/>
                <w:color w:val="auto"/>
                <w:kern w:val="0"/>
                <w:szCs w:val="21"/>
              </w:rPr>
            </w:pPr>
          </w:p>
        </w:tc>
        <w:tc>
          <w:tcPr>
            <w:tcW w:w="734" w:type="dxa"/>
          </w:tcPr>
          <w:p w14:paraId="047AE8D2">
            <w:pPr>
              <w:autoSpaceDE w:val="0"/>
              <w:autoSpaceDN w:val="0"/>
              <w:adjustRightInd w:val="0"/>
              <w:snapToGrid w:val="0"/>
              <w:jc w:val="left"/>
              <w:rPr>
                <w:rFonts w:ascii="宋体" w:hAnsi="宋体"/>
                <w:color w:val="auto"/>
                <w:kern w:val="0"/>
                <w:szCs w:val="21"/>
              </w:rPr>
            </w:pPr>
          </w:p>
        </w:tc>
        <w:tc>
          <w:tcPr>
            <w:tcW w:w="776" w:type="dxa"/>
          </w:tcPr>
          <w:p w14:paraId="77D2750C">
            <w:pPr>
              <w:autoSpaceDE w:val="0"/>
              <w:autoSpaceDN w:val="0"/>
              <w:adjustRightInd w:val="0"/>
              <w:snapToGrid w:val="0"/>
              <w:jc w:val="left"/>
              <w:rPr>
                <w:rFonts w:ascii="宋体" w:hAnsi="宋体"/>
                <w:color w:val="auto"/>
                <w:kern w:val="0"/>
                <w:szCs w:val="21"/>
              </w:rPr>
            </w:pPr>
          </w:p>
        </w:tc>
        <w:tc>
          <w:tcPr>
            <w:tcW w:w="1167" w:type="dxa"/>
          </w:tcPr>
          <w:p w14:paraId="60625EEB">
            <w:pPr>
              <w:autoSpaceDE w:val="0"/>
              <w:autoSpaceDN w:val="0"/>
              <w:adjustRightInd w:val="0"/>
              <w:snapToGrid w:val="0"/>
              <w:jc w:val="left"/>
              <w:rPr>
                <w:rFonts w:ascii="宋体" w:hAnsi="宋体"/>
                <w:color w:val="auto"/>
                <w:kern w:val="0"/>
                <w:szCs w:val="21"/>
              </w:rPr>
            </w:pPr>
          </w:p>
        </w:tc>
        <w:tc>
          <w:tcPr>
            <w:tcW w:w="776" w:type="dxa"/>
          </w:tcPr>
          <w:p w14:paraId="565C0274">
            <w:pPr>
              <w:autoSpaceDE w:val="0"/>
              <w:autoSpaceDN w:val="0"/>
              <w:adjustRightInd w:val="0"/>
              <w:snapToGrid w:val="0"/>
              <w:jc w:val="left"/>
              <w:rPr>
                <w:rFonts w:ascii="宋体" w:hAnsi="宋体"/>
                <w:color w:val="auto"/>
                <w:kern w:val="0"/>
                <w:szCs w:val="21"/>
              </w:rPr>
            </w:pPr>
          </w:p>
        </w:tc>
        <w:tc>
          <w:tcPr>
            <w:tcW w:w="778" w:type="dxa"/>
          </w:tcPr>
          <w:p w14:paraId="76814CB6">
            <w:pPr>
              <w:autoSpaceDE w:val="0"/>
              <w:autoSpaceDN w:val="0"/>
              <w:adjustRightInd w:val="0"/>
              <w:snapToGrid w:val="0"/>
              <w:jc w:val="left"/>
              <w:rPr>
                <w:rFonts w:ascii="宋体" w:hAnsi="宋体"/>
                <w:color w:val="auto"/>
                <w:kern w:val="0"/>
                <w:szCs w:val="21"/>
              </w:rPr>
            </w:pPr>
          </w:p>
        </w:tc>
        <w:tc>
          <w:tcPr>
            <w:tcW w:w="776" w:type="dxa"/>
          </w:tcPr>
          <w:p w14:paraId="4A85B785">
            <w:pPr>
              <w:autoSpaceDE w:val="0"/>
              <w:autoSpaceDN w:val="0"/>
              <w:adjustRightInd w:val="0"/>
              <w:snapToGrid w:val="0"/>
              <w:jc w:val="left"/>
              <w:rPr>
                <w:rFonts w:ascii="宋体" w:hAnsi="宋体"/>
                <w:color w:val="auto"/>
                <w:kern w:val="0"/>
                <w:szCs w:val="21"/>
              </w:rPr>
            </w:pPr>
          </w:p>
        </w:tc>
        <w:tc>
          <w:tcPr>
            <w:tcW w:w="2723" w:type="dxa"/>
          </w:tcPr>
          <w:p w14:paraId="4CD30241">
            <w:pPr>
              <w:autoSpaceDE w:val="0"/>
              <w:autoSpaceDN w:val="0"/>
              <w:adjustRightInd w:val="0"/>
              <w:snapToGrid w:val="0"/>
              <w:jc w:val="left"/>
              <w:rPr>
                <w:rFonts w:ascii="宋体" w:hAnsi="宋体"/>
                <w:color w:val="auto"/>
                <w:kern w:val="0"/>
                <w:szCs w:val="21"/>
              </w:rPr>
            </w:pPr>
          </w:p>
        </w:tc>
        <w:tc>
          <w:tcPr>
            <w:tcW w:w="896" w:type="dxa"/>
          </w:tcPr>
          <w:p w14:paraId="37A3D64E">
            <w:pPr>
              <w:autoSpaceDE w:val="0"/>
              <w:autoSpaceDN w:val="0"/>
              <w:adjustRightInd w:val="0"/>
              <w:snapToGrid w:val="0"/>
              <w:jc w:val="left"/>
              <w:rPr>
                <w:rFonts w:ascii="宋体" w:hAnsi="宋体"/>
                <w:color w:val="auto"/>
                <w:kern w:val="0"/>
                <w:szCs w:val="21"/>
              </w:rPr>
            </w:pPr>
          </w:p>
        </w:tc>
      </w:tr>
      <w:tr w14:paraId="3B328B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94D8CAD">
            <w:pPr>
              <w:autoSpaceDE w:val="0"/>
              <w:autoSpaceDN w:val="0"/>
              <w:adjustRightInd w:val="0"/>
              <w:snapToGrid w:val="0"/>
              <w:jc w:val="left"/>
              <w:rPr>
                <w:rFonts w:ascii="宋体" w:hAnsi="宋体"/>
                <w:color w:val="auto"/>
                <w:kern w:val="0"/>
                <w:szCs w:val="21"/>
              </w:rPr>
            </w:pPr>
          </w:p>
        </w:tc>
        <w:tc>
          <w:tcPr>
            <w:tcW w:w="734" w:type="dxa"/>
          </w:tcPr>
          <w:p w14:paraId="790BCD88">
            <w:pPr>
              <w:autoSpaceDE w:val="0"/>
              <w:autoSpaceDN w:val="0"/>
              <w:adjustRightInd w:val="0"/>
              <w:snapToGrid w:val="0"/>
              <w:jc w:val="left"/>
              <w:rPr>
                <w:rFonts w:ascii="宋体" w:hAnsi="宋体"/>
                <w:color w:val="auto"/>
                <w:kern w:val="0"/>
                <w:szCs w:val="21"/>
              </w:rPr>
            </w:pPr>
          </w:p>
        </w:tc>
        <w:tc>
          <w:tcPr>
            <w:tcW w:w="776" w:type="dxa"/>
          </w:tcPr>
          <w:p w14:paraId="4D181299">
            <w:pPr>
              <w:autoSpaceDE w:val="0"/>
              <w:autoSpaceDN w:val="0"/>
              <w:adjustRightInd w:val="0"/>
              <w:snapToGrid w:val="0"/>
              <w:jc w:val="left"/>
              <w:rPr>
                <w:rFonts w:ascii="宋体" w:hAnsi="宋体"/>
                <w:color w:val="auto"/>
                <w:kern w:val="0"/>
                <w:szCs w:val="21"/>
              </w:rPr>
            </w:pPr>
          </w:p>
        </w:tc>
        <w:tc>
          <w:tcPr>
            <w:tcW w:w="1167" w:type="dxa"/>
          </w:tcPr>
          <w:p w14:paraId="41B948ED">
            <w:pPr>
              <w:autoSpaceDE w:val="0"/>
              <w:autoSpaceDN w:val="0"/>
              <w:adjustRightInd w:val="0"/>
              <w:snapToGrid w:val="0"/>
              <w:jc w:val="left"/>
              <w:rPr>
                <w:rFonts w:ascii="宋体" w:hAnsi="宋体"/>
                <w:color w:val="auto"/>
                <w:kern w:val="0"/>
                <w:szCs w:val="21"/>
              </w:rPr>
            </w:pPr>
          </w:p>
        </w:tc>
        <w:tc>
          <w:tcPr>
            <w:tcW w:w="776" w:type="dxa"/>
          </w:tcPr>
          <w:p w14:paraId="3ED96B15">
            <w:pPr>
              <w:autoSpaceDE w:val="0"/>
              <w:autoSpaceDN w:val="0"/>
              <w:adjustRightInd w:val="0"/>
              <w:snapToGrid w:val="0"/>
              <w:jc w:val="left"/>
              <w:rPr>
                <w:rFonts w:ascii="宋体" w:hAnsi="宋体"/>
                <w:color w:val="auto"/>
                <w:kern w:val="0"/>
                <w:szCs w:val="21"/>
              </w:rPr>
            </w:pPr>
          </w:p>
        </w:tc>
        <w:tc>
          <w:tcPr>
            <w:tcW w:w="778" w:type="dxa"/>
          </w:tcPr>
          <w:p w14:paraId="3127CCF9">
            <w:pPr>
              <w:autoSpaceDE w:val="0"/>
              <w:autoSpaceDN w:val="0"/>
              <w:adjustRightInd w:val="0"/>
              <w:snapToGrid w:val="0"/>
              <w:jc w:val="left"/>
              <w:rPr>
                <w:rFonts w:ascii="宋体" w:hAnsi="宋体"/>
                <w:color w:val="auto"/>
                <w:kern w:val="0"/>
                <w:szCs w:val="21"/>
              </w:rPr>
            </w:pPr>
          </w:p>
        </w:tc>
        <w:tc>
          <w:tcPr>
            <w:tcW w:w="776" w:type="dxa"/>
          </w:tcPr>
          <w:p w14:paraId="025ABE2F">
            <w:pPr>
              <w:autoSpaceDE w:val="0"/>
              <w:autoSpaceDN w:val="0"/>
              <w:adjustRightInd w:val="0"/>
              <w:snapToGrid w:val="0"/>
              <w:jc w:val="left"/>
              <w:rPr>
                <w:rFonts w:ascii="宋体" w:hAnsi="宋体"/>
                <w:color w:val="auto"/>
                <w:kern w:val="0"/>
                <w:szCs w:val="21"/>
              </w:rPr>
            </w:pPr>
          </w:p>
        </w:tc>
        <w:tc>
          <w:tcPr>
            <w:tcW w:w="2723" w:type="dxa"/>
          </w:tcPr>
          <w:p w14:paraId="5D0713E8">
            <w:pPr>
              <w:autoSpaceDE w:val="0"/>
              <w:autoSpaceDN w:val="0"/>
              <w:adjustRightInd w:val="0"/>
              <w:snapToGrid w:val="0"/>
              <w:jc w:val="left"/>
              <w:rPr>
                <w:rFonts w:ascii="宋体" w:hAnsi="宋体"/>
                <w:color w:val="auto"/>
                <w:kern w:val="0"/>
                <w:szCs w:val="21"/>
              </w:rPr>
            </w:pPr>
          </w:p>
        </w:tc>
        <w:tc>
          <w:tcPr>
            <w:tcW w:w="896" w:type="dxa"/>
          </w:tcPr>
          <w:p w14:paraId="7ACBF563">
            <w:pPr>
              <w:autoSpaceDE w:val="0"/>
              <w:autoSpaceDN w:val="0"/>
              <w:adjustRightInd w:val="0"/>
              <w:snapToGrid w:val="0"/>
              <w:jc w:val="left"/>
              <w:rPr>
                <w:rFonts w:ascii="宋体" w:hAnsi="宋体"/>
                <w:color w:val="auto"/>
                <w:kern w:val="0"/>
                <w:szCs w:val="21"/>
              </w:rPr>
            </w:pPr>
          </w:p>
        </w:tc>
      </w:tr>
      <w:tr w14:paraId="74D290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220BAC">
            <w:pPr>
              <w:autoSpaceDE w:val="0"/>
              <w:autoSpaceDN w:val="0"/>
              <w:adjustRightInd w:val="0"/>
              <w:snapToGrid w:val="0"/>
              <w:jc w:val="left"/>
              <w:rPr>
                <w:rFonts w:ascii="宋体" w:hAnsi="宋体"/>
                <w:color w:val="auto"/>
                <w:kern w:val="0"/>
                <w:szCs w:val="21"/>
              </w:rPr>
            </w:pPr>
          </w:p>
        </w:tc>
        <w:tc>
          <w:tcPr>
            <w:tcW w:w="734" w:type="dxa"/>
          </w:tcPr>
          <w:p w14:paraId="4BD3F002">
            <w:pPr>
              <w:autoSpaceDE w:val="0"/>
              <w:autoSpaceDN w:val="0"/>
              <w:adjustRightInd w:val="0"/>
              <w:snapToGrid w:val="0"/>
              <w:jc w:val="left"/>
              <w:rPr>
                <w:rFonts w:ascii="宋体" w:hAnsi="宋体"/>
                <w:color w:val="auto"/>
                <w:kern w:val="0"/>
                <w:szCs w:val="21"/>
              </w:rPr>
            </w:pPr>
          </w:p>
        </w:tc>
        <w:tc>
          <w:tcPr>
            <w:tcW w:w="776" w:type="dxa"/>
          </w:tcPr>
          <w:p w14:paraId="506FEF8B">
            <w:pPr>
              <w:autoSpaceDE w:val="0"/>
              <w:autoSpaceDN w:val="0"/>
              <w:adjustRightInd w:val="0"/>
              <w:snapToGrid w:val="0"/>
              <w:jc w:val="left"/>
              <w:rPr>
                <w:rFonts w:ascii="宋体" w:hAnsi="宋体"/>
                <w:color w:val="auto"/>
                <w:kern w:val="0"/>
                <w:szCs w:val="21"/>
              </w:rPr>
            </w:pPr>
          </w:p>
        </w:tc>
        <w:tc>
          <w:tcPr>
            <w:tcW w:w="1167" w:type="dxa"/>
          </w:tcPr>
          <w:p w14:paraId="03A8DBFA">
            <w:pPr>
              <w:autoSpaceDE w:val="0"/>
              <w:autoSpaceDN w:val="0"/>
              <w:adjustRightInd w:val="0"/>
              <w:snapToGrid w:val="0"/>
              <w:jc w:val="left"/>
              <w:rPr>
                <w:rFonts w:ascii="宋体" w:hAnsi="宋体"/>
                <w:color w:val="auto"/>
                <w:kern w:val="0"/>
                <w:szCs w:val="21"/>
              </w:rPr>
            </w:pPr>
          </w:p>
        </w:tc>
        <w:tc>
          <w:tcPr>
            <w:tcW w:w="776" w:type="dxa"/>
          </w:tcPr>
          <w:p w14:paraId="0D90D388">
            <w:pPr>
              <w:autoSpaceDE w:val="0"/>
              <w:autoSpaceDN w:val="0"/>
              <w:adjustRightInd w:val="0"/>
              <w:snapToGrid w:val="0"/>
              <w:jc w:val="left"/>
              <w:rPr>
                <w:rFonts w:ascii="宋体" w:hAnsi="宋体"/>
                <w:color w:val="auto"/>
                <w:kern w:val="0"/>
                <w:szCs w:val="21"/>
              </w:rPr>
            </w:pPr>
          </w:p>
        </w:tc>
        <w:tc>
          <w:tcPr>
            <w:tcW w:w="778" w:type="dxa"/>
          </w:tcPr>
          <w:p w14:paraId="372B3303">
            <w:pPr>
              <w:autoSpaceDE w:val="0"/>
              <w:autoSpaceDN w:val="0"/>
              <w:adjustRightInd w:val="0"/>
              <w:snapToGrid w:val="0"/>
              <w:jc w:val="left"/>
              <w:rPr>
                <w:rFonts w:ascii="宋体" w:hAnsi="宋体"/>
                <w:color w:val="auto"/>
                <w:kern w:val="0"/>
                <w:szCs w:val="21"/>
              </w:rPr>
            </w:pPr>
          </w:p>
        </w:tc>
        <w:tc>
          <w:tcPr>
            <w:tcW w:w="776" w:type="dxa"/>
          </w:tcPr>
          <w:p w14:paraId="10ABF154">
            <w:pPr>
              <w:autoSpaceDE w:val="0"/>
              <w:autoSpaceDN w:val="0"/>
              <w:adjustRightInd w:val="0"/>
              <w:snapToGrid w:val="0"/>
              <w:jc w:val="left"/>
              <w:rPr>
                <w:rFonts w:ascii="宋体" w:hAnsi="宋体"/>
                <w:color w:val="auto"/>
                <w:kern w:val="0"/>
                <w:szCs w:val="21"/>
              </w:rPr>
            </w:pPr>
          </w:p>
        </w:tc>
        <w:tc>
          <w:tcPr>
            <w:tcW w:w="2723" w:type="dxa"/>
          </w:tcPr>
          <w:p w14:paraId="4FEEBE06">
            <w:pPr>
              <w:autoSpaceDE w:val="0"/>
              <w:autoSpaceDN w:val="0"/>
              <w:adjustRightInd w:val="0"/>
              <w:snapToGrid w:val="0"/>
              <w:jc w:val="left"/>
              <w:rPr>
                <w:rFonts w:ascii="宋体" w:hAnsi="宋体"/>
                <w:color w:val="auto"/>
                <w:kern w:val="0"/>
                <w:szCs w:val="21"/>
              </w:rPr>
            </w:pPr>
          </w:p>
        </w:tc>
        <w:tc>
          <w:tcPr>
            <w:tcW w:w="896" w:type="dxa"/>
          </w:tcPr>
          <w:p w14:paraId="38BAC56B">
            <w:pPr>
              <w:autoSpaceDE w:val="0"/>
              <w:autoSpaceDN w:val="0"/>
              <w:adjustRightInd w:val="0"/>
              <w:snapToGrid w:val="0"/>
              <w:jc w:val="left"/>
              <w:rPr>
                <w:rFonts w:ascii="宋体" w:hAnsi="宋体"/>
                <w:color w:val="auto"/>
                <w:kern w:val="0"/>
                <w:szCs w:val="21"/>
              </w:rPr>
            </w:pPr>
          </w:p>
        </w:tc>
      </w:tr>
      <w:tr w14:paraId="12131B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501E948">
            <w:pPr>
              <w:autoSpaceDE w:val="0"/>
              <w:autoSpaceDN w:val="0"/>
              <w:adjustRightInd w:val="0"/>
              <w:snapToGrid w:val="0"/>
              <w:jc w:val="left"/>
              <w:rPr>
                <w:rFonts w:ascii="宋体" w:hAnsi="宋体"/>
                <w:color w:val="auto"/>
                <w:kern w:val="0"/>
                <w:szCs w:val="21"/>
              </w:rPr>
            </w:pPr>
          </w:p>
        </w:tc>
        <w:tc>
          <w:tcPr>
            <w:tcW w:w="734" w:type="dxa"/>
          </w:tcPr>
          <w:p w14:paraId="79816F76">
            <w:pPr>
              <w:autoSpaceDE w:val="0"/>
              <w:autoSpaceDN w:val="0"/>
              <w:adjustRightInd w:val="0"/>
              <w:snapToGrid w:val="0"/>
              <w:jc w:val="left"/>
              <w:rPr>
                <w:rFonts w:ascii="宋体" w:hAnsi="宋体"/>
                <w:color w:val="auto"/>
                <w:kern w:val="0"/>
                <w:szCs w:val="21"/>
              </w:rPr>
            </w:pPr>
          </w:p>
        </w:tc>
        <w:tc>
          <w:tcPr>
            <w:tcW w:w="776" w:type="dxa"/>
          </w:tcPr>
          <w:p w14:paraId="72692F44">
            <w:pPr>
              <w:autoSpaceDE w:val="0"/>
              <w:autoSpaceDN w:val="0"/>
              <w:adjustRightInd w:val="0"/>
              <w:snapToGrid w:val="0"/>
              <w:jc w:val="left"/>
              <w:rPr>
                <w:rFonts w:ascii="宋体" w:hAnsi="宋体"/>
                <w:color w:val="auto"/>
                <w:kern w:val="0"/>
                <w:szCs w:val="21"/>
              </w:rPr>
            </w:pPr>
          </w:p>
        </w:tc>
        <w:tc>
          <w:tcPr>
            <w:tcW w:w="1167" w:type="dxa"/>
          </w:tcPr>
          <w:p w14:paraId="66B299F9">
            <w:pPr>
              <w:autoSpaceDE w:val="0"/>
              <w:autoSpaceDN w:val="0"/>
              <w:adjustRightInd w:val="0"/>
              <w:snapToGrid w:val="0"/>
              <w:jc w:val="left"/>
              <w:rPr>
                <w:rFonts w:ascii="宋体" w:hAnsi="宋体"/>
                <w:color w:val="auto"/>
                <w:kern w:val="0"/>
                <w:szCs w:val="21"/>
              </w:rPr>
            </w:pPr>
          </w:p>
        </w:tc>
        <w:tc>
          <w:tcPr>
            <w:tcW w:w="776" w:type="dxa"/>
          </w:tcPr>
          <w:p w14:paraId="67C8C081">
            <w:pPr>
              <w:autoSpaceDE w:val="0"/>
              <w:autoSpaceDN w:val="0"/>
              <w:adjustRightInd w:val="0"/>
              <w:snapToGrid w:val="0"/>
              <w:jc w:val="left"/>
              <w:rPr>
                <w:rFonts w:ascii="宋体" w:hAnsi="宋体"/>
                <w:color w:val="auto"/>
                <w:kern w:val="0"/>
                <w:szCs w:val="21"/>
              </w:rPr>
            </w:pPr>
          </w:p>
        </w:tc>
        <w:tc>
          <w:tcPr>
            <w:tcW w:w="778" w:type="dxa"/>
          </w:tcPr>
          <w:p w14:paraId="749EC2FA">
            <w:pPr>
              <w:autoSpaceDE w:val="0"/>
              <w:autoSpaceDN w:val="0"/>
              <w:adjustRightInd w:val="0"/>
              <w:snapToGrid w:val="0"/>
              <w:jc w:val="left"/>
              <w:rPr>
                <w:rFonts w:ascii="宋体" w:hAnsi="宋体"/>
                <w:color w:val="auto"/>
                <w:kern w:val="0"/>
                <w:szCs w:val="21"/>
              </w:rPr>
            </w:pPr>
          </w:p>
        </w:tc>
        <w:tc>
          <w:tcPr>
            <w:tcW w:w="776" w:type="dxa"/>
          </w:tcPr>
          <w:p w14:paraId="2B92A047">
            <w:pPr>
              <w:autoSpaceDE w:val="0"/>
              <w:autoSpaceDN w:val="0"/>
              <w:adjustRightInd w:val="0"/>
              <w:snapToGrid w:val="0"/>
              <w:jc w:val="left"/>
              <w:rPr>
                <w:rFonts w:ascii="宋体" w:hAnsi="宋体"/>
                <w:color w:val="auto"/>
                <w:kern w:val="0"/>
                <w:szCs w:val="21"/>
              </w:rPr>
            </w:pPr>
          </w:p>
        </w:tc>
        <w:tc>
          <w:tcPr>
            <w:tcW w:w="2723" w:type="dxa"/>
          </w:tcPr>
          <w:p w14:paraId="36FDD9EC">
            <w:pPr>
              <w:autoSpaceDE w:val="0"/>
              <w:autoSpaceDN w:val="0"/>
              <w:adjustRightInd w:val="0"/>
              <w:snapToGrid w:val="0"/>
              <w:jc w:val="left"/>
              <w:rPr>
                <w:rFonts w:ascii="宋体" w:hAnsi="宋体"/>
                <w:color w:val="auto"/>
                <w:kern w:val="0"/>
                <w:szCs w:val="21"/>
              </w:rPr>
            </w:pPr>
          </w:p>
        </w:tc>
        <w:tc>
          <w:tcPr>
            <w:tcW w:w="896" w:type="dxa"/>
          </w:tcPr>
          <w:p w14:paraId="40E223EA">
            <w:pPr>
              <w:autoSpaceDE w:val="0"/>
              <w:autoSpaceDN w:val="0"/>
              <w:adjustRightInd w:val="0"/>
              <w:snapToGrid w:val="0"/>
              <w:jc w:val="left"/>
              <w:rPr>
                <w:rFonts w:ascii="宋体" w:hAnsi="宋体"/>
                <w:color w:val="auto"/>
                <w:kern w:val="0"/>
                <w:szCs w:val="21"/>
              </w:rPr>
            </w:pPr>
          </w:p>
        </w:tc>
      </w:tr>
      <w:tr w14:paraId="642D37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8E9F12">
            <w:pPr>
              <w:autoSpaceDE w:val="0"/>
              <w:autoSpaceDN w:val="0"/>
              <w:adjustRightInd w:val="0"/>
              <w:snapToGrid w:val="0"/>
              <w:jc w:val="left"/>
              <w:rPr>
                <w:rFonts w:ascii="宋体" w:hAnsi="宋体"/>
                <w:color w:val="auto"/>
                <w:kern w:val="0"/>
                <w:szCs w:val="21"/>
              </w:rPr>
            </w:pPr>
          </w:p>
        </w:tc>
        <w:tc>
          <w:tcPr>
            <w:tcW w:w="734" w:type="dxa"/>
          </w:tcPr>
          <w:p w14:paraId="30FCA8DB">
            <w:pPr>
              <w:autoSpaceDE w:val="0"/>
              <w:autoSpaceDN w:val="0"/>
              <w:adjustRightInd w:val="0"/>
              <w:snapToGrid w:val="0"/>
              <w:jc w:val="left"/>
              <w:rPr>
                <w:rFonts w:ascii="宋体" w:hAnsi="宋体"/>
                <w:color w:val="auto"/>
                <w:kern w:val="0"/>
                <w:szCs w:val="21"/>
              </w:rPr>
            </w:pPr>
          </w:p>
        </w:tc>
        <w:tc>
          <w:tcPr>
            <w:tcW w:w="776" w:type="dxa"/>
          </w:tcPr>
          <w:p w14:paraId="42DC5D71">
            <w:pPr>
              <w:autoSpaceDE w:val="0"/>
              <w:autoSpaceDN w:val="0"/>
              <w:adjustRightInd w:val="0"/>
              <w:snapToGrid w:val="0"/>
              <w:jc w:val="left"/>
              <w:rPr>
                <w:rFonts w:ascii="宋体" w:hAnsi="宋体"/>
                <w:color w:val="auto"/>
                <w:kern w:val="0"/>
                <w:szCs w:val="21"/>
              </w:rPr>
            </w:pPr>
          </w:p>
        </w:tc>
        <w:tc>
          <w:tcPr>
            <w:tcW w:w="1167" w:type="dxa"/>
          </w:tcPr>
          <w:p w14:paraId="1F60D139">
            <w:pPr>
              <w:autoSpaceDE w:val="0"/>
              <w:autoSpaceDN w:val="0"/>
              <w:adjustRightInd w:val="0"/>
              <w:snapToGrid w:val="0"/>
              <w:jc w:val="left"/>
              <w:rPr>
                <w:rFonts w:ascii="宋体" w:hAnsi="宋体"/>
                <w:color w:val="auto"/>
                <w:kern w:val="0"/>
                <w:szCs w:val="21"/>
              </w:rPr>
            </w:pPr>
          </w:p>
        </w:tc>
        <w:tc>
          <w:tcPr>
            <w:tcW w:w="776" w:type="dxa"/>
          </w:tcPr>
          <w:p w14:paraId="6CBB5212">
            <w:pPr>
              <w:autoSpaceDE w:val="0"/>
              <w:autoSpaceDN w:val="0"/>
              <w:adjustRightInd w:val="0"/>
              <w:snapToGrid w:val="0"/>
              <w:jc w:val="left"/>
              <w:rPr>
                <w:rFonts w:ascii="宋体" w:hAnsi="宋体"/>
                <w:color w:val="auto"/>
                <w:kern w:val="0"/>
                <w:szCs w:val="21"/>
              </w:rPr>
            </w:pPr>
          </w:p>
        </w:tc>
        <w:tc>
          <w:tcPr>
            <w:tcW w:w="778" w:type="dxa"/>
          </w:tcPr>
          <w:p w14:paraId="02D02100">
            <w:pPr>
              <w:autoSpaceDE w:val="0"/>
              <w:autoSpaceDN w:val="0"/>
              <w:adjustRightInd w:val="0"/>
              <w:snapToGrid w:val="0"/>
              <w:jc w:val="left"/>
              <w:rPr>
                <w:rFonts w:ascii="宋体" w:hAnsi="宋体"/>
                <w:color w:val="auto"/>
                <w:kern w:val="0"/>
                <w:szCs w:val="21"/>
              </w:rPr>
            </w:pPr>
          </w:p>
        </w:tc>
        <w:tc>
          <w:tcPr>
            <w:tcW w:w="776" w:type="dxa"/>
          </w:tcPr>
          <w:p w14:paraId="6001CBC0">
            <w:pPr>
              <w:autoSpaceDE w:val="0"/>
              <w:autoSpaceDN w:val="0"/>
              <w:adjustRightInd w:val="0"/>
              <w:snapToGrid w:val="0"/>
              <w:jc w:val="left"/>
              <w:rPr>
                <w:rFonts w:ascii="宋体" w:hAnsi="宋体"/>
                <w:color w:val="auto"/>
                <w:kern w:val="0"/>
                <w:szCs w:val="21"/>
              </w:rPr>
            </w:pPr>
          </w:p>
        </w:tc>
        <w:tc>
          <w:tcPr>
            <w:tcW w:w="2723" w:type="dxa"/>
          </w:tcPr>
          <w:p w14:paraId="2C2108D2">
            <w:pPr>
              <w:autoSpaceDE w:val="0"/>
              <w:autoSpaceDN w:val="0"/>
              <w:adjustRightInd w:val="0"/>
              <w:snapToGrid w:val="0"/>
              <w:jc w:val="left"/>
              <w:rPr>
                <w:rFonts w:ascii="宋体" w:hAnsi="宋体"/>
                <w:color w:val="auto"/>
                <w:kern w:val="0"/>
                <w:szCs w:val="21"/>
              </w:rPr>
            </w:pPr>
          </w:p>
        </w:tc>
        <w:tc>
          <w:tcPr>
            <w:tcW w:w="896" w:type="dxa"/>
          </w:tcPr>
          <w:p w14:paraId="1AC77546">
            <w:pPr>
              <w:autoSpaceDE w:val="0"/>
              <w:autoSpaceDN w:val="0"/>
              <w:adjustRightInd w:val="0"/>
              <w:snapToGrid w:val="0"/>
              <w:jc w:val="left"/>
              <w:rPr>
                <w:rFonts w:ascii="宋体" w:hAnsi="宋体"/>
                <w:color w:val="auto"/>
                <w:kern w:val="0"/>
                <w:szCs w:val="21"/>
              </w:rPr>
            </w:pPr>
          </w:p>
        </w:tc>
      </w:tr>
      <w:tr w14:paraId="569321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B67A5E9">
            <w:pPr>
              <w:autoSpaceDE w:val="0"/>
              <w:autoSpaceDN w:val="0"/>
              <w:adjustRightInd w:val="0"/>
              <w:snapToGrid w:val="0"/>
              <w:jc w:val="left"/>
              <w:rPr>
                <w:rFonts w:ascii="宋体" w:hAnsi="宋体"/>
                <w:color w:val="auto"/>
                <w:kern w:val="0"/>
                <w:szCs w:val="21"/>
              </w:rPr>
            </w:pPr>
          </w:p>
        </w:tc>
        <w:tc>
          <w:tcPr>
            <w:tcW w:w="734" w:type="dxa"/>
          </w:tcPr>
          <w:p w14:paraId="51DC52F4">
            <w:pPr>
              <w:autoSpaceDE w:val="0"/>
              <w:autoSpaceDN w:val="0"/>
              <w:adjustRightInd w:val="0"/>
              <w:snapToGrid w:val="0"/>
              <w:jc w:val="left"/>
              <w:rPr>
                <w:rFonts w:ascii="宋体" w:hAnsi="宋体"/>
                <w:color w:val="auto"/>
                <w:kern w:val="0"/>
                <w:szCs w:val="21"/>
              </w:rPr>
            </w:pPr>
          </w:p>
        </w:tc>
        <w:tc>
          <w:tcPr>
            <w:tcW w:w="776" w:type="dxa"/>
          </w:tcPr>
          <w:p w14:paraId="0A2D699A">
            <w:pPr>
              <w:autoSpaceDE w:val="0"/>
              <w:autoSpaceDN w:val="0"/>
              <w:adjustRightInd w:val="0"/>
              <w:snapToGrid w:val="0"/>
              <w:jc w:val="left"/>
              <w:rPr>
                <w:rFonts w:ascii="宋体" w:hAnsi="宋体"/>
                <w:color w:val="auto"/>
                <w:kern w:val="0"/>
                <w:szCs w:val="21"/>
              </w:rPr>
            </w:pPr>
          </w:p>
        </w:tc>
        <w:tc>
          <w:tcPr>
            <w:tcW w:w="1167" w:type="dxa"/>
          </w:tcPr>
          <w:p w14:paraId="55C38D8C">
            <w:pPr>
              <w:autoSpaceDE w:val="0"/>
              <w:autoSpaceDN w:val="0"/>
              <w:adjustRightInd w:val="0"/>
              <w:snapToGrid w:val="0"/>
              <w:jc w:val="left"/>
              <w:rPr>
                <w:rFonts w:ascii="宋体" w:hAnsi="宋体"/>
                <w:color w:val="auto"/>
                <w:kern w:val="0"/>
                <w:szCs w:val="21"/>
              </w:rPr>
            </w:pPr>
          </w:p>
        </w:tc>
        <w:tc>
          <w:tcPr>
            <w:tcW w:w="776" w:type="dxa"/>
          </w:tcPr>
          <w:p w14:paraId="26BC7D51">
            <w:pPr>
              <w:autoSpaceDE w:val="0"/>
              <w:autoSpaceDN w:val="0"/>
              <w:adjustRightInd w:val="0"/>
              <w:snapToGrid w:val="0"/>
              <w:jc w:val="left"/>
              <w:rPr>
                <w:rFonts w:ascii="宋体" w:hAnsi="宋体"/>
                <w:color w:val="auto"/>
                <w:kern w:val="0"/>
                <w:szCs w:val="21"/>
              </w:rPr>
            </w:pPr>
          </w:p>
        </w:tc>
        <w:tc>
          <w:tcPr>
            <w:tcW w:w="778" w:type="dxa"/>
          </w:tcPr>
          <w:p w14:paraId="07AF59BE">
            <w:pPr>
              <w:autoSpaceDE w:val="0"/>
              <w:autoSpaceDN w:val="0"/>
              <w:adjustRightInd w:val="0"/>
              <w:snapToGrid w:val="0"/>
              <w:jc w:val="left"/>
              <w:rPr>
                <w:rFonts w:ascii="宋体" w:hAnsi="宋体"/>
                <w:color w:val="auto"/>
                <w:kern w:val="0"/>
                <w:szCs w:val="21"/>
              </w:rPr>
            </w:pPr>
          </w:p>
        </w:tc>
        <w:tc>
          <w:tcPr>
            <w:tcW w:w="776" w:type="dxa"/>
          </w:tcPr>
          <w:p w14:paraId="7783E1D2">
            <w:pPr>
              <w:autoSpaceDE w:val="0"/>
              <w:autoSpaceDN w:val="0"/>
              <w:adjustRightInd w:val="0"/>
              <w:snapToGrid w:val="0"/>
              <w:jc w:val="left"/>
              <w:rPr>
                <w:rFonts w:ascii="宋体" w:hAnsi="宋体"/>
                <w:color w:val="auto"/>
                <w:kern w:val="0"/>
                <w:szCs w:val="21"/>
              </w:rPr>
            </w:pPr>
          </w:p>
        </w:tc>
        <w:tc>
          <w:tcPr>
            <w:tcW w:w="2723" w:type="dxa"/>
          </w:tcPr>
          <w:p w14:paraId="20E4141D">
            <w:pPr>
              <w:autoSpaceDE w:val="0"/>
              <w:autoSpaceDN w:val="0"/>
              <w:adjustRightInd w:val="0"/>
              <w:snapToGrid w:val="0"/>
              <w:jc w:val="left"/>
              <w:rPr>
                <w:rFonts w:ascii="宋体" w:hAnsi="宋体"/>
                <w:color w:val="auto"/>
                <w:kern w:val="0"/>
                <w:szCs w:val="21"/>
              </w:rPr>
            </w:pPr>
          </w:p>
        </w:tc>
        <w:tc>
          <w:tcPr>
            <w:tcW w:w="896" w:type="dxa"/>
          </w:tcPr>
          <w:p w14:paraId="1DEB271F">
            <w:pPr>
              <w:autoSpaceDE w:val="0"/>
              <w:autoSpaceDN w:val="0"/>
              <w:adjustRightInd w:val="0"/>
              <w:snapToGrid w:val="0"/>
              <w:jc w:val="left"/>
              <w:rPr>
                <w:rFonts w:ascii="宋体" w:hAnsi="宋体"/>
                <w:color w:val="auto"/>
                <w:kern w:val="0"/>
                <w:szCs w:val="21"/>
              </w:rPr>
            </w:pPr>
          </w:p>
        </w:tc>
      </w:tr>
      <w:tr w14:paraId="500D6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2F6BA44">
            <w:pPr>
              <w:autoSpaceDE w:val="0"/>
              <w:autoSpaceDN w:val="0"/>
              <w:adjustRightInd w:val="0"/>
              <w:snapToGrid w:val="0"/>
              <w:jc w:val="left"/>
              <w:rPr>
                <w:rFonts w:ascii="宋体" w:hAnsi="宋体"/>
                <w:color w:val="auto"/>
                <w:kern w:val="0"/>
                <w:szCs w:val="21"/>
              </w:rPr>
            </w:pPr>
          </w:p>
        </w:tc>
        <w:tc>
          <w:tcPr>
            <w:tcW w:w="734" w:type="dxa"/>
          </w:tcPr>
          <w:p w14:paraId="4676005E">
            <w:pPr>
              <w:autoSpaceDE w:val="0"/>
              <w:autoSpaceDN w:val="0"/>
              <w:adjustRightInd w:val="0"/>
              <w:snapToGrid w:val="0"/>
              <w:jc w:val="left"/>
              <w:rPr>
                <w:rFonts w:ascii="宋体" w:hAnsi="宋体"/>
                <w:color w:val="auto"/>
                <w:kern w:val="0"/>
                <w:szCs w:val="21"/>
              </w:rPr>
            </w:pPr>
          </w:p>
        </w:tc>
        <w:tc>
          <w:tcPr>
            <w:tcW w:w="776" w:type="dxa"/>
          </w:tcPr>
          <w:p w14:paraId="573767B8">
            <w:pPr>
              <w:autoSpaceDE w:val="0"/>
              <w:autoSpaceDN w:val="0"/>
              <w:adjustRightInd w:val="0"/>
              <w:snapToGrid w:val="0"/>
              <w:jc w:val="left"/>
              <w:rPr>
                <w:rFonts w:ascii="宋体" w:hAnsi="宋体"/>
                <w:color w:val="auto"/>
                <w:kern w:val="0"/>
                <w:szCs w:val="21"/>
              </w:rPr>
            </w:pPr>
          </w:p>
        </w:tc>
        <w:tc>
          <w:tcPr>
            <w:tcW w:w="1167" w:type="dxa"/>
          </w:tcPr>
          <w:p w14:paraId="5FB82531">
            <w:pPr>
              <w:autoSpaceDE w:val="0"/>
              <w:autoSpaceDN w:val="0"/>
              <w:adjustRightInd w:val="0"/>
              <w:snapToGrid w:val="0"/>
              <w:jc w:val="left"/>
              <w:rPr>
                <w:rFonts w:ascii="宋体" w:hAnsi="宋体"/>
                <w:color w:val="auto"/>
                <w:kern w:val="0"/>
                <w:szCs w:val="21"/>
              </w:rPr>
            </w:pPr>
          </w:p>
        </w:tc>
        <w:tc>
          <w:tcPr>
            <w:tcW w:w="776" w:type="dxa"/>
          </w:tcPr>
          <w:p w14:paraId="58B1D07C">
            <w:pPr>
              <w:autoSpaceDE w:val="0"/>
              <w:autoSpaceDN w:val="0"/>
              <w:adjustRightInd w:val="0"/>
              <w:snapToGrid w:val="0"/>
              <w:jc w:val="left"/>
              <w:rPr>
                <w:rFonts w:ascii="宋体" w:hAnsi="宋体"/>
                <w:color w:val="auto"/>
                <w:kern w:val="0"/>
                <w:szCs w:val="21"/>
              </w:rPr>
            </w:pPr>
          </w:p>
        </w:tc>
        <w:tc>
          <w:tcPr>
            <w:tcW w:w="778" w:type="dxa"/>
          </w:tcPr>
          <w:p w14:paraId="1BCCA41E">
            <w:pPr>
              <w:autoSpaceDE w:val="0"/>
              <w:autoSpaceDN w:val="0"/>
              <w:adjustRightInd w:val="0"/>
              <w:snapToGrid w:val="0"/>
              <w:jc w:val="left"/>
              <w:rPr>
                <w:rFonts w:ascii="宋体" w:hAnsi="宋体"/>
                <w:color w:val="auto"/>
                <w:kern w:val="0"/>
                <w:szCs w:val="21"/>
              </w:rPr>
            </w:pPr>
          </w:p>
        </w:tc>
        <w:tc>
          <w:tcPr>
            <w:tcW w:w="776" w:type="dxa"/>
          </w:tcPr>
          <w:p w14:paraId="7D80EB12">
            <w:pPr>
              <w:autoSpaceDE w:val="0"/>
              <w:autoSpaceDN w:val="0"/>
              <w:adjustRightInd w:val="0"/>
              <w:snapToGrid w:val="0"/>
              <w:jc w:val="left"/>
              <w:rPr>
                <w:rFonts w:ascii="宋体" w:hAnsi="宋体"/>
                <w:color w:val="auto"/>
                <w:kern w:val="0"/>
                <w:szCs w:val="21"/>
              </w:rPr>
            </w:pPr>
          </w:p>
        </w:tc>
        <w:tc>
          <w:tcPr>
            <w:tcW w:w="2723" w:type="dxa"/>
          </w:tcPr>
          <w:p w14:paraId="70B0C2B8">
            <w:pPr>
              <w:autoSpaceDE w:val="0"/>
              <w:autoSpaceDN w:val="0"/>
              <w:adjustRightInd w:val="0"/>
              <w:snapToGrid w:val="0"/>
              <w:jc w:val="left"/>
              <w:rPr>
                <w:rFonts w:ascii="宋体" w:hAnsi="宋体"/>
                <w:color w:val="auto"/>
                <w:kern w:val="0"/>
                <w:szCs w:val="21"/>
              </w:rPr>
            </w:pPr>
          </w:p>
        </w:tc>
        <w:tc>
          <w:tcPr>
            <w:tcW w:w="896" w:type="dxa"/>
          </w:tcPr>
          <w:p w14:paraId="753BC72F">
            <w:pPr>
              <w:autoSpaceDE w:val="0"/>
              <w:autoSpaceDN w:val="0"/>
              <w:adjustRightInd w:val="0"/>
              <w:snapToGrid w:val="0"/>
              <w:jc w:val="left"/>
              <w:rPr>
                <w:rFonts w:ascii="宋体" w:hAnsi="宋体"/>
                <w:color w:val="auto"/>
                <w:kern w:val="0"/>
                <w:szCs w:val="21"/>
              </w:rPr>
            </w:pPr>
          </w:p>
        </w:tc>
      </w:tr>
      <w:tr w14:paraId="421EF3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37DDEB8">
            <w:pPr>
              <w:autoSpaceDE w:val="0"/>
              <w:autoSpaceDN w:val="0"/>
              <w:adjustRightInd w:val="0"/>
              <w:snapToGrid w:val="0"/>
              <w:jc w:val="left"/>
              <w:rPr>
                <w:rFonts w:ascii="宋体" w:hAnsi="宋体"/>
                <w:color w:val="auto"/>
                <w:kern w:val="0"/>
                <w:szCs w:val="21"/>
              </w:rPr>
            </w:pPr>
          </w:p>
        </w:tc>
        <w:tc>
          <w:tcPr>
            <w:tcW w:w="734" w:type="dxa"/>
          </w:tcPr>
          <w:p w14:paraId="6138C22B">
            <w:pPr>
              <w:autoSpaceDE w:val="0"/>
              <w:autoSpaceDN w:val="0"/>
              <w:adjustRightInd w:val="0"/>
              <w:snapToGrid w:val="0"/>
              <w:jc w:val="left"/>
              <w:rPr>
                <w:rFonts w:ascii="宋体" w:hAnsi="宋体"/>
                <w:color w:val="auto"/>
                <w:kern w:val="0"/>
                <w:szCs w:val="21"/>
              </w:rPr>
            </w:pPr>
          </w:p>
        </w:tc>
        <w:tc>
          <w:tcPr>
            <w:tcW w:w="776" w:type="dxa"/>
          </w:tcPr>
          <w:p w14:paraId="5829EA12">
            <w:pPr>
              <w:autoSpaceDE w:val="0"/>
              <w:autoSpaceDN w:val="0"/>
              <w:adjustRightInd w:val="0"/>
              <w:snapToGrid w:val="0"/>
              <w:jc w:val="left"/>
              <w:rPr>
                <w:rFonts w:ascii="宋体" w:hAnsi="宋体"/>
                <w:color w:val="auto"/>
                <w:kern w:val="0"/>
                <w:szCs w:val="21"/>
              </w:rPr>
            </w:pPr>
          </w:p>
        </w:tc>
        <w:tc>
          <w:tcPr>
            <w:tcW w:w="1167" w:type="dxa"/>
          </w:tcPr>
          <w:p w14:paraId="0413EC5C">
            <w:pPr>
              <w:autoSpaceDE w:val="0"/>
              <w:autoSpaceDN w:val="0"/>
              <w:adjustRightInd w:val="0"/>
              <w:snapToGrid w:val="0"/>
              <w:jc w:val="left"/>
              <w:rPr>
                <w:rFonts w:ascii="宋体" w:hAnsi="宋体"/>
                <w:color w:val="auto"/>
                <w:kern w:val="0"/>
                <w:szCs w:val="21"/>
              </w:rPr>
            </w:pPr>
          </w:p>
        </w:tc>
        <w:tc>
          <w:tcPr>
            <w:tcW w:w="776" w:type="dxa"/>
          </w:tcPr>
          <w:p w14:paraId="377E2E62">
            <w:pPr>
              <w:autoSpaceDE w:val="0"/>
              <w:autoSpaceDN w:val="0"/>
              <w:adjustRightInd w:val="0"/>
              <w:snapToGrid w:val="0"/>
              <w:jc w:val="left"/>
              <w:rPr>
                <w:rFonts w:ascii="宋体" w:hAnsi="宋体"/>
                <w:color w:val="auto"/>
                <w:kern w:val="0"/>
                <w:szCs w:val="21"/>
              </w:rPr>
            </w:pPr>
          </w:p>
        </w:tc>
        <w:tc>
          <w:tcPr>
            <w:tcW w:w="778" w:type="dxa"/>
          </w:tcPr>
          <w:p w14:paraId="20C7B803">
            <w:pPr>
              <w:autoSpaceDE w:val="0"/>
              <w:autoSpaceDN w:val="0"/>
              <w:adjustRightInd w:val="0"/>
              <w:snapToGrid w:val="0"/>
              <w:jc w:val="left"/>
              <w:rPr>
                <w:rFonts w:ascii="宋体" w:hAnsi="宋体"/>
                <w:color w:val="auto"/>
                <w:kern w:val="0"/>
                <w:szCs w:val="21"/>
              </w:rPr>
            </w:pPr>
          </w:p>
        </w:tc>
        <w:tc>
          <w:tcPr>
            <w:tcW w:w="776" w:type="dxa"/>
          </w:tcPr>
          <w:p w14:paraId="4182EF38">
            <w:pPr>
              <w:autoSpaceDE w:val="0"/>
              <w:autoSpaceDN w:val="0"/>
              <w:adjustRightInd w:val="0"/>
              <w:snapToGrid w:val="0"/>
              <w:jc w:val="left"/>
              <w:rPr>
                <w:rFonts w:ascii="宋体" w:hAnsi="宋体"/>
                <w:color w:val="auto"/>
                <w:kern w:val="0"/>
                <w:szCs w:val="21"/>
              </w:rPr>
            </w:pPr>
          </w:p>
        </w:tc>
        <w:tc>
          <w:tcPr>
            <w:tcW w:w="2723" w:type="dxa"/>
          </w:tcPr>
          <w:p w14:paraId="6A8FFCC9">
            <w:pPr>
              <w:autoSpaceDE w:val="0"/>
              <w:autoSpaceDN w:val="0"/>
              <w:adjustRightInd w:val="0"/>
              <w:snapToGrid w:val="0"/>
              <w:jc w:val="left"/>
              <w:rPr>
                <w:rFonts w:ascii="宋体" w:hAnsi="宋体"/>
                <w:color w:val="auto"/>
                <w:kern w:val="0"/>
                <w:szCs w:val="21"/>
              </w:rPr>
            </w:pPr>
          </w:p>
        </w:tc>
        <w:tc>
          <w:tcPr>
            <w:tcW w:w="896" w:type="dxa"/>
          </w:tcPr>
          <w:p w14:paraId="65A36BA6">
            <w:pPr>
              <w:autoSpaceDE w:val="0"/>
              <w:autoSpaceDN w:val="0"/>
              <w:adjustRightInd w:val="0"/>
              <w:snapToGrid w:val="0"/>
              <w:jc w:val="left"/>
              <w:rPr>
                <w:rFonts w:ascii="宋体" w:hAnsi="宋体"/>
                <w:color w:val="auto"/>
                <w:kern w:val="0"/>
                <w:szCs w:val="21"/>
              </w:rPr>
            </w:pPr>
          </w:p>
        </w:tc>
      </w:tr>
      <w:tr w14:paraId="368142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95AEBE9">
            <w:pPr>
              <w:autoSpaceDE w:val="0"/>
              <w:autoSpaceDN w:val="0"/>
              <w:adjustRightInd w:val="0"/>
              <w:snapToGrid w:val="0"/>
              <w:jc w:val="left"/>
              <w:rPr>
                <w:rFonts w:ascii="宋体" w:hAnsi="宋体"/>
                <w:color w:val="auto"/>
                <w:kern w:val="0"/>
                <w:szCs w:val="21"/>
              </w:rPr>
            </w:pPr>
          </w:p>
        </w:tc>
        <w:tc>
          <w:tcPr>
            <w:tcW w:w="734" w:type="dxa"/>
          </w:tcPr>
          <w:p w14:paraId="05902CC0">
            <w:pPr>
              <w:autoSpaceDE w:val="0"/>
              <w:autoSpaceDN w:val="0"/>
              <w:adjustRightInd w:val="0"/>
              <w:snapToGrid w:val="0"/>
              <w:jc w:val="left"/>
              <w:rPr>
                <w:rFonts w:ascii="宋体" w:hAnsi="宋体"/>
                <w:color w:val="auto"/>
                <w:kern w:val="0"/>
                <w:szCs w:val="21"/>
              </w:rPr>
            </w:pPr>
          </w:p>
        </w:tc>
        <w:tc>
          <w:tcPr>
            <w:tcW w:w="776" w:type="dxa"/>
          </w:tcPr>
          <w:p w14:paraId="7C0A6422">
            <w:pPr>
              <w:autoSpaceDE w:val="0"/>
              <w:autoSpaceDN w:val="0"/>
              <w:adjustRightInd w:val="0"/>
              <w:snapToGrid w:val="0"/>
              <w:jc w:val="left"/>
              <w:rPr>
                <w:rFonts w:ascii="宋体" w:hAnsi="宋体"/>
                <w:color w:val="auto"/>
                <w:kern w:val="0"/>
                <w:szCs w:val="21"/>
              </w:rPr>
            </w:pPr>
          </w:p>
        </w:tc>
        <w:tc>
          <w:tcPr>
            <w:tcW w:w="1167" w:type="dxa"/>
          </w:tcPr>
          <w:p w14:paraId="4669BF1E">
            <w:pPr>
              <w:autoSpaceDE w:val="0"/>
              <w:autoSpaceDN w:val="0"/>
              <w:adjustRightInd w:val="0"/>
              <w:snapToGrid w:val="0"/>
              <w:jc w:val="left"/>
              <w:rPr>
                <w:rFonts w:ascii="宋体" w:hAnsi="宋体"/>
                <w:color w:val="auto"/>
                <w:kern w:val="0"/>
                <w:szCs w:val="21"/>
              </w:rPr>
            </w:pPr>
          </w:p>
        </w:tc>
        <w:tc>
          <w:tcPr>
            <w:tcW w:w="776" w:type="dxa"/>
          </w:tcPr>
          <w:p w14:paraId="2801B13D">
            <w:pPr>
              <w:autoSpaceDE w:val="0"/>
              <w:autoSpaceDN w:val="0"/>
              <w:adjustRightInd w:val="0"/>
              <w:snapToGrid w:val="0"/>
              <w:jc w:val="left"/>
              <w:rPr>
                <w:rFonts w:ascii="宋体" w:hAnsi="宋体"/>
                <w:color w:val="auto"/>
                <w:kern w:val="0"/>
                <w:szCs w:val="21"/>
              </w:rPr>
            </w:pPr>
          </w:p>
        </w:tc>
        <w:tc>
          <w:tcPr>
            <w:tcW w:w="778" w:type="dxa"/>
          </w:tcPr>
          <w:p w14:paraId="665BF6E1">
            <w:pPr>
              <w:autoSpaceDE w:val="0"/>
              <w:autoSpaceDN w:val="0"/>
              <w:adjustRightInd w:val="0"/>
              <w:snapToGrid w:val="0"/>
              <w:jc w:val="left"/>
              <w:rPr>
                <w:rFonts w:ascii="宋体" w:hAnsi="宋体"/>
                <w:color w:val="auto"/>
                <w:kern w:val="0"/>
                <w:szCs w:val="21"/>
              </w:rPr>
            </w:pPr>
          </w:p>
        </w:tc>
        <w:tc>
          <w:tcPr>
            <w:tcW w:w="776" w:type="dxa"/>
          </w:tcPr>
          <w:p w14:paraId="0F1DC74C">
            <w:pPr>
              <w:autoSpaceDE w:val="0"/>
              <w:autoSpaceDN w:val="0"/>
              <w:adjustRightInd w:val="0"/>
              <w:snapToGrid w:val="0"/>
              <w:jc w:val="left"/>
              <w:rPr>
                <w:rFonts w:ascii="宋体" w:hAnsi="宋体"/>
                <w:color w:val="auto"/>
                <w:kern w:val="0"/>
                <w:szCs w:val="21"/>
              </w:rPr>
            </w:pPr>
          </w:p>
        </w:tc>
        <w:tc>
          <w:tcPr>
            <w:tcW w:w="2723" w:type="dxa"/>
          </w:tcPr>
          <w:p w14:paraId="1CF055F2">
            <w:pPr>
              <w:autoSpaceDE w:val="0"/>
              <w:autoSpaceDN w:val="0"/>
              <w:adjustRightInd w:val="0"/>
              <w:snapToGrid w:val="0"/>
              <w:jc w:val="left"/>
              <w:rPr>
                <w:rFonts w:ascii="宋体" w:hAnsi="宋体"/>
                <w:color w:val="auto"/>
                <w:kern w:val="0"/>
                <w:szCs w:val="21"/>
              </w:rPr>
            </w:pPr>
          </w:p>
        </w:tc>
        <w:tc>
          <w:tcPr>
            <w:tcW w:w="896" w:type="dxa"/>
          </w:tcPr>
          <w:p w14:paraId="58FABA0A">
            <w:pPr>
              <w:autoSpaceDE w:val="0"/>
              <w:autoSpaceDN w:val="0"/>
              <w:adjustRightInd w:val="0"/>
              <w:snapToGrid w:val="0"/>
              <w:jc w:val="left"/>
              <w:rPr>
                <w:rFonts w:ascii="宋体" w:hAnsi="宋体"/>
                <w:color w:val="auto"/>
                <w:kern w:val="0"/>
                <w:szCs w:val="21"/>
              </w:rPr>
            </w:pPr>
          </w:p>
        </w:tc>
      </w:tr>
      <w:tr w14:paraId="1FA84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75BB422">
            <w:pPr>
              <w:autoSpaceDE w:val="0"/>
              <w:autoSpaceDN w:val="0"/>
              <w:adjustRightInd w:val="0"/>
              <w:snapToGrid w:val="0"/>
              <w:jc w:val="left"/>
              <w:rPr>
                <w:rFonts w:ascii="宋体" w:hAnsi="宋体"/>
                <w:color w:val="auto"/>
                <w:kern w:val="0"/>
                <w:szCs w:val="21"/>
              </w:rPr>
            </w:pPr>
          </w:p>
        </w:tc>
        <w:tc>
          <w:tcPr>
            <w:tcW w:w="734" w:type="dxa"/>
          </w:tcPr>
          <w:p w14:paraId="651794FE">
            <w:pPr>
              <w:autoSpaceDE w:val="0"/>
              <w:autoSpaceDN w:val="0"/>
              <w:adjustRightInd w:val="0"/>
              <w:snapToGrid w:val="0"/>
              <w:jc w:val="left"/>
              <w:rPr>
                <w:rFonts w:ascii="宋体" w:hAnsi="宋体"/>
                <w:color w:val="auto"/>
                <w:kern w:val="0"/>
                <w:szCs w:val="21"/>
              </w:rPr>
            </w:pPr>
          </w:p>
        </w:tc>
        <w:tc>
          <w:tcPr>
            <w:tcW w:w="776" w:type="dxa"/>
          </w:tcPr>
          <w:p w14:paraId="7CC0A7AD">
            <w:pPr>
              <w:autoSpaceDE w:val="0"/>
              <w:autoSpaceDN w:val="0"/>
              <w:adjustRightInd w:val="0"/>
              <w:snapToGrid w:val="0"/>
              <w:jc w:val="left"/>
              <w:rPr>
                <w:rFonts w:ascii="宋体" w:hAnsi="宋体"/>
                <w:color w:val="auto"/>
                <w:kern w:val="0"/>
                <w:szCs w:val="21"/>
              </w:rPr>
            </w:pPr>
          </w:p>
        </w:tc>
        <w:tc>
          <w:tcPr>
            <w:tcW w:w="1167" w:type="dxa"/>
          </w:tcPr>
          <w:p w14:paraId="540FFE0B">
            <w:pPr>
              <w:autoSpaceDE w:val="0"/>
              <w:autoSpaceDN w:val="0"/>
              <w:adjustRightInd w:val="0"/>
              <w:snapToGrid w:val="0"/>
              <w:jc w:val="left"/>
              <w:rPr>
                <w:rFonts w:ascii="宋体" w:hAnsi="宋体"/>
                <w:color w:val="auto"/>
                <w:kern w:val="0"/>
                <w:szCs w:val="21"/>
              </w:rPr>
            </w:pPr>
          </w:p>
        </w:tc>
        <w:tc>
          <w:tcPr>
            <w:tcW w:w="776" w:type="dxa"/>
          </w:tcPr>
          <w:p w14:paraId="35498424">
            <w:pPr>
              <w:autoSpaceDE w:val="0"/>
              <w:autoSpaceDN w:val="0"/>
              <w:adjustRightInd w:val="0"/>
              <w:snapToGrid w:val="0"/>
              <w:jc w:val="left"/>
              <w:rPr>
                <w:rFonts w:ascii="宋体" w:hAnsi="宋体"/>
                <w:color w:val="auto"/>
                <w:kern w:val="0"/>
                <w:szCs w:val="21"/>
              </w:rPr>
            </w:pPr>
          </w:p>
        </w:tc>
        <w:tc>
          <w:tcPr>
            <w:tcW w:w="778" w:type="dxa"/>
          </w:tcPr>
          <w:p w14:paraId="581AB7BC">
            <w:pPr>
              <w:autoSpaceDE w:val="0"/>
              <w:autoSpaceDN w:val="0"/>
              <w:adjustRightInd w:val="0"/>
              <w:snapToGrid w:val="0"/>
              <w:jc w:val="left"/>
              <w:rPr>
                <w:rFonts w:ascii="宋体" w:hAnsi="宋体"/>
                <w:color w:val="auto"/>
                <w:kern w:val="0"/>
                <w:szCs w:val="21"/>
              </w:rPr>
            </w:pPr>
          </w:p>
        </w:tc>
        <w:tc>
          <w:tcPr>
            <w:tcW w:w="776" w:type="dxa"/>
          </w:tcPr>
          <w:p w14:paraId="4249C567">
            <w:pPr>
              <w:autoSpaceDE w:val="0"/>
              <w:autoSpaceDN w:val="0"/>
              <w:adjustRightInd w:val="0"/>
              <w:snapToGrid w:val="0"/>
              <w:jc w:val="left"/>
              <w:rPr>
                <w:rFonts w:ascii="宋体" w:hAnsi="宋体"/>
                <w:color w:val="auto"/>
                <w:kern w:val="0"/>
                <w:szCs w:val="21"/>
              </w:rPr>
            </w:pPr>
          </w:p>
        </w:tc>
        <w:tc>
          <w:tcPr>
            <w:tcW w:w="2723" w:type="dxa"/>
          </w:tcPr>
          <w:p w14:paraId="692D39B6">
            <w:pPr>
              <w:autoSpaceDE w:val="0"/>
              <w:autoSpaceDN w:val="0"/>
              <w:adjustRightInd w:val="0"/>
              <w:snapToGrid w:val="0"/>
              <w:jc w:val="left"/>
              <w:rPr>
                <w:rFonts w:ascii="宋体" w:hAnsi="宋体"/>
                <w:color w:val="auto"/>
                <w:kern w:val="0"/>
                <w:szCs w:val="21"/>
              </w:rPr>
            </w:pPr>
          </w:p>
        </w:tc>
        <w:tc>
          <w:tcPr>
            <w:tcW w:w="896" w:type="dxa"/>
          </w:tcPr>
          <w:p w14:paraId="3AB2E8C9">
            <w:pPr>
              <w:autoSpaceDE w:val="0"/>
              <w:autoSpaceDN w:val="0"/>
              <w:adjustRightInd w:val="0"/>
              <w:snapToGrid w:val="0"/>
              <w:jc w:val="left"/>
              <w:rPr>
                <w:rFonts w:ascii="宋体" w:hAnsi="宋体"/>
                <w:color w:val="auto"/>
                <w:kern w:val="0"/>
                <w:szCs w:val="21"/>
              </w:rPr>
            </w:pPr>
          </w:p>
        </w:tc>
      </w:tr>
      <w:tr w14:paraId="65E189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FEB9BA7">
            <w:pPr>
              <w:autoSpaceDE w:val="0"/>
              <w:autoSpaceDN w:val="0"/>
              <w:adjustRightInd w:val="0"/>
              <w:snapToGrid w:val="0"/>
              <w:jc w:val="left"/>
              <w:rPr>
                <w:rFonts w:ascii="宋体" w:hAnsi="宋体"/>
                <w:color w:val="auto"/>
                <w:kern w:val="0"/>
                <w:szCs w:val="21"/>
              </w:rPr>
            </w:pPr>
          </w:p>
        </w:tc>
        <w:tc>
          <w:tcPr>
            <w:tcW w:w="734" w:type="dxa"/>
          </w:tcPr>
          <w:p w14:paraId="3D003128">
            <w:pPr>
              <w:autoSpaceDE w:val="0"/>
              <w:autoSpaceDN w:val="0"/>
              <w:adjustRightInd w:val="0"/>
              <w:snapToGrid w:val="0"/>
              <w:jc w:val="left"/>
              <w:rPr>
                <w:rFonts w:ascii="宋体" w:hAnsi="宋体"/>
                <w:color w:val="auto"/>
                <w:kern w:val="0"/>
                <w:szCs w:val="21"/>
              </w:rPr>
            </w:pPr>
          </w:p>
        </w:tc>
        <w:tc>
          <w:tcPr>
            <w:tcW w:w="776" w:type="dxa"/>
          </w:tcPr>
          <w:p w14:paraId="4CBAD5EF">
            <w:pPr>
              <w:autoSpaceDE w:val="0"/>
              <w:autoSpaceDN w:val="0"/>
              <w:adjustRightInd w:val="0"/>
              <w:snapToGrid w:val="0"/>
              <w:jc w:val="left"/>
              <w:rPr>
                <w:rFonts w:ascii="宋体" w:hAnsi="宋体"/>
                <w:color w:val="auto"/>
                <w:kern w:val="0"/>
                <w:szCs w:val="21"/>
              </w:rPr>
            </w:pPr>
          </w:p>
        </w:tc>
        <w:tc>
          <w:tcPr>
            <w:tcW w:w="1167" w:type="dxa"/>
          </w:tcPr>
          <w:p w14:paraId="3558C53A">
            <w:pPr>
              <w:autoSpaceDE w:val="0"/>
              <w:autoSpaceDN w:val="0"/>
              <w:adjustRightInd w:val="0"/>
              <w:snapToGrid w:val="0"/>
              <w:jc w:val="left"/>
              <w:rPr>
                <w:rFonts w:ascii="宋体" w:hAnsi="宋体"/>
                <w:color w:val="auto"/>
                <w:kern w:val="0"/>
                <w:szCs w:val="21"/>
              </w:rPr>
            </w:pPr>
          </w:p>
        </w:tc>
        <w:tc>
          <w:tcPr>
            <w:tcW w:w="776" w:type="dxa"/>
          </w:tcPr>
          <w:p w14:paraId="3AF4B920">
            <w:pPr>
              <w:autoSpaceDE w:val="0"/>
              <w:autoSpaceDN w:val="0"/>
              <w:adjustRightInd w:val="0"/>
              <w:snapToGrid w:val="0"/>
              <w:jc w:val="left"/>
              <w:rPr>
                <w:rFonts w:ascii="宋体" w:hAnsi="宋体"/>
                <w:color w:val="auto"/>
                <w:kern w:val="0"/>
                <w:szCs w:val="21"/>
              </w:rPr>
            </w:pPr>
          </w:p>
        </w:tc>
        <w:tc>
          <w:tcPr>
            <w:tcW w:w="778" w:type="dxa"/>
          </w:tcPr>
          <w:p w14:paraId="650998D0">
            <w:pPr>
              <w:autoSpaceDE w:val="0"/>
              <w:autoSpaceDN w:val="0"/>
              <w:adjustRightInd w:val="0"/>
              <w:snapToGrid w:val="0"/>
              <w:jc w:val="left"/>
              <w:rPr>
                <w:rFonts w:ascii="宋体" w:hAnsi="宋体"/>
                <w:color w:val="auto"/>
                <w:kern w:val="0"/>
                <w:szCs w:val="21"/>
              </w:rPr>
            </w:pPr>
          </w:p>
        </w:tc>
        <w:tc>
          <w:tcPr>
            <w:tcW w:w="776" w:type="dxa"/>
          </w:tcPr>
          <w:p w14:paraId="00588A8D">
            <w:pPr>
              <w:autoSpaceDE w:val="0"/>
              <w:autoSpaceDN w:val="0"/>
              <w:adjustRightInd w:val="0"/>
              <w:snapToGrid w:val="0"/>
              <w:jc w:val="left"/>
              <w:rPr>
                <w:rFonts w:ascii="宋体" w:hAnsi="宋体"/>
                <w:color w:val="auto"/>
                <w:kern w:val="0"/>
                <w:szCs w:val="21"/>
              </w:rPr>
            </w:pPr>
          </w:p>
        </w:tc>
        <w:tc>
          <w:tcPr>
            <w:tcW w:w="2723" w:type="dxa"/>
          </w:tcPr>
          <w:p w14:paraId="05869895">
            <w:pPr>
              <w:autoSpaceDE w:val="0"/>
              <w:autoSpaceDN w:val="0"/>
              <w:adjustRightInd w:val="0"/>
              <w:snapToGrid w:val="0"/>
              <w:jc w:val="left"/>
              <w:rPr>
                <w:rFonts w:ascii="宋体" w:hAnsi="宋体"/>
                <w:color w:val="auto"/>
                <w:kern w:val="0"/>
                <w:szCs w:val="21"/>
              </w:rPr>
            </w:pPr>
          </w:p>
        </w:tc>
        <w:tc>
          <w:tcPr>
            <w:tcW w:w="896" w:type="dxa"/>
          </w:tcPr>
          <w:p w14:paraId="58924A69">
            <w:pPr>
              <w:autoSpaceDE w:val="0"/>
              <w:autoSpaceDN w:val="0"/>
              <w:adjustRightInd w:val="0"/>
              <w:snapToGrid w:val="0"/>
              <w:jc w:val="left"/>
              <w:rPr>
                <w:rFonts w:ascii="宋体" w:hAnsi="宋体"/>
                <w:color w:val="auto"/>
                <w:kern w:val="0"/>
                <w:szCs w:val="21"/>
              </w:rPr>
            </w:pPr>
          </w:p>
        </w:tc>
      </w:tr>
      <w:tr w14:paraId="4FC9CB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182136E">
            <w:pPr>
              <w:autoSpaceDE w:val="0"/>
              <w:autoSpaceDN w:val="0"/>
              <w:adjustRightInd w:val="0"/>
              <w:snapToGrid w:val="0"/>
              <w:jc w:val="left"/>
              <w:rPr>
                <w:rFonts w:ascii="宋体" w:hAnsi="宋体"/>
                <w:color w:val="auto"/>
                <w:kern w:val="0"/>
                <w:szCs w:val="21"/>
              </w:rPr>
            </w:pPr>
          </w:p>
        </w:tc>
        <w:tc>
          <w:tcPr>
            <w:tcW w:w="734" w:type="dxa"/>
          </w:tcPr>
          <w:p w14:paraId="3F978A92">
            <w:pPr>
              <w:autoSpaceDE w:val="0"/>
              <w:autoSpaceDN w:val="0"/>
              <w:adjustRightInd w:val="0"/>
              <w:snapToGrid w:val="0"/>
              <w:jc w:val="left"/>
              <w:rPr>
                <w:rFonts w:ascii="宋体" w:hAnsi="宋体"/>
                <w:color w:val="auto"/>
                <w:kern w:val="0"/>
                <w:szCs w:val="21"/>
              </w:rPr>
            </w:pPr>
          </w:p>
        </w:tc>
        <w:tc>
          <w:tcPr>
            <w:tcW w:w="776" w:type="dxa"/>
          </w:tcPr>
          <w:p w14:paraId="040EC367">
            <w:pPr>
              <w:autoSpaceDE w:val="0"/>
              <w:autoSpaceDN w:val="0"/>
              <w:adjustRightInd w:val="0"/>
              <w:snapToGrid w:val="0"/>
              <w:jc w:val="left"/>
              <w:rPr>
                <w:rFonts w:ascii="宋体" w:hAnsi="宋体"/>
                <w:color w:val="auto"/>
                <w:kern w:val="0"/>
                <w:szCs w:val="21"/>
              </w:rPr>
            </w:pPr>
          </w:p>
        </w:tc>
        <w:tc>
          <w:tcPr>
            <w:tcW w:w="1167" w:type="dxa"/>
          </w:tcPr>
          <w:p w14:paraId="4366DB1B">
            <w:pPr>
              <w:autoSpaceDE w:val="0"/>
              <w:autoSpaceDN w:val="0"/>
              <w:adjustRightInd w:val="0"/>
              <w:snapToGrid w:val="0"/>
              <w:jc w:val="left"/>
              <w:rPr>
                <w:rFonts w:ascii="宋体" w:hAnsi="宋体"/>
                <w:color w:val="auto"/>
                <w:kern w:val="0"/>
                <w:szCs w:val="21"/>
              </w:rPr>
            </w:pPr>
          </w:p>
        </w:tc>
        <w:tc>
          <w:tcPr>
            <w:tcW w:w="776" w:type="dxa"/>
          </w:tcPr>
          <w:p w14:paraId="1BD05E65">
            <w:pPr>
              <w:autoSpaceDE w:val="0"/>
              <w:autoSpaceDN w:val="0"/>
              <w:adjustRightInd w:val="0"/>
              <w:snapToGrid w:val="0"/>
              <w:jc w:val="left"/>
              <w:rPr>
                <w:rFonts w:ascii="宋体" w:hAnsi="宋体"/>
                <w:color w:val="auto"/>
                <w:kern w:val="0"/>
                <w:szCs w:val="21"/>
              </w:rPr>
            </w:pPr>
          </w:p>
        </w:tc>
        <w:tc>
          <w:tcPr>
            <w:tcW w:w="778" w:type="dxa"/>
          </w:tcPr>
          <w:p w14:paraId="1CDFE8AB">
            <w:pPr>
              <w:autoSpaceDE w:val="0"/>
              <w:autoSpaceDN w:val="0"/>
              <w:adjustRightInd w:val="0"/>
              <w:snapToGrid w:val="0"/>
              <w:jc w:val="left"/>
              <w:rPr>
                <w:rFonts w:ascii="宋体" w:hAnsi="宋体"/>
                <w:color w:val="auto"/>
                <w:kern w:val="0"/>
                <w:szCs w:val="21"/>
              </w:rPr>
            </w:pPr>
          </w:p>
        </w:tc>
        <w:tc>
          <w:tcPr>
            <w:tcW w:w="776" w:type="dxa"/>
          </w:tcPr>
          <w:p w14:paraId="689C34C3">
            <w:pPr>
              <w:autoSpaceDE w:val="0"/>
              <w:autoSpaceDN w:val="0"/>
              <w:adjustRightInd w:val="0"/>
              <w:snapToGrid w:val="0"/>
              <w:jc w:val="left"/>
              <w:rPr>
                <w:rFonts w:ascii="宋体" w:hAnsi="宋体"/>
                <w:color w:val="auto"/>
                <w:kern w:val="0"/>
                <w:szCs w:val="21"/>
              </w:rPr>
            </w:pPr>
          </w:p>
        </w:tc>
        <w:tc>
          <w:tcPr>
            <w:tcW w:w="2723" w:type="dxa"/>
          </w:tcPr>
          <w:p w14:paraId="6AA38656">
            <w:pPr>
              <w:autoSpaceDE w:val="0"/>
              <w:autoSpaceDN w:val="0"/>
              <w:adjustRightInd w:val="0"/>
              <w:snapToGrid w:val="0"/>
              <w:jc w:val="left"/>
              <w:rPr>
                <w:rFonts w:ascii="宋体" w:hAnsi="宋体"/>
                <w:color w:val="auto"/>
                <w:kern w:val="0"/>
                <w:szCs w:val="21"/>
              </w:rPr>
            </w:pPr>
          </w:p>
        </w:tc>
        <w:tc>
          <w:tcPr>
            <w:tcW w:w="896" w:type="dxa"/>
          </w:tcPr>
          <w:p w14:paraId="6538B1C0">
            <w:pPr>
              <w:autoSpaceDE w:val="0"/>
              <w:autoSpaceDN w:val="0"/>
              <w:adjustRightInd w:val="0"/>
              <w:snapToGrid w:val="0"/>
              <w:jc w:val="left"/>
              <w:rPr>
                <w:rFonts w:ascii="宋体" w:hAnsi="宋体"/>
                <w:color w:val="auto"/>
                <w:kern w:val="0"/>
                <w:szCs w:val="21"/>
              </w:rPr>
            </w:pPr>
          </w:p>
        </w:tc>
      </w:tr>
      <w:tr w14:paraId="7049F9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3119AC6">
            <w:pPr>
              <w:autoSpaceDE w:val="0"/>
              <w:autoSpaceDN w:val="0"/>
              <w:adjustRightInd w:val="0"/>
              <w:snapToGrid w:val="0"/>
              <w:jc w:val="left"/>
              <w:rPr>
                <w:rFonts w:ascii="宋体" w:hAnsi="宋体"/>
                <w:color w:val="auto"/>
                <w:kern w:val="0"/>
                <w:szCs w:val="21"/>
              </w:rPr>
            </w:pPr>
          </w:p>
        </w:tc>
        <w:tc>
          <w:tcPr>
            <w:tcW w:w="734" w:type="dxa"/>
          </w:tcPr>
          <w:p w14:paraId="66ED5B63">
            <w:pPr>
              <w:autoSpaceDE w:val="0"/>
              <w:autoSpaceDN w:val="0"/>
              <w:adjustRightInd w:val="0"/>
              <w:snapToGrid w:val="0"/>
              <w:jc w:val="left"/>
              <w:rPr>
                <w:rFonts w:ascii="宋体" w:hAnsi="宋体"/>
                <w:color w:val="auto"/>
                <w:kern w:val="0"/>
                <w:szCs w:val="21"/>
              </w:rPr>
            </w:pPr>
          </w:p>
        </w:tc>
        <w:tc>
          <w:tcPr>
            <w:tcW w:w="776" w:type="dxa"/>
          </w:tcPr>
          <w:p w14:paraId="0509C351">
            <w:pPr>
              <w:autoSpaceDE w:val="0"/>
              <w:autoSpaceDN w:val="0"/>
              <w:adjustRightInd w:val="0"/>
              <w:snapToGrid w:val="0"/>
              <w:jc w:val="left"/>
              <w:rPr>
                <w:rFonts w:ascii="宋体" w:hAnsi="宋体"/>
                <w:color w:val="auto"/>
                <w:kern w:val="0"/>
                <w:szCs w:val="21"/>
              </w:rPr>
            </w:pPr>
          </w:p>
        </w:tc>
        <w:tc>
          <w:tcPr>
            <w:tcW w:w="1167" w:type="dxa"/>
          </w:tcPr>
          <w:p w14:paraId="26A35C1D">
            <w:pPr>
              <w:autoSpaceDE w:val="0"/>
              <w:autoSpaceDN w:val="0"/>
              <w:adjustRightInd w:val="0"/>
              <w:snapToGrid w:val="0"/>
              <w:jc w:val="left"/>
              <w:rPr>
                <w:rFonts w:ascii="宋体" w:hAnsi="宋体"/>
                <w:color w:val="auto"/>
                <w:kern w:val="0"/>
                <w:szCs w:val="21"/>
              </w:rPr>
            </w:pPr>
          </w:p>
        </w:tc>
        <w:tc>
          <w:tcPr>
            <w:tcW w:w="776" w:type="dxa"/>
          </w:tcPr>
          <w:p w14:paraId="1DFC66A3">
            <w:pPr>
              <w:autoSpaceDE w:val="0"/>
              <w:autoSpaceDN w:val="0"/>
              <w:adjustRightInd w:val="0"/>
              <w:snapToGrid w:val="0"/>
              <w:jc w:val="left"/>
              <w:rPr>
                <w:rFonts w:ascii="宋体" w:hAnsi="宋体"/>
                <w:color w:val="auto"/>
                <w:kern w:val="0"/>
                <w:szCs w:val="21"/>
              </w:rPr>
            </w:pPr>
          </w:p>
        </w:tc>
        <w:tc>
          <w:tcPr>
            <w:tcW w:w="778" w:type="dxa"/>
          </w:tcPr>
          <w:p w14:paraId="45D40E31">
            <w:pPr>
              <w:autoSpaceDE w:val="0"/>
              <w:autoSpaceDN w:val="0"/>
              <w:adjustRightInd w:val="0"/>
              <w:snapToGrid w:val="0"/>
              <w:jc w:val="left"/>
              <w:rPr>
                <w:rFonts w:ascii="宋体" w:hAnsi="宋体"/>
                <w:color w:val="auto"/>
                <w:kern w:val="0"/>
                <w:szCs w:val="21"/>
              </w:rPr>
            </w:pPr>
          </w:p>
        </w:tc>
        <w:tc>
          <w:tcPr>
            <w:tcW w:w="776" w:type="dxa"/>
          </w:tcPr>
          <w:p w14:paraId="6CDA127B">
            <w:pPr>
              <w:autoSpaceDE w:val="0"/>
              <w:autoSpaceDN w:val="0"/>
              <w:adjustRightInd w:val="0"/>
              <w:snapToGrid w:val="0"/>
              <w:jc w:val="left"/>
              <w:rPr>
                <w:rFonts w:ascii="宋体" w:hAnsi="宋体"/>
                <w:color w:val="auto"/>
                <w:kern w:val="0"/>
                <w:szCs w:val="21"/>
              </w:rPr>
            </w:pPr>
          </w:p>
        </w:tc>
        <w:tc>
          <w:tcPr>
            <w:tcW w:w="2723" w:type="dxa"/>
          </w:tcPr>
          <w:p w14:paraId="06C8B2CB">
            <w:pPr>
              <w:autoSpaceDE w:val="0"/>
              <w:autoSpaceDN w:val="0"/>
              <w:adjustRightInd w:val="0"/>
              <w:snapToGrid w:val="0"/>
              <w:jc w:val="left"/>
              <w:rPr>
                <w:rFonts w:ascii="宋体" w:hAnsi="宋体"/>
                <w:color w:val="auto"/>
                <w:kern w:val="0"/>
                <w:szCs w:val="21"/>
              </w:rPr>
            </w:pPr>
          </w:p>
        </w:tc>
        <w:tc>
          <w:tcPr>
            <w:tcW w:w="896" w:type="dxa"/>
          </w:tcPr>
          <w:p w14:paraId="7189B17C">
            <w:pPr>
              <w:autoSpaceDE w:val="0"/>
              <w:autoSpaceDN w:val="0"/>
              <w:adjustRightInd w:val="0"/>
              <w:snapToGrid w:val="0"/>
              <w:jc w:val="left"/>
              <w:rPr>
                <w:rFonts w:ascii="宋体" w:hAnsi="宋体"/>
                <w:color w:val="auto"/>
                <w:kern w:val="0"/>
                <w:szCs w:val="21"/>
              </w:rPr>
            </w:pPr>
          </w:p>
        </w:tc>
      </w:tr>
      <w:tr w14:paraId="45505B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5A5F6D">
            <w:pPr>
              <w:autoSpaceDE w:val="0"/>
              <w:autoSpaceDN w:val="0"/>
              <w:adjustRightInd w:val="0"/>
              <w:snapToGrid w:val="0"/>
              <w:jc w:val="left"/>
              <w:rPr>
                <w:rFonts w:ascii="宋体" w:hAnsi="宋体"/>
                <w:color w:val="auto"/>
                <w:kern w:val="0"/>
                <w:szCs w:val="21"/>
              </w:rPr>
            </w:pPr>
          </w:p>
        </w:tc>
        <w:tc>
          <w:tcPr>
            <w:tcW w:w="734" w:type="dxa"/>
          </w:tcPr>
          <w:p w14:paraId="72EC79CD">
            <w:pPr>
              <w:autoSpaceDE w:val="0"/>
              <w:autoSpaceDN w:val="0"/>
              <w:adjustRightInd w:val="0"/>
              <w:snapToGrid w:val="0"/>
              <w:jc w:val="left"/>
              <w:rPr>
                <w:rFonts w:ascii="宋体" w:hAnsi="宋体"/>
                <w:color w:val="auto"/>
                <w:kern w:val="0"/>
                <w:szCs w:val="21"/>
              </w:rPr>
            </w:pPr>
          </w:p>
        </w:tc>
        <w:tc>
          <w:tcPr>
            <w:tcW w:w="776" w:type="dxa"/>
          </w:tcPr>
          <w:p w14:paraId="6F6455BC">
            <w:pPr>
              <w:autoSpaceDE w:val="0"/>
              <w:autoSpaceDN w:val="0"/>
              <w:adjustRightInd w:val="0"/>
              <w:snapToGrid w:val="0"/>
              <w:jc w:val="left"/>
              <w:rPr>
                <w:rFonts w:ascii="宋体" w:hAnsi="宋体"/>
                <w:color w:val="auto"/>
                <w:kern w:val="0"/>
                <w:szCs w:val="21"/>
              </w:rPr>
            </w:pPr>
          </w:p>
        </w:tc>
        <w:tc>
          <w:tcPr>
            <w:tcW w:w="1167" w:type="dxa"/>
          </w:tcPr>
          <w:p w14:paraId="1749946E">
            <w:pPr>
              <w:autoSpaceDE w:val="0"/>
              <w:autoSpaceDN w:val="0"/>
              <w:adjustRightInd w:val="0"/>
              <w:snapToGrid w:val="0"/>
              <w:jc w:val="left"/>
              <w:rPr>
                <w:rFonts w:ascii="宋体" w:hAnsi="宋体"/>
                <w:color w:val="auto"/>
                <w:kern w:val="0"/>
                <w:szCs w:val="21"/>
              </w:rPr>
            </w:pPr>
          </w:p>
        </w:tc>
        <w:tc>
          <w:tcPr>
            <w:tcW w:w="776" w:type="dxa"/>
          </w:tcPr>
          <w:p w14:paraId="786AE603">
            <w:pPr>
              <w:autoSpaceDE w:val="0"/>
              <w:autoSpaceDN w:val="0"/>
              <w:adjustRightInd w:val="0"/>
              <w:snapToGrid w:val="0"/>
              <w:jc w:val="left"/>
              <w:rPr>
                <w:rFonts w:ascii="宋体" w:hAnsi="宋体"/>
                <w:color w:val="auto"/>
                <w:kern w:val="0"/>
                <w:szCs w:val="21"/>
              </w:rPr>
            </w:pPr>
          </w:p>
        </w:tc>
        <w:tc>
          <w:tcPr>
            <w:tcW w:w="778" w:type="dxa"/>
          </w:tcPr>
          <w:p w14:paraId="53C086D3">
            <w:pPr>
              <w:autoSpaceDE w:val="0"/>
              <w:autoSpaceDN w:val="0"/>
              <w:adjustRightInd w:val="0"/>
              <w:snapToGrid w:val="0"/>
              <w:jc w:val="left"/>
              <w:rPr>
                <w:rFonts w:ascii="宋体" w:hAnsi="宋体"/>
                <w:color w:val="auto"/>
                <w:kern w:val="0"/>
                <w:szCs w:val="21"/>
              </w:rPr>
            </w:pPr>
          </w:p>
        </w:tc>
        <w:tc>
          <w:tcPr>
            <w:tcW w:w="776" w:type="dxa"/>
          </w:tcPr>
          <w:p w14:paraId="093BADB9">
            <w:pPr>
              <w:autoSpaceDE w:val="0"/>
              <w:autoSpaceDN w:val="0"/>
              <w:adjustRightInd w:val="0"/>
              <w:snapToGrid w:val="0"/>
              <w:jc w:val="left"/>
              <w:rPr>
                <w:rFonts w:ascii="宋体" w:hAnsi="宋体"/>
                <w:color w:val="auto"/>
                <w:kern w:val="0"/>
                <w:szCs w:val="21"/>
              </w:rPr>
            </w:pPr>
          </w:p>
        </w:tc>
        <w:tc>
          <w:tcPr>
            <w:tcW w:w="2723" w:type="dxa"/>
          </w:tcPr>
          <w:p w14:paraId="50F59E4B">
            <w:pPr>
              <w:autoSpaceDE w:val="0"/>
              <w:autoSpaceDN w:val="0"/>
              <w:adjustRightInd w:val="0"/>
              <w:snapToGrid w:val="0"/>
              <w:jc w:val="left"/>
              <w:rPr>
                <w:rFonts w:ascii="宋体" w:hAnsi="宋体"/>
                <w:color w:val="auto"/>
                <w:kern w:val="0"/>
                <w:szCs w:val="21"/>
              </w:rPr>
            </w:pPr>
          </w:p>
        </w:tc>
        <w:tc>
          <w:tcPr>
            <w:tcW w:w="896" w:type="dxa"/>
          </w:tcPr>
          <w:p w14:paraId="1B142B20">
            <w:pPr>
              <w:autoSpaceDE w:val="0"/>
              <w:autoSpaceDN w:val="0"/>
              <w:adjustRightInd w:val="0"/>
              <w:snapToGrid w:val="0"/>
              <w:jc w:val="left"/>
              <w:rPr>
                <w:rFonts w:ascii="宋体" w:hAnsi="宋体"/>
                <w:color w:val="auto"/>
                <w:kern w:val="0"/>
                <w:szCs w:val="21"/>
              </w:rPr>
            </w:pPr>
          </w:p>
        </w:tc>
      </w:tr>
      <w:tr w14:paraId="6A41A3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C817FFF">
            <w:pPr>
              <w:autoSpaceDE w:val="0"/>
              <w:autoSpaceDN w:val="0"/>
              <w:adjustRightInd w:val="0"/>
              <w:snapToGrid w:val="0"/>
              <w:jc w:val="left"/>
              <w:rPr>
                <w:rFonts w:ascii="宋体" w:hAnsi="宋体"/>
                <w:color w:val="auto"/>
                <w:kern w:val="0"/>
                <w:szCs w:val="21"/>
              </w:rPr>
            </w:pPr>
          </w:p>
        </w:tc>
        <w:tc>
          <w:tcPr>
            <w:tcW w:w="734" w:type="dxa"/>
          </w:tcPr>
          <w:p w14:paraId="7F0F6BE3">
            <w:pPr>
              <w:autoSpaceDE w:val="0"/>
              <w:autoSpaceDN w:val="0"/>
              <w:adjustRightInd w:val="0"/>
              <w:snapToGrid w:val="0"/>
              <w:jc w:val="left"/>
              <w:rPr>
                <w:rFonts w:ascii="宋体" w:hAnsi="宋体"/>
                <w:color w:val="auto"/>
                <w:kern w:val="0"/>
                <w:szCs w:val="21"/>
              </w:rPr>
            </w:pPr>
          </w:p>
        </w:tc>
        <w:tc>
          <w:tcPr>
            <w:tcW w:w="776" w:type="dxa"/>
          </w:tcPr>
          <w:p w14:paraId="1E21969B">
            <w:pPr>
              <w:autoSpaceDE w:val="0"/>
              <w:autoSpaceDN w:val="0"/>
              <w:adjustRightInd w:val="0"/>
              <w:snapToGrid w:val="0"/>
              <w:jc w:val="left"/>
              <w:rPr>
                <w:rFonts w:ascii="宋体" w:hAnsi="宋体"/>
                <w:color w:val="auto"/>
                <w:kern w:val="0"/>
                <w:szCs w:val="21"/>
              </w:rPr>
            </w:pPr>
          </w:p>
        </w:tc>
        <w:tc>
          <w:tcPr>
            <w:tcW w:w="1167" w:type="dxa"/>
          </w:tcPr>
          <w:p w14:paraId="10C7BE89">
            <w:pPr>
              <w:autoSpaceDE w:val="0"/>
              <w:autoSpaceDN w:val="0"/>
              <w:adjustRightInd w:val="0"/>
              <w:snapToGrid w:val="0"/>
              <w:jc w:val="left"/>
              <w:rPr>
                <w:rFonts w:ascii="宋体" w:hAnsi="宋体"/>
                <w:color w:val="auto"/>
                <w:kern w:val="0"/>
                <w:szCs w:val="21"/>
              </w:rPr>
            </w:pPr>
          </w:p>
        </w:tc>
        <w:tc>
          <w:tcPr>
            <w:tcW w:w="776" w:type="dxa"/>
          </w:tcPr>
          <w:p w14:paraId="7FB86BA5">
            <w:pPr>
              <w:autoSpaceDE w:val="0"/>
              <w:autoSpaceDN w:val="0"/>
              <w:adjustRightInd w:val="0"/>
              <w:snapToGrid w:val="0"/>
              <w:jc w:val="left"/>
              <w:rPr>
                <w:rFonts w:ascii="宋体" w:hAnsi="宋体"/>
                <w:color w:val="auto"/>
                <w:kern w:val="0"/>
                <w:szCs w:val="21"/>
              </w:rPr>
            </w:pPr>
          </w:p>
        </w:tc>
        <w:tc>
          <w:tcPr>
            <w:tcW w:w="778" w:type="dxa"/>
          </w:tcPr>
          <w:p w14:paraId="5E376930">
            <w:pPr>
              <w:autoSpaceDE w:val="0"/>
              <w:autoSpaceDN w:val="0"/>
              <w:adjustRightInd w:val="0"/>
              <w:snapToGrid w:val="0"/>
              <w:jc w:val="left"/>
              <w:rPr>
                <w:rFonts w:ascii="宋体" w:hAnsi="宋体"/>
                <w:color w:val="auto"/>
                <w:kern w:val="0"/>
                <w:szCs w:val="21"/>
              </w:rPr>
            </w:pPr>
          </w:p>
        </w:tc>
        <w:tc>
          <w:tcPr>
            <w:tcW w:w="776" w:type="dxa"/>
          </w:tcPr>
          <w:p w14:paraId="7325637E">
            <w:pPr>
              <w:autoSpaceDE w:val="0"/>
              <w:autoSpaceDN w:val="0"/>
              <w:adjustRightInd w:val="0"/>
              <w:snapToGrid w:val="0"/>
              <w:jc w:val="left"/>
              <w:rPr>
                <w:rFonts w:ascii="宋体" w:hAnsi="宋体"/>
                <w:color w:val="auto"/>
                <w:kern w:val="0"/>
                <w:szCs w:val="21"/>
              </w:rPr>
            </w:pPr>
          </w:p>
        </w:tc>
        <w:tc>
          <w:tcPr>
            <w:tcW w:w="2723" w:type="dxa"/>
          </w:tcPr>
          <w:p w14:paraId="19CC8B97">
            <w:pPr>
              <w:autoSpaceDE w:val="0"/>
              <w:autoSpaceDN w:val="0"/>
              <w:adjustRightInd w:val="0"/>
              <w:snapToGrid w:val="0"/>
              <w:jc w:val="left"/>
              <w:rPr>
                <w:rFonts w:ascii="宋体" w:hAnsi="宋体"/>
                <w:color w:val="auto"/>
                <w:kern w:val="0"/>
                <w:szCs w:val="21"/>
              </w:rPr>
            </w:pPr>
          </w:p>
        </w:tc>
        <w:tc>
          <w:tcPr>
            <w:tcW w:w="896" w:type="dxa"/>
          </w:tcPr>
          <w:p w14:paraId="07B1FC12">
            <w:pPr>
              <w:autoSpaceDE w:val="0"/>
              <w:autoSpaceDN w:val="0"/>
              <w:adjustRightInd w:val="0"/>
              <w:snapToGrid w:val="0"/>
              <w:jc w:val="left"/>
              <w:rPr>
                <w:rFonts w:ascii="宋体" w:hAnsi="宋体"/>
                <w:color w:val="auto"/>
                <w:kern w:val="0"/>
                <w:szCs w:val="21"/>
              </w:rPr>
            </w:pPr>
          </w:p>
        </w:tc>
      </w:tr>
    </w:tbl>
    <w:p w14:paraId="2ADD9795">
      <w:pPr>
        <w:spacing w:line="20" w:lineRule="exact"/>
        <w:jc w:val="center"/>
        <w:rPr>
          <w:rFonts w:ascii="宋体" w:hAnsi="宋体"/>
          <w:color w:val="auto"/>
          <w:szCs w:val="21"/>
        </w:rPr>
      </w:pPr>
    </w:p>
    <w:p w14:paraId="430C84E8">
      <w:pPr>
        <w:spacing w:line="360" w:lineRule="auto"/>
        <w:ind w:firstLine="420" w:firstLineChars="200"/>
        <w:jc w:val="left"/>
        <w:rPr>
          <w:rFonts w:ascii="宋体" w:hAnsi="宋体"/>
          <w:color w:val="auto"/>
          <w:szCs w:val="21"/>
        </w:rPr>
      </w:pPr>
      <w:r>
        <w:rPr>
          <w:rFonts w:hint="eastAsia" w:ascii="宋体" w:hAnsi="宋体"/>
          <w:color w:val="auto"/>
          <w:szCs w:val="21"/>
        </w:rPr>
        <w:t>备注：本表仅填项目经理、项目技术负责人相关信息</w:t>
      </w:r>
    </w:p>
    <w:p w14:paraId="2091C800">
      <w:pPr>
        <w:spacing w:line="360" w:lineRule="auto"/>
        <w:ind w:firstLine="640"/>
        <w:jc w:val="center"/>
        <w:rPr>
          <w:rFonts w:ascii="宋体" w:hAnsi="宋体"/>
          <w:color w:val="auto"/>
          <w:sz w:val="32"/>
          <w:szCs w:val="32"/>
        </w:rPr>
      </w:pPr>
      <w:r>
        <w:rPr>
          <w:rFonts w:ascii="宋体" w:hAnsi="宋体"/>
          <w:color w:val="auto"/>
          <w:sz w:val="32"/>
          <w:szCs w:val="32"/>
        </w:rPr>
        <w:br w:type="page"/>
      </w:r>
      <w:r>
        <w:rPr>
          <w:rFonts w:hint="eastAsia" w:ascii="宋体" w:hAnsi="宋体"/>
          <w:color w:val="auto"/>
          <w:sz w:val="32"/>
          <w:szCs w:val="32"/>
        </w:rPr>
        <w:t>项目经理及项目技术负责人简历表</w:t>
      </w:r>
      <w:bookmarkEnd w:id="2087"/>
      <w:bookmarkEnd w:id="2088"/>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4776D2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4DB65D9">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7EFF255B">
            <w:pPr>
              <w:autoSpaceDE w:val="0"/>
              <w:autoSpaceDN w:val="0"/>
              <w:adjustRightInd w:val="0"/>
              <w:snapToGrid w:val="0"/>
              <w:jc w:val="center"/>
              <w:rPr>
                <w:rFonts w:ascii="宋体" w:hAnsi="宋体"/>
                <w:color w:val="auto"/>
                <w:kern w:val="0"/>
                <w:szCs w:val="21"/>
              </w:rPr>
            </w:pPr>
          </w:p>
        </w:tc>
        <w:tc>
          <w:tcPr>
            <w:tcW w:w="1020" w:type="dxa"/>
            <w:vAlign w:val="center"/>
          </w:tcPr>
          <w:p w14:paraId="10A39E9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576804F8">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1DB84B23">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528" w:type="dxa"/>
            <w:vAlign w:val="center"/>
          </w:tcPr>
          <w:p w14:paraId="394A1950">
            <w:pPr>
              <w:autoSpaceDE w:val="0"/>
              <w:autoSpaceDN w:val="0"/>
              <w:adjustRightInd w:val="0"/>
              <w:snapToGrid w:val="0"/>
              <w:jc w:val="center"/>
              <w:rPr>
                <w:rFonts w:ascii="宋体" w:hAnsi="宋体"/>
                <w:color w:val="auto"/>
                <w:kern w:val="0"/>
                <w:szCs w:val="21"/>
              </w:rPr>
            </w:pPr>
          </w:p>
        </w:tc>
      </w:tr>
      <w:tr w14:paraId="3A7341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0E13982">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3F0D3C7F">
            <w:pPr>
              <w:autoSpaceDE w:val="0"/>
              <w:autoSpaceDN w:val="0"/>
              <w:adjustRightInd w:val="0"/>
              <w:snapToGrid w:val="0"/>
              <w:jc w:val="center"/>
              <w:rPr>
                <w:rFonts w:ascii="宋体" w:hAnsi="宋体"/>
                <w:color w:val="auto"/>
                <w:kern w:val="0"/>
                <w:szCs w:val="21"/>
              </w:rPr>
            </w:pPr>
          </w:p>
        </w:tc>
        <w:tc>
          <w:tcPr>
            <w:tcW w:w="1020" w:type="dxa"/>
            <w:vAlign w:val="center"/>
          </w:tcPr>
          <w:p w14:paraId="7CB2C2E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30D23EE6">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5BF5CD1D">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528" w:type="dxa"/>
            <w:vAlign w:val="center"/>
          </w:tcPr>
          <w:p w14:paraId="0E2BBB0B">
            <w:pPr>
              <w:autoSpaceDE w:val="0"/>
              <w:autoSpaceDN w:val="0"/>
              <w:adjustRightInd w:val="0"/>
              <w:snapToGrid w:val="0"/>
              <w:jc w:val="center"/>
              <w:rPr>
                <w:rFonts w:ascii="宋体" w:hAnsi="宋体"/>
                <w:color w:val="auto"/>
                <w:kern w:val="0"/>
                <w:szCs w:val="21"/>
              </w:rPr>
            </w:pPr>
          </w:p>
        </w:tc>
      </w:tr>
      <w:tr w14:paraId="5C91FE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D73B80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259" w:type="dxa"/>
            <w:gridSpan w:val="8"/>
            <w:vAlign w:val="center"/>
          </w:tcPr>
          <w:p w14:paraId="1D2613B1">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111BBB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5DCD76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121724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1BA3F46">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0193EBD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1AE15CE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706" w:type="dxa"/>
            <w:gridSpan w:val="2"/>
            <w:vAlign w:val="center"/>
          </w:tcPr>
          <w:p w14:paraId="05042D9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0C3B77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4F470D1">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1D74051">
            <w:pPr>
              <w:autoSpaceDE w:val="0"/>
              <w:autoSpaceDN w:val="0"/>
              <w:adjustRightInd w:val="0"/>
              <w:snapToGrid w:val="0"/>
              <w:jc w:val="center"/>
              <w:rPr>
                <w:rFonts w:ascii="宋体" w:hAnsi="宋体"/>
                <w:color w:val="auto"/>
                <w:kern w:val="0"/>
                <w:szCs w:val="21"/>
              </w:rPr>
            </w:pPr>
          </w:p>
        </w:tc>
        <w:tc>
          <w:tcPr>
            <w:tcW w:w="1388" w:type="dxa"/>
            <w:vAlign w:val="center"/>
          </w:tcPr>
          <w:p w14:paraId="3B4931CB">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3D00E03">
            <w:pPr>
              <w:autoSpaceDE w:val="0"/>
              <w:autoSpaceDN w:val="0"/>
              <w:adjustRightInd w:val="0"/>
              <w:snapToGrid w:val="0"/>
              <w:jc w:val="center"/>
              <w:rPr>
                <w:rFonts w:ascii="宋体" w:hAnsi="宋体"/>
                <w:color w:val="auto"/>
                <w:kern w:val="0"/>
                <w:szCs w:val="21"/>
              </w:rPr>
            </w:pPr>
          </w:p>
        </w:tc>
      </w:tr>
      <w:tr w14:paraId="7998A9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BB312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AAFDE49">
            <w:pPr>
              <w:autoSpaceDE w:val="0"/>
              <w:autoSpaceDN w:val="0"/>
              <w:adjustRightInd w:val="0"/>
              <w:snapToGrid w:val="0"/>
              <w:jc w:val="center"/>
              <w:rPr>
                <w:rFonts w:ascii="宋体" w:hAnsi="宋体"/>
                <w:color w:val="auto"/>
                <w:kern w:val="0"/>
                <w:szCs w:val="21"/>
              </w:rPr>
            </w:pPr>
          </w:p>
        </w:tc>
        <w:tc>
          <w:tcPr>
            <w:tcW w:w="1388" w:type="dxa"/>
            <w:vAlign w:val="center"/>
          </w:tcPr>
          <w:p w14:paraId="5A4D2924">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289FA20">
            <w:pPr>
              <w:autoSpaceDE w:val="0"/>
              <w:autoSpaceDN w:val="0"/>
              <w:adjustRightInd w:val="0"/>
              <w:snapToGrid w:val="0"/>
              <w:jc w:val="center"/>
              <w:rPr>
                <w:rFonts w:ascii="宋体" w:hAnsi="宋体"/>
                <w:color w:val="auto"/>
                <w:kern w:val="0"/>
                <w:szCs w:val="21"/>
              </w:rPr>
            </w:pPr>
          </w:p>
        </w:tc>
      </w:tr>
      <w:tr w14:paraId="47C70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354687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0D63472">
            <w:pPr>
              <w:autoSpaceDE w:val="0"/>
              <w:autoSpaceDN w:val="0"/>
              <w:adjustRightInd w:val="0"/>
              <w:snapToGrid w:val="0"/>
              <w:jc w:val="center"/>
              <w:rPr>
                <w:rFonts w:ascii="宋体" w:hAnsi="宋体"/>
                <w:color w:val="auto"/>
                <w:kern w:val="0"/>
                <w:szCs w:val="21"/>
              </w:rPr>
            </w:pPr>
          </w:p>
        </w:tc>
        <w:tc>
          <w:tcPr>
            <w:tcW w:w="1388" w:type="dxa"/>
            <w:vAlign w:val="center"/>
          </w:tcPr>
          <w:p w14:paraId="6B0A70C6">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F7439BB">
            <w:pPr>
              <w:autoSpaceDE w:val="0"/>
              <w:autoSpaceDN w:val="0"/>
              <w:adjustRightInd w:val="0"/>
              <w:snapToGrid w:val="0"/>
              <w:jc w:val="center"/>
              <w:rPr>
                <w:rFonts w:ascii="宋体" w:hAnsi="宋体"/>
                <w:color w:val="auto"/>
                <w:kern w:val="0"/>
                <w:szCs w:val="21"/>
              </w:rPr>
            </w:pPr>
          </w:p>
        </w:tc>
      </w:tr>
      <w:tr w14:paraId="3C598B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0942D0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1C9AC1B">
            <w:pPr>
              <w:autoSpaceDE w:val="0"/>
              <w:autoSpaceDN w:val="0"/>
              <w:adjustRightInd w:val="0"/>
              <w:snapToGrid w:val="0"/>
              <w:jc w:val="center"/>
              <w:rPr>
                <w:rFonts w:ascii="宋体" w:hAnsi="宋体"/>
                <w:color w:val="auto"/>
                <w:kern w:val="0"/>
                <w:szCs w:val="21"/>
              </w:rPr>
            </w:pPr>
          </w:p>
        </w:tc>
        <w:tc>
          <w:tcPr>
            <w:tcW w:w="1388" w:type="dxa"/>
            <w:vAlign w:val="center"/>
          </w:tcPr>
          <w:p w14:paraId="0D26B386">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5AB7AB18">
            <w:pPr>
              <w:autoSpaceDE w:val="0"/>
              <w:autoSpaceDN w:val="0"/>
              <w:adjustRightInd w:val="0"/>
              <w:snapToGrid w:val="0"/>
              <w:jc w:val="center"/>
              <w:rPr>
                <w:rFonts w:ascii="宋体" w:hAnsi="宋体"/>
                <w:color w:val="auto"/>
                <w:kern w:val="0"/>
                <w:szCs w:val="21"/>
              </w:rPr>
            </w:pPr>
          </w:p>
        </w:tc>
      </w:tr>
      <w:tr w14:paraId="4062EC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F5BA61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19B31E5">
            <w:pPr>
              <w:autoSpaceDE w:val="0"/>
              <w:autoSpaceDN w:val="0"/>
              <w:adjustRightInd w:val="0"/>
              <w:snapToGrid w:val="0"/>
              <w:jc w:val="center"/>
              <w:rPr>
                <w:rFonts w:ascii="宋体" w:hAnsi="宋体"/>
                <w:color w:val="auto"/>
                <w:kern w:val="0"/>
                <w:szCs w:val="21"/>
              </w:rPr>
            </w:pPr>
          </w:p>
        </w:tc>
        <w:tc>
          <w:tcPr>
            <w:tcW w:w="1388" w:type="dxa"/>
            <w:vAlign w:val="center"/>
          </w:tcPr>
          <w:p w14:paraId="44EEBD3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C69BFB4">
            <w:pPr>
              <w:autoSpaceDE w:val="0"/>
              <w:autoSpaceDN w:val="0"/>
              <w:adjustRightInd w:val="0"/>
              <w:snapToGrid w:val="0"/>
              <w:jc w:val="center"/>
              <w:rPr>
                <w:rFonts w:ascii="宋体" w:hAnsi="宋体"/>
                <w:color w:val="auto"/>
                <w:kern w:val="0"/>
                <w:szCs w:val="21"/>
              </w:rPr>
            </w:pPr>
          </w:p>
        </w:tc>
      </w:tr>
      <w:tr w14:paraId="796BD7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9168373">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0F9981E">
            <w:pPr>
              <w:autoSpaceDE w:val="0"/>
              <w:autoSpaceDN w:val="0"/>
              <w:adjustRightInd w:val="0"/>
              <w:snapToGrid w:val="0"/>
              <w:jc w:val="center"/>
              <w:rPr>
                <w:rFonts w:ascii="宋体" w:hAnsi="宋体"/>
                <w:color w:val="auto"/>
                <w:kern w:val="0"/>
                <w:szCs w:val="21"/>
              </w:rPr>
            </w:pPr>
          </w:p>
        </w:tc>
        <w:tc>
          <w:tcPr>
            <w:tcW w:w="1388" w:type="dxa"/>
            <w:vAlign w:val="center"/>
          </w:tcPr>
          <w:p w14:paraId="7608016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154DEB8">
            <w:pPr>
              <w:autoSpaceDE w:val="0"/>
              <w:autoSpaceDN w:val="0"/>
              <w:adjustRightInd w:val="0"/>
              <w:snapToGrid w:val="0"/>
              <w:jc w:val="center"/>
              <w:rPr>
                <w:rFonts w:ascii="宋体" w:hAnsi="宋体"/>
                <w:color w:val="auto"/>
                <w:kern w:val="0"/>
                <w:szCs w:val="21"/>
              </w:rPr>
            </w:pPr>
          </w:p>
        </w:tc>
      </w:tr>
      <w:tr w14:paraId="3BCBD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39FA31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5B6BA9E">
            <w:pPr>
              <w:autoSpaceDE w:val="0"/>
              <w:autoSpaceDN w:val="0"/>
              <w:adjustRightInd w:val="0"/>
              <w:snapToGrid w:val="0"/>
              <w:jc w:val="center"/>
              <w:rPr>
                <w:rFonts w:ascii="宋体" w:hAnsi="宋体"/>
                <w:color w:val="auto"/>
                <w:kern w:val="0"/>
                <w:szCs w:val="21"/>
              </w:rPr>
            </w:pPr>
          </w:p>
        </w:tc>
        <w:tc>
          <w:tcPr>
            <w:tcW w:w="1388" w:type="dxa"/>
            <w:vAlign w:val="center"/>
          </w:tcPr>
          <w:p w14:paraId="1E673FD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C73E013">
            <w:pPr>
              <w:autoSpaceDE w:val="0"/>
              <w:autoSpaceDN w:val="0"/>
              <w:adjustRightInd w:val="0"/>
              <w:snapToGrid w:val="0"/>
              <w:jc w:val="center"/>
              <w:rPr>
                <w:rFonts w:ascii="宋体" w:hAnsi="宋体"/>
                <w:color w:val="auto"/>
                <w:kern w:val="0"/>
                <w:szCs w:val="21"/>
              </w:rPr>
            </w:pPr>
          </w:p>
        </w:tc>
      </w:tr>
      <w:tr w14:paraId="2A0D83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9DE91E1">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87023B0">
            <w:pPr>
              <w:autoSpaceDE w:val="0"/>
              <w:autoSpaceDN w:val="0"/>
              <w:adjustRightInd w:val="0"/>
              <w:snapToGrid w:val="0"/>
              <w:jc w:val="center"/>
              <w:rPr>
                <w:rFonts w:ascii="宋体" w:hAnsi="宋体"/>
                <w:color w:val="auto"/>
                <w:kern w:val="0"/>
                <w:szCs w:val="21"/>
              </w:rPr>
            </w:pPr>
          </w:p>
        </w:tc>
        <w:tc>
          <w:tcPr>
            <w:tcW w:w="1388" w:type="dxa"/>
            <w:vAlign w:val="center"/>
          </w:tcPr>
          <w:p w14:paraId="1CD90B13">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5206B317">
            <w:pPr>
              <w:autoSpaceDE w:val="0"/>
              <w:autoSpaceDN w:val="0"/>
              <w:adjustRightInd w:val="0"/>
              <w:snapToGrid w:val="0"/>
              <w:jc w:val="center"/>
              <w:rPr>
                <w:rFonts w:ascii="宋体" w:hAnsi="宋体"/>
                <w:color w:val="auto"/>
                <w:kern w:val="0"/>
                <w:szCs w:val="21"/>
              </w:rPr>
            </w:pPr>
          </w:p>
        </w:tc>
      </w:tr>
      <w:tr w14:paraId="4DBFC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2D7B9F">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A14EFD7">
            <w:pPr>
              <w:autoSpaceDE w:val="0"/>
              <w:autoSpaceDN w:val="0"/>
              <w:adjustRightInd w:val="0"/>
              <w:snapToGrid w:val="0"/>
              <w:jc w:val="center"/>
              <w:rPr>
                <w:rFonts w:ascii="宋体" w:hAnsi="宋体"/>
                <w:color w:val="auto"/>
                <w:kern w:val="0"/>
                <w:szCs w:val="21"/>
              </w:rPr>
            </w:pPr>
          </w:p>
        </w:tc>
        <w:tc>
          <w:tcPr>
            <w:tcW w:w="1388" w:type="dxa"/>
            <w:vAlign w:val="center"/>
          </w:tcPr>
          <w:p w14:paraId="06513DA5">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4C4DF04F">
            <w:pPr>
              <w:autoSpaceDE w:val="0"/>
              <w:autoSpaceDN w:val="0"/>
              <w:adjustRightInd w:val="0"/>
              <w:snapToGrid w:val="0"/>
              <w:jc w:val="center"/>
              <w:rPr>
                <w:rFonts w:ascii="宋体" w:hAnsi="宋体"/>
                <w:color w:val="auto"/>
                <w:kern w:val="0"/>
                <w:szCs w:val="21"/>
              </w:rPr>
            </w:pPr>
          </w:p>
        </w:tc>
      </w:tr>
      <w:tr w14:paraId="754C5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795F1F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DDC90E0">
            <w:pPr>
              <w:autoSpaceDE w:val="0"/>
              <w:autoSpaceDN w:val="0"/>
              <w:adjustRightInd w:val="0"/>
              <w:snapToGrid w:val="0"/>
              <w:jc w:val="center"/>
              <w:rPr>
                <w:rFonts w:ascii="宋体" w:hAnsi="宋体"/>
                <w:color w:val="auto"/>
                <w:kern w:val="0"/>
                <w:szCs w:val="21"/>
              </w:rPr>
            </w:pPr>
          </w:p>
        </w:tc>
        <w:tc>
          <w:tcPr>
            <w:tcW w:w="1388" w:type="dxa"/>
            <w:vAlign w:val="center"/>
          </w:tcPr>
          <w:p w14:paraId="102D5B22">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5AA6DA32">
            <w:pPr>
              <w:autoSpaceDE w:val="0"/>
              <w:autoSpaceDN w:val="0"/>
              <w:adjustRightInd w:val="0"/>
              <w:snapToGrid w:val="0"/>
              <w:jc w:val="center"/>
              <w:rPr>
                <w:rFonts w:ascii="宋体" w:hAnsi="宋体"/>
                <w:color w:val="auto"/>
                <w:kern w:val="0"/>
                <w:szCs w:val="21"/>
              </w:rPr>
            </w:pPr>
          </w:p>
        </w:tc>
      </w:tr>
      <w:tr w14:paraId="07DDD2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2C5F16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299D215">
            <w:pPr>
              <w:autoSpaceDE w:val="0"/>
              <w:autoSpaceDN w:val="0"/>
              <w:adjustRightInd w:val="0"/>
              <w:snapToGrid w:val="0"/>
              <w:jc w:val="center"/>
              <w:rPr>
                <w:rFonts w:ascii="宋体" w:hAnsi="宋体"/>
                <w:color w:val="auto"/>
                <w:kern w:val="0"/>
                <w:szCs w:val="21"/>
              </w:rPr>
            </w:pPr>
          </w:p>
        </w:tc>
        <w:tc>
          <w:tcPr>
            <w:tcW w:w="1388" w:type="dxa"/>
            <w:vAlign w:val="center"/>
          </w:tcPr>
          <w:p w14:paraId="70ECE200">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8C1A3CF">
            <w:pPr>
              <w:autoSpaceDE w:val="0"/>
              <w:autoSpaceDN w:val="0"/>
              <w:adjustRightInd w:val="0"/>
              <w:snapToGrid w:val="0"/>
              <w:jc w:val="center"/>
              <w:rPr>
                <w:rFonts w:ascii="宋体" w:hAnsi="宋体"/>
                <w:color w:val="auto"/>
                <w:kern w:val="0"/>
                <w:szCs w:val="21"/>
              </w:rPr>
            </w:pPr>
          </w:p>
        </w:tc>
      </w:tr>
      <w:tr w14:paraId="5DE4AB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01B093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944E661">
            <w:pPr>
              <w:autoSpaceDE w:val="0"/>
              <w:autoSpaceDN w:val="0"/>
              <w:adjustRightInd w:val="0"/>
              <w:snapToGrid w:val="0"/>
              <w:jc w:val="center"/>
              <w:rPr>
                <w:rFonts w:ascii="宋体" w:hAnsi="宋体"/>
                <w:color w:val="auto"/>
                <w:kern w:val="0"/>
                <w:szCs w:val="21"/>
              </w:rPr>
            </w:pPr>
          </w:p>
        </w:tc>
        <w:tc>
          <w:tcPr>
            <w:tcW w:w="1388" w:type="dxa"/>
            <w:vAlign w:val="center"/>
          </w:tcPr>
          <w:p w14:paraId="3E4EB4E4">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3B2C583">
            <w:pPr>
              <w:autoSpaceDE w:val="0"/>
              <w:autoSpaceDN w:val="0"/>
              <w:adjustRightInd w:val="0"/>
              <w:snapToGrid w:val="0"/>
              <w:jc w:val="center"/>
              <w:rPr>
                <w:rFonts w:ascii="宋体" w:hAnsi="宋体"/>
                <w:color w:val="auto"/>
                <w:kern w:val="0"/>
                <w:szCs w:val="21"/>
              </w:rPr>
            </w:pPr>
          </w:p>
        </w:tc>
      </w:tr>
      <w:tr w14:paraId="04D37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63E3512">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CA0EE54">
            <w:pPr>
              <w:autoSpaceDE w:val="0"/>
              <w:autoSpaceDN w:val="0"/>
              <w:adjustRightInd w:val="0"/>
              <w:snapToGrid w:val="0"/>
              <w:jc w:val="center"/>
              <w:rPr>
                <w:rFonts w:ascii="宋体" w:hAnsi="宋体"/>
                <w:color w:val="auto"/>
                <w:kern w:val="0"/>
                <w:szCs w:val="21"/>
              </w:rPr>
            </w:pPr>
          </w:p>
        </w:tc>
        <w:tc>
          <w:tcPr>
            <w:tcW w:w="1388" w:type="dxa"/>
            <w:vAlign w:val="center"/>
          </w:tcPr>
          <w:p w14:paraId="6B750065">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816E2FE">
            <w:pPr>
              <w:autoSpaceDE w:val="0"/>
              <w:autoSpaceDN w:val="0"/>
              <w:adjustRightInd w:val="0"/>
              <w:snapToGrid w:val="0"/>
              <w:jc w:val="center"/>
              <w:rPr>
                <w:rFonts w:ascii="宋体" w:hAnsi="宋体"/>
                <w:color w:val="auto"/>
                <w:kern w:val="0"/>
                <w:szCs w:val="21"/>
              </w:rPr>
            </w:pPr>
          </w:p>
        </w:tc>
      </w:tr>
    </w:tbl>
    <w:p w14:paraId="093CAA66">
      <w:pPr>
        <w:spacing w:line="360" w:lineRule="auto"/>
        <w:rPr>
          <w:rFonts w:ascii="宋体" w:hAnsi="宋体"/>
          <w:color w:val="auto"/>
        </w:rPr>
      </w:pPr>
      <w:bookmarkStart w:id="2093" w:name="_Toc224103515"/>
    </w:p>
    <w:p w14:paraId="2A33EB1A">
      <w:pPr>
        <w:pStyle w:val="5"/>
        <w:spacing w:before="0" w:line="240" w:lineRule="auto"/>
        <w:jc w:val="center"/>
        <w:rPr>
          <w:rFonts w:ascii="宋体" w:hAnsi="宋体"/>
          <w:b w:val="0"/>
          <w:color w:val="auto"/>
        </w:rPr>
      </w:pPr>
      <w:bookmarkStart w:id="2094" w:name="_Toc14486"/>
      <w:bookmarkStart w:id="2095" w:name="_Toc287607888"/>
      <w:bookmarkStart w:id="2096" w:name="_Toc430530550"/>
      <w:bookmarkStart w:id="2097" w:name="_Toc287620834"/>
      <w:bookmarkStart w:id="2098" w:name="_Toc509218864"/>
      <w:bookmarkStart w:id="2099" w:name="_Toc534185841"/>
      <w:bookmarkStart w:id="2100" w:name="_Toc277082660"/>
      <w:r>
        <w:rPr>
          <w:rFonts w:hint="eastAsia" w:ascii="宋体" w:hAnsi="宋体"/>
          <w:b w:val="0"/>
          <w:color w:val="auto"/>
        </w:rPr>
        <w:t>（五）近年财务状况表</w:t>
      </w:r>
      <w:bookmarkEnd w:id="2093"/>
      <w:bookmarkEnd w:id="2094"/>
      <w:bookmarkEnd w:id="2095"/>
      <w:bookmarkEnd w:id="2096"/>
      <w:bookmarkEnd w:id="2097"/>
      <w:bookmarkEnd w:id="2098"/>
      <w:bookmarkEnd w:id="2099"/>
      <w:bookmarkEnd w:id="2100"/>
    </w:p>
    <w:p w14:paraId="5DC93887">
      <w:pPr>
        <w:adjustRightInd w:val="0"/>
        <w:snapToGrid w:val="0"/>
        <w:spacing w:line="360" w:lineRule="auto"/>
        <w:rPr>
          <w:rFonts w:ascii="宋体" w:hAnsi="宋体"/>
          <w:color w:val="auto"/>
        </w:rPr>
      </w:pPr>
      <w:r>
        <w:rPr>
          <w:rFonts w:ascii="宋体" w:hAnsi="宋体"/>
          <w:color w:val="auto"/>
        </w:rPr>
        <w:br w:type="page"/>
      </w:r>
    </w:p>
    <w:p w14:paraId="403835C4">
      <w:pPr>
        <w:pStyle w:val="5"/>
        <w:spacing w:before="0" w:line="240" w:lineRule="auto"/>
        <w:jc w:val="center"/>
        <w:rPr>
          <w:rFonts w:ascii="宋体" w:hAnsi="宋体"/>
          <w:b w:val="0"/>
          <w:color w:val="auto"/>
        </w:rPr>
      </w:pPr>
      <w:bookmarkStart w:id="2101" w:name="_Toc13355"/>
      <w:bookmarkStart w:id="2102" w:name="_Toc430530551"/>
      <w:bookmarkStart w:id="2103" w:name="_Toc287607889"/>
      <w:bookmarkStart w:id="2104" w:name="_Toc534185842"/>
      <w:bookmarkStart w:id="2105" w:name="_Toc287620835"/>
      <w:bookmarkStart w:id="2106" w:name="_Toc277082661"/>
      <w:bookmarkStart w:id="2107" w:name="_Toc224103516"/>
      <w:bookmarkStart w:id="2108" w:name="_Toc509218865"/>
      <w:r>
        <w:rPr>
          <w:rFonts w:ascii="宋体" w:hAnsi="宋体"/>
          <w:b w:val="0"/>
          <w:color w:val="auto"/>
        </w:rPr>
        <w:t>（六）类似项目情况表</w:t>
      </w:r>
      <w:bookmarkEnd w:id="2101"/>
      <w:bookmarkEnd w:id="2102"/>
      <w:bookmarkEnd w:id="2103"/>
      <w:bookmarkEnd w:id="2104"/>
      <w:bookmarkEnd w:id="2105"/>
      <w:bookmarkEnd w:id="2106"/>
      <w:bookmarkEnd w:id="2107"/>
      <w:bookmarkEnd w:id="2108"/>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77ECC0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663B9F3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项目名称</w:t>
            </w:r>
          </w:p>
        </w:tc>
        <w:tc>
          <w:tcPr>
            <w:tcW w:w="8027" w:type="dxa"/>
            <w:vAlign w:val="center"/>
          </w:tcPr>
          <w:p w14:paraId="7912F16D">
            <w:pPr>
              <w:autoSpaceDE w:val="0"/>
              <w:autoSpaceDN w:val="0"/>
              <w:adjustRightInd w:val="0"/>
              <w:snapToGrid w:val="0"/>
              <w:jc w:val="center"/>
              <w:rPr>
                <w:rFonts w:ascii="宋体" w:hAnsi="宋体"/>
                <w:color w:val="auto"/>
                <w:kern w:val="0"/>
                <w:szCs w:val="21"/>
              </w:rPr>
            </w:pPr>
          </w:p>
        </w:tc>
      </w:tr>
      <w:tr w14:paraId="2C6AF1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17E060A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项目所在地</w:t>
            </w:r>
          </w:p>
        </w:tc>
        <w:tc>
          <w:tcPr>
            <w:tcW w:w="8027" w:type="dxa"/>
            <w:vAlign w:val="center"/>
          </w:tcPr>
          <w:p w14:paraId="216E3769">
            <w:pPr>
              <w:autoSpaceDE w:val="0"/>
              <w:autoSpaceDN w:val="0"/>
              <w:adjustRightInd w:val="0"/>
              <w:snapToGrid w:val="0"/>
              <w:jc w:val="center"/>
              <w:rPr>
                <w:rFonts w:ascii="宋体" w:hAnsi="宋体"/>
                <w:color w:val="auto"/>
                <w:kern w:val="0"/>
                <w:szCs w:val="21"/>
              </w:rPr>
            </w:pPr>
          </w:p>
        </w:tc>
      </w:tr>
      <w:tr w14:paraId="0DC571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4FDC96A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发包人名称</w:t>
            </w:r>
          </w:p>
        </w:tc>
        <w:tc>
          <w:tcPr>
            <w:tcW w:w="8027" w:type="dxa"/>
            <w:vAlign w:val="center"/>
          </w:tcPr>
          <w:p w14:paraId="4AFA51F7">
            <w:pPr>
              <w:autoSpaceDE w:val="0"/>
              <w:autoSpaceDN w:val="0"/>
              <w:adjustRightInd w:val="0"/>
              <w:snapToGrid w:val="0"/>
              <w:jc w:val="center"/>
              <w:rPr>
                <w:rFonts w:ascii="宋体" w:hAnsi="宋体"/>
                <w:color w:val="auto"/>
                <w:kern w:val="0"/>
                <w:szCs w:val="21"/>
              </w:rPr>
            </w:pPr>
          </w:p>
        </w:tc>
      </w:tr>
      <w:tr w14:paraId="4E151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09B625D3">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发包人地址</w:t>
            </w:r>
          </w:p>
        </w:tc>
        <w:tc>
          <w:tcPr>
            <w:tcW w:w="8027" w:type="dxa"/>
            <w:vAlign w:val="center"/>
          </w:tcPr>
          <w:p w14:paraId="58F0E870">
            <w:pPr>
              <w:autoSpaceDE w:val="0"/>
              <w:autoSpaceDN w:val="0"/>
              <w:adjustRightInd w:val="0"/>
              <w:snapToGrid w:val="0"/>
              <w:jc w:val="center"/>
              <w:rPr>
                <w:rFonts w:ascii="宋体" w:hAnsi="宋体"/>
                <w:color w:val="auto"/>
                <w:kern w:val="0"/>
                <w:szCs w:val="21"/>
              </w:rPr>
            </w:pPr>
          </w:p>
        </w:tc>
      </w:tr>
      <w:tr w14:paraId="0F3B9F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757C903F">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发包人电话</w:t>
            </w:r>
          </w:p>
        </w:tc>
        <w:tc>
          <w:tcPr>
            <w:tcW w:w="8027" w:type="dxa"/>
            <w:vAlign w:val="center"/>
          </w:tcPr>
          <w:p w14:paraId="5F6E0670">
            <w:pPr>
              <w:autoSpaceDE w:val="0"/>
              <w:autoSpaceDN w:val="0"/>
              <w:adjustRightInd w:val="0"/>
              <w:snapToGrid w:val="0"/>
              <w:jc w:val="center"/>
              <w:rPr>
                <w:rFonts w:ascii="宋体" w:hAnsi="宋体"/>
                <w:color w:val="auto"/>
                <w:kern w:val="0"/>
                <w:szCs w:val="21"/>
              </w:rPr>
            </w:pPr>
          </w:p>
        </w:tc>
      </w:tr>
      <w:tr w14:paraId="45647E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3D1093D8">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合同价格</w:t>
            </w:r>
          </w:p>
        </w:tc>
        <w:tc>
          <w:tcPr>
            <w:tcW w:w="8027" w:type="dxa"/>
            <w:vAlign w:val="center"/>
          </w:tcPr>
          <w:p w14:paraId="2E135B6E">
            <w:pPr>
              <w:autoSpaceDE w:val="0"/>
              <w:autoSpaceDN w:val="0"/>
              <w:adjustRightInd w:val="0"/>
              <w:snapToGrid w:val="0"/>
              <w:jc w:val="center"/>
              <w:rPr>
                <w:rFonts w:ascii="宋体" w:hAnsi="宋体"/>
                <w:color w:val="auto"/>
                <w:kern w:val="0"/>
                <w:szCs w:val="21"/>
              </w:rPr>
            </w:pPr>
          </w:p>
        </w:tc>
      </w:tr>
      <w:tr w14:paraId="5ECCE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63E282DB">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开工日期</w:t>
            </w:r>
          </w:p>
        </w:tc>
        <w:tc>
          <w:tcPr>
            <w:tcW w:w="8027" w:type="dxa"/>
            <w:vAlign w:val="center"/>
          </w:tcPr>
          <w:p w14:paraId="18EA6CCE">
            <w:pPr>
              <w:autoSpaceDE w:val="0"/>
              <w:autoSpaceDN w:val="0"/>
              <w:adjustRightInd w:val="0"/>
              <w:snapToGrid w:val="0"/>
              <w:jc w:val="center"/>
              <w:rPr>
                <w:rFonts w:ascii="宋体" w:hAnsi="宋体"/>
                <w:color w:val="auto"/>
                <w:kern w:val="0"/>
                <w:szCs w:val="21"/>
              </w:rPr>
            </w:pPr>
          </w:p>
        </w:tc>
      </w:tr>
      <w:tr w14:paraId="082403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287A79FE">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竣工日期</w:t>
            </w:r>
          </w:p>
        </w:tc>
        <w:tc>
          <w:tcPr>
            <w:tcW w:w="8027" w:type="dxa"/>
            <w:vAlign w:val="center"/>
          </w:tcPr>
          <w:p w14:paraId="52DF5331">
            <w:pPr>
              <w:autoSpaceDE w:val="0"/>
              <w:autoSpaceDN w:val="0"/>
              <w:adjustRightInd w:val="0"/>
              <w:snapToGrid w:val="0"/>
              <w:jc w:val="center"/>
              <w:rPr>
                <w:rFonts w:ascii="宋体" w:hAnsi="宋体"/>
                <w:color w:val="auto"/>
                <w:kern w:val="0"/>
                <w:szCs w:val="21"/>
              </w:rPr>
            </w:pPr>
          </w:p>
        </w:tc>
      </w:tr>
      <w:tr w14:paraId="2DDCDC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6728ED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承担的工作</w:t>
            </w:r>
          </w:p>
        </w:tc>
        <w:tc>
          <w:tcPr>
            <w:tcW w:w="8027" w:type="dxa"/>
            <w:vAlign w:val="center"/>
          </w:tcPr>
          <w:p w14:paraId="32178052">
            <w:pPr>
              <w:autoSpaceDE w:val="0"/>
              <w:autoSpaceDN w:val="0"/>
              <w:adjustRightInd w:val="0"/>
              <w:snapToGrid w:val="0"/>
              <w:jc w:val="center"/>
              <w:rPr>
                <w:rFonts w:ascii="宋体" w:hAnsi="宋体"/>
                <w:color w:val="auto"/>
                <w:kern w:val="0"/>
                <w:szCs w:val="21"/>
              </w:rPr>
            </w:pPr>
          </w:p>
        </w:tc>
      </w:tr>
      <w:tr w14:paraId="424427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0E21753">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工程质量</w:t>
            </w:r>
          </w:p>
        </w:tc>
        <w:tc>
          <w:tcPr>
            <w:tcW w:w="8027" w:type="dxa"/>
            <w:vAlign w:val="center"/>
          </w:tcPr>
          <w:p w14:paraId="6B2B3E7C">
            <w:pPr>
              <w:autoSpaceDE w:val="0"/>
              <w:autoSpaceDN w:val="0"/>
              <w:adjustRightInd w:val="0"/>
              <w:snapToGrid w:val="0"/>
              <w:jc w:val="center"/>
              <w:rPr>
                <w:rFonts w:ascii="宋体" w:hAnsi="宋体"/>
                <w:color w:val="auto"/>
                <w:kern w:val="0"/>
                <w:szCs w:val="21"/>
              </w:rPr>
            </w:pPr>
          </w:p>
        </w:tc>
      </w:tr>
      <w:tr w14:paraId="6F1789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3886C53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项目经理</w:t>
            </w:r>
          </w:p>
        </w:tc>
        <w:tc>
          <w:tcPr>
            <w:tcW w:w="8027" w:type="dxa"/>
            <w:vAlign w:val="center"/>
          </w:tcPr>
          <w:p w14:paraId="227B0092">
            <w:pPr>
              <w:autoSpaceDE w:val="0"/>
              <w:autoSpaceDN w:val="0"/>
              <w:adjustRightInd w:val="0"/>
              <w:snapToGrid w:val="0"/>
              <w:jc w:val="center"/>
              <w:rPr>
                <w:rFonts w:ascii="宋体" w:hAnsi="宋体"/>
                <w:color w:val="auto"/>
                <w:kern w:val="0"/>
                <w:szCs w:val="21"/>
              </w:rPr>
            </w:pPr>
          </w:p>
        </w:tc>
      </w:tr>
      <w:tr w14:paraId="36C20B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2B8E830D">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技术负责人</w:t>
            </w:r>
          </w:p>
        </w:tc>
        <w:tc>
          <w:tcPr>
            <w:tcW w:w="8027" w:type="dxa"/>
            <w:vAlign w:val="center"/>
          </w:tcPr>
          <w:p w14:paraId="7EB46D46">
            <w:pPr>
              <w:autoSpaceDE w:val="0"/>
              <w:autoSpaceDN w:val="0"/>
              <w:adjustRightInd w:val="0"/>
              <w:snapToGrid w:val="0"/>
              <w:jc w:val="center"/>
              <w:rPr>
                <w:rFonts w:ascii="宋体" w:hAnsi="宋体"/>
                <w:color w:val="auto"/>
                <w:kern w:val="0"/>
                <w:szCs w:val="21"/>
              </w:rPr>
            </w:pPr>
          </w:p>
        </w:tc>
      </w:tr>
      <w:tr w14:paraId="369A3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6C4E30DA">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总监理工程师及电话</w:t>
            </w:r>
          </w:p>
        </w:tc>
        <w:tc>
          <w:tcPr>
            <w:tcW w:w="8027" w:type="dxa"/>
            <w:vAlign w:val="center"/>
          </w:tcPr>
          <w:p w14:paraId="6A6612E7">
            <w:pPr>
              <w:autoSpaceDE w:val="0"/>
              <w:autoSpaceDN w:val="0"/>
              <w:adjustRightInd w:val="0"/>
              <w:snapToGrid w:val="0"/>
              <w:jc w:val="center"/>
              <w:rPr>
                <w:rFonts w:ascii="宋体" w:hAnsi="宋体"/>
                <w:color w:val="auto"/>
                <w:kern w:val="0"/>
                <w:szCs w:val="21"/>
              </w:rPr>
            </w:pPr>
          </w:p>
        </w:tc>
      </w:tr>
      <w:tr w14:paraId="2A4730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720DAB2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项目描述</w:t>
            </w:r>
          </w:p>
        </w:tc>
        <w:tc>
          <w:tcPr>
            <w:tcW w:w="8027" w:type="dxa"/>
            <w:vAlign w:val="center"/>
          </w:tcPr>
          <w:p w14:paraId="5D13589E">
            <w:pPr>
              <w:autoSpaceDE w:val="0"/>
              <w:autoSpaceDN w:val="0"/>
              <w:adjustRightInd w:val="0"/>
              <w:snapToGrid w:val="0"/>
              <w:jc w:val="center"/>
              <w:rPr>
                <w:rFonts w:ascii="宋体" w:hAnsi="宋体"/>
                <w:color w:val="auto"/>
                <w:kern w:val="0"/>
                <w:szCs w:val="21"/>
              </w:rPr>
            </w:pPr>
          </w:p>
        </w:tc>
      </w:tr>
      <w:tr w14:paraId="096B2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77DBEA1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备注</w:t>
            </w:r>
          </w:p>
        </w:tc>
        <w:tc>
          <w:tcPr>
            <w:tcW w:w="8027" w:type="dxa"/>
            <w:vAlign w:val="center"/>
          </w:tcPr>
          <w:p w14:paraId="62A60D9A">
            <w:pPr>
              <w:autoSpaceDE w:val="0"/>
              <w:autoSpaceDN w:val="0"/>
              <w:adjustRightInd w:val="0"/>
              <w:snapToGrid w:val="0"/>
              <w:jc w:val="center"/>
              <w:rPr>
                <w:rFonts w:ascii="宋体" w:hAnsi="宋体"/>
                <w:color w:val="auto"/>
                <w:kern w:val="0"/>
                <w:szCs w:val="21"/>
              </w:rPr>
            </w:pPr>
          </w:p>
        </w:tc>
      </w:tr>
    </w:tbl>
    <w:p w14:paraId="1E258F84">
      <w:pPr>
        <w:pStyle w:val="5"/>
        <w:spacing w:before="0" w:line="360" w:lineRule="auto"/>
        <w:jc w:val="center"/>
        <w:rPr>
          <w:rFonts w:ascii="宋体" w:hAnsi="宋体"/>
          <w:b w:val="0"/>
          <w:color w:val="auto"/>
        </w:rPr>
      </w:pPr>
      <w:bookmarkStart w:id="2109" w:name="_Toc287607893"/>
      <w:bookmarkStart w:id="2110" w:name="_Toc430530552"/>
      <w:bookmarkStart w:id="2111" w:name="_Toc509218866"/>
      <w:bookmarkStart w:id="2112" w:name="_Toc277082663"/>
      <w:bookmarkStart w:id="2113" w:name="_Toc287620839"/>
      <w:bookmarkStart w:id="2114" w:name="_Toc534185843"/>
      <w:bookmarkStart w:id="2115" w:name="_Toc224103520"/>
      <w:bookmarkStart w:id="2116" w:name="_Toc5612"/>
      <w:r>
        <w:rPr>
          <w:rFonts w:ascii="宋体" w:hAnsi="宋体"/>
          <w:b w:val="0"/>
          <w:color w:val="auto"/>
        </w:rPr>
        <w:t>（七）</w:t>
      </w:r>
      <w:bookmarkEnd w:id="2109"/>
      <w:bookmarkEnd w:id="2110"/>
      <w:bookmarkEnd w:id="2111"/>
      <w:bookmarkEnd w:id="2112"/>
      <w:bookmarkEnd w:id="2113"/>
      <w:bookmarkEnd w:id="2114"/>
      <w:bookmarkEnd w:id="2115"/>
      <w:r>
        <w:rPr>
          <w:rFonts w:hint="eastAsia" w:ascii="宋体" w:hAnsi="宋体"/>
          <w:b w:val="0"/>
          <w:color w:val="auto"/>
        </w:rPr>
        <w:t>承诺</w:t>
      </w:r>
      <w:bookmarkEnd w:id="2116"/>
    </w:p>
    <w:p w14:paraId="23A91447">
      <w:pPr>
        <w:snapToGrid w:val="0"/>
        <w:spacing w:line="380" w:lineRule="exact"/>
        <w:rPr>
          <w:rFonts w:ascii="宋体" w:hAnsi="宋体"/>
          <w:color w:val="auto"/>
          <w:szCs w:val="21"/>
          <w:u w:val="single"/>
        </w:rPr>
      </w:pPr>
      <w:r>
        <w:rPr>
          <w:rFonts w:hint="eastAsia" w:ascii="宋体" w:hAnsi="宋体"/>
          <w:color w:val="auto"/>
          <w:szCs w:val="21"/>
          <w:u w:val="single"/>
        </w:rPr>
        <w:t xml:space="preserve">        （采购人名称）</w:t>
      </w:r>
      <w:r>
        <w:rPr>
          <w:rFonts w:hint="eastAsia" w:ascii="宋体" w:hAnsi="宋体"/>
          <w:color w:val="auto"/>
          <w:szCs w:val="21"/>
        </w:rPr>
        <w:t>：</w:t>
      </w:r>
    </w:p>
    <w:p w14:paraId="6FA4F4B4">
      <w:pPr>
        <w:snapToGrid w:val="0"/>
        <w:spacing w:line="38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64229DCF">
      <w:pPr>
        <w:snapToGrid w:val="0"/>
        <w:spacing w:line="38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14:paraId="60ED8149">
      <w:pPr>
        <w:snapToGrid w:val="0"/>
        <w:spacing w:line="38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74EE63DA">
      <w:pPr>
        <w:snapToGrid w:val="0"/>
        <w:spacing w:line="380" w:lineRule="exact"/>
        <w:ind w:firstLine="420" w:firstLineChars="200"/>
        <w:rPr>
          <w:rFonts w:ascii="宋体" w:hAnsi="宋体"/>
          <w:color w:val="auto"/>
          <w:szCs w:val="21"/>
        </w:rPr>
      </w:pPr>
      <w:r>
        <w:rPr>
          <w:rFonts w:hint="eastAsia" w:ascii="宋体" w:hAnsi="宋体"/>
          <w:color w:val="auto"/>
          <w:szCs w:val="21"/>
        </w:rPr>
        <w:t>（2）被列入《重庆市工程建设领域采购投标信用管理暂行办法》规定的重点关注名单且记分达到12分且在记分有效期内；</w:t>
      </w:r>
    </w:p>
    <w:p w14:paraId="615F5FA0">
      <w:pPr>
        <w:snapToGrid w:val="0"/>
        <w:spacing w:line="380" w:lineRule="exact"/>
        <w:ind w:firstLine="420" w:firstLineChars="200"/>
        <w:rPr>
          <w:rFonts w:ascii="宋体" w:hAnsi="宋体"/>
          <w:color w:val="auto"/>
          <w:szCs w:val="21"/>
        </w:rPr>
      </w:pPr>
      <w:r>
        <w:rPr>
          <w:rFonts w:hint="eastAsia" w:ascii="宋体" w:hAnsi="宋体"/>
          <w:color w:val="auto"/>
          <w:szCs w:val="21"/>
        </w:rPr>
        <w:t>（3）被列入《重庆市工程建设领域采购投标信用管理暂行办法》规定的黑名单且在记分有效期内；</w:t>
      </w:r>
    </w:p>
    <w:p w14:paraId="44D4F1E8">
      <w:pPr>
        <w:snapToGrid w:val="0"/>
        <w:spacing w:line="38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05C55F41">
      <w:pPr>
        <w:snapToGrid w:val="0"/>
        <w:spacing w:line="380" w:lineRule="exact"/>
        <w:ind w:firstLine="420" w:firstLineChars="200"/>
        <w:rPr>
          <w:rFonts w:ascii="宋体" w:hAnsi="宋体"/>
          <w:color w:val="auto"/>
          <w:szCs w:val="21"/>
        </w:rPr>
      </w:pPr>
      <w:r>
        <w:rPr>
          <w:rFonts w:hint="eastAsia" w:ascii="宋体" w:hAnsi="宋体"/>
          <w:color w:val="auto"/>
          <w:szCs w:val="21"/>
        </w:rPr>
        <w:t>（5）被重庆市住房和城乡建设主管部门暂停在渝承揽新业务且在暂停期内。</w:t>
      </w:r>
    </w:p>
    <w:p w14:paraId="1AEB44F0">
      <w:pPr>
        <w:snapToGrid w:val="0"/>
        <w:spacing w:line="380" w:lineRule="exact"/>
        <w:ind w:firstLine="420" w:firstLineChars="200"/>
        <w:rPr>
          <w:rFonts w:ascii="宋体" w:hAnsi="宋体"/>
          <w:color w:val="auto"/>
          <w:szCs w:val="21"/>
        </w:rPr>
      </w:pPr>
      <w:r>
        <w:rPr>
          <w:rFonts w:hint="eastAsia" w:ascii="宋体" w:hAnsi="宋体"/>
          <w:color w:val="auto"/>
          <w:szCs w:val="21"/>
        </w:rPr>
        <w:t>2、我公司拟派的项目经理按注册建造师的相关规定到岗履职和未被禁止参与投标。</w:t>
      </w:r>
    </w:p>
    <w:p w14:paraId="0A20CF88">
      <w:pPr>
        <w:snapToGrid w:val="0"/>
        <w:spacing w:line="380" w:lineRule="exact"/>
        <w:ind w:firstLine="420" w:firstLineChars="200"/>
        <w:rPr>
          <w:rFonts w:ascii="宋体" w:hAnsi="宋体"/>
          <w:color w:val="auto"/>
          <w:szCs w:val="21"/>
        </w:rPr>
      </w:pPr>
      <w:r>
        <w:rPr>
          <w:rFonts w:hint="eastAsia" w:ascii="宋体" w:hAnsi="宋体"/>
          <w:color w:val="auto"/>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22C43C5A">
      <w:pPr>
        <w:snapToGrid w:val="0"/>
        <w:spacing w:line="380" w:lineRule="exact"/>
        <w:ind w:firstLine="420" w:firstLineChars="200"/>
        <w:rPr>
          <w:rFonts w:ascii="宋体" w:hAnsi="宋体"/>
          <w:color w:val="auto"/>
          <w:szCs w:val="21"/>
        </w:rPr>
      </w:pPr>
      <w:r>
        <w:rPr>
          <w:rFonts w:hint="eastAsia" w:ascii="宋体" w:hAnsi="宋体"/>
          <w:color w:val="auto"/>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6A1BE479">
      <w:pPr>
        <w:snapToGrid w:val="0"/>
        <w:spacing w:line="380" w:lineRule="exact"/>
        <w:ind w:firstLine="420" w:firstLineChars="200"/>
        <w:rPr>
          <w:rFonts w:ascii="宋体" w:hAnsi="宋体"/>
          <w:color w:val="auto"/>
          <w:szCs w:val="21"/>
        </w:rPr>
      </w:pPr>
      <w:r>
        <w:rPr>
          <w:rFonts w:hint="eastAsia" w:ascii="宋体" w:hAnsi="宋体"/>
          <w:color w:val="auto"/>
          <w:szCs w:val="21"/>
        </w:rPr>
        <w:t>2.3为保证我公司拟派的项目经理到本项目到岗履职，我公司还承诺：</w:t>
      </w:r>
    </w:p>
    <w:p w14:paraId="469B4B64">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若我公司拟派本项目的项目经理有在其他项目任职的情形的（或有在其他项目中标或拟中标的情形的），应在收到中标通知书后</w:t>
      </w:r>
      <w:r>
        <w:rPr>
          <w:rFonts w:hint="eastAsia" w:ascii="宋体" w:hAnsi="宋体"/>
          <w:color w:val="auto"/>
          <w:szCs w:val="21"/>
          <w:u w:val="single"/>
        </w:rPr>
        <w:t xml:space="preserve"> 14 </w:t>
      </w:r>
      <w:r>
        <w:rPr>
          <w:rFonts w:hint="eastAsia" w:ascii="宋体" w:hAnsi="宋体"/>
          <w:color w:val="auto"/>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2C13F244">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若我公司拟派项目经理放弃在其他项目任职的将提供：①经业主或建设单位同意任职变更的文件；②负责项目监管的行业行政主管部门出具同意任职变更的证明材料。</w:t>
      </w:r>
    </w:p>
    <w:p w14:paraId="3D30052B">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若我公司拟派项目经理放弃在其他项目中标或拟中标的将提供：①经中标或拟中标的其他项目建设单位同意的放弃中标函。</w:t>
      </w:r>
    </w:p>
    <w:p w14:paraId="2701A06A">
      <w:pPr>
        <w:snapToGrid w:val="0"/>
        <w:spacing w:line="380" w:lineRule="exact"/>
        <w:ind w:firstLine="420" w:firstLineChars="200"/>
        <w:rPr>
          <w:rFonts w:ascii="宋体" w:hAnsi="宋体"/>
          <w:color w:val="auto"/>
          <w:szCs w:val="21"/>
        </w:rPr>
      </w:pPr>
      <w:r>
        <w:rPr>
          <w:rFonts w:hint="eastAsia" w:ascii="宋体" w:hAnsi="宋体"/>
          <w:color w:val="auto"/>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赔偿责任。</w:t>
      </w:r>
    </w:p>
    <w:p w14:paraId="10E471A5">
      <w:pPr>
        <w:snapToGrid w:val="0"/>
        <w:spacing w:line="380" w:lineRule="exact"/>
        <w:ind w:firstLine="420" w:firstLineChars="200"/>
        <w:rPr>
          <w:rFonts w:ascii="宋体" w:hAnsi="宋体"/>
          <w:color w:val="auto"/>
          <w:szCs w:val="21"/>
        </w:rPr>
      </w:pPr>
      <w:r>
        <w:rPr>
          <w:rFonts w:hint="eastAsia" w:ascii="宋体" w:hAnsi="宋体"/>
          <w:color w:val="auto"/>
          <w:szCs w:val="21"/>
        </w:rPr>
        <w:t>4、我公司在资格审查部分中提供的相关证明材料真实有效，不存在弄虚作假情形。采购人在合同签订前均有权对我司提供的资料（如业绩截图信息等相关证明材料）进行核实，若发现弄虚作假，取消中标资格，并按相关法律法规报采购投标监督部门处理，投标保证金不予退还，我司自愿承担因此造成的相关责任并赔偿相应损失。</w:t>
      </w:r>
    </w:p>
    <w:p w14:paraId="615ED321">
      <w:pPr>
        <w:snapToGrid w:val="0"/>
        <w:spacing w:line="380" w:lineRule="exact"/>
        <w:ind w:firstLine="420" w:firstLineChars="200"/>
        <w:rPr>
          <w:rFonts w:ascii="宋体" w:hAnsi="宋体"/>
          <w:color w:val="auto"/>
          <w:szCs w:val="21"/>
        </w:rPr>
      </w:pPr>
      <w:r>
        <w:rPr>
          <w:rFonts w:hint="eastAsia" w:ascii="宋体" w:hAnsi="宋体"/>
          <w:color w:val="auto"/>
          <w:szCs w:val="21"/>
        </w:rPr>
        <w:t>5、我公司不存在第二章 投标人须知第 1.4.3 项规定的任何一种情形。</w:t>
      </w:r>
    </w:p>
    <w:p w14:paraId="5FD119B0">
      <w:pPr>
        <w:snapToGrid w:val="0"/>
        <w:spacing w:line="380" w:lineRule="exact"/>
        <w:ind w:firstLine="420" w:firstLineChars="200"/>
        <w:rPr>
          <w:rFonts w:ascii="宋体" w:hAnsi="宋体"/>
          <w:color w:val="auto"/>
          <w:szCs w:val="21"/>
        </w:rPr>
      </w:pPr>
      <w:r>
        <w:rPr>
          <w:rFonts w:hint="eastAsia" w:ascii="宋体" w:hAnsi="宋体"/>
          <w:color w:val="auto"/>
          <w:szCs w:val="21"/>
        </w:rPr>
        <w:t>6、我公司的投标文件符合第二章 投标人须知第 1.3.1 项的规定。</w:t>
      </w:r>
    </w:p>
    <w:p w14:paraId="3915884F">
      <w:pPr>
        <w:snapToGrid w:val="0"/>
        <w:spacing w:line="380" w:lineRule="exact"/>
        <w:ind w:firstLine="420" w:firstLineChars="200"/>
        <w:rPr>
          <w:rFonts w:ascii="宋体" w:hAnsi="宋体"/>
          <w:color w:val="auto"/>
          <w:szCs w:val="21"/>
        </w:rPr>
      </w:pPr>
      <w:r>
        <w:rPr>
          <w:rFonts w:hint="eastAsia" w:ascii="宋体" w:hAnsi="宋体"/>
          <w:color w:val="auto"/>
          <w:szCs w:val="21"/>
        </w:rPr>
        <w:t>7、我公司的投标文件符合第四章 合同条款及格式规定，投标文件中没有采购人不能接受的条件。</w:t>
      </w:r>
    </w:p>
    <w:p w14:paraId="6849D336">
      <w:pPr>
        <w:snapToGrid w:val="0"/>
        <w:spacing w:line="380" w:lineRule="exact"/>
        <w:ind w:firstLine="420" w:firstLineChars="200"/>
        <w:rPr>
          <w:rFonts w:ascii="宋体" w:hAnsi="宋体"/>
          <w:color w:val="auto"/>
          <w:szCs w:val="21"/>
        </w:rPr>
      </w:pPr>
      <w:r>
        <w:rPr>
          <w:rFonts w:hint="eastAsia" w:ascii="宋体" w:hAnsi="宋体"/>
          <w:color w:val="auto"/>
          <w:szCs w:val="21"/>
        </w:rPr>
        <w:t>8、我公司的投标文件符合第七章 技术标准和要求（如有）。</w:t>
      </w:r>
    </w:p>
    <w:p w14:paraId="6C6BD217">
      <w:pPr>
        <w:snapToGrid w:val="0"/>
        <w:spacing w:line="380" w:lineRule="exact"/>
        <w:ind w:firstLine="420" w:firstLineChars="200"/>
        <w:rPr>
          <w:rFonts w:ascii="宋体" w:hAnsi="宋体"/>
          <w:color w:val="auto"/>
          <w:szCs w:val="21"/>
        </w:rPr>
      </w:pPr>
    </w:p>
    <w:p w14:paraId="4153A719">
      <w:pPr>
        <w:tabs>
          <w:tab w:val="left" w:pos="4200"/>
          <w:tab w:val="left" w:pos="4620"/>
        </w:tabs>
        <w:autoSpaceDE w:val="0"/>
        <w:autoSpaceDN w:val="0"/>
        <w:adjustRightInd w:val="0"/>
        <w:snapToGrid w:val="0"/>
        <w:spacing w:line="380" w:lineRule="exact"/>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13CCB6F5">
      <w:pPr>
        <w:tabs>
          <w:tab w:val="left" w:pos="6300"/>
        </w:tabs>
        <w:autoSpaceDE w:val="0"/>
        <w:autoSpaceDN w:val="0"/>
        <w:adjustRightInd w:val="0"/>
        <w:snapToGrid w:val="0"/>
        <w:spacing w:line="38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签字</w:t>
      </w:r>
      <w:r>
        <w:rPr>
          <w:rFonts w:ascii="宋体" w:hAnsi="宋体"/>
          <w:color w:val="auto"/>
          <w:kern w:val="0"/>
          <w:szCs w:val="21"/>
        </w:rPr>
        <w:t>或盖章）</w:t>
      </w:r>
    </w:p>
    <w:p w14:paraId="76FDDDA3">
      <w:pPr>
        <w:snapToGrid w:val="0"/>
        <w:spacing w:line="380" w:lineRule="exact"/>
        <w:ind w:firstLine="420" w:firstLineChars="200"/>
        <w:jc w:val="right"/>
        <w:rPr>
          <w:rFonts w:ascii="宋体" w:hAnsi="宋体"/>
          <w:color w:val="auto"/>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7060F97C">
      <w:pPr>
        <w:rPr>
          <w:color w:val="auto"/>
        </w:rPr>
      </w:pPr>
    </w:p>
    <w:bookmarkEnd w:id="417"/>
    <w:bookmarkEnd w:id="418"/>
    <w:bookmarkEnd w:id="419"/>
    <w:p w14:paraId="0B167F83">
      <w:pPr>
        <w:rPr>
          <w:rFonts w:ascii="宋体" w:hAnsi="宋体"/>
          <w:color w:val="auto"/>
          <w:szCs w:val="21"/>
        </w:rPr>
      </w:pPr>
      <w:bookmarkStart w:id="2117" w:name="_GoBack"/>
      <w:bookmarkEnd w:id="2117"/>
    </w:p>
    <w:sectPr>
      <w:footerReference r:id="rId4" w:type="default"/>
      <w:footerReference r:id="rId5"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E5CD7">
    <w:pPr>
      <w:pStyle w:val="29"/>
      <w:jc w:val="center"/>
    </w:pPr>
    <w:r>
      <w:t xml:space="preserve">- </w:t>
    </w:r>
    <w:r>
      <w:fldChar w:fldCharType="begin"/>
    </w:r>
    <w:r>
      <w:instrText xml:space="preserve"> PAGE </w:instrText>
    </w:r>
    <w:r>
      <w:fldChar w:fldCharType="separate"/>
    </w:r>
    <w:r>
      <w:t>155</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A107">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4E3B053B">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B6369BE">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5D3D0"/>
    <w:multiLevelType w:val="singleLevel"/>
    <w:tmpl w:val="E1F5D3D0"/>
    <w:lvl w:ilvl="0" w:tentative="0">
      <w:start w:val="3"/>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0EB"/>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1FC"/>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3CB"/>
    <w:rsid w:val="002B14EA"/>
    <w:rsid w:val="002B1854"/>
    <w:rsid w:val="002B1A20"/>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D7BC7"/>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3E24"/>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EA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2F10"/>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96B"/>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57E1"/>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5F5C"/>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354E"/>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932"/>
    <w:rsid w:val="006B3D38"/>
    <w:rsid w:val="006B4003"/>
    <w:rsid w:val="006B4F96"/>
    <w:rsid w:val="006B5455"/>
    <w:rsid w:val="006B5BD6"/>
    <w:rsid w:val="006B5EB2"/>
    <w:rsid w:val="006B6FB8"/>
    <w:rsid w:val="006C19F2"/>
    <w:rsid w:val="006C2D93"/>
    <w:rsid w:val="006C358C"/>
    <w:rsid w:val="006C67A1"/>
    <w:rsid w:val="006C6A2A"/>
    <w:rsid w:val="006C7369"/>
    <w:rsid w:val="006C7791"/>
    <w:rsid w:val="006D09F4"/>
    <w:rsid w:val="006D0F43"/>
    <w:rsid w:val="006D1589"/>
    <w:rsid w:val="006D1920"/>
    <w:rsid w:val="006D1D2D"/>
    <w:rsid w:val="006D1E11"/>
    <w:rsid w:val="006D26CA"/>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0D83"/>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6FFD"/>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083"/>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0FC6"/>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2621"/>
    <w:rsid w:val="00CF2EA3"/>
    <w:rsid w:val="00CF2ED6"/>
    <w:rsid w:val="00CF3926"/>
    <w:rsid w:val="00CF3DF7"/>
    <w:rsid w:val="00CF5293"/>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517"/>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5B6B"/>
    <w:rsid w:val="00E261EE"/>
    <w:rsid w:val="00E26931"/>
    <w:rsid w:val="00E27141"/>
    <w:rsid w:val="00E27F67"/>
    <w:rsid w:val="00E3161F"/>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B3B"/>
    <w:rsid w:val="00ED7DA5"/>
    <w:rsid w:val="00EE0A05"/>
    <w:rsid w:val="00EE0E28"/>
    <w:rsid w:val="00EE145D"/>
    <w:rsid w:val="00EE5BEF"/>
    <w:rsid w:val="00EE646B"/>
    <w:rsid w:val="00EE6962"/>
    <w:rsid w:val="00EE6D18"/>
    <w:rsid w:val="00EE7234"/>
    <w:rsid w:val="00EE78F6"/>
    <w:rsid w:val="00EE7A29"/>
    <w:rsid w:val="00EF0D9F"/>
    <w:rsid w:val="00EF1ECC"/>
    <w:rsid w:val="00EF2A7B"/>
    <w:rsid w:val="00EF2B3F"/>
    <w:rsid w:val="00EF2E44"/>
    <w:rsid w:val="00EF30BD"/>
    <w:rsid w:val="00EF35EB"/>
    <w:rsid w:val="00EF3E73"/>
    <w:rsid w:val="00EF4F08"/>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E22EEF"/>
    <w:rsid w:val="02094019"/>
    <w:rsid w:val="024876E8"/>
    <w:rsid w:val="025A3D10"/>
    <w:rsid w:val="02E0504F"/>
    <w:rsid w:val="02E97045"/>
    <w:rsid w:val="02FB6E41"/>
    <w:rsid w:val="03FB06D5"/>
    <w:rsid w:val="047A1299"/>
    <w:rsid w:val="048B07CE"/>
    <w:rsid w:val="04C423D9"/>
    <w:rsid w:val="04D12E16"/>
    <w:rsid w:val="04FD01C0"/>
    <w:rsid w:val="055E0BF4"/>
    <w:rsid w:val="06AB62C8"/>
    <w:rsid w:val="073A04FC"/>
    <w:rsid w:val="0772543B"/>
    <w:rsid w:val="077305E3"/>
    <w:rsid w:val="079F4F94"/>
    <w:rsid w:val="07CD0531"/>
    <w:rsid w:val="08D11764"/>
    <w:rsid w:val="096E10A3"/>
    <w:rsid w:val="0A530C57"/>
    <w:rsid w:val="0B025287"/>
    <w:rsid w:val="0B242CDB"/>
    <w:rsid w:val="0B2D534F"/>
    <w:rsid w:val="0BBF6BB4"/>
    <w:rsid w:val="0BF12592"/>
    <w:rsid w:val="0C7809C1"/>
    <w:rsid w:val="0EC05219"/>
    <w:rsid w:val="0F0A73C7"/>
    <w:rsid w:val="0F5D500D"/>
    <w:rsid w:val="0F835233"/>
    <w:rsid w:val="10D4508F"/>
    <w:rsid w:val="11402131"/>
    <w:rsid w:val="12274323"/>
    <w:rsid w:val="12792853"/>
    <w:rsid w:val="131979D7"/>
    <w:rsid w:val="13753309"/>
    <w:rsid w:val="1517452C"/>
    <w:rsid w:val="156C4FA6"/>
    <w:rsid w:val="15F202E1"/>
    <w:rsid w:val="160216D0"/>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9D67B1E"/>
    <w:rsid w:val="1AC55489"/>
    <w:rsid w:val="1B5E62E3"/>
    <w:rsid w:val="1B7A0B21"/>
    <w:rsid w:val="1B8A18C6"/>
    <w:rsid w:val="1C620459"/>
    <w:rsid w:val="1C7366B7"/>
    <w:rsid w:val="1C9B1BC8"/>
    <w:rsid w:val="1D7E4261"/>
    <w:rsid w:val="1DBA42CB"/>
    <w:rsid w:val="1DC00253"/>
    <w:rsid w:val="1DE459E0"/>
    <w:rsid w:val="1E8E78CB"/>
    <w:rsid w:val="1F4D283F"/>
    <w:rsid w:val="21D05464"/>
    <w:rsid w:val="23BB3852"/>
    <w:rsid w:val="23E62F23"/>
    <w:rsid w:val="23E67023"/>
    <w:rsid w:val="245C6B98"/>
    <w:rsid w:val="25F00525"/>
    <w:rsid w:val="260236E8"/>
    <w:rsid w:val="26D24959"/>
    <w:rsid w:val="272B2C33"/>
    <w:rsid w:val="278E1A78"/>
    <w:rsid w:val="291A6927"/>
    <w:rsid w:val="29AC3D11"/>
    <w:rsid w:val="29E178F4"/>
    <w:rsid w:val="2A092AB2"/>
    <w:rsid w:val="2A7E2845"/>
    <w:rsid w:val="2A991300"/>
    <w:rsid w:val="2C37731C"/>
    <w:rsid w:val="2C982A9C"/>
    <w:rsid w:val="2CEC10E5"/>
    <w:rsid w:val="2CF162E8"/>
    <w:rsid w:val="2DF94778"/>
    <w:rsid w:val="2E2547BF"/>
    <w:rsid w:val="2F0679C7"/>
    <w:rsid w:val="2F37683A"/>
    <w:rsid w:val="30305526"/>
    <w:rsid w:val="31EE26C8"/>
    <w:rsid w:val="31FB698F"/>
    <w:rsid w:val="32C7765E"/>
    <w:rsid w:val="32CA2532"/>
    <w:rsid w:val="33EB3CEE"/>
    <w:rsid w:val="34AB4DE7"/>
    <w:rsid w:val="34B0337D"/>
    <w:rsid w:val="34C9605D"/>
    <w:rsid w:val="361E17CD"/>
    <w:rsid w:val="36746E1E"/>
    <w:rsid w:val="36F529A6"/>
    <w:rsid w:val="37F073E0"/>
    <w:rsid w:val="38431C78"/>
    <w:rsid w:val="387E353F"/>
    <w:rsid w:val="39D76AC2"/>
    <w:rsid w:val="3AB73588"/>
    <w:rsid w:val="3ABF338F"/>
    <w:rsid w:val="3AE414BC"/>
    <w:rsid w:val="3B11419E"/>
    <w:rsid w:val="3D5D2570"/>
    <w:rsid w:val="3EFC0D98"/>
    <w:rsid w:val="3F644550"/>
    <w:rsid w:val="401B42B1"/>
    <w:rsid w:val="401D42A1"/>
    <w:rsid w:val="403861BE"/>
    <w:rsid w:val="40565757"/>
    <w:rsid w:val="40DD7C7A"/>
    <w:rsid w:val="41650F9C"/>
    <w:rsid w:val="42004864"/>
    <w:rsid w:val="424A5077"/>
    <w:rsid w:val="426C0506"/>
    <w:rsid w:val="43232629"/>
    <w:rsid w:val="445115D2"/>
    <w:rsid w:val="45D17A1D"/>
    <w:rsid w:val="46064ACA"/>
    <w:rsid w:val="473B0685"/>
    <w:rsid w:val="47411156"/>
    <w:rsid w:val="47733101"/>
    <w:rsid w:val="478F1D61"/>
    <w:rsid w:val="47B343B5"/>
    <w:rsid w:val="480C5B3E"/>
    <w:rsid w:val="48EB642B"/>
    <w:rsid w:val="4A621E0C"/>
    <w:rsid w:val="4AA916E7"/>
    <w:rsid w:val="4B5F2195"/>
    <w:rsid w:val="4C051C9C"/>
    <w:rsid w:val="4C0650FC"/>
    <w:rsid w:val="4C2F48E8"/>
    <w:rsid w:val="4C6774D3"/>
    <w:rsid w:val="4DB92B07"/>
    <w:rsid w:val="4EA973E8"/>
    <w:rsid w:val="4EAC070E"/>
    <w:rsid w:val="4EC0153A"/>
    <w:rsid w:val="4EFF0E96"/>
    <w:rsid w:val="4F83650B"/>
    <w:rsid w:val="4F837F80"/>
    <w:rsid w:val="4FE56D34"/>
    <w:rsid w:val="50AE5B33"/>
    <w:rsid w:val="50C529B2"/>
    <w:rsid w:val="51185ECD"/>
    <w:rsid w:val="514D16F8"/>
    <w:rsid w:val="51AE5717"/>
    <w:rsid w:val="52124463"/>
    <w:rsid w:val="52511E01"/>
    <w:rsid w:val="52627DAB"/>
    <w:rsid w:val="53287732"/>
    <w:rsid w:val="541F03AC"/>
    <w:rsid w:val="547406A5"/>
    <w:rsid w:val="54CA0AEC"/>
    <w:rsid w:val="55512FE3"/>
    <w:rsid w:val="56B2378D"/>
    <w:rsid w:val="570E1B7D"/>
    <w:rsid w:val="587D13BE"/>
    <w:rsid w:val="589658F5"/>
    <w:rsid w:val="591612EA"/>
    <w:rsid w:val="594F2A8B"/>
    <w:rsid w:val="59DD2FE2"/>
    <w:rsid w:val="5A0F6842"/>
    <w:rsid w:val="5A7D1893"/>
    <w:rsid w:val="5AD9194A"/>
    <w:rsid w:val="5AF65560"/>
    <w:rsid w:val="5B4E5095"/>
    <w:rsid w:val="5CD478FD"/>
    <w:rsid w:val="5D246E7A"/>
    <w:rsid w:val="5D431218"/>
    <w:rsid w:val="5D4361AE"/>
    <w:rsid w:val="5E520791"/>
    <w:rsid w:val="5E535EE5"/>
    <w:rsid w:val="5EC6593C"/>
    <w:rsid w:val="5FAA1071"/>
    <w:rsid w:val="5FF655F4"/>
    <w:rsid w:val="6105188D"/>
    <w:rsid w:val="61533A4A"/>
    <w:rsid w:val="61DF2C4E"/>
    <w:rsid w:val="62251304"/>
    <w:rsid w:val="625E14D8"/>
    <w:rsid w:val="63767625"/>
    <w:rsid w:val="64AA535B"/>
    <w:rsid w:val="654939E3"/>
    <w:rsid w:val="65A82464"/>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15F4A78"/>
    <w:rsid w:val="72DB02EA"/>
    <w:rsid w:val="72DF0017"/>
    <w:rsid w:val="73E2490F"/>
    <w:rsid w:val="74FE30DA"/>
    <w:rsid w:val="757035C8"/>
    <w:rsid w:val="759D68D9"/>
    <w:rsid w:val="77A071CF"/>
    <w:rsid w:val="782177E9"/>
    <w:rsid w:val="78333C51"/>
    <w:rsid w:val="7A9D0F2F"/>
    <w:rsid w:val="7B3F716E"/>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Char2"/>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Char3"/>
    <w:link w:val="40"/>
    <w:qFormat/>
    <w:uiPriority w:val="0"/>
    <w:rPr>
      <w:rFonts w:ascii="宋体" w:hAnsi="宋体" w:eastAsia="宋体" w:cs="宋体"/>
      <w:color w:val="000000"/>
      <w:sz w:val="24"/>
      <w:szCs w:val="24"/>
      <w:lang w:val="en-US" w:eastAsia="zh-CN" w:bidi="ar-SA"/>
    </w:rPr>
  </w:style>
  <w:style w:type="character" w:customStyle="1" w:styleId="162">
    <w:name w:val="文档结构图 Char4"/>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Char4"/>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Char2"/>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Char4"/>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Char2"/>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Char2"/>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Char3"/>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Char4"/>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Char3"/>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Char4"/>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Char2"/>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Char"/>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Char3"/>
    <w:link w:val="43"/>
    <w:qFormat/>
    <w:uiPriority w:val="0"/>
    <w:rPr>
      <w:rFonts w:eastAsia="宋体"/>
      <w:szCs w:val="24"/>
      <w:u w:val="single"/>
      <w:lang w:val="en-US" w:eastAsia="en-US" w:bidi="ar-SA"/>
    </w:rPr>
  </w:style>
  <w:style w:type="character" w:customStyle="1" w:styleId="237">
    <w:name w:val="正文文本缩进 2 Char3"/>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Char3"/>
    <w:link w:val="18"/>
    <w:qFormat/>
    <w:uiPriority w:val="0"/>
    <w:rPr>
      <w:rFonts w:eastAsia="宋体"/>
      <w:kern w:val="2"/>
      <w:sz w:val="21"/>
      <w:szCs w:val="24"/>
      <w:lang w:val="en-US" w:eastAsia="zh-CN" w:bidi="ar-SA"/>
    </w:rPr>
  </w:style>
  <w:style w:type="character" w:customStyle="1" w:styleId="241">
    <w:name w:val="标题 9 Char2"/>
    <w:link w:val="12"/>
    <w:qFormat/>
    <w:uiPriority w:val="0"/>
    <w:rPr>
      <w:rFonts w:eastAsia="仿宋_GB2312"/>
      <w:sz w:val="30"/>
      <w:lang w:val="en-US" w:eastAsia="zh-CN" w:bidi="ar-SA"/>
    </w:rPr>
  </w:style>
  <w:style w:type="character" w:customStyle="1" w:styleId="242">
    <w:name w:val="标题 8 Char2"/>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Char3"/>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Char3"/>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Char2"/>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Char4"/>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Char4"/>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Char2"/>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Char3"/>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Char2"/>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Char2"/>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Char3"/>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Char3"/>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Table Paragraph"/>
    <w:basedOn w:val="1"/>
    <w:qFormat/>
    <w:uiPriority w:val="1"/>
    <w:pPr>
      <w:autoSpaceDE w:val="0"/>
      <w:autoSpaceDN w:val="0"/>
      <w:jc w:val="left"/>
    </w:pPr>
    <w:rPr>
      <w:rFonts w:ascii="宋体" w:hAnsi="宋体" w:cs="宋体"/>
      <w:kern w:val="0"/>
      <w:sz w:val="22"/>
      <w:szCs w:val="22"/>
    </w:rPr>
  </w:style>
  <w:style w:type="character" w:customStyle="1" w:styleId="313">
    <w:name w:val="fontstyle01"/>
    <w:basedOn w:val="4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NSF</Company>
  <Pages>200</Pages>
  <Words>12731</Words>
  <Characters>13775</Characters>
  <Lines>997</Lines>
  <Paragraphs>280</Paragraphs>
  <TotalTime>7</TotalTime>
  <ScaleCrop>false</ScaleCrop>
  <LinksUpToDate>false</LinksUpToDate>
  <CharactersWithSpaces>14310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2022-08-10T03:17:00Z</dcterms:created>
  <dc:creator>USER</dc:creator>
  <cp:lastModifiedBy>Administrator</cp:lastModifiedBy>
  <cp:lastPrinted>2022-10-02T02:26:00Z</cp:lastPrinted>
  <dcterms:modified xsi:type="dcterms:W3CDTF">2025-04-30T03:14:39Z</dcterms:modified>
  <dc:title>第一卷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D76A5C0DD2CB4B069AA26A0D5EAA7792_13</vt:lpwstr>
  </property>
  <property fmtid="{D5CDD505-2E9C-101B-9397-08002B2CF9AE}" pid="4" name="KSOTemplateDocerSaveRecord">
    <vt:lpwstr>eyJoZGlkIjoiMTBmZDRmMzQyOTc1NDBlZGMyNDA3YTlmZWIyYmQzOWIiLCJ1c2VySWQiOiIzNTA5MTM3NTUifQ==</vt:lpwstr>
  </property>
</Properties>
</file>