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C24B1">
      <w:pPr>
        <w:ind w:firstLine="440"/>
        <w:jc w:val="center"/>
        <w:rPr>
          <w:rFonts w:ascii="宋体" w:hAnsi="宋体"/>
          <w:b/>
          <w:sz w:val="44"/>
          <w:szCs w:val="44"/>
        </w:rPr>
      </w:pPr>
    </w:p>
    <w:p w14:paraId="1B2F335D">
      <w:pPr>
        <w:spacing w:line="360" w:lineRule="auto"/>
        <w:ind w:firstLine="321"/>
        <w:jc w:val="center"/>
        <w:rPr>
          <w:rFonts w:ascii="宋体" w:hAnsi="宋体"/>
          <w:color w:val="0000FF"/>
          <w:kern w:val="0"/>
          <w:sz w:val="32"/>
          <w:szCs w:val="32"/>
          <w:u w:val="single"/>
        </w:rPr>
      </w:pPr>
      <w:r>
        <w:rPr>
          <w:rFonts w:hint="eastAsia" w:ascii="宋体" w:hAnsi="宋体"/>
          <w:color w:val="0000FF"/>
          <w:kern w:val="0"/>
          <w:sz w:val="32"/>
          <w:szCs w:val="32"/>
          <w:u w:val="single"/>
        </w:rPr>
        <w:t>重庆经开区投资集团有限公司主体信用评级</w:t>
      </w:r>
    </w:p>
    <w:p w14:paraId="4FFCECF7">
      <w:pPr>
        <w:spacing w:line="360" w:lineRule="auto"/>
        <w:ind w:firstLine="321"/>
        <w:jc w:val="center"/>
        <w:rPr>
          <w:rFonts w:ascii="宋体" w:hAnsi="宋体"/>
          <w:kern w:val="0"/>
          <w:sz w:val="32"/>
          <w:szCs w:val="32"/>
        </w:rPr>
      </w:pPr>
      <w:r>
        <w:rPr>
          <w:rFonts w:hint="eastAsia" w:ascii="宋体" w:hAnsi="宋体"/>
          <w:kern w:val="0"/>
          <w:sz w:val="32"/>
          <w:szCs w:val="32"/>
          <w:u w:val="single"/>
        </w:rPr>
        <w:t>（项目名称）</w:t>
      </w:r>
    </w:p>
    <w:p w14:paraId="697C3E7B">
      <w:pPr>
        <w:autoSpaceDE w:val="0"/>
        <w:autoSpaceDN w:val="0"/>
        <w:adjustRightInd w:val="0"/>
        <w:snapToGrid w:val="0"/>
        <w:spacing w:line="360" w:lineRule="auto"/>
        <w:ind w:firstLine="201"/>
        <w:jc w:val="left"/>
        <w:rPr>
          <w:rFonts w:ascii="宋体" w:hAnsi="宋体"/>
          <w:kern w:val="0"/>
          <w:sz w:val="20"/>
          <w:szCs w:val="20"/>
        </w:rPr>
      </w:pPr>
    </w:p>
    <w:p w14:paraId="64308EB9">
      <w:pPr>
        <w:autoSpaceDE w:val="0"/>
        <w:autoSpaceDN w:val="0"/>
        <w:adjustRightInd w:val="0"/>
        <w:snapToGrid w:val="0"/>
        <w:spacing w:line="360" w:lineRule="auto"/>
        <w:ind w:firstLine="201"/>
        <w:jc w:val="left"/>
        <w:rPr>
          <w:rFonts w:ascii="宋体" w:hAnsi="宋体"/>
          <w:kern w:val="0"/>
          <w:sz w:val="20"/>
          <w:szCs w:val="20"/>
        </w:rPr>
      </w:pPr>
    </w:p>
    <w:p w14:paraId="7BCC9876">
      <w:pPr>
        <w:autoSpaceDE w:val="0"/>
        <w:autoSpaceDN w:val="0"/>
        <w:adjustRightInd w:val="0"/>
        <w:snapToGrid w:val="0"/>
        <w:spacing w:line="360" w:lineRule="auto"/>
        <w:ind w:firstLine="201"/>
        <w:jc w:val="left"/>
        <w:rPr>
          <w:rFonts w:ascii="宋体" w:hAnsi="宋体"/>
          <w:kern w:val="0"/>
          <w:sz w:val="20"/>
          <w:szCs w:val="20"/>
        </w:rPr>
      </w:pPr>
    </w:p>
    <w:p w14:paraId="5100A3BC">
      <w:pPr>
        <w:autoSpaceDE w:val="0"/>
        <w:autoSpaceDN w:val="0"/>
        <w:adjustRightInd w:val="0"/>
        <w:snapToGrid w:val="0"/>
        <w:spacing w:line="360" w:lineRule="auto"/>
        <w:ind w:firstLine="201"/>
        <w:jc w:val="left"/>
        <w:rPr>
          <w:rFonts w:ascii="宋体" w:hAnsi="宋体"/>
          <w:kern w:val="0"/>
          <w:sz w:val="20"/>
          <w:szCs w:val="20"/>
        </w:rPr>
      </w:pPr>
    </w:p>
    <w:p w14:paraId="32879F1A">
      <w:pPr>
        <w:autoSpaceDE w:val="0"/>
        <w:autoSpaceDN w:val="0"/>
        <w:adjustRightInd w:val="0"/>
        <w:snapToGrid w:val="0"/>
        <w:spacing w:line="360" w:lineRule="auto"/>
        <w:ind w:firstLine="201"/>
        <w:jc w:val="left"/>
        <w:rPr>
          <w:rFonts w:ascii="宋体" w:hAnsi="宋体"/>
          <w:kern w:val="0"/>
          <w:sz w:val="20"/>
          <w:szCs w:val="20"/>
        </w:rPr>
      </w:pPr>
    </w:p>
    <w:p w14:paraId="6071A092">
      <w:pPr>
        <w:autoSpaceDE w:val="0"/>
        <w:autoSpaceDN w:val="0"/>
        <w:adjustRightInd w:val="0"/>
        <w:snapToGrid w:val="0"/>
        <w:spacing w:line="360" w:lineRule="auto"/>
        <w:ind w:firstLine="201"/>
        <w:jc w:val="left"/>
        <w:rPr>
          <w:rFonts w:ascii="宋体" w:hAnsi="宋体"/>
          <w:kern w:val="0"/>
          <w:sz w:val="20"/>
          <w:szCs w:val="20"/>
        </w:rPr>
      </w:pPr>
    </w:p>
    <w:p w14:paraId="4AA11B2F">
      <w:pPr>
        <w:autoSpaceDE w:val="0"/>
        <w:autoSpaceDN w:val="0"/>
        <w:adjustRightInd w:val="0"/>
        <w:snapToGrid w:val="0"/>
        <w:spacing w:line="360" w:lineRule="auto"/>
        <w:ind w:firstLine="723"/>
        <w:jc w:val="center"/>
        <w:outlineLvl w:val="0"/>
        <w:rPr>
          <w:rFonts w:ascii="宋体" w:hAnsi="宋体"/>
          <w:kern w:val="0"/>
          <w:sz w:val="72"/>
          <w:szCs w:val="72"/>
        </w:rPr>
      </w:pPr>
      <w:bookmarkStart w:id="0" w:name="_Toc21149"/>
      <w:r>
        <w:rPr>
          <w:rFonts w:hint="eastAsia" w:ascii="宋体" w:hAnsi="宋体"/>
          <w:kern w:val="0"/>
          <w:sz w:val="72"/>
          <w:szCs w:val="72"/>
        </w:rPr>
        <w:t>竞争性比选</w:t>
      </w:r>
      <w:r>
        <w:rPr>
          <w:rFonts w:ascii="宋体" w:hAnsi="宋体"/>
          <w:kern w:val="0"/>
          <w:sz w:val="72"/>
          <w:szCs w:val="72"/>
        </w:rPr>
        <w:t>文件</w:t>
      </w:r>
      <w:bookmarkEnd w:id="0"/>
    </w:p>
    <w:p w14:paraId="38290DAB">
      <w:pPr>
        <w:autoSpaceDE w:val="0"/>
        <w:autoSpaceDN w:val="0"/>
        <w:adjustRightInd w:val="0"/>
        <w:snapToGrid w:val="0"/>
        <w:spacing w:line="360" w:lineRule="auto"/>
        <w:ind w:firstLine="100"/>
        <w:jc w:val="left"/>
        <w:rPr>
          <w:rFonts w:ascii="宋体" w:hAnsi="宋体"/>
          <w:kern w:val="0"/>
          <w:sz w:val="10"/>
          <w:szCs w:val="10"/>
        </w:rPr>
      </w:pPr>
    </w:p>
    <w:p w14:paraId="1F2566D8">
      <w:pPr>
        <w:autoSpaceDE w:val="0"/>
        <w:autoSpaceDN w:val="0"/>
        <w:adjustRightInd w:val="0"/>
        <w:snapToGrid w:val="0"/>
        <w:spacing w:line="360" w:lineRule="auto"/>
        <w:ind w:firstLine="201"/>
        <w:jc w:val="left"/>
        <w:rPr>
          <w:rFonts w:ascii="宋体" w:hAnsi="宋体"/>
          <w:kern w:val="0"/>
          <w:sz w:val="20"/>
          <w:szCs w:val="20"/>
        </w:rPr>
      </w:pPr>
    </w:p>
    <w:p w14:paraId="72969672">
      <w:pPr>
        <w:autoSpaceDE w:val="0"/>
        <w:autoSpaceDN w:val="0"/>
        <w:adjustRightInd w:val="0"/>
        <w:snapToGrid w:val="0"/>
        <w:spacing w:line="360" w:lineRule="auto"/>
        <w:ind w:firstLine="201"/>
        <w:jc w:val="left"/>
        <w:rPr>
          <w:rFonts w:ascii="宋体" w:hAnsi="宋体"/>
          <w:kern w:val="0"/>
          <w:sz w:val="20"/>
          <w:szCs w:val="20"/>
        </w:rPr>
      </w:pPr>
    </w:p>
    <w:p w14:paraId="7CD99EEC">
      <w:pPr>
        <w:autoSpaceDE w:val="0"/>
        <w:autoSpaceDN w:val="0"/>
        <w:adjustRightInd w:val="0"/>
        <w:snapToGrid w:val="0"/>
        <w:spacing w:line="360" w:lineRule="auto"/>
        <w:ind w:firstLine="201"/>
        <w:jc w:val="left"/>
        <w:rPr>
          <w:rFonts w:ascii="宋体" w:hAnsi="宋体"/>
          <w:kern w:val="0"/>
          <w:sz w:val="20"/>
          <w:szCs w:val="20"/>
        </w:rPr>
      </w:pPr>
    </w:p>
    <w:p w14:paraId="354267D7">
      <w:pPr>
        <w:autoSpaceDE w:val="0"/>
        <w:autoSpaceDN w:val="0"/>
        <w:adjustRightInd w:val="0"/>
        <w:snapToGrid w:val="0"/>
        <w:spacing w:line="360" w:lineRule="auto"/>
        <w:ind w:firstLine="201"/>
        <w:jc w:val="left"/>
        <w:rPr>
          <w:rFonts w:ascii="宋体" w:hAnsi="宋体"/>
          <w:kern w:val="0"/>
          <w:sz w:val="20"/>
          <w:szCs w:val="20"/>
        </w:rPr>
      </w:pPr>
    </w:p>
    <w:p w14:paraId="787399C0">
      <w:pPr>
        <w:autoSpaceDE w:val="0"/>
        <w:autoSpaceDN w:val="0"/>
        <w:adjustRightInd w:val="0"/>
        <w:snapToGrid w:val="0"/>
        <w:spacing w:line="360" w:lineRule="auto"/>
        <w:ind w:firstLine="201"/>
        <w:jc w:val="left"/>
        <w:rPr>
          <w:rFonts w:ascii="宋体" w:hAnsi="宋体"/>
          <w:kern w:val="0"/>
          <w:sz w:val="20"/>
          <w:szCs w:val="20"/>
        </w:rPr>
      </w:pPr>
    </w:p>
    <w:p w14:paraId="23149EB3">
      <w:pPr>
        <w:autoSpaceDE w:val="0"/>
        <w:autoSpaceDN w:val="0"/>
        <w:adjustRightInd w:val="0"/>
        <w:snapToGrid w:val="0"/>
        <w:spacing w:line="360" w:lineRule="auto"/>
        <w:ind w:firstLine="201"/>
        <w:jc w:val="left"/>
        <w:rPr>
          <w:rFonts w:ascii="宋体" w:hAnsi="宋体"/>
          <w:kern w:val="0"/>
          <w:sz w:val="20"/>
          <w:szCs w:val="20"/>
        </w:rPr>
      </w:pPr>
    </w:p>
    <w:p w14:paraId="193AA622">
      <w:pPr>
        <w:autoSpaceDE w:val="0"/>
        <w:autoSpaceDN w:val="0"/>
        <w:adjustRightInd w:val="0"/>
        <w:snapToGrid w:val="0"/>
        <w:spacing w:line="360" w:lineRule="auto"/>
        <w:ind w:firstLine="201"/>
        <w:jc w:val="left"/>
        <w:rPr>
          <w:rFonts w:ascii="宋体" w:hAnsi="宋体"/>
          <w:kern w:val="0"/>
          <w:sz w:val="20"/>
          <w:szCs w:val="20"/>
        </w:rPr>
      </w:pPr>
    </w:p>
    <w:p w14:paraId="223E4A2B">
      <w:pPr>
        <w:autoSpaceDE w:val="0"/>
        <w:autoSpaceDN w:val="0"/>
        <w:adjustRightInd w:val="0"/>
        <w:snapToGrid w:val="0"/>
        <w:spacing w:line="360" w:lineRule="auto"/>
        <w:ind w:firstLine="201"/>
        <w:rPr>
          <w:rFonts w:ascii="宋体" w:hAnsi="宋体"/>
          <w:kern w:val="0"/>
          <w:sz w:val="20"/>
          <w:szCs w:val="20"/>
        </w:rPr>
      </w:pPr>
    </w:p>
    <w:p w14:paraId="3B33E2D9">
      <w:pPr>
        <w:autoSpaceDE w:val="0"/>
        <w:autoSpaceDN w:val="0"/>
        <w:adjustRightInd w:val="0"/>
        <w:snapToGrid w:val="0"/>
        <w:spacing w:line="360" w:lineRule="auto"/>
        <w:ind w:firstLine="201"/>
        <w:jc w:val="left"/>
        <w:rPr>
          <w:rFonts w:ascii="宋体" w:hAnsi="宋体"/>
          <w:kern w:val="0"/>
          <w:sz w:val="20"/>
          <w:szCs w:val="20"/>
        </w:rPr>
      </w:pPr>
    </w:p>
    <w:p w14:paraId="7E28A091">
      <w:pPr>
        <w:autoSpaceDE w:val="0"/>
        <w:autoSpaceDN w:val="0"/>
        <w:adjustRightInd w:val="0"/>
        <w:snapToGrid w:val="0"/>
        <w:spacing w:line="360" w:lineRule="auto"/>
        <w:ind w:firstLine="201"/>
        <w:rPr>
          <w:rFonts w:ascii="宋体" w:hAnsi="宋体"/>
          <w:kern w:val="0"/>
          <w:sz w:val="20"/>
          <w:szCs w:val="20"/>
        </w:rPr>
      </w:pPr>
    </w:p>
    <w:p w14:paraId="09D33D91">
      <w:pPr>
        <w:autoSpaceDE w:val="0"/>
        <w:autoSpaceDN w:val="0"/>
        <w:adjustRightInd w:val="0"/>
        <w:snapToGrid w:val="0"/>
        <w:spacing w:line="360" w:lineRule="auto"/>
        <w:ind w:firstLine="201"/>
        <w:rPr>
          <w:rFonts w:ascii="宋体" w:hAnsi="宋体"/>
          <w:kern w:val="0"/>
          <w:sz w:val="20"/>
          <w:szCs w:val="20"/>
        </w:rPr>
      </w:pPr>
    </w:p>
    <w:p w14:paraId="732B1E9E">
      <w:pPr>
        <w:autoSpaceDE w:val="0"/>
        <w:autoSpaceDN w:val="0"/>
        <w:adjustRightInd w:val="0"/>
        <w:snapToGrid w:val="0"/>
        <w:spacing w:line="360" w:lineRule="auto"/>
        <w:ind w:firstLine="201"/>
        <w:rPr>
          <w:rFonts w:ascii="宋体" w:hAnsi="宋体"/>
          <w:kern w:val="0"/>
          <w:sz w:val="20"/>
          <w:szCs w:val="20"/>
        </w:rPr>
      </w:pPr>
    </w:p>
    <w:p w14:paraId="79A936DA">
      <w:pPr>
        <w:tabs>
          <w:tab w:val="left" w:pos="6219"/>
        </w:tabs>
        <w:autoSpaceDE w:val="0"/>
        <w:autoSpaceDN w:val="0"/>
        <w:adjustRightInd w:val="0"/>
        <w:snapToGrid w:val="0"/>
        <w:spacing w:line="360" w:lineRule="auto"/>
        <w:ind w:firstLine="279"/>
        <w:jc w:val="center"/>
        <w:outlineLvl w:val="0"/>
        <w:rPr>
          <w:rFonts w:ascii="宋体" w:hAnsi="宋体"/>
          <w:b/>
          <w:w w:val="99"/>
          <w:kern w:val="0"/>
          <w:sz w:val="28"/>
          <w:szCs w:val="28"/>
        </w:rPr>
      </w:pPr>
      <w:bookmarkStart w:id="1" w:name="_Toc22934"/>
      <w:bookmarkStart w:id="2" w:name="_Toc18795"/>
      <w:r>
        <w:rPr>
          <w:rFonts w:hint="eastAsia" w:ascii="宋体" w:hAnsi="宋体"/>
          <w:b/>
          <w:w w:val="99"/>
          <w:kern w:val="0"/>
          <w:sz w:val="28"/>
          <w:szCs w:val="28"/>
        </w:rPr>
        <w:t>比选</w:t>
      </w:r>
      <w:r>
        <w:rPr>
          <w:rFonts w:ascii="宋体" w:hAnsi="宋体"/>
          <w:b/>
          <w:w w:val="99"/>
          <w:kern w:val="0"/>
          <w:sz w:val="28"/>
          <w:szCs w:val="28"/>
        </w:rPr>
        <w:t>人：</w:t>
      </w:r>
      <w:r>
        <w:rPr>
          <w:rFonts w:hint="eastAsia" w:ascii="宋体" w:hAnsi="宋体"/>
          <w:b/>
          <w:w w:val="99"/>
          <w:kern w:val="0"/>
          <w:sz w:val="28"/>
          <w:szCs w:val="28"/>
        </w:rPr>
        <w:t>重庆经开区投资集团有限公司</w:t>
      </w:r>
      <w:r>
        <w:rPr>
          <w:rFonts w:ascii="宋体" w:hAnsi="宋体"/>
          <w:b/>
          <w:w w:val="99"/>
          <w:kern w:val="0"/>
          <w:sz w:val="28"/>
          <w:szCs w:val="28"/>
        </w:rPr>
        <w:t>（盖单位法人章）</w:t>
      </w:r>
      <w:bookmarkEnd w:id="1"/>
      <w:bookmarkEnd w:id="2"/>
    </w:p>
    <w:p w14:paraId="53FA352E">
      <w:pPr>
        <w:autoSpaceDE w:val="0"/>
        <w:autoSpaceDN w:val="0"/>
        <w:adjustRightInd w:val="0"/>
        <w:snapToGrid w:val="0"/>
        <w:spacing w:line="360" w:lineRule="auto"/>
        <w:ind w:firstLine="200"/>
        <w:jc w:val="center"/>
        <w:rPr>
          <w:rFonts w:ascii="宋体" w:hAnsi="宋体"/>
          <w:b/>
          <w:kern w:val="0"/>
          <w:sz w:val="20"/>
          <w:szCs w:val="20"/>
        </w:rPr>
      </w:pPr>
    </w:p>
    <w:p w14:paraId="12B9E7F8">
      <w:pPr>
        <w:autoSpaceDE w:val="0"/>
        <w:autoSpaceDN w:val="0"/>
        <w:adjustRightInd w:val="0"/>
        <w:snapToGrid w:val="0"/>
        <w:spacing w:line="360" w:lineRule="auto"/>
        <w:ind w:firstLine="280"/>
        <w:jc w:val="center"/>
        <w:rPr>
          <w:rFonts w:ascii="宋体" w:hAnsi="宋体"/>
          <w:b/>
          <w:kern w:val="0"/>
          <w:sz w:val="28"/>
          <w:szCs w:val="28"/>
        </w:rPr>
      </w:pPr>
    </w:p>
    <w:p w14:paraId="385A48A3">
      <w:pPr>
        <w:autoSpaceDE w:val="0"/>
        <w:autoSpaceDN w:val="0"/>
        <w:adjustRightInd w:val="0"/>
        <w:snapToGrid w:val="0"/>
        <w:spacing w:line="360" w:lineRule="auto"/>
        <w:ind w:firstLine="280"/>
        <w:jc w:val="center"/>
        <w:rPr>
          <w:rFonts w:ascii="宋体" w:hAnsi="宋体"/>
          <w:b/>
          <w:kern w:val="0"/>
          <w:sz w:val="28"/>
          <w:szCs w:val="28"/>
        </w:rPr>
      </w:pPr>
    </w:p>
    <w:p w14:paraId="095CD8D9">
      <w:pPr>
        <w:autoSpaceDE w:val="0"/>
        <w:autoSpaceDN w:val="0"/>
        <w:adjustRightInd w:val="0"/>
        <w:snapToGrid w:val="0"/>
        <w:spacing w:line="360" w:lineRule="auto"/>
        <w:ind w:firstLine="200"/>
        <w:rPr>
          <w:rFonts w:ascii="宋体" w:hAnsi="宋体"/>
          <w:b/>
          <w:kern w:val="0"/>
          <w:sz w:val="20"/>
          <w:szCs w:val="20"/>
        </w:rPr>
      </w:pPr>
    </w:p>
    <w:p w14:paraId="23A3DA31">
      <w:pPr>
        <w:tabs>
          <w:tab w:val="left" w:pos="6252"/>
        </w:tabs>
        <w:autoSpaceDE w:val="0"/>
        <w:autoSpaceDN w:val="0"/>
        <w:adjustRightInd w:val="0"/>
        <w:snapToGrid w:val="0"/>
        <w:spacing w:line="360" w:lineRule="auto"/>
        <w:ind w:firstLine="297"/>
        <w:jc w:val="center"/>
        <w:rPr>
          <w:rFonts w:ascii="宋体" w:hAnsi="宋体"/>
          <w:bCs/>
          <w:spacing w:val="8"/>
          <w:kern w:val="0"/>
          <w:sz w:val="28"/>
          <w:szCs w:val="28"/>
        </w:rPr>
      </w:pPr>
      <w:bookmarkStart w:id="3" w:name="_Toc536797277"/>
      <w:bookmarkStart w:id="4" w:name="_Toc536796736"/>
      <w:bookmarkStart w:id="5" w:name="_Toc13210649"/>
      <w:bookmarkStart w:id="6" w:name="_Toc509218549"/>
      <w:bookmarkStart w:id="7" w:name="_Toc536621766"/>
      <w:r>
        <w:rPr>
          <w:rFonts w:hint="eastAsia" w:ascii="宋体" w:hAnsi="宋体"/>
          <w:b/>
          <w:spacing w:val="8"/>
          <w:kern w:val="0"/>
          <w:sz w:val="28"/>
          <w:szCs w:val="28"/>
          <w:u w:val="single"/>
        </w:rPr>
        <w:t>202</w:t>
      </w:r>
      <w:r>
        <w:rPr>
          <w:rFonts w:hint="eastAsia" w:ascii="宋体" w:hAnsi="宋体"/>
          <w:b/>
          <w:spacing w:val="8"/>
          <w:kern w:val="0"/>
          <w:sz w:val="28"/>
          <w:szCs w:val="28"/>
          <w:u w:val="single"/>
          <w:lang w:val="en-US" w:eastAsia="zh-CN"/>
        </w:rPr>
        <w:t>5</w:t>
      </w:r>
      <w:r>
        <w:rPr>
          <w:rFonts w:ascii="宋体" w:hAnsi="宋体"/>
          <w:b/>
          <w:spacing w:val="8"/>
          <w:kern w:val="0"/>
          <w:sz w:val="28"/>
          <w:szCs w:val="28"/>
        </w:rPr>
        <w:t>年</w:t>
      </w:r>
      <w:r>
        <w:rPr>
          <w:rFonts w:hint="eastAsia" w:ascii="宋体" w:hAnsi="宋体"/>
          <w:b/>
          <w:spacing w:val="8"/>
          <w:kern w:val="0"/>
          <w:sz w:val="28"/>
          <w:szCs w:val="28"/>
          <w:u w:val="single"/>
        </w:rPr>
        <w:t>7</w:t>
      </w:r>
      <w:r>
        <w:rPr>
          <w:rFonts w:ascii="宋体" w:hAnsi="宋体"/>
          <w:b/>
          <w:spacing w:val="8"/>
          <w:kern w:val="0"/>
          <w:sz w:val="28"/>
          <w:szCs w:val="28"/>
        </w:rPr>
        <w:t>月</w:t>
      </w:r>
      <w:bookmarkEnd w:id="3"/>
      <w:bookmarkEnd w:id="4"/>
      <w:bookmarkEnd w:id="5"/>
      <w:bookmarkEnd w:id="6"/>
      <w:bookmarkEnd w:id="7"/>
    </w:p>
    <w:p w14:paraId="213629DA">
      <w:pPr>
        <w:pStyle w:val="2"/>
        <w:spacing w:line="360" w:lineRule="auto"/>
        <w:ind w:firstLine="239"/>
        <w:jc w:val="center"/>
        <w:rPr>
          <w:rFonts w:ascii="宋体" w:hAnsi="宋体"/>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64D7AB20">
      <w:pPr>
        <w:pStyle w:val="121"/>
        <w:ind w:firstLine="442"/>
        <w:jc w:val="center"/>
        <w:rPr>
          <w:rFonts w:ascii="宋体" w:hAnsi="宋体"/>
          <w:color w:val="auto"/>
          <w:sz w:val="44"/>
          <w:szCs w:val="44"/>
          <w:lang w:val="zh-CN"/>
        </w:rPr>
      </w:pPr>
      <w:bookmarkStart w:id="8" w:name="_Toc5767"/>
      <w:bookmarkStart w:id="9" w:name="_Toc28843"/>
      <w:r>
        <w:rPr>
          <w:rFonts w:ascii="宋体" w:hAnsi="宋体"/>
          <w:color w:val="auto"/>
          <w:sz w:val="44"/>
          <w:szCs w:val="44"/>
          <w:lang w:val="zh-CN"/>
        </w:rPr>
        <w:t>目录</w:t>
      </w:r>
      <w:bookmarkEnd w:id="8"/>
      <w:bookmarkEnd w:id="9"/>
    </w:p>
    <w:sdt>
      <w:sdtPr>
        <w:rPr>
          <w:rFonts w:ascii="宋体" w:hAnsi="宋体"/>
        </w:rPr>
        <w:id w:val="147459156"/>
        <w:docPartObj>
          <w:docPartGallery w:val="Table of Contents"/>
          <w:docPartUnique/>
        </w:docPartObj>
      </w:sdtPr>
      <w:sdtEndPr>
        <w:rPr>
          <w:rFonts w:ascii="宋体" w:hAnsi="宋体"/>
          <w:b/>
        </w:rPr>
      </w:sdtEndPr>
      <w:sdtContent>
        <w:p w14:paraId="4614DB8B">
          <w:pPr>
            <w:ind w:firstLine="211"/>
            <w:jc w:val="center"/>
          </w:pPr>
          <w:r>
            <w:rPr>
              <w:rFonts w:ascii="宋体" w:hAnsi="宋体"/>
            </w:rPr>
            <w:t>目录</w:t>
          </w:r>
        </w:p>
        <w:p w14:paraId="4A818B84">
          <w:pPr>
            <w:pStyle w:val="31"/>
            <w:tabs>
              <w:tab w:val="right" w:leader="dot" w:pos="9070"/>
            </w:tabs>
          </w:pPr>
          <w:r>
            <w:fldChar w:fldCharType="begin"/>
          </w:r>
          <w:r>
            <w:instrText xml:space="preserve">TOC \o "1-2" \h \u </w:instrText>
          </w:r>
          <w:r>
            <w:fldChar w:fldCharType="separate"/>
          </w:r>
          <w:r>
            <w:fldChar w:fldCharType="begin"/>
          </w:r>
          <w:r>
            <w:instrText xml:space="preserve"> HYPERLINK \l _Toc21149 </w:instrText>
          </w:r>
          <w:r>
            <w:fldChar w:fldCharType="separate"/>
          </w:r>
          <w:r>
            <w:rPr>
              <w:rFonts w:hint="eastAsia" w:ascii="宋体" w:hAnsi="宋体"/>
              <w:kern w:val="0"/>
              <w:szCs w:val="72"/>
            </w:rPr>
            <w:t>竞争性比选</w:t>
          </w:r>
          <w:r>
            <w:rPr>
              <w:rFonts w:ascii="宋体" w:hAnsi="宋体"/>
              <w:kern w:val="0"/>
              <w:szCs w:val="72"/>
            </w:rPr>
            <w:t>文件</w:t>
          </w:r>
          <w:r>
            <w:tab/>
          </w:r>
          <w:r>
            <w:fldChar w:fldCharType="begin"/>
          </w:r>
          <w:r>
            <w:instrText xml:space="preserve"> PAGEREF _Toc21149 \h </w:instrText>
          </w:r>
          <w:r>
            <w:fldChar w:fldCharType="separate"/>
          </w:r>
          <w:r>
            <w:t>- 1 -</w:t>
          </w:r>
          <w:r>
            <w:fldChar w:fldCharType="end"/>
          </w:r>
          <w:r>
            <w:fldChar w:fldCharType="end"/>
          </w:r>
        </w:p>
        <w:p w14:paraId="6033B95F">
          <w:pPr>
            <w:pStyle w:val="31"/>
            <w:tabs>
              <w:tab w:val="right" w:leader="dot" w:pos="9070"/>
            </w:tabs>
          </w:pPr>
          <w:r>
            <w:fldChar w:fldCharType="begin"/>
          </w:r>
          <w:r>
            <w:instrText xml:space="preserve"> HYPERLINK \l _Toc18795 </w:instrText>
          </w:r>
          <w:r>
            <w:fldChar w:fldCharType="separate"/>
          </w:r>
          <w:r>
            <w:rPr>
              <w:rFonts w:hint="eastAsia" w:ascii="宋体" w:hAnsi="宋体"/>
              <w:w w:val="99"/>
              <w:kern w:val="0"/>
              <w:szCs w:val="28"/>
            </w:rPr>
            <w:t>比选</w:t>
          </w:r>
          <w:r>
            <w:rPr>
              <w:rFonts w:ascii="宋体" w:hAnsi="宋体"/>
              <w:w w:val="99"/>
              <w:kern w:val="0"/>
              <w:szCs w:val="28"/>
            </w:rPr>
            <w:t>人：</w:t>
          </w:r>
          <w:r>
            <w:rPr>
              <w:rFonts w:hint="eastAsia" w:ascii="宋体" w:hAnsi="宋体"/>
              <w:w w:val="99"/>
              <w:kern w:val="0"/>
              <w:szCs w:val="28"/>
            </w:rPr>
            <w:t>重庆经开区投资集团有限公司</w:t>
          </w:r>
          <w:r>
            <w:rPr>
              <w:rFonts w:ascii="宋体" w:hAnsi="宋体"/>
              <w:w w:val="99"/>
              <w:kern w:val="0"/>
              <w:szCs w:val="28"/>
            </w:rPr>
            <w:t>（盖单位法人章）</w:t>
          </w:r>
          <w:r>
            <w:tab/>
          </w:r>
          <w:r>
            <w:fldChar w:fldCharType="begin"/>
          </w:r>
          <w:r>
            <w:instrText xml:space="preserve"> PAGEREF _Toc18795 \h </w:instrText>
          </w:r>
          <w:r>
            <w:fldChar w:fldCharType="separate"/>
          </w:r>
          <w:r>
            <w:t>- 1 -</w:t>
          </w:r>
          <w:r>
            <w:fldChar w:fldCharType="end"/>
          </w:r>
          <w:r>
            <w:fldChar w:fldCharType="end"/>
          </w:r>
        </w:p>
        <w:p w14:paraId="2D7EC4EB">
          <w:pPr>
            <w:pStyle w:val="31"/>
            <w:tabs>
              <w:tab w:val="right" w:leader="dot" w:pos="9070"/>
            </w:tabs>
          </w:pPr>
          <w:r>
            <w:fldChar w:fldCharType="begin"/>
          </w:r>
          <w:r>
            <w:instrText xml:space="preserve"> HYPERLINK \l _Toc11729 </w:instrText>
          </w:r>
          <w:r>
            <w:fldChar w:fldCharType="separate"/>
          </w:r>
          <w:r>
            <w:rPr>
              <w:rFonts w:ascii="宋体" w:hAnsi="宋体"/>
              <w:snapToGrid w:val="0"/>
              <w:kern w:val="0"/>
            </w:rPr>
            <w:t xml:space="preserve">第一章  </w:t>
          </w:r>
          <w:r>
            <w:rPr>
              <w:rFonts w:hint="eastAsia" w:ascii="宋体" w:hAnsi="宋体"/>
              <w:snapToGrid w:val="0"/>
              <w:kern w:val="0"/>
            </w:rPr>
            <w:t>比选公告</w:t>
          </w:r>
          <w:r>
            <w:tab/>
          </w:r>
          <w:r>
            <w:fldChar w:fldCharType="begin"/>
          </w:r>
          <w:r>
            <w:instrText xml:space="preserve"> PAGEREF _Toc11729 \h </w:instrText>
          </w:r>
          <w:r>
            <w:fldChar w:fldCharType="separate"/>
          </w:r>
          <w:r>
            <w:t>4</w:t>
          </w:r>
          <w:r>
            <w:fldChar w:fldCharType="end"/>
          </w:r>
          <w:r>
            <w:fldChar w:fldCharType="end"/>
          </w:r>
        </w:p>
        <w:p w14:paraId="3D47B707">
          <w:pPr>
            <w:pStyle w:val="37"/>
            <w:tabs>
              <w:tab w:val="right" w:leader="dot" w:pos="9070"/>
            </w:tabs>
          </w:pPr>
          <w:r>
            <w:fldChar w:fldCharType="begin"/>
          </w:r>
          <w:r>
            <w:instrText xml:space="preserve"> HYPERLINK \l _Toc5409 </w:instrText>
          </w:r>
          <w:r>
            <w:fldChar w:fldCharType="separate"/>
          </w:r>
          <w:r>
            <w:rPr>
              <w:rFonts w:hint="eastAsia" w:ascii="宋体" w:hAnsi="宋体"/>
              <w:kern w:val="0"/>
            </w:rPr>
            <w:t>重庆经开区投资集团有限公司主体信用评级</w:t>
          </w:r>
          <w:r>
            <w:tab/>
          </w:r>
          <w:r>
            <w:fldChar w:fldCharType="begin"/>
          </w:r>
          <w:r>
            <w:instrText xml:space="preserve"> PAGEREF _Toc5409 \h </w:instrText>
          </w:r>
          <w:r>
            <w:fldChar w:fldCharType="separate"/>
          </w:r>
          <w:r>
            <w:t>4</w:t>
          </w:r>
          <w:r>
            <w:fldChar w:fldCharType="end"/>
          </w:r>
          <w:r>
            <w:fldChar w:fldCharType="end"/>
          </w:r>
        </w:p>
        <w:p w14:paraId="6F7E3F33">
          <w:pPr>
            <w:pStyle w:val="37"/>
            <w:tabs>
              <w:tab w:val="right" w:leader="dot" w:pos="9070"/>
            </w:tabs>
          </w:pPr>
          <w:r>
            <w:fldChar w:fldCharType="begin"/>
          </w:r>
          <w:r>
            <w:instrText xml:space="preserve"> HYPERLINK \l _Toc5336 </w:instrText>
          </w:r>
          <w:r>
            <w:fldChar w:fldCharType="separate"/>
          </w:r>
          <w:r>
            <w:rPr>
              <w:rFonts w:ascii="宋体" w:hAnsi="宋体"/>
              <w:snapToGrid w:val="0"/>
              <w:szCs w:val="28"/>
            </w:rPr>
            <w:t xml:space="preserve">1. </w:t>
          </w:r>
          <w:r>
            <w:rPr>
              <w:rFonts w:hint="eastAsia" w:ascii="宋体" w:hAnsi="宋体"/>
              <w:snapToGrid w:val="0"/>
              <w:szCs w:val="28"/>
              <w:lang w:val="en-US" w:eastAsia="zh-CN"/>
            </w:rPr>
            <w:t>比选</w:t>
          </w:r>
          <w:r>
            <w:rPr>
              <w:rFonts w:ascii="宋体" w:hAnsi="宋体"/>
              <w:snapToGrid w:val="0"/>
              <w:szCs w:val="28"/>
            </w:rPr>
            <w:t>条件</w:t>
          </w:r>
          <w:r>
            <w:tab/>
          </w:r>
          <w:r>
            <w:fldChar w:fldCharType="begin"/>
          </w:r>
          <w:r>
            <w:instrText xml:space="preserve"> PAGEREF _Toc5336 \h </w:instrText>
          </w:r>
          <w:r>
            <w:fldChar w:fldCharType="separate"/>
          </w:r>
          <w:r>
            <w:t>4</w:t>
          </w:r>
          <w:r>
            <w:fldChar w:fldCharType="end"/>
          </w:r>
          <w:r>
            <w:fldChar w:fldCharType="end"/>
          </w:r>
        </w:p>
        <w:p w14:paraId="571BA098">
          <w:pPr>
            <w:pStyle w:val="37"/>
            <w:tabs>
              <w:tab w:val="right" w:leader="dot" w:pos="9070"/>
            </w:tabs>
          </w:pPr>
          <w:r>
            <w:fldChar w:fldCharType="begin"/>
          </w:r>
          <w:r>
            <w:instrText xml:space="preserve"> HYPERLINK \l _Toc23344 </w:instrText>
          </w:r>
          <w:r>
            <w:fldChar w:fldCharType="separate"/>
          </w:r>
          <w:r>
            <w:rPr>
              <w:rFonts w:ascii="宋体" w:hAnsi="宋体"/>
              <w:snapToGrid w:val="0"/>
              <w:szCs w:val="28"/>
            </w:rPr>
            <w:t>2. 项目概况与</w:t>
          </w:r>
          <w:r>
            <w:rPr>
              <w:rFonts w:hint="eastAsia" w:ascii="宋体" w:hAnsi="宋体"/>
              <w:snapToGrid w:val="0"/>
              <w:szCs w:val="28"/>
              <w:lang w:val="en-US" w:eastAsia="zh-CN"/>
            </w:rPr>
            <w:t>比选</w:t>
          </w:r>
          <w:r>
            <w:rPr>
              <w:rFonts w:ascii="宋体" w:hAnsi="宋体"/>
              <w:snapToGrid w:val="0"/>
              <w:szCs w:val="28"/>
            </w:rPr>
            <w:t>范围</w:t>
          </w:r>
          <w:r>
            <w:tab/>
          </w:r>
          <w:r>
            <w:fldChar w:fldCharType="begin"/>
          </w:r>
          <w:r>
            <w:instrText xml:space="preserve"> PAGEREF _Toc23344 \h </w:instrText>
          </w:r>
          <w:r>
            <w:fldChar w:fldCharType="separate"/>
          </w:r>
          <w:r>
            <w:t>4</w:t>
          </w:r>
          <w:r>
            <w:fldChar w:fldCharType="end"/>
          </w:r>
          <w:r>
            <w:fldChar w:fldCharType="end"/>
          </w:r>
        </w:p>
        <w:p w14:paraId="3EC49308">
          <w:pPr>
            <w:pStyle w:val="37"/>
            <w:tabs>
              <w:tab w:val="right" w:leader="dot" w:pos="9070"/>
            </w:tabs>
          </w:pPr>
          <w:r>
            <w:fldChar w:fldCharType="begin"/>
          </w:r>
          <w:r>
            <w:instrText xml:space="preserve"> HYPERLINK \l _Toc17509 </w:instrText>
          </w:r>
          <w:r>
            <w:fldChar w:fldCharType="separate"/>
          </w:r>
          <w:r>
            <w:rPr>
              <w:rFonts w:ascii="宋体" w:hAnsi="宋体"/>
              <w:snapToGrid w:val="0"/>
              <w:szCs w:val="28"/>
            </w:rPr>
            <w:t xml:space="preserve">3. </w:t>
          </w:r>
          <w:r>
            <w:rPr>
              <w:rFonts w:hint="eastAsia" w:ascii="宋体" w:hAnsi="宋体"/>
              <w:snapToGrid w:val="0"/>
              <w:szCs w:val="28"/>
            </w:rPr>
            <w:t>竞选人</w:t>
          </w:r>
          <w:r>
            <w:rPr>
              <w:rFonts w:ascii="宋体" w:hAnsi="宋体"/>
              <w:snapToGrid w:val="0"/>
              <w:szCs w:val="28"/>
            </w:rPr>
            <w:t>资格要求</w:t>
          </w:r>
          <w:r>
            <w:tab/>
          </w:r>
          <w:r>
            <w:fldChar w:fldCharType="begin"/>
          </w:r>
          <w:r>
            <w:instrText xml:space="preserve"> PAGEREF _Toc17509 \h </w:instrText>
          </w:r>
          <w:r>
            <w:fldChar w:fldCharType="separate"/>
          </w:r>
          <w:r>
            <w:t>4</w:t>
          </w:r>
          <w:r>
            <w:fldChar w:fldCharType="end"/>
          </w:r>
          <w:r>
            <w:fldChar w:fldCharType="end"/>
          </w:r>
        </w:p>
        <w:p w14:paraId="4F57ED78">
          <w:pPr>
            <w:pStyle w:val="37"/>
            <w:tabs>
              <w:tab w:val="right" w:leader="dot" w:pos="9070"/>
            </w:tabs>
          </w:pPr>
          <w:r>
            <w:fldChar w:fldCharType="begin"/>
          </w:r>
          <w:r>
            <w:instrText xml:space="preserve"> HYPERLINK \l _Toc28156 </w:instrText>
          </w:r>
          <w:r>
            <w:fldChar w:fldCharType="separate"/>
          </w:r>
          <w:r>
            <w:rPr>
              <w:rFonts w:ascii="宋体" w:hAnsi="宋体"/>
              <w:snapToGrid w:val="0"/>
              <w:szCs w:val="28"/>
            </w:rPr>
            <w:t xml:space="preserve">4. </w:t>
          </w:r>
          <w:r>
            <w:rPr>
              <w:rFonts w:hint="eastAsia" w:ascii="宋体" w:hAnsi="宋体"/>
              <w:snapToGrid w:val="0"/>
              <w:szCs w:val="28"/>
            </w:rPr>
            <w:t>比选</w:t>
          </w:r>
          <w:r>
            <w:rPr>
              <w:rFonts w:ascii="宋体" w:hAnsi="宋体"/>
              <w:snapToGrid w:val="0"/>
              <w:szCs w:val="28"/>
            </w:rPr>
            <w:t>文件的获取</w:t>
          </w:r>
          <w:r>
            <w:tab/>
          </w:r>
          <w:r>
            <w:fldChar w:fldCharType="begin"/>
          </w:r>
          <w:r>
            <w:instrText xml:space="preserve"> PAGEREF _Toc28156 \h </w:instrText>
          </w:r>
          <w:r>
            <w:fldChar w:fldCharType="separate"/>
          </w:r>
          <w:r>
            <w:t>4</w:t>
          </w:r>
          <w:r>
            <w:fldChar w:fldCharType="end"/>
          </w:r>
          <w:r>
            <w:fldChar w:fldCharType="end"/>
          </w:r>
        </w:p>
        <w:p w14:paraId="423E05DB">
          <w:pPr>
            <w:pStyle w:val="37"/>
            <w:tabs>
              <w:tab w:val="right" w:leader="dot" w:pos="9070"/>
            </w:tabs>
          </w:pPr>
          <w:r>
            <w:fldChar w:fldCharType="begin"/>
          </w:r>
          <w:r>
            <w:instrText xml:space="preserve"> HYPERLINK \l _Toc13252 </w:instrText>
          </w:r>
          <w:r>
            <w:fldChar w:fldCharType="separate"/>
          </w:r>
          <w:r>
            <w:rPr>
              <w:rFonts w:ascii="宋体" w:hAnsi="宋体"/>
              <w:snapToGrid w:val="0"/>
              <w:szCs w:val="28"/>
            </w:rPr>
            <w:t xml:space="preserve">5. </w:t>
          </w:r>
          <w:r>
            <w:rPr>
              <w:rFonts w:hint="eastAsia" w:ascii="宋体" w:hAnsi="宋体"/>
              <w:snapToGrid w:val="0"/>
              <w:szCs w:val="28"/>
            </w:rPr>
            <w:t>竞选文件</w:t>
          </w:r>
          <w:r>
            <w:rPr>
              <w:rFonts w:ascii="宋体" w:hAnsi="宋体"/>
              <w:snapToGrid w:val="0"/>
              <w:szCs w:val="28"/>
            </w:rPr>
            <w:t>的递交</w:t>
          </w:r>
          <w:r>
            <w:tab/>
          </w:r>
          <w:r>
            <w:fldChar w:fldCharType="begin"/>
          </w:r>
          <w:r>
            <w:instrText xml:space="preserve"> PAGEREF _Toc13252 \h </w:instrText>
          </w:r>
          <w:r>
            <w:fldChar w:fldCharType="separate"/>
          </w:r>
          <w:r>
            <w:t>5</w:t>
          </w:r>
          <w:r>
            <w:fldChar w:fldCharType="end"/>
          </w:r>
          <w:r>
            <w:fldChar w:fldCharType="end"/>
          </w:r>
        </w:p>
        <w:p w14:paraId="790ECAD3">
          <w:pPr>
            <w:pStyle w:val="37"/>
            <w:tabs>
              <w:tab w:val="right" w:leader="dot" w:pos="9070"/>
            </w:tabs>
          </w:pPr>
          <w:r>
            <w:fldChar w:fldCharType="begin"/>
          </w:r>
          <w:r>
            <w:instrText xml:space="preserve"> HYPERLINK \l _Toc1081 </w:instrText>
          </w:r>
          <w:r>
            <w:fldChar w:fldCharType="separate"/>
          </w:r>
          <w:r>
            <w:rPr>
              <w:rFonts w:ascii="宋体" w:hAnsi="宋体"/>
              <w:snapToGrid w:val="0"/>
              <w:szCs w:val="28"/>
            </w:rPr>
            <w:t>6. 发布公告的媒介</w:t>
          </w:r>
          <w:r>
            <w:tab/>
          </w:r>
          <w:r>
            <w:fldChar w:fldCharType="begin"/>
          </w:r>
          <w:r>
            <w:instrText xml:space="preserve"> PAGEREF _Toc1081 \h </w:instrText>
          </w:r>
          <w:r>
            <w:fldChar w:fldCharType="separate"/>
          </w:r>
          <w:r>
            <w:t>5</w:t>
          </w:r>
          <w:r>
            <w:fldChar w:fldCharType="end"/>
          </w:r>
          <w:r>
            <w:fldChar w:fldCharType="end"/>
          </w:r>
        </w:p>
        <w:p w14:paraId="771CD069">
          <w:pPr>
            <w:pStyle w:val="37"/>
            <w:tabs>
              <w:tab w:val="right" w:leader="dot" w:pos="9070"/>
            </w:tabs>
          </w:pPr>
          <w:r>
            <w:fldChar w:fldCharType="begin"/>
          </w:r>
          <w:r>
            <w:instrText xml:space="preserve"> HYPERLINK \l _Toc12577 </w:instrText>
          </w:r>
          <w:r>
            <w:fldChar w:fldCharType="separate"/>
          </w:r>
          <w:r>
            <w:rPr>
              <w:rFonts w:hint="eastAsia" w:ascii="宋体" w:hAnsi="宋体"/>
              <w:snapToGrid w:val="0"/>
              <w:szCs w:val="28"/>
            </w:rPr>
            <w:t>7</w:t>
          </w:r>
          <w:r>
            <w:rPr>
              <w:rFonts w:ascii="宋体" w:hAnsi="宋体"/>
              <w:snapToGrid w:val="0"/>
              <w:szCs w:val="28"/>
            </w:rPr>
            <w:t>. 联系方式</w:t>
          </w:r>
          <w:r>
            <w:tab/>
          </w:r>
          <w:r>
            <w:fldChar w:fldCharType="begin"/>
          </w:r>
          <w:r>
            <w:instrText xml:space="preserve"> PAGEREF _Toc12577 \h </w:instrText>
          </w:r>
          <w:r>
            <w:fldChar w:fldCharType="separate"/>
          </w:r>
          <w:r>
            <w:t>5</w:t>
          </w:r>
          <w:r>
            <w:fldChar w:fldCharType="end"/>
          </w:r>
          <w:r>
            <w:fldChar w:fldCharType="end"/>
          </w:r>
        </w:p>
        <w:p w14:paraId="126312F9">
          <w:pPr>
            <w:pStyle w:val="31"/>
            <w:tabs>
              <w:tab w:val="right" w:leader="dot" w:pos="9070"/>
            </w:tabs>
          </w:pPr>
          <w:r>
            <w:fldChar w:fldCharType="begin"/>
          </w:r>
          <w:r>
            <w:instrText xml:space="preserve"> HYPERLINK \l _Toc1152 </w:instrText>
          </w:r>
          <w:r>
            <w:fldChar w:fldCharType="separate"/>
          </w:r>
          <w:r>
            <w:rPr>
              <w:rFonts w:ascii="宋体" w:hAnsi="宋体"/>
              <w:snapToGrid w:val="0"/>
              <w:kern w:val="0"/>
            </w:rPr>
            <w:t xml:space="preserve">第二章  </w:t>
          </w:r>
          <w:r>
            <w:rPr>
              <w:rFonts w:hint="eastAsia" w:ascii="宋体" w:hAnsi="宋体"/>
              <w:snapToGrid w:val="0"/>
              <w:kern w:val="0"/>
            </w:rPr>
            <w:t>竞选人</w:t>
          </w:r>
          <w:r>
            <w:rPr>
              <w:rFonts w:ascii="宋体" w:hAnsi="宋体"/>
              <w:snapToGrid w:val="0"/>
              <w:kern w:val="0"/>
            </w:rPr>
            <w:t>须知</w:t>
          </w:r>
          <w:r>
            <w:tab/>
          </w:r>
          <w:r>
            <w:fldChar w:fldCharType="begin"/>
          </w:r>
          <w:r>
            <w:instrText xml:space="preserve"> PAGEREF _Toc1152 \h </w:instrText>
          </w:r>
          <w:r>
            <w:fldChar w:fldCharType="separate"/>
          </w:r>
          <w:r>
            <w:t>6</w:t>
          </w:r>
          <w:r>
            <w:fldChar w:fldCharType="end"/>
          </w:r>
          <w:r>
            <w:fldChar w:fldCharType="end"/>
          </w:r>
        </w:p>
        <w:p w14:paraId="24E5EDF4">
          <w:pPr>
            <w:pStyle w:val="37"/>
            <w:tabs>
              <w:tab w:val="right" w:leader="dot" w:pos="9070"/>
            </w:tabs>
          </w:pPr>
          <w:r>
            <w:fldChar w:fldCharType="begin"/>
          </w:r>
          <w:r>
            <w:instrText xml:space="preserve"> HYPERLINK \l _Toc7502 </w:instrText>
          </w:r>
          <w:r>
            <w:fldChar w:fldCharType="separate"/>
          </w:r>
          <w:r>
            <w:rPr>
              <w:rFonts w:hint="eastAsia" w:ascii="宋体" w:hAnsi="宋体"/>
            </w:rPr>
            <w:t>竞选人须知前附表</w:t>
          </w:r>
          <w:r>
            <w:tab/>
          </w:r>
          <w:r>
            <w:fldChar w:fldCharType="begin"/>
          </w:r>
          <w:r>
            <w:instrText xml:space="preserve"> PAGEREF _Toc7502 \h </w:instrText>
          </w:r>
          <w:r>
            <w:fldChar w:fldCharType="separate"/>
          </w:r>
          <w:r>
            <w:t>6</w:t>
          </w:r>
          <w:r>
            <w:fldChar w:fldCharType="end"/>
          </w:r>
          <w:r>
            <w:fldChar w:fldCharType="end"/>
          </w:r>
        </w:p>
        <w:p w14:paraId="1C6808FB">
          <w:pPr>
            <w:pStyle w:val="31"/>
            <w:tabs>
              <w:tab w:val="right" w:leader="dot" w:pos="9070"/>
            </w:tabs>
          </w:pPr>
          <w:r>
            <w:fldChar w:fldCharType="begin"/>
          </w:r>
          <w:r>
            <w:instrText xml:space="preserve"> HYPERLINK \l _Toc30353 </w:instrText>
          </w:r>
          <w:r>
            <w:fldChar w:fldCharType="separate"/>
          </w:r>
          <w:r>
            <w:rPr>
              <w:rFonts w:ascii="宋体" w:hAnsi="宋体"/>
            </w:rPr>
            <w:t>第三章 评标办法（综合评估法）</w:t>
          </w:r>
          <w:r>
            <w:tab/>
          </w:r>
          <w:r>
            <w:fldChar w:fldCharType="begin"/>
          </w:r>
          <w:r>
            <w:instrText xml:space="preserve"> PAGEREF _Toc30353 \h </w:instrText>
          </w:r>
          <w:r>
            <w:fldChar w:fldCharType="separate"/>
          </w:r>
          <w:r>
            <w:t>20</w:t>
          </w:r>
          <w:r>
            <w:fldChar w:fldCharType="end"/>
          </w:r>
          <w:r>
            <w:fldChar w:fldCharType="end"/>
          </w:r>
        </w:p>
        <w:p w14:paraId="7B3DD3A4">
          <w:pPr>
            <w:pStyle w:val="37"/>
            <w:tabs>
              <w:tab w:val="right" w:leader="dot" w:pos="9070"/>
            </w:tabs>
          </w:pPr>
          <w:r>
            <w:fldChar w:fldCharType="begin"/>
          </w:r>
          <w:r>
            <w:instrText xml:space="preserve"> HYPERLINK \l _Toc10870 </w:instrText>
          </w:r>
          <w:r>
            <w:fldChar w:fldCharType="separate"/>
          </w:r>
          <w:r>
            <w:rPr>
              <w:rFonts w:hint="eastAsia" w:ascii="宋体" w:hAnsi="宋体"/>
            </w:rPr>
            <w:t>评标办法前附表</w:t>
          </w:r>
          <w:r>
            <w:tab/>
          </w:r>
          <w:r>
            <w:fldChar w:fldCharType="begin"/>
          </w:r>
          <w:r>
            <w:instrText xml:space="preserve"> PAGEREF _Toc10870 \h </w:instrText>
          </w:r>
          <w:r>
            <w:fldChar w:fldCharType="separate"/>
          </w:r>
          <w:r>
            <w:t>20</w:t>
          </w:r>
          <w:r>
            <w:fldChar w:fldCharType="end"/>
          </w:r>
          <w:r>
            <w:fldChar w:fldCharType="end"/>
          </w:r>
        </w:p>
        <w:p w14:paraId="10B39DFA">
          <w:pPr>
            <w:pStyle w:val="37"/>
            <w:tabs>
              <w:tab w:val="right" w:leader="dot" w:pos="9070"/>
            </w:tabs>
          </w:pPr>
          <w:r>
            <w:fldChar w:fldCharType="begin"/>
          </w:r>
          <w:r>
            <w:instrText xml:space="preserve"> HYPERLINK \l _Toc4009 </w:instrText>
          </w:r>
          <w:r>
            <w:fldChar w:fldCharType="separate"/>
          </w:r>
          <w:r>
            <w:rPr>
              <w:rFonts w:ascii="宋体" w:hAnsi="宋体"/>
              <w:snapToGrid w:val="0"/>
            </w:rPr>
            <w:t>1.  评标方法</w:t>
          </w:r>
          <w:r>
            <w:tab/>
          </w:r>
          <w:r>
            <w:fldChar w:fldCharType="begin"/>
          </w:r>
          <w:r>
            <w:instrText xml:space="preserve"> PAGEREF _Toc4009 \h </w:instrText>
          </w:r>
          <w:r>
            <w:fldChar w:fldCharType="separate"/>
          </w:r>
          <w:r>
            <w:t>24</w:t>
          </w:r>
          <w:r>
            <w:fldChar w:fldCharType="end"/>
          </w:r>
          <w:r>
            <w:fldChar w:fldCharType="end"/>
          </w:r>
        </w:p>
        <w:p w14:paraId="4560FDA7">
          <w:pPr>
            <w:pStyle w:val="37"/>
            <w:tabs>
              <w:tab w:val="right" w:leader="dot" w:pos="9070"/>
            </w:tabs>
          </w:pPr>
          <w:r>
            <w:fldChar w:fldCharType="begin"/>
          </w:r>
          <w:r>
            <w:instrText xml:space="preserve"> HYPERLINK \l _Toc23963 </w:instrText>
          </w:r>
          <w:r>
            <w:fldChar w:fldCharType="separate"/>
          </w:r>
          <w:r>
            <w:rPr>
              <w:rFonts w:ascii="宋体" w:hAnsi="宋体"/>
              <w:snapToGrid w:val="0"/>
            </w:rPr>
            <w:t>2.  评审标准</w:t>
          </w:r>
          <w:r>
            <w:tab/>
          </w:r>
          <w:r>
            <w:fldChar w:fldCharType="begin"/>
          </w:r>
          <w:r>
            <w:instrText xml:space="preserve"> PAGEREF _Toc23963 \h </w:instrText>
          </w:r>
          <w:r>
            <w:fldChar w:fldCharType="separate"/>
          </w:r>
          <w:r>
            <w:t>24</w:t>
          </w:r>
          <w:r>
            <w:fldChar w:fldCharType="end"/>
          </w:r>
          <w:r>
            <w:fldChar w:fldCharType="end"/>
          </w:r>
        </w:p>
        <w:p w14:paraId="5ED46D4E">
          <w:pPr>
            <w:pStyle w:val="37"/>
            <w:tabs>
              <w:tab w:val="right" w:leader="dot" w:pos="9070"/>
            </w:tabs>
          </w:pPr>
          <w:r>
            <w:fldChar w:fldCharType="begin"/>
          </w:r>
          <w:r>
            <w:instrText xml:space="preserve"> HYPERLINK \l _Toc15000 </w:instrText>
          </w:r>
          <w:r>
            <w:fldChar w:fldCharType="separate"/>
          </w:r>
          <w:r>
            <w:rPr>
              <w:rFonts w:ascii="宋体" w:hAnsi="宋体"/>
              <w:snapToGrid w:val="0"/>
            </w:rPr>
            <w:t>3.  评标程序</w:t>
          </w:r>
          <w:r>
            <w:tab/>
          </w:r>
          <w:r>
            <w:fldChar w:fldCharType="begin"/>
          </w:r>
          <w:r>
            <w:instrText xml:space="preserve"> PAGEREF _Toc15000 \h </w:instrText>
          </w:r>
          <w:r>
            <w:fldChar w:fldCharType="separate"/>
          </w:r>
          <w:r>
            <w:t>24</w:t>
          </w:r>
          <w:r>
            <w:fldChar w:fldCharType="end"/>
          </w:r>
          <w:r>
            <w:fldChar w:fldCharType="end"/>
          </w:r>
        </w:p>
        <w:p w14:paraId="72BA7700">
          <w:pPr>
            <w:pStyle w:val="31"/>
            <w:tabs>
              <w:tab w:val="right" w:leader="dot" w:pos="9070"/>
            </w:tabs>
          </w:pPr>
          <w:r>
            <w:fldChar w:fldCharType="begin"/>
          </w:r>
          <w:r>
            <w:instrText xml:space="preserve"> HYPERLINK \l _Toc20690 </w:instrText>
          </w:r>
          <w:r>
            <w:fldChar w:fldCharType="separate"/>
          </w:r>
          <w:r>
            <w:rPr>
              <w:rFonts w:ascii="宋体" w:hAnsi="宋体"/>
              <w:szCs w:val="28"/>
              <w:lang w:eastAsia="zh-CN"/>
            </w:rPr>
            <w:t>附件A：综合评估法否决投标情况一览表</w:t>
          </w:r>
          <w:r>
            <w:tab/>
          </w:r>
          <w:r>
            <w:fldChar w:fldCharType="begin"/>
          </w:r>
          <w:r>
            <w:instrText xml:space="preserve"> PAGEREF _Toc20690 \h </w:instrText>
          </w:r>
          <w:r>
            <w:fldChar w:fldCharType="separate"/>
          </w:r>
          <w:r>
            <w:t>26</w:t>
          </w:r>
          <w:r>
            <w:fldChar w:fldCharType="end"/>
          </w:r>
          <w:r>
            <w:fldChar w:fldCharType="end"/>
          </w:r>
        </w:p>
        <w:p w14:paraId="6CF29D7C">
          <w:pPr>
            <w:pStyle w:val="31"/>
            <w:tabs>
              <w:tab w:val="right" w:leader="dot" w:pos="9070"/>
            </w:tabs>
          </w:pPr>
          <w:r>
            <w:fldChar w:fldCharType="begin"/>
          </w:r>
          <w:r>
            <w:instrText xml:space="preserve"> HYPERLINK \l _Toc16766 </w:instrText>
          </w:r>
          <w:r>
            <w:fldChar w:fldCharType="separate"/>
          </w:r>
          <w:r>
            <w:rPr>
              <w:rFonts w:hint="eastAsia" w:ascii="宋体" w:hAnsi="宋体"/>
              <w:kern w:val="0"/>
            </w:rPr>
            <w:t>第四章  合同条款及</w:t>
          </w:r>
          <w:r>
            <w:rPr>
              <w:rFonts w:hint="eastAsia" w:ascii="宋体" w:hAnsi="宋体"/>
              <w:kern w:val="0"/>
              <w:lang w:val="en-US" w:eastAsia="zh-CN"/>
            </w:rPr>
            <w:t>格式</w:t>
          </w:r>
          <w:r>
            <w:tab/>
          </w:r>
          <w:r>
            <w:fldChar w:fldCharType="begin"/>
          </w:r>
          <w:r>
            <w:instrText xml:space="preserve"> PAGEREF _Toc16766 \h </w:instrText>
          </w:r>
          <w:r>
            <w:fldChar w:fldCharType="separate"/>
          </w:r>
          <w:r>
            <w:t>29</w:t>
          </w:r>
          <w:r>
            <w:fldChar w:fldCharType="end"/>
          </w:r>
          <w:r>
            <w:fldChar w:fldCharType="end"/>
          </w:r>
        </w:p>
        <w:p w14:paraId="0241EB1A">
          <w:pPr>
            <w:pStyle w:val="31"/>
            <w:tabs>
              <w:tab w:val="right" w:leader="dot" w:pos="9070"/>
            </w:tabs>
          </w:pPr>
          <w:r>
            <w:fldChar w:fldCharType="begin"/>
          </w:r>
          <w:r>
            <w:instrText xml:space="preserve"> HYPERLINK \l _Toc2502 </w:instrText>
          </w:r>
          <w:r>
            <w:fldChar w:fldCharType="separate"/>
          </w:r>
          <w:r>
            <w:rPr>
              <w:rFonts w:hint="eastAsia" w:ascii="宋体" w:hAnsi="宋体"/>
            </w:rPr>
            <w:t>第</w:t>
          </w:r>
          <w:r>
            <w:rPr>
              <w:rFonts w:hint="eastAsia" w:ascii="宋体" w:hAnsi="宋体"/>
              <w:lang w:val="en-US" w:eastAsia="zh-CN"/>
            </w:rPr>
            <w:t>五</w:t>
          </w:r>
          <w:r>
            <w:rPr>
              <w:rFonts w:hint="eastAsia" w:ascii="宋体" w:hAnsi="宋体"/>
            </w:rPr>
            <w:t>章  竞选文件格式</w:t>
          </w:r>
          <w:r>
            <w:tab/>
          </w:r>
          <w:r>
            <w:fldChar w:fldCharType="begin"/>
          </w:r>
          <w:r>
            <w:instrText xml:space="preserve"> PAGEREF _Toc2502 \h </w:instrText>
          </w:r>
          <w:r>
            <w:fldChar w:fldCharType="separate"/>
          </w:r>
          <w:r>
            <w:t>41</w:t>
          </w:r>
          <w:r>
            <w:fldChar w:fldCharType="end"/>
          </w:r>
          <w:r>
            <w:fldChar w:fldCharType="end"/>
          </w:r>
        </w:p>
        <w:p w14:paraId="722AD835">
          <w:pPr>
            <w:pStyle w:val="37"/>
            <w:tabs>
              <w:tab w:val="right" w:leader="dot" w:pos="9070"/>
            </w:tabs>
          </w:pPr>
          <w:r>
            <w:fldChar w:fldCharType="begin"/>
          </w:r>
          <w:r>
            <w:instrText xml:space="preserve"> HYPERLINK \l _Toc5548 </w:instrText>
          </w:r>
          <w:r>
            <w:fldChar w:fldCharType="separate"/>
          </w:r>
          <w:r>
            <w:rPr>
              <w:rFonts w:hint="eastAsia" w:ascii="宋体" w:hAnsi="宋体"/>
            </w:rPr>
            <w:t>一</w:t>
          </w:r>
          <w:r>
            <w:rPr>
              <w:rFonts w:ascii="宋体" w:hAnsi="宋体"/>
            </w:rPr>
            <w:t>、</w:t>
          </w:r>
          <w:r>
            <w:rPr>
              <w:rFonts w:hint="eastAsia" w:ascii="宋体" w:hAnsi="宋体"/>
            </w:rPr>
            <w:t>竞选函</w:t>
          </w:r>
          <w:r>
            <w:rPr>
              <w:rFonts w:ascii="宋体" w:hAnsi="宋体"/>
            </w:rPr>
            <w:t>部分</w:t>
          </w:r>
          <w:r>
            <w:tab/>
          </w:r>
          <w:r>
            <w:fldChar w:fldCharType="begin"/>
          </w:r>
          <w:r>
            <w:instrText xml:space="preserve"> PAGEREF _Toc5548 \h </w:instrText>
          </w:r>
          <w:r>
            <w:fldChar w:fldCharType="separate"/>
          </w:r>
          <w:r>
            <w:t>41</w:t>
          </w:r>
          <w:r>
            <w:fldChar w:fldCharType="end"/>
          </w:r>
          <w:r>
            <w:fldChar w:fldCharType="end"/>
          </w:r>
        </w:p>
        <w:p w14:paraId="6112AC40">
          <w:pPr>
            <w:pStyle w:val="37"/>
            <w:tabs>
              <w:tab w:val="right" w:leader="dot" w:pos="9070"/>
            </w:tabs>
          </w:pPr>
          <w:r>
            <w:fldChar w:fldCharType="begin"/>
          </w:r>
          <w:r>
            <w:instrText xml:space="preserve"> HYPERLINK \l _Toc4169 </w:instrText>
          </w:r>
          <w:r>
            <w:fldChar w:fldCharType="separate"/>
          </w:r>
          <w:r>
            <w:rPr>
              <w:rFonts w:hint="eastAsia" w:ascii="宋体" w:hAnsi="宋体"/>
            </w:rPr>
            <w:t>二</w:t>
          </w:r>
          <w:r>
            <w:rPr>
              <w:rFonts w:ascii="宋体" w:hAnsi="宋体"/>
            </w:rPr>
            <w:t>、</w:t>
          </w:r>
          <w:r>
            <w:rPr>
              <w:rFonts w:hint="eastAsia" w:ascii="宋体" w:hAnsi="宋体"/>
            </w:rPr>
            <w:t>资格审查部分</w:t>
          </w:r>
          <w:r>
            <w:tab/>
          </w:r>
          <w:r>
            <w:fldChar w:fldCharType="begin"/>
          </w:r>
          <w:r>
            <w:instrText xml:space="preserve"> PAGEREF _Toc4169 \h </w:instrText>
          </w:r>
          <w:r>
            <w:fldChar w:fldCharType="separate"/>
          </w:r>
          <w:r>
            <w:t>41</w:t>
          </w:r>
          <w:r>
            <w:fldChar w:fldCharType="end"/>
          </w:r>
          <w:r>
            <w:fldChar w:fldCharType="end"/>
          </w:r>
        </w:p>
        <w:p w14:paraId="137369C0">
          <w:pPr>
            <w:pStyle w:val="37"/>
            <w:tabs>
              <w:tab w:val="right" w:leader="dot" w:pos="9070"/>
            </w:tabs>
          </w:pPr>
          <w:r>
            <w:fldChar w:fldCharType="begin"/>
          </w:r>
          <w:r>
            <w:instrText xml:space="preserve"> HYPERLINK \l _Toc695 </w:instrText>
          </w:r>
          <w:r>
            <w:fldChar w:fldCharType="separate"/>
          </w:r>
          <w:r>
            <w:rPr>
              <w:rFonts w:hint="eastAsia" w:ascii="宋体" w:hAnsi="宋体"/>
              <w:bCs w:val="0"/>
              <w:szCs w:val="44"/>
            </w:rPr>
            <w:t>一、竞选函部分</w:t>
          </w:r>
          <w:r>
            <w:tab/>
          </w:r>
          <w:r>
            <w:fldChar w:fldCharType="begin"/>
          </w:r>
          <w:r>
            <w:instrText xml:space="preserve"> PAGEREF _Toc695 \h </w:instrText>
          </w:r>
          <w:r>
            <w:fldChar w:fldCharType="separate"/>
          </w:r>
          <w:r>
            <w:t>42</w:t>
          </w:r>
          <w:r>
            <w:fldChar w:fldCharType="end"/>
          </w:r>
          <w:r>
            <w:fldChar w:fldCharType="end"/>
          </w:r>
        </w:p>
        <w:p w14:paraId="32CF8C8F">
          <w:pPr>
            <w:pStyle w:val="37"/>
            <w:tabs>
              <w:tab w:val="right" w:leader="dot" w:pos="9070"/>
            </w:tabs>
          </w:pPr>
          <w:r>
            <w:fldChar w:fldCharType="begin"/>
          </w:r>
          <w:r>
            <w:instrText xml:space="preserve"> HYPERLINK \l _Toc3335 </w:instrText>
          </w:r>
          <w:r>
            <w:fldChar w:fldCharType="separate"/>
          </w:r>
          <w:r>
            <w:rPr>
              <w:rFonts w:hint="eastAsia" w:ascii="宋体" w:hAnsi="宋体"/>
              <w:bCs w:val="0"/>
              <w:szCs w:val="44"/>
            </w:rPr>
            <w:t>二、资格审查部分</w:t>
          </w:r>
          <w:r>
            <w:tab/>
          </w:r>
          <w:r>
            <w:fldChar w:fldCharType="begin"/>
          </w:r>
          <w:r>
            <w:instrText xml:space="preserve"> PAGEREF _Toc3335 \h </w:instrText>
          </w:r>
          <w:r>
            <w:fldChar w:fldCharType="separate"/>
          </w:r>
          <w:r>
            <w:t>47</w:t>
          </w:r>
          <w:r>
            <w:fldChar w:fldCharType="end"/>
          </w:r>
          <w:r>
            <w:fldChar w:fldCharType="end"/>
          </w:r>
        </w:p>
        <w:p w14:paraId="4371C072">
          <w:pPr>
            <w:pStyle w:val="37"/>
            <w:tabs>
              <w:tab w:val="right" w:leader="dot" w:pos="9070"/>
            </w:tabs>
          </w:pPr>
          <w:r>
            <w:fldChar w:fldCharType="begin"/>
          </w:r>
          <w:r>
            <w:instrText xml:space="preserve"> HYPERLINK \l _Toc28665 </w:instrText>
          </w:r>
          <w:r>
            <w:fldChar w:fldCharType="separate"/>
          </w:r>
          <w:r>
            <w:rPr>
              <w:rFonts w:hint="eastAsia" w:ascii="宋体" w:hAnsi="宋体"/>
              <w:bCs w:val="0"/>
              <w:szCs w:val="44"/>
            </w:rPr>
            <w:t>三、服务部分</w:t>
          </w:r>
          <w:r>
            <w:tab/>
          </w:r>
          <w:r>
            <w:fldChar w:fldCharType="begin"/>
          </w:r>
          <w:r>
            <w:instrText xml:space="preserve"> PAGEREF _Toc28665 \h </w:instrText>
          </w:r>
          <w:r>
            <w:fldChar w:fldCharType="separate"/>
          </w:r>
          <w:r>
            <w:t>52</w:t>
          </w:r>
          <w:r>
            <w:fldChar w:fldCharType="end"/>
          </w:r>
          <w:r>
            <w:fldChar w:fldCharType="end"/>
          </w:r>
        </w:p>
        <w:p w14:paraId="41C137B1">
          <w:pPr>
            <w:pStyle w:val="37"/>
            <w:tabs>
              <w:tab w:val="right" w:leader="dot" w:pos="9070"/>
            </w:tabs>
          </w:pPr>
          <w:r>
            <w:fldChar w:fldCharType="begin"/>
          </w:r>
          <w:r>
            <w:instrText xml:space="preserve"> HYPERLINK \l _Toc3438 </w:instrText>
          </w:r>
          <w:r>
            <w:fldChar w:fldCharType="separate"/>
          </w:r>
          <w:r>
            <w:rPr>
              <w:rFonts w:hint="eastAsia" w:asciiTheme="minorEastAsia" w:hAnsiTheme="minorEastAsia" w:eastAsiaTheme="minorEastAsia" w:cstheme="minorEastAsia"/>
            </w:rPr>
            <w:t>（一）服务方案</w:t>
          </w:r>
          <w:r>
            <w:tab/>
          </w:r>
          <w:r>
            <w:fldChar w:fldCharType="begin"/>
          </w:r>
          <w:r>
            <w:instrText xml:space="preserve"> PAGEREF _Toc3438 \h </w:instrText>
          </w:r>
          <w:r>
            <w:fldChar w:fldCharType="separate"/>
          </w:r>
          <w:r>
            <w:t>52</w:t>
          </w:r>
          <w:r>
            <w:fldChar w:fldCharType="end"/>
          </w:r>
          <w:r>
            <w:fldChar w:fldCharType="end"/>
          </w:r>
        </w:p>
        <w:p w14:paraId="32E0B83D">
          <w:pPr>
            <w:pStyle w:val="37"/>
            <w:tabs>
              <w:tab w:val="right" w:leader="dot" w:pos="9070"/>
            </w:tabs>
          </w:pPr>
          <w:r>
            <w:fldChar w:fldCharType="begin"/>
          </w:r>
          <w:r>
            <w:instrText xml:space="preserve"> HYPERLINK \l _Toc15972 </w:instrText>
          </w:r>
          <w:r>
            <w:fldChar w:fldCharType="separate"/>
          </w:r>
          <w:r>
            <w:rPr>
              <w:rFonts w:hint="eastAsia" w:asciiTheme="minorEastAsia" w:hAnsiTheme="minorEastAsia" w:eastAsiaTheme="minorEastAsia" w:cstheme="minorEastAsia"/>
            </w:rPr>
            <w:t>格式自拟</w:t>
          </w:r>
          <w:r>
            <w:tab/>
          </w:r>
          <w:r>
            <w:fldChar w:fldCharType="begin"/>
          </w:r>
          <w:r>
            <w:instrText xml:space="preserve"> PAGEREF _Toc15972 \h </w:instrText>
          </w:r>
          <w:r>
            <w:fldChar w:fldCharType="separate"/>
          </w:r>
          <w:r>
            <w:t>52</w:t>
          </w:r>
          <w:r>
            <w:fldChar w:fldCharType="end"/>
          </w:r>
          <w:r>
            <w:fldChar w:fldCharType="end"/>
          </w:r>
        </w:p>
        <w:p w14:paraId="5C014D6A">
          <w:pPr>
            <w:pStyle w:val="37"/>
            <w:tabs>
              <w:tab w:val="right" w:leader="dot" w:pos="9070"/>
            </w:tabs>
          </w:pPr>
          <w:r>
            <w:fldChar w:fldCharType="begin"/>
          </w:r>
          <w:r>
            <w:instrText xml:space="preserve"> HYPERLINK \l _Toc15093 </w:instrText>
          </w:r>
          <w:r>
            <w:fldChar w:fldCharType="separate"/>
          </w:r>
          <w:r>
            <w:rPr>
              <w:rFonts w:hint="eastAsia" w:ascii="宋体" w:hAnsi="宋体"/>
              <w:bCs w:val="0"/>
              <w:szCs w:val="44"/>
            </w:rPr>
            <w:t>四、商务部分</w:t>
          </w:r>
          <w:r>
            <w:tab/>
          </w:r>
          <w:r>
            <w:fldChar w:fldCharType="begin"/>
          </w:r>
          <w:r>
            <w:instrText xml:space="preserve"> PAGEREF _Toc15093 \h </w:instrText>
          </w:r>
          <w:r>
            <w:fldChar w:fldCharType="separate"/>
          </w:r>
          <w:r>
            <w:t>53</w:t>
          </w:r>
          <w:r>
            <w:fldChar w:fldCharType="end"/>
          </w:r>
          <w:r>
            <w:fldChar w:fldCharType="end"/>
          </w:r>
        </w:p>
        <w:p w14:paraId="2DEE168E">
          <w:pPr>
            <w:ind w:firstLine="211"/>
          </w:pPr>
          <w:r>
            <w:fldChar w:fldCharType="end"/>
          </w:r>
        </w:p>
      </w:sdtContent>
    </w:sdt>
    <w:p w14:paraId="72288F4C">
      <w:pPr>
        <w:pStyle w:val="2"/>
        <w:spacing w:line="360" w:lineRule="auto"/>
        <w:ind w:firstLine="442"/>
        <w:jc w:val="center"/>
        <w:rPr>
          <w:rFonts w:ascii="宋体" w:hAnsi="宋体"/>
          <w:snapToGrid w:val="0"/>
          <w:kern w:val="0"/>
        </w:rPr>
        <w:sectPr>
          <w:footerReference r:id="rId4" w:type="default"/>
          <w:pgSz w:w="11906" w:h="16838"/>
          <w:pgMar w:top="1134" w:right="1418" w:bottom="1134" w:left="1418" w:header="851" w:footer="992" w:gutter="0"/>
          <w:cols w:space="720" w:num="1"/>
          <w:docGrid w:type="lines" w:linePitch="312" w:charSpace="0"/>
        </w:sectPr>
      </w:pPr>
    </w:p>
    <w:p w14:paraId="4938015E">
      <w:pPr>
        <w:pStyle w:val="2"/>
        <w:spacing w:line="360" w:lineRule="auto"/>
        <w:ind w:firstLine="442"/>
        <w:jc w:val="center"/>
        <w:rPr>
          <w:rFonts w:ascii="宋体" w:hAnsi="宋体"/>
          <w:snapToGrid w:val="0"/>
          <w:kern w:val="0"/>
        </w:rPr>
      </w:pPr>
      <w:bookmarkStart w:id="10" w:name="_Toc11729"/>
      <w:r>
        <w:rPr>
          <w:rFonts w:ascii="宋体" w:hAnsi="宋体"/>
          <w:snapToGrid w:val="0"/>
          <w:kern w:val="0"/>
        </w:rPr>
        <w:t xml:space="preserve">第一章  </w:t>
      </w:r>
      <w:r>
        <w:rPr>
          <w:rFonts w:hint="eastAsia" w:ascii="宋体" w:hAnsi="宋体"/>
          <w:snapToGrid w:val="0"/>
          <w:kern w:val="0"/>
        </w:rPr>
        <w:t>比选公告</w:t>
      </w:r>
      <w:bookmarkEnd w:id="10"/>
    </w:p>
    <w:p w14:paraId="289FC797">
      <w:pPr>
        <w:pStyle w:val="3"/>
        <w:spacing w:before="100" w:after="100" w:line="460" w:lineRule="exact"/>
        <w:ind w:firstLine="321"/>
        <w:jc w:val="center"/>
        <w:rPr>
          <w:rFonts w:ascii="宋体" w:hAnsi="宋体"/>
          <w:color w:val="auto"/>
          <w:kern w:val="0"/>
          <w:highlight w:val="none"/>
          <w:u w:val="single"/>
        </w:rPr>
      </w:pPr>
      <w:bookmarkStart w:id="11" w:name="_Toc5409"/>
      <w:bookmarkStart w:id="12" w:name="_Toc200359427"/>
      <w:bookmarkStart w:id="13" w:name="_Toc224103299"/>
      <w:bookmarkStart w:id="14" w:name="_Toc277082536"/>
      <w:bookmarkStart w:id="15" w:name="_Toc430530416"/>
      <w:bookmarkStart w:id="16" w:name="_Toc509218692"/>
      <w:bookmarkStart w:id="17" w:name="_Toc27491"/>
      <w:bookmarkStart w:id="18" w:name="_Toc26523"/>
      <w:bookmarkStart w:id="19" w:name="_Toc287607728"/>
      <w:bookmarkStart w:id="20" w:name="_Toc287620667"/>
      <w:bookmarkStart w:id="21" w:name="_Toc200359238"/>
      <w:r>
        <w:rPr>
          <w:rFonts w:hint="eastAsia" w:ascii="宋体" w:hAnsi="宋体"/>
          <w:color w:val="auto"/>
          <w:kern w:val="0"/>
          <w:highlight w:val="none"/>
          <w:u w:val="single"/>
        </w:rPr>
        <w:t>重庆经开区投资集团有限公司主体信用评级</w:t>
      </w:r>
      <w:bookmarkEnd w:id="11"/>
    </w:p>
    <w:p w14:paraId="4B98C50C">
      <w:pPr>
        <w:pStyle w:val="3"/>
        <w:spacing w:before="100" w:after="100" w:line="460" w:lineRule="exact"/>
        <w:ind w:firstLine="281"/>
        <w:rPr>
          <w:rFonts w:ascii="宋体" w:hAnsi="宋体"/>
          <w:snapToGrid w:val="0"/>
          <w:color w:val="auto"/>
          <w:sz w:val="28"/>
          <w:szCs w:val="28"/>
          <w:highlight w:val="none"/>
        </w:rPr>
      </w:pPr>
      <w:bookmarkStart w:id="22" w:name="_Toc5336"/>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lang w:val="en-US" w:eastAsia="zh-CN"/>
        </w:rPr>
        <w:t>比选</w:t>
      </w:r>
      <w:r>
        <w:rPr>
          <w:rFonts w:ascii="宋体" w:hAnsi="宋体"/>
          <w:snapToGrid w:val="0"/>
          <w:color w:val="auto"/>
          <w:sz w:val="28"/>
          <w:szCs w:val="28"/>
          <w:highlight w:val="none"/>
        </w:rPr>
        <w:t>条件</w:t>
      </w:r>
      <w:bookmarkEnd w:id="12"/>
      <w:bookmarkEnd w:id="13"/>
      <w:bookmarkEnd w:id="14"/>
      <w:bookmarkEnd w:id="15"/>
      <w:bookmarkEnd w:id="16"/>
      <w:bookmarkEnd w:id="17"/>
      <w:bookmarkEnd w:id="18"/>
      <w:bookmarkEnd w:id="19"/>
      <w:bookmarkEnd w:id="20"/>
      <w:bookmarkEnd w:id="21"/>
      <w:bookmarkEnd w:id="22"/>
    </w:p>
    <w:p w14:paraId="11A7AE70">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color w:val="auto"/>
          <w:kern w:val="0"/>
          <w:szCs w:val="21"/>
          <w:highlight w:val="none"/>
        </w:rPr>
      </w:pPr>
      <w:r>
        <w:rPr>
          <w:rFonts w:ascii="宋体" w:hAnsi="宋体"/>
          <w:snapToGrid w:val="0"/>
          <w:color w:val="auto"/>
          <w:kern w:val="0"/>
          <w:szCs w:val="21"/>
          <w:highlight w:val="none"/>
        </w:rPr>
        <w:t>本项目</w:t>
      </w:r>
      <w:r>
        <w:rPr>
          <w:rFonts w:hint="eastAsia" w:ascii="宋体" w:hAnsi="宋体"/>
          <w:snapToGrid w:val="0"/>
          <w:color w:val="auto"/>
          <w:kern w:val="0"/>
          <w:szCs w:val="21"/>
          <w:highlight w:val="none"/>
          <w:u w:val="single"/>
        </w:rPr>
        <w:t>重庆经开区投资集团有限公司主体信用评级</w:t>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为</w:t>
      </w:r>
      <w:r>
        <w:rPr>
          <w:rFonts w:hint="eastAsia" w:ascii="宋体" w:hAnsi="宋体" w:cs="宋体"/>
          <w:color w:val="auto"/>
          <w:spacing w:val="-4"/>
          <w:szCs w:val="21"/>
          <w:highlight w:val="none"/>
          <w:u w:val="single"/>
        </w:rPr>
        <w:t>重庆经开区投资集团有限公司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100%</w:t>
      </w:r>
      <w:r>
        <w:rPr>
          <w:rFonts w:ascii="宋体" w:hAnsi="宋体"/>
          <w:snapToGrid w:val="0"/>
          <w:color w:val="auto"/>
          <w:kern w:val="0"/>
          <w:position w:val="-2"/>
          <w:szCs w:val="21"/>
          <w:highlight w:val="none"/>
        </w:rPr>
        <w:t>。项目已具备</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条件，现对</w:t>
      </w:r>
      <w:r>
        <w:rPr>
          <w:rFonts w:hint="eastAsia" w:ascii="宋体" w:hAnsi="宋体"/>
          <w:snapToGrid w:val="0"/>
          <w:color w:val="auto"/>
          <w:kern w:val="0"/>
          <w:position w:val="-2"/>
          <w:szCs w:val="21"/>
          <w:highlight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rPr>
        <w:t>比选</w:t>
      </w:r>
      <w:r>
        <w:rPr>
          <w:rFonts w:ascii="宋体" w:hAnsi="宋体"/>
          <w:snapToGrid w:val="0"/>
          <w:color w:val="auto"/>
          <w:kern w:val="0"/>
          <w:position w:val="-2"/>
          <w:szCs w:val="21"/>
          <w:highlight w:val="none"/>
        </w:rPr>
        <w:t>。</w:t>
      </w:r>
    </w:p>
    <w:p w14:paraId="1A5A5A0D">
      <w:pPr>
        <w:pStyle w:val="3"/>
        <w:spacing w:before="100" w:after="100" w:line="460" w:lineRule="exact"/>
        <w:ind w:firstLine="281"/>
        <w:rPr>
          <w:rFonts w:ascii="宋体" w:hAnsi="宋体"/>
          <w:snapToGrid w:val="0"/>
          <w:color w:val="auto"/>
          <w:sz w:val="28"/>
          <w:szCs w:val="28"/>
          <w:highlight w:val="none"/>
        </w:rPr>
      </w:pPr>
      <w:bookmarkStart w:id="23" w:name="_Toc200359428"/>
      <w:bookmarkStart w:id="24" w:name="_Toc509218693"/>
      <w:bookmarkStart w:id="25" w:name="_Toc287607729"/>
      <w:bookmarkStart w:id="26" w:name="_Toc277082537"/>
      <w:bookmarkStart w:id="27" w:name="_Toc224103300"/>
      <w:bookmarkStart w:id="28" w:name="_Toc16344"/>
      <w:bookmarkStart w:id="29" w:name="_Toc430530417"/>
      <w:bookmarkStart w:id="30" w:name="_Toc200359239"/>
      <w:bookmarkStart w:id="31" w:name="_Toc22556"/>
      <w:bookmarkStart w:id="32" w:name="_Toc23344"/>
      <w:bookmarkStart w:id="33" w:name="_Toc287620668"/>
      <w:r>
        <w:rPr>
          <w:rFonts w:ascii="宋体" w:hAnsi="宋体"/>
          <w:snapToGrid w:val="0"/>
          <w:color w:val="auto"/>
          <w:sz w:val="28"/>
          <w:szCs w:val="28"/>
          <w:highlight w:val="none"/>
        </w:rPr>
        <w:t>2. 项目概况与</w:t>
      </w:r>
      <w:r>
        <w:rPr>
          <w:rFonts w:hint="eastAsia" w:ascii="宋体" w:hAnsi="宋体"/>
          <w:snapToGrid w:val="0"/>
          <w:color w:val="auto"/>
          <w:sz w:val="28"/>
          <w:szCs w:val="28"/>
          <w:highlight w:val="none"/>
          <w:lang w:val="en-US" w:eastAsia="zh-CN"/>
        </w:rPr>
        <w:t>比选</w:t>
      </w:r>
      <w:r>
        <w:rPr>
          <w:rFonts w:ascii="宋体" w:hAnsi="宋体"/>
          <w:snapToGrid w:val="0"/>
          <w:color w:val="auto"/>
          <w:sz w:val="28"/>
          <w:szCs w:val="28"/>
          <w:highlight w:val="none"/>
        </w:rPr>
        <w:t>范围</w:t>
      </w:r>
      <w:bookmarkEnd w:id="23"/>
      <w:bookmarkEnd w:id="24"/>
      <w:bookmarkEnd w:id="25"/>
      <w:bookmarkEnd w:id="26"/>
      <w:bookmarkEnd w:id="27"/>
      <w:bookmarkEnd w:id="28"/>
      <w:bookmarkEnd w:id="29"/>
      <w:bookmarkEnd w:id="30"/>
      <w:bookmarkEnd w:id="31"/>
      <w:bookmarkEnd w:id="32"/>
      <w:bookmarkEnd w:id="33"/>
    </w:p>
    <w:p w14:paraId="63B7A310">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2.1 项目地点：重庆经开区</w:t>
      </w:r>
    </w:p>
    <w:p w14:paraId="5440CF84">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工作内容：</w:t>
      </w:r>
    </w:p>
    <w:p w14:paraId="77F87330">
      <w:pPr>
        <w:tabs>
          <w:tab w:val="left" w:pos="3840"/>
          <w:tab w:val="left" w:pos="5300"/>
        </w:tabs>
        <w:autoSpaceDE w:val="0"/>
        <w:autoSpaceDN w:val="0"/>
        <w:adjustRightInd w:val="0"/>
        <w:snapToGrid w:val="0"/>
        <w:spacing w:line="460" w:lineRule="exact"/>
        <w:ind w:firstLine="420" w:firstLineChars="200"/>
        <w:jc w:val="left"/>
        <w:rPr>
          <w:color w:val="auto"/>
          <w:highlight w:val="none"/>
        </w:rPr>
      </w:pPr>
      <w:r>
        <w:rPr>
          <w:rFonts w:hint="eastAsia"/>
          <w:color w:val="auto"/>
          <w:highlight w:val="none"/>
          <w:lang w:val="en-US" w:eastAsia="zh-CN"/>
        </w:rPr>
        <w:t>1.</w:t>
      </w:r>
      <w:r>
        <w:rPr>
          <w:rFonts w:hint="eastAsia"/>
          <w:color w:val="auto"/>
          <w:highlight w:val="none"/>
        </w:rPr>
        <w:t>根据公司所提供的资料开展主体信用评级服务；</w:t>
      </w:r>
      <w:r>
        <w:rPr>
          <w:rFonts w:hint="eastAsia"/>
          <w:color w:val="auto"/>
          <w:highlight w:val="none"/>
          <w:lang w:val="en-US" w:eastAsia="zh-CN"/>
        </w:rPr>
        <w:t>2.</w:t>
      </w:r>
      <w:r>
        <w:rPr>
          <w:rFonts w:hint="eastAsia"/>
          <w:color w:val="auto"/>
          <w:highlight w:val="none"/>
        </w:rPr>
        <w:t>开展与主体信用评级工作相关的调查、访问、座谈及其他必要活动；</w:t>
      </w:r>
      <w:r>
        <w:rPr>
          <w:rFonts w:hint="eastAsia"/>
          <w:color w:val="auto"/>
          <w:highlight w:val="none"/>
          <w:lang w:val="en-US" w:eastAsia="zh-CN"/>
        </w:rPr>
        <w:t>3.</w:t>
      </w:r>
      <w:r>
        <w:rPr>
          <w:rFonts w:hint="eastAsia"/>
          <w:color w:val="auto"/>
          <w:highlight w:val="none"/>
        </w:rPr>
        <w:t>开展主体信用评级过程中应遵循监管机构、自律性组织规定的业务流程、方法开展主体信用评级工作、出具主体信用评级报告；</w:t>
      </w:r>
      <w:r>
        <w:rPr>
          <w:rFonts w:hint="eastAsia"/>
          <w:color w:val="auto"/>
          <w:highlight w:val="none"/>
          <w:lang w:val="en-US" w:eastAsia="zh-CN"/>
        </w:rPr>
        <w:t>4.</w:t>
      </w:r>
      <w:r>
        <w:rPr>
          <w:rFonts w:hint="eastAsia"/>
          <w:color w:val="auto"/>
          <w:highlight w:val="none"/>
        </w:rPr>
        <w:t>具体内容以签订合同为准。</w:t>
      </w:r>
    </w:p>
    <w:p w14:paraId="0E15660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2.3 本次</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项目合同估算金额：</w:t>
      </w:r>
      <w:r>
        <w:rPr>
          <w:rFonts w:hint="eastAsia" w:ascii="宋体" w:hAnsi="宋体"/>
          <w:snapToGrid w:val="0"/>
          <w:color w:val="auto"/>
          <w:kern w:val="0"/>
          <w:szCs w:val="21"/>
          <w:highlight w:val="none"/>
          <w:u w:val="single"/>
          <w:lang w:val="en-US" w:eastAsia="zh-CN"/>
        </w:rPr>
        <w:t>75</w:t>
      </w:r>
      <w:r>
        <w:rPr>
          <w:rFonts w:hint="eastAsia" w:ascii="宋体" w:hAnsi="宋体"/>
          <w:snapToGrid w:val="0"/>
          <w:color w:val="auto"/>
          <w:kern w:val="0"/>
          <w:szCs w:val="21"/>
          <w:highlight w:val="none"/>
          <w:u w:val="single"/>
        </w:rPr>
        <w:t>万元</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single"/>
          <w:lang w:val="en-US" w:eastAsia="zh-CN"/>
        </w:rPr>
        <w:t>三年，每年25万元</w:t>
      </w:r>
      <w:r>
        <w:rPr>
          <w:rFonts w:hint="eastAsia" w:ascii="宋体" w:hAnsi="宋体"/>
          <w:snapToGrid w:val="0"/>
          <w:color w:val="auto"/>
          <w:kern w:val="0"/>
          <w:szCs w:val="21"/>
          <w:highlight w:val="none"/>
          <w:u w:val="single"/>
          <w:lang w:eastAsia="zh-CN"/>
        </w:rPr>
        <w:t>）</w:t>
      </w:r>
    </w:p>
    <w:p w14:paraId="4349F71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2.4服务期要求：</w:t>
      </w:r>
      <w:r>
        <w:rPr>
          <w:rFonts w:hint="eastAsia" w:ascii="宋体" w:hAnsi="宋体"/>
          <w:snapToGrid w:val="0"/>
          <w:color w:val="auto"/>
          <w:kern w:val="0"/>
          <w:szCs w:val="21"/>
          <w:highlight w:val="none"/>
          <w:u w:val="single"/>
          <w:lang w:val="en-US" w:eastAsia="zh-CN"/>
        </w:rPr>
        <w:t>三</w:t>
      </w:r>
      <w:r>
        <w:rPr>
          <w:rFonts w:hint="eastAsia" w:ascii="宋体" w:hAnsi="宋体"/>
          <w:snapToGrid w:val="0"/>
          <w:color w:val="auto"/>
          <w:kern w:val="0"/>
          <w:szCs w:val="21"/>
          <w:highlight w:val="none"/>
          <w:u w:val="single"/>
        </w:rPr>
        <w:t>年</w:t>
      </w:r>
      <w:r>
        <w:rPr>
          <w:rFonts w:hint="eastAsia" w:ascii="宋体" w:hAnsi="宋体"/>
          <w:snapToGrid w:val="0"/>
          <w:color w:val="auto"/>
          <w:kern w:val="0"/>
          <w:szCs w:val="21"/>
          <w:highlight w:val="none"/>
          <w:u w:val="single"/>
          <w:lang w:eastAsia="zh-CN"/>
        </w:rPr>
        <w:t>，委托服务期间自协议生效之日起至报告交付之日止，</w:t>
      </w:r>
      <w:r>
        <w:rPr>
          <w:rFonts w:hint="eastAsia" w:ascii="宋体" w:hAnsi="宋体"/>
          <w:snapToGrid w:val="0"/>
          <w:color w:val="auto"/>
          <w:kern w:val="0"/>
          <w:szCs w:val="21"/>
          <w:highlight w:val="none"/>
          <w:u w:val="single"/>
          <w:lang w:val="en-US" w:eastAsia="zh-CN"/>
        </w:rPr>
        <w:t>服务合同每年一签</w:t>
      </w:r>
      <w:r>
        <w:rPr>
          <w:rFonts w:hint="eastAsia" w:ascii="宋体" w:hAnsi="宋体"/>
          <w:snapToGrid w:val="0"/>
          <w:color w:val="auto"/>
          <w:kern w:val="0"/>
          <w:szCs w:val="21"/>
          <w:highlight w:val="none"/>
          <w:u w:val="single"/>
        </w:rPr>
        <w:t>。</w:t>
      </w:r>
    </w:p>
    <w:p w14:paraId="3D903614">
      <w:pPr>
        <w:pStyle w:val="3"/>
        <w:spacing w:before="100" w:after="100" w:line="460" w:lineRule="exact"/>
        <w:ind w:firstLine="281"/>
        <w:rPr>
          <w:rFonts w:ascii="宋体" w:hAnsi="宋体"/>
          <w:snapToGrid w:val="0"/>
          <w:color w:val="auto"/>
          <w:sz w:val="28"/>
          <w:szCs w:val="28"/>
          <w:highlight w:val="none"/>
        </w:rPr>
      </w:pPr>
      <w:bookmarkStart w:id="34" w:name="_Toc287607730"/>
      <w:bookmarkStart w:id="35" w:name="_Toc430530418"/>
      <w:bookmarkStart w:id="36" w:name="_Toc509218694"/>
      <w:bookmarkStart w:id="37" w:name="_Toc224103301"/>
      <w:bookmarkStart w:id="38" w:name="_Toc5240"/>
      <w:bookmarkStart w:id="39" w:name="_Toc200359429"/>
      <w:bookmarkStart w:id="40" w:name="_Toc287620669"/>
      <w:bookmarkStart w:id="41" w:name="_Toc17509"/>
      <w:bookmarkStart w:id="42" w:name="_Toc277082538"/>
      <w:bookmarkStart w:id="43" w:name="_Toc200359240"/>
      <w:bookmarkStart w:id="44" w:name="_Toc19513"/>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竞选人</w:t>
      </w:r>
      <w:r>
        <w:rPr>
          <w:rFonts w:ascii="宋体" w:hAnsi="宋体"/>
          <w:snapToGrid w:val="0"/>
          <w:color w:val="auto"/>
          <w:sz w:val="28"/>
          <w:szCs w:val="28"/>
          <w:highlight w:val="none"/>
        </w:rPr>
        <w:t>资格要求</w:t>
      </w:r>
      <w:bookmarkEnd w:id="34"/>
      <w:bookmarkEnd w:id="35"/>
      <w:bookmarkEnd w:id="36"/>
      <w:bookmarkEnd w:id="37"/>
      <w:bookmarkEnd w:id="38"/>
      <w:bookmarkEnd w:id="39"/>
      <w:bookmarkEnd w:id="40"/>
      <w:bookmarkEnd w:id="41"/>
      <w:bookmarkEnd w:id="42"/>
      <w:bookmarkEnd w:id="43"/>
      <w:bookmarkEnd w:id="44"/>
    </w:p>
    <w:p w14:paraId="695BDD6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04C59EC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 本次</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要求竞选人具备的资</w:t>
      </w:r>
      <w:r>
        <w:rPr>
          <w:rFonts w:hint="eastAsia" w:ascii="宋体" w:hAnsi="宋体"/>
          <w:snapToGrid w:val="0"/>
          <w:color w:val="auto"/>
          <w:kern w:val="0"/>
          <w:szCs w:val="21"/>
          <w:highlight w:val="none"/>
          <w:lang w:val="en-US" w:eastAsia="zh-CN"/>
        </w:rPr>
        <w:t>格</w:t>
      </w:r>
      <w:r>
        <w:rPr>
          <w:rFonts w:hint="eastAsia" w:ascii="宋体" w:hAnsi="宋体"/>
          <w:snapToGrid w:val="0"/>
          <w:color w:val="auto"/>
          <w:kern w:val="0"/>
          <w:szCs w:val="21"/>
          <w:highlight w:val="none"/>
        </w:rPr>
        <w:t>条件：</w:t>
      </w:r>
    </w:p>
    <w:p w14:paraId="1CEB2EF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b w:val="0"/>
          <w:bCs w:val="0"/>
          <w:snapToGrid w:val="0"/>
          <w:color w:val="auto"/>
          <w:kern w:val="0"/>
          <w:sz w:val="21"/>
          <w:szCs w:val="21"/>
          <w:highlight w:val="none"/>
          <w:lang w:val="en-US" w:eastAsia="zh-CN" w:bidi="ar-SA"/>
        </w:rPr>
      </w:pPr>
      <w:r>
        <w:rPr>
          <w:rFonts w:hint="eastAsia" w:ascii="宋体" w:hAnsi="宋体" w:cs="Times New Roman"/>
          <w:b w:val="0"/>
          <w:bCs w:val="0"/>
          <w:snapToGrid w:val="0"/>
          <w:color w:val="auto"/>
          <w:kern w:val="0"/>
          <w:sz w:val="21"/>
          <w:szCs w:val="21"/>
          <w:highlight w:val="none"/>
          <w:lang w:val="en-US" w:eastAsia="zh-CN" w:bidi="ar-SA"/>
        </w:rPr>
        <w:t>1.具有中国证监会、中国人民银行和国家发改委三个国家政府部门其中一家认定的证券市场及银行间债券市场两大债券市场国内全部债务工具类信用评级资质。</w:t>
      </w:r>
    </w:p>
    <w:p w14:paraId="3CC56DA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cs="Times New Roman"/>
          <w:b w:val="0"/>
          <w:bCs w:val="0"/>
          <w:snapToGrid w:val="0"/>
          <w:color w:val="auto"/>
          <w:kern w:val="0"/>
          <w:sz w:val="21"/>
          <w:szCs w:val="21"/>
          <w:highlight w:val="none"/>
          <w:lang w:val="en-US" w:eastAsia="zh-CN" w:bidi="ar-SA"/>
        </w:rPr>
        <w:t>2.</w:t>
      </w:r>
      <w:r>
        <w:rPr>
          <w:rFonts w:hint="eastAsia" w:ascii="宋体" w:hAnsi="宋体" w:eastAsia="宋体" w:cs="Times New Roman"/>
          <w:b w:val="0"/>
          <w:bCs w:val="0"/>
          <w:snapToGrid w:val="0"/>
          <w:color w:val="auto"/>
          <w:kern w:val="0"/>
          <w:sz w:val="21"/>
          <w:szCs w:val="21"/>
          <w:highlight w:val="none"/>
          <w:lang w:val="en-US" w:eastAsia="zh-CN" w:bidi="ar-SA"/>
        </w:rPr>
        <w:t>类似业绩：2024年1月1日-2024年12月31日，公开发行的非金类中期票据发行规模统计排名，以Wind统计口径为准，需提供Wind数据库查询截图。</w:t>
      </w:r>
    </w:p>
    <w:p w14:paraId="2B393977">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3.1.2竞选人还应在人员、设备、资金等方面具有相应的能力，详见招标文件第二章竞选人须知前附表第1.4.1项内容。</w:t>
      </w:r>
    </w:p>
    <w:p w14:paraId="74237F5F">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ascii="宋体" w:hAnsi="宋体"/>
          <w:snapToGrid w:val="0"/>
          <w:kern w:val="0"/>
          <w:szCs w:val="21"/>
        </w:rPr>
        <w:t>3.2  本次招标</w:t>
      </w:r>
      <w:r>
        <w:rPr>
          <w:rFonts w:hint="eastAsia" w:ascii="宋体" w:hAnsi="宋体"/>
          <w:snapToGrid w:val="0"/>
          <w:kern w:val="0"/>
          <w:szCs w:val="21"/>
        </w:rPr>
        <w:t>□接受 ☑不接受</w:t>
      </w:r>
      <w:r>
        <w:rPr>
          <w:rFonts w:ascii="宋体" w:hAnsi="宋体"/>
          <w:snapToGrid w:val="0"/>
          <w:kern w:val="0"/>
          <w:szCs w:val="21"/>
        </w:rPr>
        <w:t>联合体投标。联合体投标的，应满足下列要求：</w:t>
      </w:r>
      <w:r>
        <w:rPr>
          <w:rFonts w:hint="eastAsia" w:ascii="宋体" w:hAnsi="宋体"/>
          <w:snapToGrid w:val="0"/>
          <w:kern w:val="0"/>
          <w:szCs w:val="21"/>
          <w:u w:val="single"/>
        </w:rPr>
        <w:t>/</w:t>
      </w:r>
      <w:r>
        <w:rPr>
          <w:rFonts w:ascii="宋体" w:hAnsi="宋体"/>
          <w:snapToGrid w:val="0"/>
          <w:kern w:val="0"/>
          <w:szCs w:val="21"/>
        </w:rPr>
        <w:t>。</w:t>
      </w:r>
    </w:p>
    <w:p w14:paraId="1D9F3A15">
      <w:pPr>
        <w:pStyle w:val="3"/>
        <w:spacing w:before="100" w:after="100" w:line="460" w:lineRule="exact"/>
        <w:ind w:firstLine="281"/>
        <w:rPr>
          <w:rFonts w:ascii="宋体" w:hAnsi="宋体"/>
          <w:snapToGrid w:val="0"/>
          <w:sz w:val="28"/>
          <w:szCs w:val="28"/>
        </w:rPr>
      </w:pPr>
      <w:bookmarkStart w:id="45" w:name="_Toc10508"/>
      <w:bookmarkStart w:id="46" w:name="_Toc287620670"/>
      <w:bookmarkStart w:id="47" w:name="_Toc224103302"/>
      <w:bookmarkStart w:id="48" w:name="_Toc430530419"/>
      <w:bookmarkStart w:id="49" w:name="_Toc200359430"/>
      <w:bookmarkStart w:id="50" w:name="_Toc13751"/>
      <w:bookmarkStart w:id="51" w:name="_Toc509218695"/>
      <w:bookmarkStart w:id="52" w:name="_Toc200359241"/>
      <w:bookmarkStart w:id="53" w:name="_Toc277082539"/>
      <w:bookmarkStart w:id="54" w:name="_Toc287607731"/>
      <w:bookmarkStart w:id="55" w:name="_Toc28156"/>
      <w:r>
        <w:rPr>
          <w:rFonts w:ascii="宋体" w:hAnsi="宋体"/>
          <w:snapToGrid w:val="0"/>
          <w:sz w:val="28"/>
          <w:szCs w:val="28"/>
        </w:rPr>
        <w:t xml:space="preserve">4. </w:t>
      </w:r>
      <w:r>
        <w:rPr>
          <w:rFonts w:hint="eastAsia" w:ascii="宋体" w:hAnsi="宋体"/>
          <w:snapToGrid w:val="0"/>
          <w:sz w:val="28"/>
          <w:szCs w:val="28"/>
        </w:rPr>
        <w:t>比选</w:t>
      </w:r>
      <w:r>
        <w:rPr>
          <w:rFonts w:ascii="宋体" w:hAnsi="宋体"/>
          <w:snapToGrid w:val="0"/>
          <w:sz w:val="28"/>
          <w:szCs w:val="28"/>
        </w:rPr>
        <w:t>文件的获取</w:t>
      </w:r>
      <w:bookmarkEnd w:id="45"/>
      <w:bookmarkEnd w:id="46"/>
      <w:bookmarkEnd w:id="47"/>
      <w:bookmarkEnd w:id="48"/>
      <w:bookmarkEnd w:id="49"/>
      <w:bookmarkEnd w:id="50"/>
      <w:bookmarkEnd w:id="51"/>
      <w:bookmarkEnd w:id="52"/>
      <w:bookmarkEnd w:id="53"/>
      <w:bookmarkEnd w:id="54"/>
      <w:bookmarkEnd w:id="55"/>
    </w:p>
    <w:p w14:paraId="61AD0A92">
      <w:pPr>
        <w:widowControl/>
        <w:spacing w:line="360" w:lineRule="auto"/>
        <w:ind w:firstLine="420" w:firstLineChars="200"/>
        <w:rPr>
          <w:rFonts w:cs="宋体" w:asciiTheme="minorEastAsia" w:hAnsiTheme="minorEastAsia" w:eastAsiaTheme="minorEastAsia"/>
          <w:kern w:val="0"/>
          <w:szCs w:val="21"/>
        </w:rPr>
      </w:pPr>
      <w:bookmarkStart w:id="56" w:name="_Toc287620671"/>
      <w:bookmarkStart w:id="57" w:name="_Toc277082540"/>
      <w:bookmarkStart w:id="58" w:name="_Toc3893"/>
      <w:bookmarkStart w:id="59" w:name="_Toc509218696"/>
      <w:bookmarkStart w:id="60" w:name="_Toc28449"/>
      <w:bookmarkStart w:id="61" w:name="_Toc287607732"/>
      <w:bookmarkStart w:id="62" w:name="_Toc430530420"/>
      <w:bookmarkStart w:id="63" w:name="_Toc200359242"/>
      <w:bookmarkStart w:id="64" w:name="_Toc224103303"/>
      <w:bookmarkStart w:id="65" w:name="_Toc200359431"/>
      <w:r>
        <w:rPr>
          <w:rFonts w:hint="eastAsia" w:cs="宋体" w:asciiTheme="minorEastAsia" w:hAnsiTheme="minorEastAsia" w:eastAsiaTheme="minorEastAsia"/>
          <w:kern w:val="0"/>
          <w:szCs w:val="21"/>
        </w:rPr>
        <w:t>4.1 凡有意参加投标者，请于公告发布之日起至至投标截止时间前，均可在行采家 (https://www.gec123.com/) 和重庆经开区投资集团官网（http://www.cetzig.com/）上下载本项目竞争性比选文件、答疑、补遗等开标前公布的所有相关资料。在公告期间，各竞标人应随时关注网上发布的竞争性比选文件答疑、补遗、澄清等文件内容，不管竞标人下载与否都视为潜在投标人全部知晓有关招投标过程和全部内容。</w:t>
      </w:r>
    </w:p>
    <w:p w14:paraId="7481D6BD">
      <w:pPr>
        <w:pStyle w:val="3"/>
        <w:spacing w:before="100" w:after="100" w:line="460" w:lineRule="exact"/>
        <w:ind w:firstLine="281"/>
        <w:rPr>
          <w:rFonts w:ascii="宋体" w:hAnsi="宋体"/>
          <w:snapToGrid w:val="0"/>
          <w:sz w:val="28"/>
          <w:szCs w:val="28"/>
        </w:rPr>
      </w:pPr>
      <w:bookmarkStart w:id="66" w:name="_Toc13252"/>
      <w:r>
        <w:rPr>
          <w:rFonts w:ascii="宋体" w:hAnsi="宋体"/>
          <w:snapToGrid w:val="0"/>
          <w:sz w:val="28"/>
          <w:szCs w:val="28"/>
        </w:rPr>
        <w:t xml:space="preserve">5. </w:t>
      </w:r>
      <w:r>
        <w:rPr>
          <w:rFonts w:hint="eastAsia" w:ascii="宋体" w:hAnsi="宋体"/>
          <w:snapToGrid w:val="0"/>
          <w:sz w:val="28"/>
          <w:szCs w:val="28"/>
        </w:rPr>
        <w:t>竞选文件</w:t>
      </w:r>
      <w:r>
        <w:rPr>
          <w:rFonts w:ascii="宋体" w:hAnsi="宋体"/>
          <w:snapToGrid w:val="0"/>
          <w:sz w:val="28"/>
          <w:szCs w:val="28"/>
        </w:rPr>
        <w:t>的递交</w:t>
      </w:r>
      <w:bookmarkEnd w:id="56"/>
      <w:bookmarkEnd w:id="57"/>
      <w:bookmarkEnd w:id="58"/>
      <w:bookmarkEnd w:id="59"/>
      <w:bookmarkEnd w:id="60"/>
      <w:bookmarkEnd w:id="61"/>
      <w:bookmarkEnd w:id="62"/>
      <w:bookmarkEnd w:id="63"/>
      <w:bookmarkEnd w:id="64"/>
      <w:bookmarkEnd w:id="65"/>
      <w:bookmarkEnd w:id="66"/>
    </w:p>
    <w:p w14:paraId="2B1CF671">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 xml:space="preserve">5.1  </w:t>
      </w:r>
      <w:r>
        <w:rPr>
          <w:rFonts w:hint="eastAsia" w:ascii="宋体" w:hAnsi="宋体"/>
          <w:snapToGrid w:val="0"/>
          <w:kern w:val="0"/>
          <w:szCs w:val="21"/>
        </w:rPr>
        <w:t>竞选文件</w:t>
      </w:r>
      <w:r>
        <w:rPr>
          <w:rFonts w:ascii="宋体" w:hAnsi="宋体"/>
          <w:snapToGrid w:val="0"/>
          <w:kern w:val="0"/>
          <w:szCs w:val="21"/>
        </w:rPr>
        <w:t>递交的截止时间（投标截止时间，下同）为</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5</w:t>
      </w:r>
      <w:r>
        <w:rPr>
          <w:rFonts w:ascii="宋体" w:hAnsi="宋体"/>
          <w:snapToGrid w:val="0"/>
          <w:kern w:val="0"/>
          <w:szCs w:val="21"/>
        </w:rPr>
        <w:t>年</w:t>
      </w:r>
      <w:r>
        <w:rPr>
          <w:rFonts w:hint="eastAsia" w:ascii="宋体" w:hAnsi="宋体"/>
          <w:snapToGrid w:val="0"/>
          <w:kern w:val="0"/>
          <w:szCs w:val="21"/>
          <w:u w:val="single"/>
        </w:rPr>
        <w:t>7</w:t>
      </w:r>
      <w:r>
        <w:rPr>
          <w:rFonts w:ascii="宋体" w:hAnsi="宋体"/>
          <w:snapToGrid w:val="0"/>
          <w:kern w:val="0"/>
          <w:szCs w:val="21"/>
        </w:rPr>
        <w:t>月</w:t>
      </w:r>
      <w:r>
        <w:rPr>
          <w:rFonts w:hint="eastAsia" w:ascii="宋体" w:hAnsi="宋体"/>
          <w:snapToGrid w:val="0"/>
          <w:kern w:val="0"/>
          <w:szCs w:val="21"/>
          <w:u w:val="single"/>
          <w:lang w:val="en-US" w:eastAsia="zh-CN"/>
        </w:rPr>
        <w:t>30</w:t>
      </w:r>
      <w:r>
        <w:rPr>
          <w:rFonts w:ascii="宋体" w:hAnsi="宋体"/>
          <w:snapToGrid w:val="0"/>
          <w:kern w:val="0"/>
          <w:szCs w:val="21"/>
        </w:rPr>
        <w:t>日</w:t>
      </w:r>
      <w:r>
        <w:rPr>
          <w:rFonts w:hint="eastAsia" w:ascii="宋体" w:hAnsi="宋体"/>
          <w:snapToGrid w:val="0"/>
          <w:kern w:val="0"/>
          <w:szCs w:val="21"/>
          <w:u w:val="single"/>
          <w:lang w:val="en-US" w:eastAsia="zh-CN"/>
        </w:rPr>
        <w:t>10</w:t>
      </w:r>
      <w:r>
        <w:rPr>
          <w:rFonts w:ascii="宋体" w:hAnsi="宋体"/>
          <w:snapToGrid w:val="0"/>
          <w:kern w:val="0"/>
          <w:szCs w:val="21"/>
        </w:rPr>
        <w:t>时</w:t>
      </w:r>
      <w:r>
        <w:rPr>
          <w:rFonts w:hint="eastAsia" w:ascii="宋体" w:hAnsi="宋体"/>
          <w:snapToGrid w:val="0"/>
          <w:kern w:val="0"/>
          <w:szCs w:val="21"/>
          <w:u w:val="single"/>
        </w:rPr>
        <w:t>00</w:t>
      </w:r>
      <w:r>
        <w:rPr>
          <w:rFonts w:ascii="宋体" w:hAnsi="宋体"/>
          <w:snapToGrid w:val="0"/>
          <w:kern w:val="0"/>
          <w:szCs w:val="21"/>
        </w:rPr>
        <w:t>分，地点为</w:t>
      </w:r>
      <w:r>
        <w:rPr>
          <w:rFonts w:hint="eastAsia" w:ascii="宋体" w:hAnsi="宋体"/>
          <w:snapToGrid w:val="0"/>
          <w:kern w:val="0"/>
          <w:szCs w:val="21"/>
          <w:u w:val="single"/>
        </w:rPr>
        <w:t>重庆经开区投资集团有限公司15楼接待室</w:t>
      </w:r>
      <w:r>
        <w:rPr>
          <w:rFonts w:ascii="宋体" w:hAnsi="宋体"/>
          <w:snapToGrid w:val="0"/>
          <w:kern w:val="0"/>
          <w:szCs w:val="21"/>
        </w:rPr>
        <w:t>。</w:t>
      </w:r>
    </w:p>
    <w:p w14:paraId="79B5D89A">
      <w:pPr>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5.2  逾期送达的或者未送达指定地点的</w:t>
      </w:r>
      <w:r>
        <w:rPr>
          <w:rFonts w:hint="eastAsia" w:ascii="宋体" w:hAnsi="宋体"/>
          <w:snapToGrid w:val="0"/>
          <w:kern w:val="0"/>
          <w:szCs w:val="21"/>
        </w:rPr>
        <w:t>竞选文件</w:t>
      </w:r>
      <w:r>
        <w:rPr>
          <w:rFonts w:ascii="宋体" w:hAnsi="宋体"/>
          <w:snapToGrid w:val="0"/>
          <w:kern w:val="0"/>
          <w:szCs w:val="21"/>
        </w:rPr>
        <w:t>，</w:t>
      </w:r>
      <w:r>
        <w:rPr>
          <w:rFonts w:hint="eastAsia" w:ascii="宋体" w:hAnsi="宋体"/>
          <w:snapToGrid w:val="0"/>
          <w:kern w:val="0"/>
          <w:szCs w:val="21"/>
        </w:rPr>
        <w:t>比选人</w:t>
      </w:r>
      <w:r>
        <w:rPr>
          <w:rFonts w:ascii="宋体" w:hAnsi="宋体"/>
          <w:snapToGrid w:val="0"/>
          <w:kern w:val="0"/>
          <w:szCs w:val="21"/>
        </w:rPr>
        <w:t>不予受理。</w:t>
      </w:r>
    </w:p>
    <w:p w14:paraId="16659929">
      <w:pPr>
        <w:pStyle w:val="3"/>
        <w:spacing w:before="100" w:after="100" w:line="460" w:lineRule="exact"/>
        <w:ind w:firstLine="281"/>
        <w:rPr>
          <w:rFonts w:ascii="宋体" w:hAnsi="宋体"/>
          <w:snapToGrid w:val="0"/>
          <w:sz w:val="28"/>
          <w:szCs w:val="28"/>
        </w:rPr>
      </w:pPr>
      <w:bookmarkStart w:id="67" w:name="_Toc287607733"/>
      <w:bookmarkStart w:id="68" w:name="_Toc200359432"/>
      <w:bookmarkStart w:id="69" w:name="_Toc430530421"/>
      <w:bookmarkStart w:id="70" w:name="_Toc8166"/>
      <w:bookmarkStart w:id="71" w:name="_Toc1081"/>
      <w:bookmarkStart w:id="72" w:name="_Toc200359243"/>
      <w:bookmarkStart w:id="73" w:name="_Toc19071"/>
      <w:bookmarkStart w:id="74" w:name="_Toc287620672"/>
      <w:bookmarkStart w:id="75" w:name="_Toc224103304"/>
      <w:bookmarkStart w:id="76" w:name="_Toc509218697"/>
      <w:bookmarkStart w:id="77" w:name="_Toc277082541"/>
      <w:r>
        <w:rPr>
          <w:rFonts w:ascii="宋体" w:hAnsi="宋体"/>
          <w:snapToGrid w:val="0"/>
          <w:sz w:val="28"/>
          <w:szCs w:val="28"/>
        </w:rPr>
        <w:t>6. 发布公告的媒介</w:t>
      </w:r>
      <w:bookmarkEnd w:id="67"/>
      <w:bookmarkEnd w:id="68"/>
      <w:bookmarkEnd w:id="69"/>
      <w:bookmarkEnd w:id="70"/>
      <w:bookmarkEnd w:id="71"/>
      <w:bookmarkEnd w:id="72"/>
      <w:bookmarkEnd w:id="73"/>
      <w:bookmarkEnd w:id="74"/>
      <w:bookmarkEnd w:id="75"/>
      <w:bookmarkEnd w:id="76"/>
      <w:bookmarkEnd w:id="77"/>
    </w:p>
    <w:p w14:paraId="1029E617">
      <w:pPr>
        <w:widowControl/>
        <w:spacing w:line="360" w:lineRule="auto"/>
        <w:ind w:firstLine="420" w:firstLineChars="200"/>
        <w:jc w:val="left"/>
        <w:rPr>
          <w:rFonts w:ascii="宋体" w:hAnsi="宋体"/>
          <w:snapToGrid w:val="0"/>
          <w:kern w:val="0"/>
          <w:szCs w:val="21"/>
        </w:rPr>
      </w:pPr>
      <w:r>
        <w:rPr>
          <w:rFonts w:hint="eastAsia" w:cs="宋体" w:asciiTheme="minorEastAsia" w:hAnsiTheme="minorEastAsia" w:eastAsiaTheme="minorEastAsia"/>
          <w:kern w:val="0"/>
          <w:szCs w:val="21"/>
        </w:rPr>
        <w:t>本次比选公告在</w:t>
      </w:r>
      <w:r>
        <w:rPr>
          <w:rFonts w:ascii="宋体" w:hAnsi="宋体" w:cs="宋体"/>
          <w:spacing w:val="7"/>
          <w:szCs w:val="21"/>
        </w:rPr>
        <w:t>行采家(</w:t>
      </w:r>
      <w:r>
        <w:fldChar w:fldCharType="begin"/>
      </w:r>
      <w:r>
        <w:instrText xml:space="preserve"> HYPERLINK "https://www.gec123.com/" </w:instrText>
      </w:r>
      <w:r>
        <w:fldChar w:fldCharType="separate"/>
      </w:r>
      <w:r>
        <w:rPr>
          <w:rFonts w:ascii="宋体" w:hAnsi="宋体" w:cs="宋体"/>
          <w:szCs w:val="21"/>
        </w:rPr>
        <w:t>https</w:t>
      </w:r>
      <w:r>
        <w:rPr>
          <w:rFonts w:ascii="宋体" w:hAnsi="宋体" w:cs="宋体"/>
          <w:spacing w:val="7"/>
          <w:szCs w:val="21"/>
        </w:rPr>
        <w:t>://</w:t>
      </w:r>
      <w:r>
        <w:rPr>
          <w:rFonts w:ascii="宋体" w:hAnsi="宋体" w:cs="宋体"/>
          <w:szCs w:val="21"/>
        </w:rPr>
        <w:t>www</w:t>
      </w:r>
      <w:r>
        <w:rPr>
          <w:rFonts w:ascii="宋体" w:hAnsi="宋体" w:cs="宋体"/>
          <w:spacing w:val="7"/>
          <w:szCs w:val="21"/>
        </w:rPr>
        <w:t>.</w:t>
      </w:r>
      <w:r>
        <w:rPr>
          <w:rFonts w:ascii="宋体" w:hAnsi="宋体" w:cs="宋体"/>
          <w:szCs w:val="21"/>
        </w:rPr>
        <w:t>gec</w:t>
      </w:r>
      <w:r>
        <w:rPr>
          <w:rFonts w:ascii="宋体" w:hAnsi="宋体" w:cs="宋体"/>
          <w:spacing w:val="7"/>
          <w:szCs w:val="21"/>
        </w:rPr>
        <w:t>123.</w:t>
      </w:r>
      <w:r>
        <w:rPr>
          <w:rFonts w:ascii="宋体" w:hAnsi="宋体" w:cs="宋体"/>
          <w:szCs w:val="21"/>
        </w:rPr>
        <w:t>com</w:t>
      </w:r>
      <w:r>
        <w:rPr>
          <w:rFonts w:ascii="宋体" w:hAnsi="宋体" w:cs="宋体"/>
          <w:spacing w:val="7"/>
          <w:szCs w:val="21"/>
        </w:rPr>
        <w:t>/</w:t>
      </w:r>
      <w:r>
        <w:rPr>
          <w:rFonts w:ascii="宋体" w:hAnsi="宋体" w:cs="宋体"/>
          <w:spacing w:val="7"/>
          <w:szCs w:val="21"/>
        </w:rPr>
        <w:fldChar w:fldCharType="end"/>
      </w:r>
      <w:r>
        <w:rPr>
          <w:rFonts w:ascii="宋体" w:hAnsi="宋体" w:cs="宋体"/>
          <w:spacing w:val="7"/>
          <w:szCs w:val="21"/>
        </w:rPr>
        <w:t>)</w:t>
      </w:r>
      <w:r>
        <w:rPr>
          <w:rFonts w:hint="eastAsia" w:ascii="宋体" w:hAnsi="宋体" w:cs="宋体"/>
          <w:spacing w:val="7"/>
          <w:szCs w:val="21"/>
        </w:rPr>
        <w:t>和</w:t>
      </w:r>
      <w:r>
        <w:rPr>
          <w:rFonts w:hint="eastAsia" w:cs="宋体" w:asciiTheme="minorEastAsia" w:hAnsiTheme="minorEastAsia" w:eastAsiaTheme="minorEastAsia"/>
          <w:kern w:val="0"/>
          <w:szCs w:val="21"/>
        </w:rPr>
        <w:t>重庆经开区投资集团官网（http://www.cetzig.com/）上发布。</w:t>
      </w:r>
    </w:p>
    <w:p w14:paraId="53F4E5D3">
      <w:pPr>
        <w:pStyle w:val="3"/>
        <w:spacing w:before="100" w:after="100" w:line="460" w:lineRule="exact"/>
        <w:ind w:firstLine="281"/>
        <w:rPr>
          <w:rFonts w:ascii="宋体" w:hAnsi="宋体"/>
          <w:snapToGrid w:val="0"/>
          <w:sz w:val="28"/>
          <w:szCs w:val="28"/>
        </w:rPr>
      </w:pPr>
      <w:bookmarkStart w:id="78" w:name="_Toc31352"/>
      <w:bookmarkStart w:id="79" w:name="_Toc14240"/>
      <w:bookmarkStart w:id="80" w:name="_Toc769"/>
      <w:bookmarkStart w:id="81" w:name="_Toc287620673"/>
      <w:bookmarkStart w:id="82" w:name="_Toc12577"/>
      <w:bookmarkStart w:id="83" w:name="_Toc509218698"/>
      <w:bookmarkStart w:id="84" w:name="_Toc224103305"/>
      <w:bookmarkStart w:id="85" w:name="_Toc287607734"/>
      <w:bookmarkStart w:id="86" w:name="_Toc430530422"/>
      <w:bookmarkStart w:id="87" w:name="_Toc277082542"/>
      <w:r>
        <w:rPr>
          <w:rFonts w:hint="eastAsia" w:ascii="宋体" w:hAnsi="宋体"/>
          <w:snapToGrid w:val="0"/>
          <w:sz w:val="28"/>
          <w:szCs w:val="28"/>
        </w:rPr>
        <w:t>7</w:t>
      </w:r>
      <w:r>
        <w:rPr>
          <w:rFonts w:ascii="宋体" w:hAnsi="宋体"/>
          <w:snapToGrid w:val="0"/>
          <w:sz w:val="28"/>
          <w:szCs w:val="28"/>
        </w:rPr>
        <w:t xml:space="preserve">. </w:t>
      </w:r>
      <w:bookmarkEnd w:id="78"/>
      <w:bookmarkEnd w:id="79"/>
      <w:bookmarkStart w:id="88" w:name="_Toc589"/>
      <w:r>
        <w:rPr>
          <w:rFonts w:ascii="宋体" w:hAnsi="宋体"/>
          <w:snapToGrid w:val="0"/>
          <w:sz w:val="28"/>
          <w:szCs w:val="28"/>
        </w:rPr>
        <w:t>联系方式</w:t>
      </w:r>
      <w:bookmarkEnd w:id="80"/>
      <w:bookmarkEnd w:id="81"/>
      <w:bookmarkEnd w:id="82"/>
      <w:bookmarkEnd w:id="83"/>
      <w:bookmarkEnd w:id="84"/>
      <w:bookmarkEnd w:id="85"/>
      <w:bookmarkEnd w:id="86"/>
      <w:bookmarkEnd w:id="87"/>
      <w:bookmarkEnd w:id="88"/>
    </w:p>
    <w:p w14:paraId="5D8F9140">
      <w:pPr>
        <w:spacing w:line="360" w:lineRule="auto"/>
        <w:ind w:firstLine="420" w:firstLineChars="200"/>
        <w:rPr>
          <w:rFonts w:cs="宋体" w:asciiTheme="minorEastAsia" w:hAnsiTheme="minorEastAsia" w:eastAsiaTheme="minorEastAsia"/>
          <w:kern w:val="0"/>
          <w:szCs w:val="21"/>
        </w:rPr>
      </w:pPr>
      <w:bookmarkStart w:id="89" w:name="_Toc224103315"/>
      <w:bookmarkStart w:id="90" w:name="_Toc287607744"/>
      <w:bookmarkStart w:id="91" w:name="_Toc287620683"/>
      <w:bookmarkStart w:id="92" w:name="_Toc32148"/>
      <w:bookmarkStart w:id="93" w:name="_Toc430530432"/>
      <w:r>
        <w:rPr>
          <w:rFonts w:hint="eastAsia" w:cs="宋体" w:asciiTheme="minorEastAsia" w:hAnsiTheme="minorEastAsia" w:eastAsiaTheme="minorEastAsia"/>
          <w:kern w:val="0"/>
          <w:szCs w:val="21"/>
        </w:rPr>
        <w:t>比选人：重庆经开区投资集团有限公司</w:t>
      </w:r>
    </w:p>
    <w:p w14:paraId="37D4D639">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联系人： </w:t>
      </w:r>
      <w:r>
        <w:rPr>
          <w:rFonts w:hint="eastAsia" w:ascii="宋体" w:hAnsi="宋体" w:cs="宋体"/>
          <w:kern w:val="0"/>
          <w:szCs w:val="21"/>
        </w:rPr>
        <w:t>张老师</w:t>
      </w:r>
    </w:p>
    <w:p w14:paraId="04E6892F">
      <w:pPr>
        <w:spacing w:line="360" w:lineRule="auto"/>
        <w:ind w:firstLine="420" w:firstLineChars="200"/>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电  话：</w:t>
      </w:r>
      <w:r>
        <w:rPr>
          <w:rFonts w:hint="eastAsia" w:ascii="宋体" w:hAnsi="宋体" w:cs="宋体" w:eastAsiaTheme="minorEastAsia"/>
          <w:kern w:val="0"/>
          <w:szCs w:val="21"/>
          <w:lang w:val="en-US" w:eastAsia="zh-CN"/>
        </w:rPr>
        <w:t>023-62513184</w:t>
      </w:r>
    </w:p>
    <w:p w14:paraId="29F41230">
      <w:pPr>
        <w:spacing w:line="360" w:lineRule="auto"/>
        <w:ind w:firstLine="420" w:firstLineChars="200"/>
        <w:rPr>
          <w:rFonts w:ascii="宋体" w:hAnsi="宋体" w:cs="宋体"/>
          <w:szCs w:val="21"/>
          <w:lang w:bidi="en-US"/>
        </w:rPr>
      </w:pPr>
      <w:r>
        <w:rPr>
          <w:rFonts w:hint="eastAsia" w:cs="宋体" w:asciiTheme="minorEastAsia" w:hAnsiTheme="minorEastAsia" w:eastAsiaTheme="minorEastAsia"/>
          <w:kern w:val="0"/>
          <w:szCs w:val="21"/>
        </w:rPr>
        <w:t>地  址：</w:t>
      </w:r>
      <w:r>
        <w:rPr>
          <w:rFonts w:hint="eastAsia" w:ascii="宋体" w:hAnsi="宋体" w:cs="宋体"/>
          <w:szCs w:val="21"/>
          <w:lang w:bidi="en-US"/>
        </w:rPr>
        <w:t>重庆市南岸区茶园江桥路一号附1号</w:t>
      </w:r>
    </w:p>
    <w:p w14:paraId="3F00C75D">
      <w:pPr>
        <w:pStyle w:val="17"/>
      </w:pPr>
      <w:r>
        <w:rPr>
          <w:rFonts w:hint="eastAsia"/>
        </w:rPr>
        <w:t xml:space="preserve">    邮  箱：50417679@qq.com</w:t>
      </w:r>
    </w:p>
    <w:p w14:paraId="46227ED1">
      <w:pPr>
        <w:autoSpaceDE w:val="0"/>
        <w:autoSpaceDN w:val="0"/>
        <w:adjustRightInd w:val="0"/>
        <w:snapToGrid w:val="0"/>
        <w:spacing w:line="440" w:lineRule="exact"/>
        <w:ind w:firstLine="3906" w:firstLineChars="1860"/>
        <w:jc w:val="right"/>
        <w:rPr>
          <w:rFonts w:ascii="宋体" w:hAnsi="宋体"/>
          <w:snapToGrid w:val="0"/>
          <w:kern w:val="0"/>
          <w:szCs w:val="21"/>
          <w:u w:val="single"/>
        </w:rPr>
      </w:pPr>
    </w:p>
    <w:p w14:paraId="301418AA">
      <w:pPr>
        <w:autoSpaceDE w:val="0"/>
        <w:autoSpaceDN w:val="0"/>
        <w:adjustRightInd w:val="0"/>
        <w:snapToGrid w:val="0"/>
        <w:spacing w:line="440" w:lineRule="exact"/>
        <w:ind w:firstLine="3906" w:firstLineChars="1860"/>
        <w:jc w:val="right"/>
        <w:rPr>
          <w:rFonts w:ascii="宋体" w:hAnsi="宋体"/>
          <w:snapToGrid w:val="0"/>
          <w:kern w:val="0"/>
          <w:szCs w:val="21"/>
          <w:u w:val="single"/>
        </w:rPr>
      </w:pPr>
    </w:p>
    <w:p w14:paraId="676B9934">
      <w:pPr>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5</w:t>
      </w:r>
      <w:r>
        <w:rPr>
          <w:rFonts w:ascii="宋体" w:hAnsi="宋体"/>
          <w:snapToGrid w:val="0"/>
          <w:kern w:val="0"/>
          <w:szCs w:val="21"/>
        </w:rPr>
        <w:t>年</w:t>
      </w:r>
      <w:r>
        <w:rPr>
          <w:rFonts w:hint="eastAsia" w:ascii="宋体" w:hAnsi="宋体"/>
          <w:snapToGrid w:val="0"/>
          <w:kern w:val="0"/>
          <w:szCs w:val="21"/>
          <w:u w:val="single"/>
        </w:rPr>
        <w:t>7</w:t>
      </w:r>
      <w:r>
        <w:rPr>
          <w:rFonts w:ascii="宋体" w:hAnsi="宋体"/>
          <w:snapToGrid w:val="0"/>
          <w:kern w:val="0"/>
          <w:szCs w:val="21"/>
        </w:rPr>
        <w:t>月</w:t>
      </w:r>
      <w:r>
        <w:rPr>
          <w:rFonts w:hint="eastAsia" w:ascii="宋体" w:hAnsi="宋体"/>
          <w:snapToGrid w:val="0"/>
          <w:kern w:val="0"/>
          <w:szCs w:val="21"/>
          <w:u w:val="single"/>
          <w:lang w:val="en-US" w:eastAsia="zh-CN"/>
        </w:rPr>
        <w:t>22</w:t>
      </w:r>
      <w:r>
        <w:rPr>
          <w:rFonts w:ascii="宋体" w:hAnsi="宋体"/>
          <w:snapToGrid w:val="0"/>
          <w:kern w:val="0"/>
          <w:szCs w:val="21"/>
        </w:rPr>
        <w:t>日</w:t>
      </w:r>
    </w:p>
    <w:p w14:paraId="4A7BD965">
      <w:pPr>
        <w:pStyle w:val="2"/>
        <w:spacing w:before="0" w:after="0" w:line="200" w:lineRule="exact"/>
        <w:ind w:firstLine="442"/>
        <w:jc w:val="center"/>
        <w:rPr>
          <w:rFonts w:ascii="宋体" w:hAnsi="宋体"/>
          <w:snapToGrid w:val="0"/>
          <w:kern w:val="0"/>
          <w:szCs w:val="21"/>
        </w:rPr>
      </w:pPr>
      <w:r>
        <w:rPr>
          <w:rFonts w:ascii="宋体" w:hAnsi="宋体"/>
          <w:snapToGrid w:val="0"/>
          <w:kern w:val="0"/>
          <w:szCs w:val="21"/>
        </w:rPr>
        <w:br w:type="page"/>
      </w:r>
    </w:p>
    <w:p w14:paraId="671E75E7">
      <w:pPr>
        <w:pStyle w:val="2"/>
        <w:spacing w:line="360" w:lineRule="auto"/>
        <w:ind w:firstLine="442"/>
        <w:jc w:val="center"/>
        <w:rPr>
          <w:rFonts w:ascii="宋体" w:hAnsi="宋体"/>
          <w:bCs w:val="0"/>
          <w:snapToGrid w:val="0"/>
          <w:kern w:val="0"/>
        </w:rPr>
      </w:pPr>
      <w:bookmarkStart w:id="94" w:name="_Toc1152"/>
      <w:bookmarkStart w:id="95" w:name="_Toc5447"/>
      <w:r>
        <w:rPr>
          <w:rFonts w:ascii="宋体" w:hAnsi="宋体"/>
          <w:snapToGrid w:val="0"/>
          <w:kern w:val="0"/>
        </w:rPr>
        <w:t xml:space="preserve">第二章  </w:t>
      </w:r>
      <w:r>
        <w:rPr>
          <w:rFonts w:hint="eastAsia" w:ascii="宋体" w:hAnsi="宋体"/>
          <w:snapToGrid w:val="0"/>
          <w:kern w:val="0"/>
        </w:rPr>
        <w:t>竞选人</w:t>
      </w:r>
      <w:r>
        <w:rPr>
          <w:rFonts w:ascii="宋体" w:hAnsi="宋体"/>
          <w:snapToGrid w:val="0"/>
          <w:kern w:val="0"/>
        </w:rPr>
        <w:t>须知</w:t>
      </w:r>
      <w:bookmarkEnd w:id="89"/>
      <w:bookmarkEnd w:id="90"/>
      <w:bookmarkEnd w:id="91"/>
      <w:bookmarkEnd w:id="92"/>
      <w:bookmarkEnd w:id="93"/>
      <w:bookmarkEnd w:id="94"/>
      <w:bookmarkEnd w:id="95"/>
      <w:bookmarkStart w:id="96" w:name="_Toc277082551"/>
      <w:bookmarkStart w:id="97" w:name="_Toc430530433"/>
      <w:bookmarkStart w:id="98" w:name="_Toc224103316"/>
      <w:bookmarkStart w:id="99" w:name="_Toc287607745"/>
      <w:bookmarkStart w:id="100" w:name="_Toc287620684"/>
    </w:p>
    <w:p w14:paraId="3289E99D">
      <w:pPr>
        <w:pStyle w:val="3"/>
        <w:spacing w:before="100" w:after="100" w:line="360" w:lineRule="auto"/>
        <w:ind w:firstLine="321"/>
        <w:rPr>
          <w:rFonts w:ascii="宋体" w:hAnsi="宋体"/>
        </w:rPr>
      </w:pPr>
      <w:bookmarkStart w:id="101" w:name="_Toc31303"/>
      <w:bookmarkStart w:id="102" w:name="_Toc8005"/>
      <w:bookmarkStart w:id="103" w:name="_Toc7502"/>
      <w:bookmarkStart w:id="104" w:name="_Toc509218708"/>
      <w:r>
        <w:rPr>
          <w:rFonts w:hint="eastAsia" w:ascii="宋体" w:hAnsi="宋体"/>
        </w:rPr>
        <w:t>竞选人须知前附表</w:t>
      </w:r>
      <w:bookmarkEnd w:id="96"/>
      <w:bookmarkEnd w:id="97"/>
      <w:bookmarkEnd w:id="98"/>
      <w:bookmarkEnd w:id="99"/>
      <w:bookmarkEnd w:id="100"/>
      <w:bookmarkEnd w:id="101"/>
      <w:bookmarkEnd w:id="102"/>
      <w:bookmarkEnd w:id="103"/>
      <w:bookmarkEnd w:id="104"/>
    </w:p>
    <w:p w14:paraId="5F33C6D0">
      <w:pPr>
        <w:spacing w:line="360" w:lineRule="auto"/>
        <w:ind w:firstLine="420" w:firstLineChars="200"/>
        <w:rPr>
          <w:rFonts w:ascii="宋体" w:hAnsi="宋体"/>
          <w:szCs w:val="21"/>
        </w:rPr>
      </w:pPr>
      <w:r>
        <w:rPr>
          <w:rFonts w:ascii="宋体" w:hAnsi="宋体"/>
          <w:szCs w:val="21"/>
        </w:rPr>
        <w:t>正文内容不允许修改。若</w:t>
      </w:r>
      <w:r>
        <w:rPr>
          <w:rFonts w:hint="eastAsia" w:ascii="宋体" w:hAnsi="宋体"/>
          <w:szCs w:val="21"/>
        </w:rPr>
        <w:t>竞选人</w:t>
      </w:r>
      <w:r>
        <w:rPr>
          <w:rFonts w:ascii="宋体" w:hAnsi="宋体"/>
          <w:szCs w:val="21"/>
        </w:rPr>
        <w:t>须知前附表与正文不一致的地方，以</w:t>
      </w:r>
      <w:r>
        <w:rPr>
          <w:rFonts w:hint="eastAsia" w:ascii="宋体" w:hAnsi="宋体"/>
          <w:szCs w:val="21"/>
        </w:rPr>
        <w:t>竞选人</w:t>
      </w:r>
      <w:r>
        <w:rPr>
          <w:rFonts w:ascii="宋体" w:hAnsi="宋体"/>
          <w:szCs w:val="21"/>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2B32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99E520D">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61308681">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73AC72BA">
            <w:pPr>
              <w:snapToGrid w:val="0"/>
              <w:spacing w:line="400" w:lineRule="exact"/>
              <w:jc w:val="center"/>
              <w:rPr>
                <w:rFonts w:ascii="宋体" w:hAnsi="宋体"/>
                <w:b/>
                <w:kern w:val="0"/>
                <w:szCs w:val="21"/>
              </w:rPr>
            </w:pPr>
            <w:r>
              <w:rPr>
                <w:rFonts w:ascii="宋体" w:hAnsi="宋体"/>
                <w:b/>
                <w:kern w:val="0"/>
                <w:szCs w:val="21"/>
              </w:rPr>
              <w:t>编  列  内  容</w:t>
            </w:r>
          </w:p>
        </w:tc>
      </w:tr>
      <w:tr w14:paraId="717CF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A8EDE3">
            <w:pPr>
              <w:snapToGrid w:val="0"/>
              <w:spacing w:line="400" w:lineRule="exact"/>
              <w:ind w:firstLine="211"/>
              <w:jc w:val="center"/>
              <w:rPr>
                <w:rFonts w:ascii="宋体" w:hAnsi="宋体"/>
                <w:kern w:val="0"/>
                <w:szCs w:val="21"/>
              </w:rPr>
            </w:pPr>
            <w:r>
              <w:rPr>
                <w:rFonts w:ascii="宋体" w:hAnsi="宋体"/>
                <w:kern w:val="0"/>
                <w:szCs w:val="21"/>
              </w:rPr>
              <w:t>1.1.2</w:t>
            </w:r>
          </w:p>
        </w:tc>
        <w:tc>
          <w:tcPr>
            <w:tcW w:w="1644" w:type="dxa"/>
            <w:vAlign w:val="center"/>
          </w:tcPr>
          <w:p w14:paraId="52645B46">
            <w:pPr>
              <w:snapToGrid w:val="0"/>
              <w:spacing w:line="400" w:lineRule="exact"/>
              <w:ind w:firstLine="211"/>
              <w:jc w:val="center"/>
              <w:rPr>
                <w:rFonts w:ascii="宋体" w:hAnsi="宋体"/>
                <w:kern w:val="0"/>
                <w:szCs w:val="21"/>
              </w:rPr>
            </w:pPr>
            <w:r>
              <w:rPr>
                <w:rFonts w:hint="eastAsia" w:ascii="宋体" w:hAnsi="宋体"/>
                <w:kern w:val="0"/>
                <w:szCs w:val="21"/>
              </w:rPr>
              <w:t>比选人</w:t>
            </w:r>
          </w:p>
        </w:tc>
        <w:tc>
          <w:tcPr>
            <w:tcW w:w="6490" w:type="dxa"/>
            <w:vAlign w:val="center"/>
          </w:tcPr>
          <w:p w14:paraId="2AD791FD">
            <w:pPr>
              <w:spacing w:line="400" w:lineRule="exact"/>
              <w:ind w:firstLine="210" w:firstLineChars="100"/>
              <w:rPr>
                <w:rFonts w:ascii="宋体" w:hAnsi="宋体" w:cs="宋体"/>
                <w:szCs w:val="21"/>
              </w:rPr>
            </w:pPr>
            <w:r>
              <w:rPr>
                <w:rFonts w:hint="eastAsia" w:ascii="宋体" w:hAnsi="宋体" w:cs="宋体"/>
                <w:szCs w:val="21"/>
              </w:rPr>
              <w:t>名称：重庆经开区投资集团有限公司</w:t>
            </w:r>
          </w:p>
          <w:p w14:paraId="058C610C">
            <w:pPr>
              <w:spacing w:line="400" w:lineRule="exact"/>
              <w:ind w:firstLine="210" w:firstLineChars="100"/>
              <w:rPr>
                <w:rFonts w:ascii="宋体" w:hAnsi="宋体" w:cs="宋体"/>
                <w:szCs w:val="21"/>
              </w:rPr>
            </w:pPr>
            <w:r>
              <w:rPr>
                <w:rFonts w:hint="eastAsia" w:ascii="宋体" w:hAnsi="宋体" w:cs="宋体"/>
                <w:szCs w:val="21"/>
              </w:rPr>
              <w:t>地址：重庆市南岸区江桥路一号附1号</w:t>
            </w:r>
          </w:p>
          <w:p w14:paraId="6C924A6E">
            <w:pPr>
              <w:spacing w:line="400" w:lineRule="exact"/>
              <w:ind w:firstLine="210" w:firstLineChars="100"/>
              <w:rPr>
                <w:rFonts w:ascii="宋体" w:hAnsi="宋体" w:cs="宋体"/>
                <w:szCs w:val="21"/>
              </w:rPr>
            </w:pPr>
            <w:r>
              <w:rPr>
                <w:rFonts w:hint="eastAsia" w:ascii="宋体" w:hAnsi="宋体" w:cs="宋体"/>
                <w:szCs w:val="21"/>
              </w:rPr>
              <w:t xml:space="preserve">联系人：张老师 </w:t>
            </w:r>
          </w:p>
          <w:p w14:paraId="10FC7419">
            <w:pPr>
              <w:spacing w:line="400" w:lineRule="exact"/>
              <w:ind w:firstLine="210" w:firstLineChars="100"/>
              <w:rPr>
                <w:rFonts w:hint="default" w:ascii="宋体" w:hAnsi="宋体" w:eastAsia="宋体" w:cs="宋体"/>
                <w:szCs w:val="21"/>
                <w:lang w:val="en-US" w:eastAsia="zh-CN"/>
              </w:rPr>
            </w:pPr>
            <w:r>
              <w:rPr>
                <w:rFonts w:hint="eastAsia" w:ascii="宋体" w:hAnsi="宋体" w:cs="宋体"/>
                <w:szCs w:val="21"/>
              </w:rPr>
              <w:t>电话 ：</w:t>
            </w:r>
            <w:r>
              <w:rPr>
                <w:rFonts w:hint="eastAsia" w:ascii="宋体" w:hAnsi="宋体" w:cs="宋体"/>
                <w:szCs w:val="21"/>
                <w:lang w:val="en-US" w:eastAsia="zh-CN"/>
              </w:rPr>
              <w:t>023-62513184</w:t>
            </w:r>
          </w:p>
          <w:p w14:paraId="27768E35">
            <w:pPr>
              <w:pStyle w:val="17"/>
            </w:pPr>
            <w:r>
              <w:rPr>
                <w:rFonts w:hint="eastAsia"/>
              </w:rPr>
              <w:t xml:space="preserve">  邮  箱：50417679@qq.com</w:t>
            </w:r>
          </w:p>
        </w:tc>
      </w:tr>
      <w:tr w14:paraId="7890B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1FF6BF">
            <w:pPr>
              <w:snapToGrid w:val="0"/>
              <w:spacing w:line="400" w:lineRule="exact"/>
              <w:ind w:firstLine="211"/>
              <w:jc w:val="center"/>
              <w:rPr>
                <w:rFonts w:ascii="宋体" w:hAnsi="宋体"/>
                <w:kern w:val="0"/>
                <w:szCs w:val="21"/>
              </w:rPr>
            </w:pPr>
            <w:r>
              <w:rPr>
                <w:rFonts w:ascii="宋体" w:hAnsi="宋体"/>
                <w:kern w:val="0"/>
                <w:szCs w:val="21"/>
              </w:rPr>
              <w:t>1.1.4</w:t>
            </w:r>
          </w:p>
        </w:tc>
        <w:tc>
          <w:tcPr>
            <w:tcW w:w="1644" w:type="dxa"/>
            <w:vAlign w:val="center"/>
          </w:tcPr>
          <w:p w14:paraId="563921D9">
            <w:pPr>
              <w:snapToGrid w:val="0"/>
              <w:spacing w:line="400" w:lineRule="exact"/>
              <w:ind w:firstLine="211"/>
              <w:jc w:val="center"/>
              <w:rPr>
                <w:rFonts w:ascii="宋体" w:hAnsi="宋体"/>
                <w:kern w:val="0"/>
                <w:szCs w:val="21"/>
              </w:rPr>
            </w:pPr>
            <w:r>
              <w:rPr>
                <w:rFonts w:ascii="宋体" w:hAnsi="宋体"/>
                <w:kern w:val="0"/>
                <w:szCs w:val="21"/>
              </w:rPr>
              <w:t>项目名称</w:t>
            </w:r>
          </w:p>
        </w:tc>
        <w:tc>
          <w:tcPr>
            <w:tcW w:w="6490" w:type="dxa"/>
            <w:vAlign w:val="center"/>
          </w:tcPr>
          <w:p w14:paraId="680158A3">
            <w:pPr>
              <w:snapToGrid w:val="0"/>
              <w:spacing w:line="400" w:lineRule="exact"/>
              <w:ind w:firstLine="210" w:firstLineChars="100"/>
              <w:jc w:val="left"/>
              <w:rPr>
                <w:rFonts w:ascii="宋体" w:hAnsi="宋体"/>
                <w:szCs w:val="21"/>
              </w:rPr>
            </w:pPr>
            <w:r>
              <w:rPr>
                <w:rFonts w:hint="eastAsia" w:ascii="宋体" w:hAnsi="宋体"/>
                <w:szCs w:val="21"/>
              </w:rPr>
              <w:t>重庆经开区投资集团有限公司主体信用评级</w:t>
            </w:r>
          </w:p>
        </w:tc>
      </w:tr>
      <w:tr w14:paraId="47F52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53DB38">
            <w:pPr>
              <w:snapToGrid w:val="0"/>
              <w:spacing w:line="400" w:lineRule="exact"/>
              <w:ind w:firstLine="211"/>
              <w:jc w:val="center"/>
              <w:rPr>
                <w:rFonts w:ascii="宋体" w:hAnsi="宋体"/>
                <w:kern w:val="0"/>
                <w:szCs w:val="21"/>
              </w:rPr>
            </w:pPr>
            <w:r>
              <w:rPr>
                <w:rFonts w:ascii="宋体" w:hAnsi="宋体"/>
                <w:kern w:val="0"/>
                <w:szCs w:val="21"/>
              </w:rPr>
              <w:t>1.1.5</w:t>
            </w:r>
          </w:p>
        </w:tc>
        <w:tc>
          <w:tcPr>
            <w:tcW w:w="1644" w:type="dxa"/>
            <w:vAlign w:val="center"/>
          </w:tcPr>
          <w:p w14:paraId="556310E3">
            <w:pPr>
              <w:snapToGrid w:val="0"/>
              <w:spacing w:line="400" w:lineRule="exact"/>
              <w:ind w:firstLine="211"/>
              <w:jc w:val="center"/>
              <w:rPr>
                <w:rFonts w:ascii="宋体" w:hAnsi="宋体"/>
                <w:kern w:val="0"/>
                <w:szCs w:val="21"/>
              </w:rPr>
            </w:pPr>
            <w:r>
              <w:rPr>
                <w:rFonts w:hint="eastAsia" w:ascii="宋体" w:hAnsi="宋体"/>
                <w:kern w:val="0"/>
                <w:szCs w:val="21"/>
              </w:rPr>
              <w:t>项目</w:t>
            </w:r>
            <w:r>
              <w:rPr>
                <w:rFonts w:ascii="宋体" w:hAnsi="宋体"/>
                <w:kern w:val="0"/>
                <w:szCs w:val="21"/>
              </w:rPr>
              <w:t>地点</w:t>
            </w:r>
          </w:p>
        </w:tc>
        <w:tc>
          <w:tcPr>
            <w:tcW w:w="6490" w:type="dxa"/>
            <w:vAlign w:val="center"/>
          </w:tcPr>
          <w:p w14:paraId="2BEE19DE">
            <w:pPr>
              <w:snapToGrid w:val="0"/>
              <w:spacing w:line="400" w:lineRule="exact"/>
              <w:ind w:firstLine="210" w:firstLineChars="100"/>
              <w:jc w:val="left"/>
              <w:rPr>
                <w:rFonts w:ascii="宋体" w:hAnsi="宋体"/>
                <w:szCs w:val="21"/>
              </w:rPr>
            </w:pPr>
            <w:r>
              <w:rPr>
                <w:rFonts w:hint="eastAsia" w:ascii="宋体" w:hAnsi="宋体"/>
                <w:snapToGrid w:val="0"/>
                <w:kern w:val="0"/>
                <w:szCs w:val="21"/>
              </w:rPr>
              <w:t>重庆经开区</w:t>
            </w:r>
          </w:p>
        </w:tc>
      </w:tr>
      <w:tr w14:paraId="3B256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4854E9">
            <w:pPr>
              <w:snapToGrid w:val="0"/>
              <w:spacing w:line="400" w:lineRule="exact"/>
              <w:ind w:firstLine="211"/>
              <w:jc w:val="center"/>
              <w:rPr>
                <w:rFonts w:ascii="宋体" w:hAnsi="宋体"/>
                <w:kern w:val="0"/>
                <w:szCs w:val="21"/>
              </w:rPr>
            </w:pPr>
            <w:r>
              <w:rPr>
                <w:rFonts w:ascii="宋体" w:hAnsi="宋体"/>
                <w:kern w:val="0"/>
                <w:szCs w:val="21"/>
              </w:rPr>
              <w:t>1.1.6</w:t>
            </w:r>
          </w:p>
        </w:tc>
        <w:tc>
          <w:tcPr>
            <w:tcW w:w="1644" w:type="dxa"/>
            <w:vAlign w:val="center"/>
          </w:tcPr>
          <w:p w14:paraId="4A03FB00">
            <w:pPr>
              <w:snapToGrid w:val="0"/>
              <w:spacing w:line="400" w:lineRule="exact"/>
              <w:ind w:firstLine="211"/>
              <w:jc w:val="center"/>
              <w:rPr>
                <w:rFonts w:ascii="宋体" w:hAnsi="宋体"/>
                <w:color w:val="auto"/>
                <w:kern w:val="0"/>
                <w:szCs w:val="21"/>
              </w:rPr>
            </w:pPr>
            <w:r>
              <w:rPr>
                <w:rFonts w:hint="eastAsia" w:ascii="宋体" w:hAnsi="宋体"/>
                <w:color w:val="auto"/>
                <w:kern w:val="0"/>
                <w:szCs w:val="21"/>
              </w:rPr>
              <w:t>工作内容</w:t>
            </w:r>
          </w:p>
        </w:tc>
        <w:tc>
          <w:tcPr>
            <w:tcW w:w="6490" w:type="dxa"/>
            <w:vAlign w:val="center"/>
          </w:tcPr>
          <w:p w14:paraId="1F918B6E">
            <w:pPr>
              <w:tabs>
                <w:tab w:val="left" w:pos="3840"/>
                <w:tab w:val="left" w:pos="5300"/>
              </w:tabs>
              <w:autoSpaceDE w:val="0"/>
              <w:autoSpaceDN w:val="0"/>
              <w:adjustRightInd w:val="0"/>
              <w:snapToGrid w:val="0"/>
              <w:spacing w:line="460" w:lineRule="exact"/>
              <w:ind w:firstLine="420" w:firstLineChars="200"/>
              <w:jc w:val="left"/>
              <w:rPr>
                <w:color w:val="auto"/>
              </w:rPr>
            </w:pPr>
            <w:r>
              <w:rPr>
                <w:rFonts w:hint="eastAsia"/>
                <w:color w:val="auto"/>
                <w:lang w:val="en-US" w:eastAsia="zh-CN"/>
              </w:rPr>
              <w:t>1.</w:t>
            </w:r>
            <w:r>
              <w:rPr>
                <w:rFonts w:hint="eastAsia"/>
                <w:color w:val="auto"/>
              </w:rPr>
              <w:t>根据公司所提供的资料开展主体信用评级服务；</w:t>
            </w:r>
            <w:r>
              <w:rPr>
                <w:rFonts w:hint="eastAsia"/>
                <w:color w:val="auto"/>
                <w:lang w:val="en-US" w:eastAsia="zh-CN"/>
              </w:rPr>
              <w:t>2.</w:t>
            </w:r>
            <w:r>
              <w:rPr>
                <w:rFonts w:hint="eastAsia"/>
                <w:color w:val="auto"/>
              </w:rPr>
              <w:t>开展与主体信用评级工作相关的调查、访问、座谈及其他必要活动；</w:t>
            </w:r>
            <w:r>
              <w:rPr>
                <w:rFonts w:hint="eastAsia"/>
                <w:color w:val="auto"/>
                <w:lang w:val="en-US" w:eastAsia="zh-CN"/>
              </w:rPr>
              <w:t>3.</w:t>
            </w:r>
            <w:r>
              <w:rPr>
                <w:rFonts w:hint="eastAsia"/>
                <w:color w:val="auto"/>
              </w:rPr>
              <w:t>开展主体信用评级过程中应遵循监管机构、自律性组织规定的业务流程、方法开展主体信用评级工作、出具主体信用评级报告；</w:t>
            </w:r>
            <w:r>
              <w:rPr>
                <w:rFonts w:hint="eastAsia"/>
                <w:color w:val="auto"/>
                <w:lang w:val="en-US" w:eastAsia="zh-CN"/>
              </w:rPr>
              <w:t>4.</w:t>
            </w:r>
            <w:r>
              <w:rPr>
                <w:rFonts w:hint="eastAsia"/>
                <w:color w:val="auto"/>
              </w:rPr>
              <w:t>具体内容以签订合同为准。</w:t>
            </w:r>
          </w:p>
        </w:tc>
      </w:tr>
      <w:tr w14:paraId="7A363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05ED2A">
            <w:pPr>
              <w:snapToGrid w:val="0"/>
              <w:spacing w:line="400" w:lineRule="exact"/>
              <w:ind w:firstLine="211"/>
              <w:jc w:val="center"/>
              <w:rPr>
                <w:rFonts w:ascii="宋体" w:hAnsi="宋体"/>
                <w:kern w:val="0"/>
                <w:szCs w:val="21"/>
              </w:rPr>
            </w:pPr>
            <w:r>
              <w:rPr>
                <w:rFonts w:ascii="宋体" w:hAnsi="宋体"/>
                <w:kern w:val="0"/>
                <w:szCs w:val="21"/>
              </w:rPr>
              <w:t>1.2.1</w:t>
            </w:r>
          </w:p>
        </w:tc>
        <w:tc>
          <w:tcPr>
            <w:tcW w:w="1644" w:type="dxa"/>
            <w:vAlign w:val="center"/>
          </w:tcPr>
          <w:p w14:paraId="35E12223">
            <w:pPr>
              <w:snapToGrid w:val="0"/>
              <w:spacing w:line="400" w:lineRule="exact"/>
              <w:ind w:firstLine="211"/>
              <w:jc w:val="center"/>
              <w:rPr>
                <w:rFonts w:ascii="宋体" w:hAnsi="宋体"/>
                <w:kern w:val="0"/>
                <w:szCs w:val="21"/>
              </w:rPr>
            </w:pPr>
            <w:r>
              <w:rPr>
                <w:rFonts w:ascii="宋体" w:hAnsi="宋体"/>
                <w:kern w:val="0"/>
                <w:szCs w:val="21"/>
              </w:rPr>
              <w:t>资金来源</w:t>
            </w:r>
          </w:p>
        </w:tc>
        <w:tc>
          <w:tcPr>
            <w:tcW w:w="6490" w:type="dxa"/>
            <w:vAlign w:val="center"/>
          </w:tcPr>
          <w:p w14:paraId="557146A1">
            <w:pPr>
              <w:snapToGrid w:val="0"/>
              <w:spacing w:line="400" w:lineRule="exact"/>
              <w:ind w:firstLine="210" w:firstLineChars="100"/>
              <w:rPr>
                <w:rFonts w:ascii="宋体" w:hAnsi="宋体"/>
                <w:szCs w:val="21"/>
              </w:rPr>
            </w:pPr>
            <w:r>
              <w:rPr>
                <w:rFonts w:hint="eastAsia" w:ascii="宋体" w:hAnsi="宋体"/>
                <w:snapToGrid w:val="0"/>
                <w:kern w:val="0"/>
                <w:szCs w:val="21"/>
                <w:u w:val="single"/>
              </w:rPr>
              <w:t>业主自筹</w:t>
            </w:r>
          </w:p>
        </w:tc>
      </w:tr>
      <w:tr w14:paraId="7EE36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D19886">
            <w:pPr>
              <w:snapToGrid w:val="0"/>
              <w:spacing w:line="400" w:lineRule="exact"/>
              <w:ind w:firstLine="211"/>
              <w:jc w:val="center"/>
              <w:rPr>
                <w:rFonts w:ascii="宋体" w:hAnsi="宋体"/>
                <w:kern w:val="0"/>
                <w:szCs w:val="21"/>
              </w:rPr>
            </w:pPr>
            <w:r>
              <w:rPr>
                <w:rFonts w:ascii="宋体" w:hAnsi="宋体"/>
                <w:kern w:val="0"/>
                <w:szCs w:val="21"/>
              </w:rPr>
              <w:t>1.2.2</w:t>
            </w:r>
          </w:p>
        </w:tc>
        <w:tc>
          <w:tcPr>
            <w:tcW w:w="1644" w:type="dxa"/>
            <w:vAlign w:val="center"/>
          </w:tcPr>
          <w:p w14:paraId="306427DC">
            <w:pPr>
              <w:snapToGrid w:val="0"/>
              <w:spacing w:line="400" w:lineRule="exact"/>
              <w:ind w:firstLine="211"/>
              <w:jc w:val="center"/>
              <w:rPr>
                <w:rFonts w:ascii="宋体" w:hAnsi="宋体"/>
                <w:kern w:val="0"/>
                <w:szCs w:val="21"/>
              </w:rPr>
            </w:pPr>
            <w:r>
              <w:rPr>
                <w:rFonts w:ascii="宋体" w:hAnsi="宋体"/>
                <w:kern w:val="0"/>
                <w:szCs w:val="21"/>
              </w:rPr>
              <w:t>出资比例</w:t>
            </w:r>
          </w:p>
        </w:tc>
        <w:tc>
          <w:tcPr>
            <w:tcW w:w="6490" w:type="dxa"/>
            <w:vAlign w:val="center"/>
          </w:tcPr>
          <w:p w14:paraId="1F89D5B7">
            <w:pPr>
              <w:snapToGrid w:val="0"/>
              <w:spacing w:line="400" w:lineRule="exact"/>
              <w:ind w:firstLine="210" w:firstLineChars="100"/>
              <w:jc w:val="left"/>
              <w:rPr>
                <w:rFonts w:ascii="宋体" w:hAnsi="宋体"/>
                <w:szCs w:val="21"/>
              </w:rPr>
            </w:pPr>
            <w:r>
              <w:rPr>
                <w:rFonts w:hint="eastAsia" w:ascii="宋体" w:hAnsi="宋体"/>
                <w:szCs w:val="21"/>
                <w:u w:val="single"/>
              </w:rPr>
              <w:t>100%</w:t>
            </w:r>
          </w:p>
        </w:tc>
      </w:tr>
      <w:tr w14:paraId="0D59A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5804AF">
            <w:pPr>
              <w:snapToGrid w:val="0"/>
              <w:spacing w:line="400" w:lineRule="exact"/>
              <w:ind w:firstLine="211"/>
              <w:jc w:val="center"/>
              <w:rPr>
                <w:rFonts w:ascii="宋体" w:hAnsi="宋体"/>
                <w:kern w:val="0"/>
                <w:szCs w:val="21"/>
              </w:rPr>
            </w:pPr>
            <w:r>
              <w:rPr>
                <w:rFonts w:ascii="宋体" w:hAnsi="宋体"/>
                <w:kern w:val="0"/>
                <w:szCs w:val="21"/>
              </w:rPr>
              <w:t>1.2.3</w:t>
            </w:r>
          </w:p>
        </w:tc>
        <w:tc>
          <w:tcPr>
            <w:tcW w:w="1644" w:type="dxa"/>
            <w:vAlign w:val="center"/>
          </w:tcPr>
          <w:p w14:paraId="39DFB909">
            <w:pPr>
              <w:snapToGrid w:val="0"/>
              <w:spacing w:line="400" w:lineRule="exact"/>
              <w:ind w:firstLine="211"/>
              <w:jc w:val="center"/>
              <w:rPr>
                <w:rFonts w:ascii="宋体" w:hAnsi="宋体"/>
                <w:kern w:val="0"/>
                <w:szCs w:val="21"/>
              </w:rPr>
            </w:pPr>
            <w:r>
              <w:rPr>
                <w:rFonts w:ascii="宋体" w:hAnsi="宋体"/>
                <w:kern w:val="0"/>
                <w:szCs w:val="21"/>
              </w:rPr>
              <w:t>资金落实情况</w:t>
            </w:r>
          </w:p>
        </w:tc>
        <w:tc>
          <w:tcPr>
            <w:tcW w:w="6490" w:type="dxa"/>
            <w:vAlign w:val="center"/>
          </w:tcPr>
          <w:p w14:paraId="0B4482DA">
            <w:pPr>
              <w:snapToGrid w:val="0"/>
              <w:spacing w:line="400" w:lineRule="exact"/>
              <w:ind w:firstLine="210" w:firstLineChars="100"/>
              <w:jc w:val="left"/>
              <w:rPr>
                <w:rFonts w:ascii="宋体" w:hAnsi="宋体"/>
                <w:szCs w:val="21"/>
              </w:rPr>
            </w:pPr>
            <w:r>
              <w:rPr>
                <w:rFonts w:hint="eastAsia" w:ascii="宋体" w:hAnsi="宋体"/>
                <w:szCs w:val="21"/>
                <w:u w:val="single"/>
              </w:rPr>
              <w:t>已落实</w:t>
            </w:r>
          </w:p>
        </w:tc>
      </w:tr>
      <w:tr w14:paraId="0D96C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4A8FB1">
            <w:pPr>
              <w:snapToGrid w:val="0"/>
              <w:spacing w:line="400" w:lineRule="exact"/>
              <w:ind w:firstLine="211"/>
              <w:jc w:val="center"/>
              <w:rPr>
                <w:rFonts w:ascii="宋体" w:hAnsi="宋体"/>
                <w:kern w:val="0"/>
                <w:szCs w:val="21"/>
              </w:rPr>
            </w:pPr>
            <w:r>
              <w:rPr>
                <w:rFonts w:hint="eastAsia" w:ascii="宋体" w:hAnsi="宋体"/>
                <w:kern w:val="0"/>
                <w:szCs w:val="21"/>
              </w:rPr>
              <w:t>1.3.1</w:t>
            </w:r>
          </w:p>
        </w:tc>
        <w:tc>
          <w:tcPr>
            <w:tcW w:w="1644" w:type="dxa"/>
            <w:vAlign w:val="center"/>
          </w:tcPr>
          <w:p w14:paraId="1626E32A">
            <w:pPr>
              <w:snapToGrid w:val="0"/>
              <w:spacing w:line="400" w:lineRule="exact"/>
              <w:ind w:firstLine="211"/>
              <w:jc w:val="center"/>
              <w:rPr>
                <w:rFonts w:ascii="宋体" w:hAnsi="宋体"/>
                <w:kern w:val="0"/>
                <w:szCs w:val="21"/>
              </w:rPr>
            </w:pPr>
            <w:r>
              <w:rPr>
                <w:rFonts w:hint="eastAsia" w:ascii="宋体" w:hAnsi="宋体"/>
                <w:kern w:val="0"/>
                <w:szCs w:val="21"/>
              </w:rPr>
              <w:t>比选</w:t>
            </w:r>
            <w:r>
              <w:rPr>
                <w:rFonts w:ascii="宋体" w:hAnsi="宋体"/>
                <w:kern w:val="0"/>
                <w:szCs w:val="21"/>
              </w:rPr>
              <w:t>范围</w:t>
            </w:r>
          </w:p>
        </w:tc>
        <w:tc>
          <w:tcPr>
            <w:tcW w:w="6490" w:type="dxa"/>
            <w:vAlign w:val="center"/>
          </w:tcPr>
          <w:p w14:paraId="38E51982">
            <w:pPr>
              <w:snapToGrid w:val="0"/>
              <w:spacing w:line="400" w:lineRule="exact"/>
              <w:ind w:firstLine="210" w:firstLineChars="100"/>
              <w:rPr>
                <w:rFonts w:hint="eastAsia" w:ascii="宋体" w:hAnsi="宋体" w:eastAsia="宋体"/>
                <w:i/>
                <w:szCs w:val="21"/>
                <w:lang w:val="en-US" w:eastAsia="zh-CN"/>
              </w:rPr>
            </w:pPr>
            <w:r>
              <w:rPr>
                <w:rFonts w:hint="eastAsia" w:ascii="宋体" w:hAnsi="宋体"/>
                <w:szCs w:val="21"/>
              </w:rPr>
              <w:t>重庆经开区投资集团有限公司主体信用评级</w:t>
            </w:r>
            <w:r>
              <w:rPr>
                <w:rFonts w:hint="eastAsia" w:ascii="宋体" w:hAnsi="宋体"/>
                <w:szCs w:val="21"/>
                <w:lang w:val="en-US" w:eastAsia="zh-CN"/>
              </w:rPr>
              <w:t>工作</w:t>
            </w:r>
          </w:p>
        </w:tc>
      </w:tr>
      <w:tr w14:paraId="037BD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9E0979">
            <w:pPr>
              <w:snapToGrid w:val="0"/>
              <w:spacing w:line="400" w:lineRule="exact"/>
              <w:ind w:firstLine="211"/>
              <w:jc w:val="center"/>
              <w:rPr>
                <w:rFonts w:ascii="宋体" w:hAnsi="宋体"/>
                <w:kern w:val="0"/>
                <w:szCs w:val="21"/>
              </w:rPr>
            </w:pPr>
            <w:r>
              <w:rPr>
                <w:rFonts w:ascii="宋体" w:hAnsi="宋体"/>
                <w:kern w:val="0"/>
                <w:szCs w:val="21"/>
              </w:rPr>
              <w:t>1.3.2</w:t>
            </w:r>
          </w:p>
        </w:tc>
        <w:tc>
          <w:tcPr>
            <w:tcW w:w="1644" w:type="dxa"/>
            <w:vAlign w:val="center"/>
          </w:tcPr>
          <w:p w14:paraId="5032D0BE">
            <w:pPr>
              <w:snapToGrid w:val="0"/>
              <w:spacing w:line="400" w:lineRule="exact"/>
              <w:ind w:firstLine="211"/>
              <w:jc w:val="center"/>
              <w:rPr>
                <w:rFonts w:ascii="宋体" w:hAnsi="宋体"/>
                <w:kern w:val="0"/>
                <w:szCs w:val="21"/>
              </w:rPr>
            </w:pPr>
            <w:r>
              <w:rPr>
                <w:rFonts w:hint="eastAsia" w:ascii="宋体" w:hAnsi="宋体"/>
                <w:kern w:val="0"/>
                <w:szCs w:val="21"/>
              </w:rPr>
              <w:t>服务期</w:t>
            </w:r>
          </w:p>
        </w:tc>
        <w:tc>
          <w:tcPr>
            <w:tcW w:w="6490" w:type="dxa"/>
            <w:vAlign w:val="center"/>
          </w:tcPr>
          <w:p w14:paraId="3E1663BF">
            <w:pPr>
              <w:tabs>
                <w:tab w:val="left" w:pos="3840"/>
                <w:tab w:val="left" w:pos="5300"/>
              </w:tabs>
              <w:autoSpaceDE w:val="0"/>
              <w:autoSpaceDN w:val="0"/>
              <w:adjustRightInd w:val="0"/>
              <w:snapToGrid w:val="0"/>
              <w:spacing w:line="460" w:lineRule="exact"/>
              <w:ind w:firstLine="420" w:firstLineChars="200"/>
              <w:jc w:val="left"/>
              <w:rPr>
                <w:rFonts w:ascii="宋体" w:hAnsi="宋体"/>
                <w:kern w:val="0"/>
                <w:szCs w:val="21"/>
              </w:rPr>
            </w:pPr>
            <w:r>
              <w:rPr>
                <w:rFonts w:hint="eastAsia" w:ascii="宋体" w:hAnsi="宋体"/>
                <w:kern w:val="0"/>
                <w:szCs w:val="21"/>
              </w:rPr>
              <w:t>三年，委托服务期间自协议生效之日起至报告交付之日止</w:t>
            </w:r>
            <w:r>
              <w:rPr>
                <w:rFonts w:hint="eastAsia" w:ascii="宋体" w:hAnsi="宋体"/>
                <w:kern w:val="0"/>
                <w:szCs w:val="21"/>
                <w:lang w:eastAsia="zh-CN"/>
              </w:rPr>
              <w:t>，</w:t>
            </w:r>
            <w:r>
              <w:rPr>
                <w:rFonts w:hint="eastAsia" w:ascii="宋体" w:hAnsi="宋体"/>
                <w:kern w:val="0"/>
                <w:szCs w:val="21"/>
                <w:lang w:val="en-US" w:eastAsia="zh-CN"/>
              </w:rPr>
              <w:t>服务合同每年一签</w:t>
            </w:r>
            <w:r>
              <w:rPr>
                <w:rFonts w:hint="eastAsia" w:ascii="宋体" w:hAnsi="宋体"/>
                <w:kern w:val="0"/>
                <w:szCs w:val="21"/>
              </w:rPr>
              <w:t>。</w:t>
            </w:r>
          </w:p>
        </w:tc>
      </w:tr>
      <w:tr w14:paraId="1B838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2F4DC2">
            <w:pPr>
              <w:snapToGrid w:val="0"/>
              <w:spacing w:line="400" w:lineRule="exact"/>
              <w:ind w:firstLine="211"/>
              <w:jc w:val="center"/>
              <w:rPr>
                <w:rFonts w:ascii="宋体" w:hAnsi="宋体"/>
                <w:kern w:val="0"/>
                <w:szCs w:val="21"/>
              </w:rPr>
            </w:pPr>
            <w:r>
              <w:rPr>
                <w:rFonts w:ascii="宋体" w:hAnsi="宋体"/>
                <w:kern w:val="0"/>
                <w:szCs w:val="21"/>
              </w:rPr>
              <w:t>1.3.3</w:t>
            </w:r>
          </w:p>
        </w:tc>
        <w:tc>
          <w:tcPr>
            <w:tcW w:w="1644" w:type="dxa"/>
            <w:vAlign w:val="center"/>
          </w:tcPr>
          <w:p w14:paraId="6DC93852">
            <w:pPr>
              <w:snapToGrid w:val="0"/>
              <w:spacing w:line="400" w:lineRule="exact"/>
              <w:ind w:firstLine="211"/>
              <w:jc w:val="center"/>
              <w:rPr>
                <w:rFonts w:ascii="宋体" w:hAnsi="宋体"/>
                <w:kern w:val="0"/>
                <w:szCs w:val="21"/>
              </w:rPr>
            </w:pPr>
            <w:r>
              <w:rPr>
                <w:rFonts w:ascii="宋体" w:hAnsi="宋体"/>
                <w:kern w:val="0"/>
                <w:szCs w:val="21"/>
              </w:rPr>
              <w:t>质量要求</w:t>
            </w:r>
          </w:p>
        </w:tc>
        <w:tc>
          <w:tcPr>
            <w:tcW w:w="6490" w:type="dxa"/>
            <w:vAlign w:val="center"/>
          </w:tcPr>
          <w:p w14:paraId="3CDEE26F">
            <w:pPr>
              <w:snapToGrid w:val="0"/>
              <w:spacing w:line="400" w:lineRule="exact"/>
              <w:ind w:firstLine="210" w:firstLineChars="100"/>
              <w:rPr>
                <w:rFonts w:ascii="宋体" w:hAnsi="宋体"/>
                <w:szCs w:val="21"/>
              </w:rPr>
            </w:pPr>
            <w:r>
              <w:rPr>
                <w:rFonts w:hint="eastAsia" w:ascii="宋体" w:hAnsi="宋体"/>
                <w:szCs w:val="21"/>
              </w:rPr>
              <w:t>满足比选人要求，详见商务、服务需求。</w:t>
            </w:r>
          </w:p>
        </w:tc>
      </w:tr>
      <w:tr w14:paraId="44D9B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35" w:type="dxa"/>
            <w:vAlign w:val="center"/>
          </w:tcPr>
          <w:p w14:paraId="401BA0F6">
            <w:pPr>
              <w:snapToGrid w:val="0"/>
              <w:spacing w:line="400" w:lineRule="exact"/>
              <w:ind w:firstLine="211"/>
              <w:jc w:val="center"/>
              <w:rPr>
                <w:rFonts w:ascii="宋体" w:hAnsi="宋体"/>
                <w:kern w:val="0"/>
                <w:szCs w:val="21"/>
              </w:rPr>
            </w:pPr>
          </w:p>
          <w:p w14:paraId="329AE43D">
            <w:pPr>
              <w:snapToGrid w:val="0"/>
              <w:spacing w:line="400" w:lineRule="exact"/>
              <w:ind w:firstLine="211"/>
              <w:jc w:val="center"/>
              <w:rPr>
                <w:rFonts w:ascii="宋体" w:hAnsi="宋体"/>
                <w:kern w:val="0"/>
                <w:szCs w:val="21"/>
              </w:rPr>
            </w:pPr>
          </w:p>
          <w:p w14:paraId="7FC39A69">
            <w:pPr>
              <w:snapToGrid w:val="0"/>
              <w:spacing w:line="400" w:lineRule="exact"/>
              <w:ind w:firstLine="211"/>
              <w:jc w:val="center"/>
              <w:rPr>
                <w:rFonts w:ascii="宋体" w:hAnsi="宋体"/>
                <w:kern w:val="0"/>
                <w:szCs w:val="21"/>
              </w:rPr>
            </w:pPr>
          </w:p>
          <w:p w14:paraId="4AC1E4BE">
            <w:pPr>
              <w:snapToGrid w:val="0"/>
              <w:spacing w:line="400" w:lineRule="exact"/>
              <w:ind w:firstLine="211"/>
              <w:jc w:val="center"/>
              <w:rPr>
                <w:rFonts w:ascii="宋体" w:hAnsi="宋体"/>
                <w:kern w:val="0"/>
                <w:szCs w:val="21"/>
              </w:rPr>
            </w:pPr>
          </w:p>
          <w:p w14:paraId="33144100">
            <w:pPr>
              <w:snapToGrid w:val="0"/>
              <w:spacing w:line="400" w:lineRule="exact"/>
              <w:ind w:firstLine="211"/>
              <w:jc w:val="center"/>
              <w:rPr>
                <w:rFonts w:ascii="宋体" w:hAnsi="宋体"/>
                <w:kern w:val="0"/>
                <w:szCs w:val="21"/>
              </w:rPr>
            </w:pPr>
          </w:p>
          <w:p w14:paraId="4DE4D60B">
            <w:pPr>
              <w:snapToGrid w:val="0"/>
              <w:spacing w:line="400" w:lineRule="exact"/>
              <w:ind w:firstLine="211"/>
              <w:jc w:val="center"/>
              <w:rPr>
                <w:rFonts w:ascii="宋体" w:hAnsi="宋体"/>
                <w:kern w:val="0"/>
                <w:szCs w:val="21"/>
              </w:rPr>
            </w:pPr>
          </w:p>
          <w:p w14:paraId="0F6B36D6">
            <w:pPr>
              <w:snapToGrid w:val="0"/>
              <w:spacing w:line="400" w:lineRule="exact"/>
              <w:ind w:firstLine="211"/>
              <w:jc w:val="center"/>
              <w:rPr>
                <w:rFonts w:ascii="宋体" w:hAnsi="宋体"/>
                <w:kern w:val="0"/>
                <w:szCs w:val="21"/>
              </w:rPr>
            </w:pPr>
          </w:p>
          <w:p w14:paraId="512E743A">
            <w:pPr>
              <w:snapToGrid w:val="0"/>
              <w:spacing w:line="400" w:lineRule="exact"/>
              <w:ind w:firstLine="211"/>
              <w:jc w:val="center"/>
              <w:rPr>
                <w:rFonts w:ascii="宋体" w:hAnsi="宋体"/>
                <w:kern w:val="0"/>
                <w:szCs w:val="21"/>
              </w:rPr>
            </w:pPr>
          </w:p>
          <w:p w14:paraId="13D71CD1">
            <w:pPr>
              <w:snapToGrid w:val="0"/>
              <w:spacing w:line="400" w:lineRule="exact"/>
              <w:ind w:firstLine="211"/>
              <w:jc w:val="center"/>
              <w:rPr>
                <w:rFonts w:ascii="宋体" w:hAnsi="宋体"/>
                <w:kern w:val="0"/>
                <w:szCs w:val="21"/>
              </w:rPr>
            </w:pPr>
          </w:p>
          <w:p w14:paraId="530EC6EB">
            <w:pPr>
              <w:snapToGrid w:val="0"/>
              <w:spacing w:line="400" w:lineRule="exact"/>
              <w:ind w:firstLine="211"/>
              <w:jc w:val="center"/>
              <w:rPr>
                <w:rFonts w:ascii="宋体" w:hAnsi="宋体"/>
                <w:kern w:val="0"/>
                <w:szCs w:val="21"/>
              </w:rPr>
            </w:pPr>
          </w:p>
          <w:p w14:paraId="2B704302">
            <w:pPr>
              <w:snapToGrid w:val="0"/>
              <w:spacing w:line="400" w:lineRule="exact"/>
              <w:ind w:firstLine="211"/>
              <w:jc w:val="center"/>
              <w:rPr>
                <w:rFonts w:ascii="宋体" w:hAnsi="宋体"/>
                <w:kern w:val="0"/>
                <w:szCs w:val="21"/>
              </w:rPr>
            </w:pPr>
          </w:p>
          <w:p w14:paraId="766EF09A">
            <w:pPr>
              <w:snapToGrid w:val="0"/>
              <w:spacing w:line="400" w:lineRule="exact"/>
              <w:ind w:firstLine="211"/>
              <w:jc w:val="center"/>
              <w:rPr>
                <w:rFonts w:ascii="宋体" w:hAnsi="宋体"/>
                <w:kern w:val="0"/>
                <w:szCs w:val="21"/>
              </w:rPr>
            </w:pPr>
          </w:p>
          <w:p w14:paraId="71508EB4">
            <w:pPr>
              <w:snapToGrid w:val="0"/>
              <w:spacing w:line="400" w:lineRule="exact"/>
              <w:ind w:firstLine="211"/>
              <w:jc w:val="center"/>
              <w:rPr>
                <w:rFonts w:ascii="宋体" w:hAnsi="宋体"/>
                <w:kern w:val="0"/>
                <w:szCs w:val="21"/>
              </w:rPr>
            </w:pPr>
          </w:p>
          <w:p w14:paraId="39B7FD4A">
            <w:pPr>
              <w:snapToGrid w:val="0"/>
              <w:spacing w:line="400" w:lineRule="exact"/>
              <w:ind w:firstLine="211"/>
              <w:jc w:val="center"/>
              <w:rPr>
                <w:rFonts w:ascii="宋体" w:hAnsi="宋体"/>
                <w:kern w:val="0"/>
                <w:szCs w:val="21"/>
              </w:rPr>
            </w:pPr>
          </w:p>
          <w:p w14:paraId="1E540309">
            <w:pPr>
              <w:snapToGrid w:val="0"/>
              <w:spacing w:line="400" w:lineRule="exact"/>
              <w:ind w:firstLine="211"/>
              <w:jc w:val="center"/>
              <w:rPr>
                <w:rFonts w:ascii="宋体" w:hAnsi="宋体"/>
                <w:kern w:val="0"/>
                <w:szCs w:val="21"/>
              </w:rPr>
            </w:pPr>
          </w:p>
          <w:p w14:paraId="6ACD1214">
            <w:pPr>
              <w:snapToGrid w:val="0"/>
              <w:spacing w:line="400" w:lineRule="exact"/>
              <w:ind w:firstLine="211"/>
              <w:jc w:val="center"/>
              <w:rPr>
                <w:rFonts w:ascii="宋体" w:hAnsi="宋体"/>
                <w:kern w:val="0"/>
                <w:szCs w:val="21"/>
              </w:rPr>
            </w:pPr>
          </w:p>
          <w:p w14:paraId="59839A62">
            <w:pPr>
              <w:snapToGrid w:val="0"/>
              <w:spacing w:line="400" w:lineRule="exact"/>
              <w:ind w:firstLine="211"/>
              <w:jc w:val="center"/>
              <w:rPr>
                <w:rFonts w:ascii="宋体" w:hAnsi="宋体"/>
                <w:kern w:val="0"/>
                <w:szCs w:val="21"/>
              </w:rPr>
            </w:pPr>
          </w:p>
          <w:p w14:paraId="3D86AB22">
            <w:pPr>
              <w:snapToGrid w:val="0"/>
              <w:spacing w:line="400" w:lineRule="exact"/>
              <w:ind w:firstLine="211"/>
              <w:jc w:val="center"/>
              <w:rPr>
                <w:rFonts w:ascii="宋体" w:hAnsi="宋体"/>
                <w:kern w:val="0"/>
                <w:szCs w:val="21"/>
              </w:rPr>
            </w:pPr>
            <w:r>
              <w:rPr>
                <w:rFonts w:ascii="宋体" w:hAnsi="宋体"/>
                <w:kern w:val="0"/>
                <w:szCs w:val="21"/>
              </w:rPr>
              <w:t>1.4.1</w:t>
            </w:r>
          </w:p>
          <w:p w14:paraId="7CCB5617">
            <w:pPr>
              <w:snapToGrid w:val="0"/>
              <w:spacing w:line="400" w:lineRule="exact"/>
              <w:ind w:firstLine="211"/>
              <w:jc w:val="center"/>
              <w:rPr>
                <w:rFonts w:ascii="宋体" w:hAnsi="宋体"/>
                <w:kern w:val="0"/>
                <w:szCs w:val="21"/>
              </w:rPr>
            </w:pPr>
          </w:p>
          <w:p w14:paraId="6F9D50CE">
            <w:pPr>
              <w:snapToGrid w:val="0"/>
              <w:spacing w:line="400" w:lineRule="exact"/>
              <w:ind w:firstLine="211"/>
              <w:jc w:val="center"/>
              <w:rPr>
                <w:rFonts w:ascii="宋体" w:hAnsi="宋体"/>
                <w:kern w:val="0"/>
                <w:szCs w:val="21"/>
              </w:rPr>
            </w:pPr>
          </w:p>
          <w:p w14:paraId="204D711D">
            <w:pPr>
              <w:snapToGrid w:val="0"/>
              <w:spacing w:line="400" w:lineRule="exact"/>
              <w:ind w:firstLine="211"/>
              <w:jc w:val="center"/>
              <w:rPr>
                <w:rFonts w:ascii="宋体" w:hAnsi="宋体"/>
                <w:kern w:val="0"/>
                <w:szCs w:val="21"/>
              </w:rPr>
            </w:pPr>
          </w:p>
          <w:p w14:paraId="0D83F73B">
            <w:pPr>
              <w:snapToGrid w:val="0"/>
              <w:spacing w:line="400" w:lineRule="exact"/>
              <w:ind w:firstLine="211"/>
              <w:jc w:val="center"/>
              <w:rPr>
                <w:rFonts w:ascii="宋体" w:hAnsi="宋体"/>
                <w:kern w:val="0"/>
                <w:szCs w:val="21"/>
              </w:rPr>
            </w:pPr>
          </w:p>
          <w:p w14:paraId="30BB86A3">
            <w:pPr>
              <w:snapToGrid w:val="0"/>
              <w:spacing w:line="400" w:lineRule="exact"/>
              <w:ind w:firstLine="211"/>
              <w:jc w:val="center"/>
              <w:rPr>
                <w:rFonts w:ascii="宋体" w:hAnsi="宋体"/>
                <w:kern w:val="0"/>
                <w:szCs w:val="21"/>
              </w:rPr>
            </w:pPr>
          </w:p>
          <w:p w14:paraId="1163FE56">
            <w:pPr>
              <w:snapToGrid w:val="0"/>
              <w:spacing w:line="400" w:lineRule="exact"/>
              <w:ind w:firstLine="211"/>
              <w:jc w:val="center"/>
              <w:rPr>
                <w:rFonts w:ascii="宋体" w:hAnsi="宋体"/>
                <w:kern w:val="0"/>
                <w:szCs w:val="21"/>
              </w:rPr>
            </w:pPr>
          </w:p>
          <w:p w14:paraId="27631B22">
            <w:pPr>
              <w:snapToGrid w:val="0"/>
              <w:spacing w:line="400" w:lineRule="exact"/>
              <w:ind w:firstLine="211"/>
              <w:jc w:val="center"/>
              <w:rPr>
                <w:rFonts w:ascii="宋体" w:hAnsi="宋体"/>
                <w:kern w:val="0"/>
                <w:szCs w:val="21"/>
              </w:rPr>
            </w:pPr>
          </w:p>
          <w:p w14:paraId="5BA8FD80">
            <w:pPr>
              <w:snapToGrid w:val="0"/>
              <w:spacing w:line="400" w:lineRule="exact"/>
              <w:ind w:firstLine="211"/>
              <w:jc w:val="center"/>
              <w:rPr>
                <w:rFonts w:ascii="宋体" w:hAnsi="宋体"/>
                <w:kern w:val="0"/>
                <w:szCs w:val="21"/>
              </w:rPr>
            </w:pPr>
          </w:p>
          <w:p w14:paraId="4BFB051D">
            <w:pPr>
              <w:snapToGrid w:val="0"/>
              <w:spacing w:line="400" w:lineRule="exact"/>
              <w:ind w:firstLine="211"/>
              <w:jc w:val="center"/>
              <w:rPr>
                <w:rFonts w:ascii="宋体" w:hAnsi="宋体"/>
                <w:kern w:val="0"/>
                <w:szCs w:val="21"/>
              </w:rPr>
            </w:pPr>
          </w:p>
          <w:p w14:paraId="2A417EFA">
            <w:pPr>
              <w:snapToGrid w:val="0"/>
              <w:spacing w:line="400" w:lineRule="exact"/>
              <w:ind w:firstLine="211"/>
              <w:jc w:val="center"/>
              <w:rPr>
                <w:rFonts w:ascii="宋体" w:hAnsi="宋体"/>
                <w:kern w:val="0"/>
                <w:szCs w:val="21"/>
              </w:rPr>
            </w:pPr>
          </w:p>
          <w:p w14:paraId="554190D3">
            <w:pPr>
              <w:snapToGrid w:val="0"/>
              <w:spacing w:line="400" w:lineRule="exact"/>
              <w:ind w:firstLine="211"/>
              <w:jc w:val="center"/>
              <w:rPr>
                <w:rFonts w:ascii="宋体" w:hAnsi="宋体"/>
                <w:kern w:val="0"/>
                <w:szCs w:val="21"/>
              </w:rPr>
            </w:pPr>
          </w:p>
          <w:p w14:paraId="7D9927BE">
            <w:pPr>
              <w:snapToGrid w:val="0"/>
              <w:spacing w:line="400" w:lineRule="exact"/>
              <w:ind w:firstLine="211"/>
              <w:jc w:val="center"/>
              <w:rPr>
                <w:rFonts w:ascii="宋体" w:hAnsi="宋体"/>
                <w:kern w:val="0"/>
                <w:szCs w:val="21"/>
              </w:rPr>
            </w:pPr>
          </w:p>
          <w:p w14:paraId="567DD126">
            <w:pPr>
              <w:snapToGrid w:val="0"/>
              <w:spacing w:line="400" w:lineRule="exact"/>
              <w:ind w:firstLine="211"/>
              <w:jc w:val="center"/>
              <w:rPr>
                <w:rFonts w:ascii="宋体" w:hAnsi="宋体"/>
                <w:kern w:val="0"/>
                <w:szCs w:val="21"/>
              </w:rPr>
            </w:pPr>
          </w:p>
          <w:p w14:paraId="10479B2C">
            <w:pPr>
              <w:snapToGrid w:val="0"/>
              <w:spacing w:line="400" w:lineRule="exact"/>
              <w:ind w:firstLine="211"/>
              <w:jc w:val="center"/>
              <w:rPr>
                <w:rFonts w:ascii="宋体" w:hAnsi="宋体"/>
                <w:kern w:val="0"/>
                <w:szCs w:val="21"/>
              </w:rPr>
            </w:pPr>
          </w:p>
          <w:p w14:paraId="33D9C34E">
            <w:pPr>
              <w:snapToGrid w:val="0"/>
              <w:spacing w:line="400" w:lineRule="exact"/>
              <w:ind w:firstLine="211"/>
              <w:jc w:val="center"/>
              <w:rPr>
                <w:rFonts w:ascii="宋体" w:hAnsi="宋体"/>
                <w:kern w:val="0"/>
                <w:szCs w:val="21"/>
              </w:rPr>
            </w:pPr>
          </w:p>
          <w:p w14:paraId="6F33A62D">
            <w:pPr>
              <w:snapToGrid w:val="0"/>
              <w:spacing w:line="400" w:lineRule="exact"/>
              <w:ind w:firstLine="211"/>
              <w:jc w:val="center"/>
              <w:rPr>
                <w:rFonts w:ascii="宋体" w:hAnsi="宋体"/>
                <w:kern w:val="0"/>
                <w:szCs w:val="21"/>
              </w:rPr>
            </w:pPr>
          </w:p>
          <w:p w14:paraId="3BE0512D">
            <w:pPr>
              <w:snapToGrid w:val="0"/>
              <w:spacing w:line="400" w:lineRule="exact"/>
              <w:ind w:firstLine="211"/>
              <w:jc w:val="center"/>
              <w:rPr>
                <w:rFonts w:ascii="宋体" w:hAnsi="宋体"/>
                <w:kern w:val="0"/>
                <w:szCs w:val="21"/>
              </w:rPr>
            </w:pPr>
          </w:p>
          <w:p w14:paraId="67202C31">
            <w:pPr>
              <w:snapToGrid w:val="0"/>
              <w:spacing w:line="400" w:lineRule="exact"/>
              <w:ind w:firstLine="211"/>
              <w:jc w:val="center"/>
              <w:rPr>
                <w:rFonts w:ascii="宋体" w:hAnsi="宋体"/>
                <w:kern w:val="0"/>
                <w:szCs w:val="21"/>
              </w:rPr>
            </w:pPr>
          </w:p>
          <w:p w14:paraId="43C7B4BC">
            <w:pPr>
              <w:snapToGrid w:val="0"/>
              <w:spacing w:line="400" w:lineRule="exact"/>
              <w:ind w:firstLine="211"/>
              <w:jc w:val="center"/>
              <w:rPr>
                <w:rFonts w:ascii="宋体" w:hAnsi="宋体"/>
                <w:kern w:val="0"/>
                <w:szCs w:val="21"/>
              </w:rPr>
            </w:pPr>
            <w:r>
              <w:rPr>
                <w:rFonts w:ascii="宋体" w:hAnsi="宋体"/>
                <w:kern w:val="0"/>
                <w:szCs w:val="21"/>
              </w:rPr>
              <w:t>1.4.1</w:t>
            </w:r>
          </w:p>
        </w:tc>
        <w:tc>
          <w:tcPr>
            <w:tcW w:w="1644" w:type="dxa"/>
            <w:vAlign w:val="center"/>
          </w:tcPr>
          <w:p w14:paraId="734C01A3">
            <w:pPr>
              <w:snapToGrid w:val="0"/>
              <w:spacing w:line="400" w:lineRule="exact"/>
              <w:ind w:firstLine="211"/>
              <w:jc w:val="center"/>
              <w:rPr>
                <w:rFonts w:ascii="宋体" w:hAnsi="宋体"/>
                <w:kern w:val="0"/>
                <w:szCs w:val="21"/>
              </w:rPr>
            </w:pPr>
          </w:p>
          <w:p w14:paraId="548F7370">
            <w:pPr>
              <w:snapToGrid w:val="0"/>
              <w:spacing w:line="400" w:lineRule="exact"/>
              <w:ind w:firstLine="211"/>
              <w:jc w:val="center"/>
              <w:rPr>
                <w:rFonts w:ascii="宋体" w:hAnsi="宋体"/>
                <w:kern w:val="0"/>
                <w:szCs w:val="21"/>
              </w:rPr>
            </w:pPr>
          </w:p>
          <w:p w14:paraId="039C24B9">
            <w:pPr>
              <w:snapToGrid w:val="0"/>
              <w:spacing w:line="400" w:lineRule="exact"/>
              <w:ind w:firstLine="211"/>
              <w:jc w:val="center"/>
              <w:rPr>
                <w:rFonts w:ascii="宋体" w:hAnsi="宋体"/>
                <w:kern w:val="0"/>
                <w:szCs w:val="21"/>
              </w:rPr>
            </w:pPr>
          </w:p>
          <w:p w14:paraId="3E06CB3D">
            <w:pPr>
              <w:snapToGrid w:val="0"/>
              <w:spacing w:line="400" w:lineRule="exact"/>
              <w:ind w:firstLine="211"/>
              <w:jc w:val="center"/>
              <w:rPr>
                <w:rFonts w:ascii="宋体" w:hAnsi="宋体"/>
                <w:kern w:val="0"/>
                <w:szCs w:val="21"/>
              </w:rPr>
            </w:pPr>
          </w:p>
          <w:p w14:paraId="1310CC82">
            <w:pPr>
              <w:snapToGrid w:val="0"/>
              <w:spacing w:line="400" w:lineRule="exact"/>
              <w:ind w:firstLine="211"/>
              <w:jc w:val="center"/>
              <w:rPr>
                <w:rFonts w:ascii="宋体" w:hAnsi="宋体"/>
                <w:kern w:val="0"/>
                <w:szCs w:val="21"/>
              </w:rPr>
            </w:pPr>
          </w:p>
          <w:p w14:paraId="3125CE34">
            <w:pPr>
              <w:snapToGrid w:val="0"/>
              <w:spacing w:line="400" w:lineRule="exact"/>
              <w:ind w:firstLine="211"/>
              <w:jc w:val="center"/>
              <w:rPr>
                <w:rFonts w:ascii="宋体" w:hAnsi="宋体"/>
                <w:kern w:val="0"/>
                <w:szCs w:val="21"/>
              </w:rPr>
            </w:pPr>
          </w:p>
          <w:p w14:paraId="44702054">
            <w:pPr>
              <w:snapToGrid w:val="0"/>
              <w:spacing w:line="400" w:lineRule="exact"/>
              <w:ind w:firstLine="211"/>
              <w:jc w:val="center"/>
              <w:rPr>
                <w:rFonts w:ascii="宋体" w:hAnsi="宋体"/>
                <w:kern w:val="0"/>
                <w:szCs w:val="21"/>
              </w:rPr>
            </w:pPr>
          </w:p>
          <w:p w14:paraId="68B0890A">
            <w:pPr>
              <w:snapToGrid w:val="0"/>
              <w:spacing w:line="400" w:lineRule="exact"/>
              <w:ind w:firstLine="211"/>
              <w:jc w:val="center"/>
              <w:rPr>
                <w:rFonts w:ascii="宋体" w:hAnsi="宋体"/>
                <w:kern w:val="0"/>
                <w:szCs w:val="21"/>
              </w:rPr>
            </w:pPr>
          </w:p>
          <w:p w14:paraId="2BD804E3">
            <w:pPr>
              <w:snapToGrid w:val="0"/>
              <w:spacing w:line="400" w:lineRule="exact"/>
              <w:ind w:firstLine="211"/>
              <w:jc w:val="center"/>
              <w:rPr>
                <w:rFonts w:ascii="宋体" w:hAnsi="宋体"/>
                <w:kern w:val="0"/>
                <w:szCs w:val="21"/>
              </w:rPr>
            </w:pPr>
          </w:p>
          <w:p w14:paraId="69B1E331">
            <w:pPr>
              <w:snapToGrid w:val="0"/>
              <w:spacing w:line="400" w:lineRule="exact"/>
              <w:ind w:firstLine="211"/>
              <w:jc w:val="center"/>
              <w:rPr>
                <w:rFonts w:ascii="宋体" w:hAnsi="宋体"/>
                <w:kern w:val="0"/>
                <w:szCs w:val="21"/>
              </w:rPr>
            </w:pPr>
          </w:p>
          <w:p w14:paraId="619D47C4">
            <w:pPr>
              <w:snapToGrid w:val="0"/>
              <w:spacing w:line="400" w:lineRule="exact"/>
              <w:ind w:firstLine="211"/>
              <w:jc w:val="center"/>
              <w:rPr>
                <w:rFonts w:ascii="宋体" w:hAnsi="宋体"/>
                <w:kern w:val="0"/>
                <w:szCs w:val="21"/>
              </w:rPr>
            </w:pPr>
          </w:p>
          <w:p w14:paraId="07DAAC6C">
            <w:pPr>
              <w:snapToGrid w:val="0"/>
              <w:spacing w:line="400" w:lineRule="exact"/>
              <w:ind w:firstLine="211"/>
              <w:jc w:val="center"/>
              <w:rPr>
                <w:rFonts w:ascii="宋体" w:hAnsi="宋体"/>
                <w:kern w:val="0"/>
                <w:szCs w:val="21"/>
              </w:rPr>
            </w:pPr>
          </w:p>
          <w:p w14:paraId="40DB378B">
            <w:pPr>
              <w:snapToGrid w:val="0"/>
              <w:spacing w:line="400" w:lineRule="exact"/>
              <w:ind w:firstLine="211"/>
              <w:jc w:val="center"/>
              <w:rPr>
                <w:rFonts w:ascii="宋体" w:hAnsi="宋体"/>
                <w:kern w:val="0"/>
                <w:szCs w:val="21"/>
              </w:rPr>
            </w:pPr>
          </w:p>
          <w:p w14:paraId="65592317">
            <w:pPr>
              <w:snapToGrid w:val="0"/>
              <w:spacing w:line="400" w:lineRule="exact"/>
              <w:ind w:firstLine="211"/>
              <w:jc w:val="center"/>
              <w:rPr>
                <w:rFonts w:ascii="宋体" w:hAnsi="宋体"/>
                <w:kern w:val="0"/>
                <w:szCs w:val="21"/>
              </w:rPr>
            </w:pPr>
          </w:p>
          <w:p w14:paraId="5A3656F9">
            <w:pPr>
              <w:snapToGrid w:val="0"/>
              <w:spacing w:line="400" w:lineRule="exact"/>
              <w:ind w:firstLine="211"/>
              <w:jc w:val="center"/>
              <w:rPr>
                <w:rFonts w:ascii="宋体" w:hAnsi="宋体"/>
                <w:kern w:val="0"/>
                <w:szCs w:val="21"/>
              </w:rPr>
            </w:pPr>
          </w:p>
          <w:p w14:paraId="0C7C1873">
            <w:pPr>
              <w:snapToGrid w:val="0"/>
              <w:spacing w:line="400" w:lineRule="exact"/>
              <w:ind w:firstLine="211"/>
              <w:jc w:val="center"/>
              <w:rPr>
                <w:rFonts w:ascii="宋体" w:hAnsi="宋体"/>
                <w:kern w:val="0"/>
                <w:szCs w:val="21"/>
              </w:rPr>
            </w:pPr>
          </w:p>
          <w:p w14:paraId="79B5AE69">
            <w:pPr>
              <w:snapToGrid w:val="0"/>
              <w:spacing w:line="400" w:lineRule="exact"/>
              <w:ind w:firstLine="211"/>
              <w:jc w:val="center"/>
              <w:rPr>
                <w:rFonts w:ascii="宋体" w:hAnsi="宋体"/>
                <w:kern w:val="0"/>
                <w:szCs w:val="21"/>
              </w:rPr>
            </w:pPr>
          </w:p>
          <w:p w14:paraId="061DAAC7">
            <w:pPr>
              <w:snapToGrid w:val="0"/>
              <w:spacing w:line="400" w:lineRule="exact"/>
              <w:ind w:firstLine="211"/>
              <w:jc w:val="center"/>
              <w:rPr>
                <w:rFonts w:ascii="宋体" w:hAnsi="宋体"/>
                <w:kern w:val="0"/>
                <w:szCs w:val="21"/>
              </w:rPr>
            </w:pPr>
            <w:r>
              <w:rPr>
                <w:rFonts w:hint="eastAsia" w:ascii="宋体" w:hAnsi="宋体"/>
                <w:kern w:val="0"/>
                <w:szCs w:val="21"/>
              </w:rPr>
              <w:t>竞选人</w:t>
            </w:r>
            <w:r>
              <w:rPr>
                <w:rFonts w:ascii="宋体" w:hAnsi="宋体"/>
                <w:kern w:val="0"/>
                <w:szCs w:val="21"/>
              </w:rPr>
              <w:t>资质条件、能力和信誉</w:t>
            </w:r>
          </w:p>
          <w:p w14:paraId="493DD02C">
            <w:pPr>
              <w:snapToGrid w:val="0"/>
              <w:spacing w:line="400" w:lineRule="exact"/>
              <w:ind w:firstLine="211"/>
              <w:jc w:val="center"/>
              <w:rPr>
                <w:rFonts w:ascii="宋体" w:hAnsi="宋体"/>
                <w:kern w:val="0"/>
                <w:szCs w:val="21"/>
              </w:rPr>
            </w:pPr>
          </w:p>
          <w:p w14:paraId="37C9F43A">
            <w:pPr>
              <w:snapToGrid w:val="0"/>
              <w:spacing w:line="400" w:lineRule="exact"/>
              <w:ind w:firstLine="211"/>
              <w:jc w:val="center"/>
              <w:rPr>
                <w:rFonts w:ascii="宋体" w:hAnsi="宋体"/>
                <w:kern w:val="0"/>
                <w:szCs w:val="21"/>
              </w:rPr>
            </w:pPr>
          </w:p>
          <w:p w14:paraId="001F80CA">
            <w:pPr>
              <w:snapToGrid w:val="0"/>
              <w:spacing w:line="400" w:lineRule="exact"/>
              <w:ind w:firstLine="211"/>
              <w:jc w:val="center"/>
              <w:rPr>
                <w:rFonts w:ascii="宋体" w:hAnsi="宋体"/>
                <w:kern w:val="0"/>
                <w:szCs w:val="21"/>
              </w:rPr>
            </w:pPr>
          </w:p>
          <w:p w14:paraId="52F5BFBC">
            <w:pPr>
              <w:snapToGrid w:val="0"/>
              <w:spacing w:line="400" w:lineRule="exact"/>
              <w:ind w:firstLine="211"/>
              <w:jc w:val="center"/>
              <w:rPr>
                <w:rFonts w:ascii="宋体" w:hAnsi="宋体"/>
                <w:kern w:val="0"/>
                <w:szCs w:val="21"/>
              </w:rPr>
            </w:pPr>
          </w:p>
          <w:p w14:paraId="1A30980E">
            <w:pPr>
              <w:snapToGrid w:val="0"/>
              <w:spacing w:line="400" w:lineRule="exact"/>
              <w:ind w:firstLine="211"/>
              <w:jc w:val="center"/>
              <w:rPr>
                <w:rFonts w:ascii="宋体" w:hAnsi="宋体"/>
                <w:kern w:val="0"/>
                <w:szCs w:val="21"/>
              </w:rPr>
            </w:pPr>
          </w:p>
          <w:p w14:paraId="3022FC9A">
            <w:pPr>
              <w:snapToGrid w:val="0"/>
              <w:spacing w:line="400" w:lineRule="exact"/>
              <w:ind w:firstLine="211"/>
              <w:jc w:val="center"/>
              <w:rPr>
                <w:rFonts w:ascii="宋体" w:hAnsi="宋体"/>
                <w:kern w:val="0"/>
                <w:szCs w:val="21"/>
              </w:rPr>
            </w:pPr>
          </w:p>
          <w:p w14:paraId="559B5FAE">
            <w:pPr>
              <w:snapToGrid w:val="0"/>
              <w:spacing w:line="400" w:lineRule="exact"/>
              <w:ind w:firstLine="211"/>
              <w:jc w:val="center"/>
              <w:rPr>
                <w:rFonts w:ascii="宋体" w:hAnsi="宋体"/>
                <w:kern w:val="0"/>
                <w:szCs w:val="21"/>
              </w:rPr>
            </w:pPr>
          </w:p>
          <w:p w14:paraId="6185C2BE">
            <w:pPr>
              <w:snapToGrid w:val="0"/>
              <w:spacing w:line="400" w:lineRule="exact"/>
              <w:ind w:firstLine="211"/>
              <w:jc w:val="center"/>
              <w:rPr>
                <w:rFonts w:ascii="宋体" w:hAnsi="宋体"/>
                <w:kern w:val="0"/>
                <w:szCs w:val="21"/>
              </w:rPr>
            </w:pPr>
          </w:p>
          <w:p w14:paraId="396D1C3E">
            <w:pPr>
              <w:snapToGrid w:val="0"/>
              <w:spacing w:line="400" w:lineRule="exact"/>
              <w:ind w:firstLine="211"/>
              <w:jc w:val="center"/>
              <w:rPr>
                <w:rFonts w:ascii="宋体" w:hAnsi="宋体"/>
                <w:kern w:val="0"/>
                <w:szCs w:val="21"/>
              </w:rPr>
            </w:pPr>
          </w:p>
          <w:p w14:paraId="5E49B304">
            <w:pPr>
              <w:snapToGrid w:val="0"/>
              <w:spacing w:line="400" w:lineRule="exact"/>
              <w:ind w:firstLine="211"/>
              <w:jc w:val="center"/>
              <w:rPr>
                <w:rFonts w:ascii="宋体" w:hAnsi="宋体"/>
                <w:kern w:val="0"/>
                <w:szCs w:val="21"/>
              </w:rPr>
            </w:pPr>
          </w:p>
          <w:p w14:paraId="7FE449B2">
            <w:pPr>
              <w:snapToGrid w:val="0"/>
              <w:spacing w:line="400" w:lineRule="exact"/>
              <w:ind w:firstLine="211"/>
              <w:jc w:val="center"/>
              <w:rPr>
                <w:rFonts w:ascii="宋体" w:hAnsi="宋体"/>
                <w:kern w:val="0"/>
                <w:szCs w:val="21"/>
              </w:rPr>
            </w:pPr>
          </w:p>
          <w:p w14:paraId="783EB512">
            <w:pPr>
              <w:snapToGrid w:val="0"/>
              <w:spacing w:line="400" w:lineRule="exact"/>
              <w:ind w:firstLine="211"/>
              <w:jc w:val="center"/>
              <w:rPr>
                <w:rFonts w:ascii="宋体" w:hAnsi="宋体"/>
                <w:kern w:val="0"/>
                <w:szCs w:val="21"/>
              </w:rPr>
            </w:pPr>
          </w:p>
          <w:p w14:paraId="3E10CD38">
            <w:pPr>
              <w:snapToGrid w:val="0"/>
              <w:spacing w:line="400" w:lineRule="exact"/>
              <w:ind w:firstLine="211"/>
              <w:jc w:val="center"/>
              <w:rPr>
                <w:rFonts w:ascii="宋体" w:hAnsi="宋体"/>
                <w:kern w:val="0"/>
                <w:szCs w:val="21"/>
              </w:rPr>
            </w:pPr>
          </w:p>
          <w:p w14:paraId="4F64B530">
            <w:pPr>
              <w:snapToGrid w:val="0"/>
              <w:spacing w:line="400" w:lineRule="exact"/>
              <w:ind w:firstLine="211"/>
              <w:jc w:val="center"/>
              <w:rPr>
                <w:rFonts w:ascii="宋体" w:hAnsi="宋体"/>
                <w:kern w:val="0"/>
                <w:szCs w:val="21"/>
              </w:rPr>
            </w:pPr>
          </w:p>
          <w:p w14:paraId="0319EB4B">
            <w:pPr>
              <w:snapToGrid w:val="0"/>
              <w:spacing w:line="400" w:lineRule="exact"/>
              <w:ind w:firstLine="211"/>
              <w:jc w:val="center"/>
              <w:rPr>
                <w:rFonts w:ascii="宋体" w:hAnsi="宋体"/>
                <w:kern w:val="0"/>
                <w:szCs w:val="21"/>
              </w:rPr>
            </w:pPr>
          </w:p>
          <w:p w14:paraId="4D6EA41C">
            <w:pPr>
              <w:snapToGrid w:val="0"/>
              <w:spacing w:line="400" w:lineRule="exact"/>
              <w:ind w:firstLine="211"/>
              <w:jc w:val="center"/>
              <w:rPr>
                <w:rFonts w:ascii="宋体" w:hAnsi="宋体"/>
                <w:kern w:val="0"/>
                <w:szCs w:val="21"/>
              </w:rPr>
            </w:pPr>
          </w:p>
          <w:p w14:paraId="49B06B8E">
            <w:pPr>
              <w:snapToGrid w:val="0"/>
              <w:spacing w:line="400" w:lineRule="exact"/>
              <w:ind w:firstLine="211"/>
              <w:jc w:val="center"/>
              <w:rPr>
                <w:rFonts w:ascii="宋体" w:hAnsi="宋体"/>
                <w:kern w:val="0"/>
                <w:szCs w:val="21"/>
              </w:rPr>
            </w:pPr>
          </w:p>
          <w:p w14:paraId="6FD3D28C">
            <w:pPr>
              <w:snapToGrid w:val="0"/>
              <w:spacing w:line="400" w:lineRule="exact"/>
              <w:ind w:firstLine="211"/>
              <w:rPr>
                <w:rFonts w:ascii="宋体" w:hAnsi="宋体"/>
                <w:kern w:val="0"/>
                <w:szCs w:val="21"/>
              </w:rPr>
            </w:pPr>
            <w:r>
              <w:rPr>
                <w:rFonts w:hint="eastAsia" w:ascii="宋体" w:hAnsi="宋体"/>
                <w:kern w:val="0"/>
                <w:szCs w:val="21"/>
              </w:rPr>
              <w:t>竞选人</w:t>
            </w:r>
            <w:r>
              <w:rPr>
                <w:rFonts w:ascii="宋体" w:hAnsi="宋体"/>
                <w:kern w:val="0"/>
                <w:szCs w:val="21"/>
              </w:rPr>
              <w:t>资质条件、能力和信誉</w:t>
            </w:r>
          </w:p>
        </w:tc>
        <w:tc>
          <w:tcPr>
            <w:tcW w:w="6490" w:type="dxa"/>
            <w:vAlign w:val="center"/>
          </w:tcPr>
          <w:p w14:paraId="63EAA733">
            <w:pPr>
              <w:autoSpaceDE w:val="0"/>
              <w:autoSpaceDN w:val="0"/>
              <w:adjustRightInd w:val="0"/>
              <w:snapToGrid w:val="0"/>
              <w:spacing w:line="400" w:lineRule="exact"/>
              <w:ind w:firstLine="211"/>
              <w:rPr>
                <w:rFonts w:ascii="宋体" w:hAnsi="宋体"/>
                <w:szCs w:val="21"/>
              </w:rPr>
            </w:pPr>
            <w:bookmarkStart w:id="105" w:name="OLE_LINK1"/>
            <w:r>
              <w:rPr>
                <w:rFonts w:hint="eastAsia" w:ascii="宋体" w:hAnsi="宋体"/>
                <w:szCs w:val="21"/>
              </w:rPr>
              <w:t>比选</w:t>
            </w:r>
            <w:r>
              <w:rPr>
                <w:rFonts w:ascii="宋体" w:hAnsi="宋体"/>
                <w:szCs w:val="21"/>
              </w:rPr>
              <w:t>实行资格后审，</w:t>
            </w:r>
            <w:r>
              <w:rPr>
                <w:rFonts w:hint="eastAsia" w:ascii="宋体" w:hAnsi="宋体"/>
                <w:szCs w:val="21"/>
              </w:rPr>
              <w:t>竞选人</w:t>
            </w:r>
            <w:r>
              <w:rPr>
                <w:rFonts w:ascii="宋体" w:hAnsi="宋体"/>
                <w:szCs w:val="21"/>
              </w:rPr>
              <w:t>应</w:t>
            </w:r>
            <w:bookmarkStart w:id="106" w:name="一是"/>
            <w:bookmarkEnd w:id="106"/>
            <w:r>
              <w:rPr>
                <w:rFonts w:ascii="宋体" w:hAnsi="宋体"/>
                <w:szCs w:val="21"/>
              </w:rPr>
              <w:t>具备以下资格条件：</w:t>
            </w:r>
          </w:p>
          <w:bookmarkEnd w:id="105"/>
          <w:p w14:paraId="38BDFC9B">
            <w:pPr>
              <w:autoSpaceDE w:val="0"/>
              <w:autoSpaceDN w:val="0"/>
              <w:adjustRightInd w:val="0"/>
              <w:snapToGrid w:val="0"/>
              <w:spacing w:line="400" w:lineRule="exact"/>
              <w:ind w:firstLine="422" w:firstLineChars="200"/>
              <w:rPr>
                <w:rFonts w:hint="default" w:ascii="宋体" w:hAnsi="宋体" w:eastAsia="宋体"/>
                <w:b/>
                <w:color w:val="auto"/>
                <w:szCs w:val="21"/>
                <w:lang w:val="en-US" w:eastAsia="zh-CN"/>
              </w:rPr>
            </w:pPr>
            <w:r>
              <w:rPr>
                <w:rFonts w:ascii="宋体" w:hAnsi="宋体"/>
                <w:b/>
                <w:color w:val="auto"/>
                <w:szCs w:val="21"/>
              </w:rPr>
              <w:t>1.营业执照</w:t>
            </w:r>
            <w:r>
              <w:rPr>
                <w:rFonts w:hint="eastAsia" w:ascii="宋体" w:hAnsi="宋体"/>
                <w:b/>
                <w:color w:val="auto"/>
                <w:szCs w:val="21"/>
              </w:rPr>
              <w:t>、</w:t>
            </w:r>
            <w:r>
              <w:rPr>
                <w:rFonts w:hint="eastAsia" w:ascii="宋体" w:hAnsi="宋体"/>
                <w:b/>
                <w:color w:val="auto"/>
                <w:szCs w:val="21"/>
                <w:lang w:val="en-US" w:eastAsia="zh-CN"/>
              </w:rPr>
              <w:t>资格条件</w:t>
            </w:r>
          </w:p>
          <w:p w14:paraId="5E2478EA">
            <w:pPr>
              <w:spacing w:line="360" w:lineRule="auto"/>
              <w:ind w:firstLine="315" w:firstLineChars="1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（1）具备有效的营业执照。</w:t>
            </w:r>
          </w:p>
          <w:p w14:paraId="047AED3E">
            <w:pPr>
              <w:spacing w:line="360" w:lineRule="auto"/>
              <w:ind w:firstLine="316" w:firstLineChars="15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(投标人须在投标文件资格审查部分提供有效的带二维码标识的营业执照复印件)。</w:t>
            </w:r>
          </w:p>
          <w:p w14:paraId="7B96D385">
            <w:pPr>
              <w:numPr>
                <w:ilvl w:val="0"/>
                <w:numId w:val="3"/>
              </w:num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b w:val="0"/>
                <w:bCs w:val="0"/>
                <w:snapToGrid w:val="0"/>
                <w:color w:val="auto"/>
                <w:kern w:val="0"/>
                <w:sz w:val="21"/>
                <w:szCs w:val="21"/>
                <w:lang w:val="en-US" w:eastAsia="zh-CN" w:bidi="ar-SA"/>
              </w:rPr>
            </w:pPr>
            <w:r>
              <w:rPr>
                <w:rFonts w:hint="eastAsia" w:ascii="宋体" w:hAnsi="宋体" w:cs="Times New Roman"/>
                <w:b w:val="0"/>
                <w:bCs w:val="0"/>
                <w:snapToGrid w:val="0"/>
                <w:color w:val="auto"/>
                <w:kern w:val="0"/>
                <w:sz w:val="21"/>
                <w:szCs w:val="21"/>
                <w:lang w:val="en-US" w:eastAsia="zh-CN" w:bidi="ar-SA"/>
              </w:rPr>
              <w:t>具有中国证监会、中国人民银行和国家发改委三个国家政府部门其中一家认定的证券市场及银行间债券市场两大债券市场国内全部债务工具类信用评级资质。</w:t>
            </w:r>
          </w:p>
          <w:p w14:paraId="792B2452">
            <w:pPr>
              <w:spacing w:line="360" w:lineRule="auto"/>
              <w:ind w:firstLine="316" w:firstLineChars="150"/>
              <w:rPr>
                <w:rFonts w:hint="eastAsia"/>
                <w:color w:val="auto"/>
                <w:u w:val="none"/>
                <w:lang w:eastAsia="zh-CN"/>
              </w:rPr>
            </w:pPr>
            <w:r>
              <w:rPr>
                <w:rFonts w:hint="eastAsia" w:asciiTheme="minorEastAsia" w:hAnsiTheme="minorEastAsia" w:eastAsiaTheme="minorEastAsia" w:cstheme="minorEastAsia"/>
                <w:b/>
                <w:bCs/>
                <w:color w:val="auto"/>
                <w:szCs w:val="21"/>
              </w:rPr>
              <w:t>(投标人须在投标文件资格审查部分提供</w:t>
            </w:r>
            <w:r>
              <w:rPr>
                <w:rFonts w:hint="eastAsia" w:asciiTheme="minorEastAsia" w:hAnsiTheme="minorEastAsia" w:eastAsiaTheme="minorEastAsia" w:cstheme="minorEastAsia"/>
                <w:b/>
                <w:bCs/>
                <w:color w:val="auto"/>
                <w:szCs w:val="21"/>
                <w:lang w:val="en-US" w:eastAsia="zh-CN"/>
              </w:rPr>
              <w:t>资质证书复印件</w:t>
            </w:r>
            <w:r>
              <w:rPr>
                <w:rFonts w:hint="eastAsia" w:asciiTheme="minorEastAsia" w:hAnsiTheme="minorEastAsia" w:eastAsiaTheme="minorEastAsia" w:cstheme="minorEastAsia"/>
                <w:b/>
                <w:bCs/>
                <w:color w:val="auto"/>
                <w:szCs w:val="21"/>
              </w:rPr>
              <w:t>加盖公章)。</w:t>
            </w:r>
          </w:p>
          <w:p w14:paraId="21B7CD67">
            <w:pPr>
              <w:ind w:firstLine="211" w:firstLineChars="1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2.业绩要求</w:t>
            </w:r>
          </w:p>
          <w:p w14:paraId="75E4732F">
            <w:pPr>
              <w:ind w:firstLine="210" w:firstLineChars="100"/>
              <w:rPr>
                <w:rFonts w:hint="eastAsia"/>
                <w:b w:val="0"/>
                <w:bCs/>
                <w:color w:val="auto"/>
              </w:rPr>
            </w:pPr>
            <w:r>
              <w:rPr>
                <w:rFonts w:hint="eastAsia"/>
                <w:b w:val="0"/>
                <w:bCs/>
                <w:color w:val="auto"/>
              </w:rPr>
              <w:t>2024年1月1日-2024年12月31日，公开发行的非金类中期票据发行规模统计排名，以Wind统计口径为准，需提供Wind数据库查询截图。</w:t>
            </w:r>
          </w:p>
          <w:p w14:paraId="6F0B59BA">
            <w:pPr>
              <w:ind w:firstLine="211" w:firstLineChars="100"/>
              <w:rPr>
                <w:b/>
                <w:color w:val="auto"/>
              </w:rPr>
            </w:pPr>
            <w:r>
              <w:rPr>
                <w:rFonts w:hint="eastAsia"/>
                <w:b/>
                <w:color w:val="auto"/>
              </w:rPr>
              <w:t>(投标人须在投标文件资格审查部分提供提供Wind数据库查询截图加盖公章)。</w:t>
            </w:r>
          </w:p>
          <w:p w14:paraId="761BD653">
            <w:pPr>
              <w:spacing w:line="360" w:lineRule="auto"/>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3.投标截止日投标资格情况</w:t>
            </w:r>
          </w:p>
          <w:p w14:paraId="35742320">
            <w:pPr>
              <w:spacing w:line="360" w:lineRule="auto"/>
              <w:ind w:firstLine="315" w:firstLineChars="1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投标人自行承诺（格式自拟）不得存在下列情形之一：</w:t>
            </w:r>
          </w:p>
          <w:p w14:paraId="220B5D15">
            <w:pPr>
              <w:spacing w:line="360" w:lineRule="auto"/>
              <w:ind w:firstLine="315" w:firstLineChars="1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（1）被最高人民法院在“信用中国”网站（www.creditchina.gov.cn）列入失信被执行人名单；</w:t>
            </w:r>
          </w:p>
          <w:p w14:paraId="02F3E93F">
            <w:pPr>
              <w:spacing w:line="360" w:lineRule="auto"/>
              <w:ind w:firstLine="315" w:firstLineChars="1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（2）被列入《重庆市工程建设领域招标投标信用管理暂行办法》规定的重点关注名单且记分达到12分；</w:t>
            </w:r>
          </w:p>
          <w:p w14:paraId="4825960D">
            <w:pPr>
              <w:spacing w:line="360" w:lineRule="auto"/>
              <w:ind w:firstLine="315" w:firstLineChars="1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（3）被列入《重庆市工程建设领域招标投标信用管理暂行办法》规定的黑名单；</w:t>
            </w:r>
          </w:p>
          <w:p w14:paraId="68047B39">
            <w:pPr>
              <w:spacing w:line="360" w:lineRule="auto"/>
              <w:ind w:firstLine="315" w:firstLineChars="1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（4）被国家、重庆市（含市或任意区县）有关行政部门处以暂停投标资格行政处罚，且在处罚期限内；</w:t>
            </w:r>
          </w:p>
          <w:p w14:paraId="73E9F201">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rPr>
              <w:t>（5）被重庆市住房和城乡建设主管部门暂停在渝</w:t>
            </w:r>
            <w:r>
              <w:rPr>
                <w:rFonts w:hint="eastAsia" w:asciiTheme="minorEastAsia" w:hAnsiTheme="minorEastAsia" w:eastAsiaTheme="minorEastAsia" w:cstheme="minorEastAsia"/>
                <w:szCs w:val="21"/>
              </w:rPr>
              <w:t>承揽新业务。</w:t>
            </w:r>
          </w:p>
          <w:p w14:paraId="788ECE9D">
            <w:pPr>
              <w:spacing w:line="360" w:lineRule="auto"/>
              <w:ind w:firstLine="316" w:firstLineChars="15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4.其他人员要求</w:t>
            </w:r>
          </w:p>
          <w:p w14:paraId="5AB6C406">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w:t>
            </w:r>
          </w:p>
          <w:p w14:paraId="4D480002">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本项目委托代理人必须为竞选人本单位职工。</w:t>
            </w:r>
            <w:r>
              <w:rPr>
                <w:rFonts w:hint="eastAsia" w:asciiTheme="minorEastAsia" w:hAnsiTheme="minorEastAsia" w:eastAsiaTheme="minorEastAsia" w:cstheme="minorEastAsia"/>
                <w:b/>
                <w:bCs/>
                <w:szCs w:val="21"/>
              </w:rPr>
              <w:t>竞选人须在投标文件资格审查部分提供竞选人本单位为该委托代理人缴纳的养老保险证明复印件。否则，将由评审小组作否决投标处理。</w:t>
            </w:r>
          </w:p>
          <w:p w14:paraId="02FCCA4A">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特别说明：</w:t>
            </w:r>
          </w:p>
          <w:p w14:paraId="3908681E">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（1）以上1～4条，有一条不满足，则投标文件由评审小组作否决投标处理。</w:t>
            </w:r>
            <w:r>
              <w:rPr>
                <w:rFonts w:hint="eastAsia" w:asciiTheme="minorEastAsia" w:hAnsiTheme="minorEastAsia" w:eastAsiaTheme="minorEastAsia" w:cstheme="minorEastAsia"/>
                <w:b/>
                <w:bCs/>
                <w:szCs w:val="21"/>
              </w:rPr>
              <w:t>以上所有复印件加盖投标人鲜章，否则，将由评审小组作否决投标处理。</w:t>
            </w:r>
          </w:p>
          <w:p w14:paraId="0E1998C0">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（2）比选人在比选有效期内均有权对竞选人提供的以上资料进行核实，若发现资料存在虚假不实，按照相关法律法规处理，投标人承担因此造成的相关责任并赔偿相应损失。</w:t>
            </w:r>
          </w:p>
          <w:p w14:paraId="2066B12C">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（3）本比选文件中所要求的人员养老保险证明要求如下：</w:t>
            </w:r>
          </w:p>
          <w:p w14:paraId="4AAE0EF3">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①社会单位提供养老保险证明，事业单位提供养老保险证明或行政主管部门在编证明。</w:t>
            </w:r>
          </w:p>
          <w:p w14:paraId="164BD701">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②竞选文件中对养老保险的要求为：委托代理人的养老保险证明期限为 2023年12月至 2024年5月的连续养老保险。</w:t>
            </w:r>
          </w:p>
          <w:p w14:paraId="1608B220">
            <w:pPr>
              <w:spacing w:line="400" w:lineRule="exact"/>
              <w:ind w:firstLine="420" w:firstLineChars="200"/>
            </w:pPr>
            <w:r>
              <w:rPr>
                <w:rFonts w:hint="eastAsia" w:asciiTheme="minorEastAsia" w:hAnsiTheme="minorEastAsia" w:eastAsiaTheme="minorEastAsia" w:cstheme="minorEastAsia"/>
                <w:szCs w:val="21"/>
              </w:rPr>
              <w:t>养老保险证明必须加盖社保部门公章，提供养老保险参保证明（个人），含身份证号或社保号和参保基本情况、参保缴费明细（养老保险），否则由评审小组作否决投标处理。</w:t>
            </w:r>
          </w:p>
        </w:tc>
      </w:tr>
      <w:tr w14:paraId="66373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06C9D7">
            <w:pPr>
              <w:snapToGrid w:val="0"/>
              <w:spacing w:line="400" w:lineRule="exact"/>
              <w:ind w:firstLine="211"/>
              <w:jc w:val="center"/>
              <w:rPr>
                <w:rFonts w:ascii="宋体" w:hAnsi="宋体"/>
                <w:kern w:val="0"/>
                <w:szCs w:val="21"/>
              </w:rPr>
            </w:pPr>
            <w:r>
              <w:rPr>
                <w:rFonts w:ascii="宋体" w:hAnsi="宋体"/>
                <w:kern w:val="0"/>
                <w:szCs w:val="21"/>
              </w:rPr>
              <w:t>1.4.2</w:t>
            </w:r>
          </w:p>
        </w:tc>
        <w:tc>
          <w:tcPr>
            <w:tcW w:w="1644" w:type="dxa"/>
            <w:vAlign w:val="center"/>
          </w:tcPr>
          <w:p w14:paraId="6CDB68CA">
            <w:pPr>
              <w:snapToGrid w:val="0"/>
              <w:spacing w:line="400" w:lineRule="exact"/>
              <w:ind w:firstLine="211"/>
              <w:jc w:val="center"/>
              <w:rPr>
                <w:rFonts w:ascii="宋体" w:hAnsi="宋体"/>
                <w:kern w:val="0"/>
                <w:szCs w:val="21"/>
              </w:rPr>
            </w:pPr>
            <w:r>
              <w:rPr>
                <w:rFonts w:ascii="宋体" w:hAnsi="宋体"/>
                <w:kern w:val="0"/>
                <w:szCs w:val="21"/>
              </w:rPr>
              <w:t>是否接受联合体投标</w:t>
            </w:r>
          </w:p>
        </w:tc>
        <w:tc>
          <w:tcPr>
            <w:tcW w:w="6490" w:type="dxa"/>
            <w:vAlign w:val="center"/>
          </w:tcPr>
          <w:p w14:paraId="16687FE1">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不接受</w:t>
            </w:r>
          </w:p>
          <w:p w14:paraId="384779A0">
            <w:pPr>
              <w:snapToGrid w:val="0"/>
              <w:spacing w:afterLines="5"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接受，应满足下列要求：</w:t>
            </w:r>
          </w:p>
        </w:tc>
      </w:tr>
      <w:tr w14:paraId="576AE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EE6942">
            <w:pPr>
              <w:snapToGrid w:val="0"/>
              <w:spacing w:line="400" w:lineRule="exact"/>
              <w:ind w:firstLine="211"/>
              <w:jc w:val="center"/>
              <w:rPr>
                <w:rFonts w:ascii="宋体" w:hAnsi="宋体"/>
                <w:kern w:val="0"/>
                <w:szCs w:val="21"/>
              </w:rPr>
            </w:pPr>
            <w:r>
              <w:rPr>
                <w:rFonts w:ascii="宋体" w:hAnsi="宋体"/>
                <w:kern w:val="0"/>
                <w:szCs w:val="21"/>
              </w:rPr>
              <w:t>1.9.1</w:t>
            </w:r>
          </w:p>
        </w:tc>
        <w:tc>
          <w:tcPr>
            <w:tcW w:w="1644" w:type="dxa"/>
            <w:vAlign w:val="center"/>
          </w:tcPr>
          <w:p w14:paraId="57EA1109">
            <w:pPr>
              <w:snapToGrid w:val="0"/>
              <w:spacing w:line="400" w:lineRule="exact"/>
              <w:ind w:firstLine="211"/>
              <w:jc w:val="center"/>
              <w:rPr>
                <w:rFonts w:ascii="宋体" w:hAnsi="宋体"/>
                <w:kern w:val="0"/>
                <w:szCs w:val="21"/>
              </w:rPr>
            </w:pPr>
            <w:r>
              <w:rPr>
                <w:rFonts w:ascii="宋体" w:hAnsi="宋体"/>
                <w:kern w:val="0"/>
                <w:szCs w:val="21"/>
              </w:rPr>
              <w:t>踏勘现场</w:t>
            </w:r>
          </w:p>
        </w:tc>
        <w:tc>
          <w:tcPr>
            <w:tcW w:w="6490" w:type="dxa"/>
            <w:vAlign w:val="center"/>
          </w:tcPr>
          <w:p w14:paraId="6E4B9824">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不组织</w:t>
            </w:r>
          </w:p>
          <w:p w14:paraId="564C6BC7">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组织，</w:t>
            </w:r>
            <w:r>
              <w:rPr>
                <w:rFonts w:hint="eastAsia" w:ascii="宋体" w:hAnsi="宋体"/>
                <w:kern w:val="0"/>
                <w:szCs w:val="21"/>
              </w:rPr>
              <w:t>集中</w:t>
            </w:r>
            <w:r>
              <w:rPr>
                <w:rFonts w:ascii="宋体" w:hAnsi="宋体"/>
                <w:kern w:val="0"/>
                <w:szCs w:val="21"/>
              </w:rPr>
              <w:t>踏勘时间：</w:t>
            </w:r>
          </w:p>
          <w:p w14:paraId="21F2BDFF">
            <w:pPr>
              <w:snapToGrid w:val="0"/>
              <w:spacing w:line="400" w:lineRule="exact"/>
              <w:ind w:firstLine="1260" w:firstLineChars="600"/>
              <w:rPr>
                <w:rFonts w:ascii="宋体" w:hAnsi="宋体"/>
                <w:kern w:val="0"/>
                <w:szCs w:val="21"/>
              </w:rPr>
            </w:pPr>
            <w:r>
              <w:rPr>
                <w:rFonts w:ascii="宋体" w:hAnsi="宋体"/>
                <w:kern w:val="0"/>
                <w:szCs w:val="21"/>
              </w:rPr>
              <w:t>集中踏勘地点：</w:t>
            </w:r>
          </w:p>
        </w:tc>
      </w:tr>
      <w:tr w14:paraId="56021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7633C2">
            <w:pPr>
              <w:snapToGrid w:val="0"/>
              <w:spacing w:line="400" w:lineRule="exact"/>
              <w:ind w:firstLine="211"/>
              <w:jc w:val="center"/>
              <w:rPr>
                <w:rFonts w:ascii="宋体" w:hAnsi="宋体"/>
                <w:kern w:val="0"/>
                <w:szCs w:val="21"/>
              </w:rPr>
            </w:pPr>
            <w:r>
              <w:rPr>
                <w:rFonts w:ascii="宋体" w:hAnsi="宋体"/>
                <w:kern w:val="0"/>
                <w:szCs w:val="21"/>
              </w:rPr>
              <w:t>1.10.1</w:t>
            </w:r>
          </w:p>
        </w:tc>
        <w:tc>
          <w:tcPr>
            <w:tcW w:w="1644" w:type="dxa"/>
            <w:vAlign w:val="center"/>
          </w:tcPr>
          <w:p w14:paraId="5ED687EE">
            <w:pPr>
              <w:snapToGrid w:val="0"/>
              <w:spacing w:line="400" w:lineRule="exact"/>
              <w:ind w:firstLine="211"/>
              <w:jc w:val="center"/>
              <w:rPr>
                <w:rFonts w:ascii="宋体" w:hAnsi="宋体"/>
                <w:kern w:val="0"/>
                <w:szCs w:val="21"/>
              </w:rPr>
            </w:pPr>
            <w:r>
              <w:rPr>
                <w:rFonts w:ascii="宋体" w:hAnsi="宋体"/>
                <w:kern w:val="0"/>
                <w:szCs w:val="21"/>
              </w:rPr>
              <w:t>投标预备会</w:t>
            </w:r>
          </w:p>
        </w:tc>
        <w:tc>
          <w:tcPr>
            <w:tcW w:w="6490" w:type="dxa"/>
            <w:vAlign w:val="center"/>
          </w:tcPr>
          <w:p w14:paraId="24668852">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不召开</w:t>
            </w:r>
          </w:p>
          <w:p w14:paraId="7428556E">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召开，召开时间：</w:t>
            </w:r>
          </w:p>
          <w:p w14:paraId="15526922">
            <w:pPr>
              <w:snapToGrid w:val="0"/>
              <w:spacing w:afterLines="5" w:line="400" w:lineRule="exact"/>
              <w:ind w:firstLine="1260" w:firstLineChars="600"/>
              <w:rPr>
                <w:rFonts w:ascii="宋体" w:hAnsi="宋体"/>
                <w:kern w:val="0"/>
                <w:szCs w:val="21"/>
              </w:rPr>
            </w:pPr>
            <w:r>
              <w:rPr>
                <w:rFonts w:ascii="宋体" w:hAnsi="宋体"/>
                <w:kern w:val="0"/>
                <w:szCs w:val="21"/>
              </w:rPr>
              <w:t>召开地点：</w:t>
            </w:r>
          </w:p>
        </w:tc>
      </w:tr>
      <w:tr w14:paraId="5596A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F250AC">
            <w:pPr>
              <w:snapToGrid w:val="0"/>
              <w:spacing w:line="400" w:lineRule="exact"/>
              <w:ind w:firstLine="211"/>
              <w:jc w:val="center"/>
              <w:rPr>
                <w:rFonts w:ascii="宋体" w:hAnsi="宋体"/>
                <w:kern w:val="0"/>
                <w:szCs w:val="21"/>
              </w:rPr>
            </w:pPr>
            <w:r>
              <w:rPr>
                <w:rFonts w:ascii="宋体" w:hAnsi="宋体"/>
                <w:kern w:val="0"/>
                <w:szCs w:val="21"/>
              </w:rPr>
              <w:t>1.11</w:t>
            </w:r>
          </w:p>
        </w:tc>
        <w:tc>
          <w:tcPr>
            <w:tcW w:w="1644" w:type="dxa"/>
            <w:vAlign w:val="center"/>
          </w:tcPr>
          <w:p w14:paraId="7A32F420">
            <w:pPr>
              <w:snapToGrid w:val="0"/>
              <w:spacing w:line="400" w:lineRule="exact"/>
              <w:ind w:firstLine="211"/>
              <w:jc w:val="center"/>
              <w:rPr>
                <w:rFonts w:ascii="宋体" w:hAnsi="宋体"/>
                <w:kern w:val="0"/>
                <w:szCs w:val="21"/>
              </w:rPr>
            </w:pPr>
            <w:r>
              <w:rPr>
                <w:rFonts w:ascii="宋体" w:hAnsi="宋体"/>
                <w:kern w:val="0"/>
                <w:szCs w:val="21"/>
              </w:rPr>
              <w:t>分包</w:t>
            </w:r>
          </w:p>
        </w:tc>
        <w:tc>
          <w:tcPr>
            <w:tcW w:w="6490" w:type="dxa"/>
            <w:vAlign w:val="center"/>
          </w:tcPr>
          <w:p w14:paraId="5EEDAE3B">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不允许</w:t>
            </w:r>
          </w:p>
          <w:p w14:paraId="72CC731A">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允许，分包内容要求：</w:t>
            </w:r>
            <w:r>
              <w:rPr>
                <w:rFonts w:hint="eastAsia" w:ascii="宋体" w:hAnsi="宋体"/>
                <w:kern w:val="0"/>
                <w:szCs w:val="21"/>
              </w:rPr>
              <w:t>/</w:t>
            </w:r>
          </w:p>
          <w:p w14:paraId="083E4962">
            <w:pPr>
              <w:snapToGrid w:val="0"/>
              <w:spacing w:line="400" w:lineRule="exact"/>
              <w:ind w:firstLine="1260" w:firstLineChars="600"/>
              <w:rPr>
                <w:rFonts w:ascii="宋体" w:hAnsi="宋体"/>
                <w:kern w:val="0"/>
                <w:szCs w:val="21"/>
              </w:rPr>
            </w:pPr>
            <w:r>
              <w:rPr>
                <w:rFonts w:ascii="宋体" w:hAnsi="宋体"/>
                <w:kern w:val="0"/>
                <w:szCs w:val="21"/>
              </w:rPr>
              <w:t>分包金额要求：</w:t>
            </w:r>
            <w:r>
              <w:rPr>
                <w:rFonts w:hint="eastAsia" w:ascii="宋体" w:hAnsi="宋体"/>
                <w:kern w:val="0"/>
                <w:szCs w:val="21"/>
              </w:rPr>
              <w:t>/</w:t>
            </w:r>
          </w:p>
          <w:p w14:paraId="54EE70D2">
            <w:pPr>
              <w:snapToGrid w:val="0"/>
              <w:spacing w:afterLines="5" w:line="400" w:lineRule="exact"/>
              <w:rPr>
                <w:rFonts w:ascii="宋体" w:hAnsi="宋体"/>
                <w:kern w:val="0"/>
                <w:szCs w:val="21"/>
              </w:rPr>
            </w:pPr>
            <w:r>
              <w:rPr>
                <w:rFonts w:ascii="宋体" w:hAnsi="宋体"/>
                <w:kern w:val="0"/>
                <w:szCs w:val="21"/>
              </w:rPr>
              <w:t>接受分包的第三人资质要求：</w:t>
            </w:r>
            <w:r>
              <w:rPr>
                <w:rFonts w:hint="eastAsia" w:ascii="宋体" w:hAnsi="宋体"/>
                <w:kern w:val="0"/>
                <w:szCs w:val="21"/>
              </w:rPr>
              <w:t>/</w:t>
            </w:r>
          </w:p>
          <w:p w14:paraId="12B0CD52">
            <w:pPr>
              <w:snapToGrid w:val="0"/>
              <w:spacing w:afterLines="5" w:line="400" w:lineRule="exact"/>
              <w:rPr>
                <w:rFonts w:ascii="宋体" w:hAnsi="宋体"/>
                <w:kern w:val="0"/>
                <w:szCs w:val="21"/>
              </w:rPr>
            </w:pPr>
            <w:r>
              <w:rPr>
                <w:rFonts w:hint="eastAsia" w:ascii="宋体" w:hAnsi="宋体"/>
                <w:kern w:val="0"/>
                <w:szCs w:val="21"/>
              </w:rPr>
              <w:t>注：分包应按照相关法律法规及规范性文件执行，不得违法分包。</w:t>
            </w:r>
          </w:p>
        </w:tc>
      </w:tr>
      <w:tr w14:paraId="57FC2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F51DF9">
            <w:pPr>
              <w:snapToGrid w:val="0"/>
              <w:spacing w:line="400" w:lineRule="exact"/>
              <w:ind w:firstLine="211"/>
              <w:jc w:val="center"/>
              <w:rPr>
                <w:rFonts w:ascii="宋体" w:hAnsi="宋体"/>
                <w:kern w:val="0"/>
                <w:szCs w:val="21"/>
              </w:rPr>
            </w:pPr>
            <w:r>
              <w:rPr>
                <w:rFonts w:ascii="宋体" w:hAnsi="宋体"/>
                <w:kern w:val="0"/>
                <w:szCs w:val="21"/>
              </w:rPr>
              <w:t>2.1</w:t>
            </w:r>
          </w:p>
        </w:tc>
        <w:tc>
          <w:tcPr>
            <w:tcW w:w="1644" w:type="dxa"/>
            <w:vAlign w:val="center"/>
          </w:tcPr>
          <w:p w14:paraId="2FB0F46F">
            <w:pPr>
              <w:snapToGrid w:val="0"/>
              <w:spacing w:afterLines="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5BB093D9">
            <w:pPr>
              <w:snapToGrid w:val="0"/>
              <w:spacing w:line="400" w:lineRule="exact"/>
              <w:ind w:firstLine="420" w:firstLineChars="200"/>
              <w:rPr>
                <w:rFonts w:ascii="宋体" w:hAnsi="宋体"/>
                <w:szCs w:val="21"/>
              </w:rPr>
            </w:pPr>
            <w:r>
              <w:rPr>
                <w:rFonts w:hint="eastAsia" w:ascii="宋体" w:hAnsi="宋体"/>
                <w:szCs w:val="21"/>
              </w:rPr>
              <w:t>比选人</w:t>
            </w:r>
            <w:r>
              <w:rPr>
                <w:rFonts w:ascii="宋体" w:hAnsi="宋体"/>
                <w:szCs w:val="21"/>
              </w:rPr>
              <w:t>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73079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1E3C8D">
            <w:pPr>
              <w:snapToGrid w:val="0"/>
              <w:spacing w:line="400" w:lineRule="exact"/>
              <w:ind w:firstLine="211"/>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14:paraId="6F91E9F5">
            <w:pPr>
              <w:snapToGrid w:val="0"/>
              <w:spacing w:line="400" w:lineRule="exact"/>
              <w:ind w:firstLine="211"/>
              <w:jc w:val="center"/>
              <w:rPr>
                <w:rFonts w:ascii="宋体" w:hAnsi="宋体"/>
                <w:kern w:val="0"/>
                <w:szCs w:val="21"/>
              </w:rPr>
            </w:pPr>
            <w:r>
              <w:rPr>
                <w:rFonts w:hint="eastAsia" w:ascii="宋体" w:hAnsi="宋体"/>
                <w:kern w:val="0"/>
                <w:szCs w:val="21"/>
              </w:rPr>
              <w:t>竞选人</w:t>
            </w:r>
            <w:r>
              <w:rPr>
                <w:rFonts w:ascii="宋体" w:hAnsi="宋体"/>
                <w:kern w:val="0"/>
                <w:szCs w:val="21"/>
              </w:rPr>
              <w:t>对招标文件提出</w:t>
            </w:r>
            <w:r>
              <w:rPr>
                <w:rFonts w:hint="eastAsia" w:ascii="宋体" w:hAnsi="宋体"/>
                <w:kern w:val="0"/>
                <w:szCs w:val="21"/>
              </w:rPr>
              <w:t>疑问</w:t>
            </w:r>
            <w:r>
              <w:rPr>
                <w:rFonts w:ascii="宋体" w:hAnsi="宋体"/>
                <w:kern w:val="0"/>
                <w:szCs w:val="21"/>
              </w:rPr>
              <w:t>的截止时间</w:t>
            </w:r>
          </w:p>
        </w:tc>
        <w:tc>
          <w:tcPr>
            <w:tcW w:w="6490" w:type="dxa"/>
            <w:vAlign w:val="center"/>
          </w:tcPr>
          <w:p w14:paraId="78985D52">
            <w:pPr>
              <w:spacing w:line="360" w:lineRule="auto"/>
              <w:ind w:firstLine="420" w:firstLineChars="200"/>
              <w:rPr>
                <w:rFonts w:ascii="宋体" w:hAnsi="宋体"/>
                <w:kern w:val="0"/>
                <w:szCs w:val="21"/>
              </w:rPr>
            </w:pPr>
            <w:r>
              <w:rPr>
                <w:rFonts w:hint="eastAsia" w:asciiTheme="minorEastAsia" w:hAnsiTheme="minorEastAsia" w:eastAsiaTheme="minorEastAsia" w:cstheme="minorEastAsia"/>
                <w:snapToGrid w:val="0"/>
                <w:kern w:val="0"/>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Cs w:val="21"/>
                <w:lang w:val="en-US" w:eastAsia="zh-CN"/>
              </w:rPr>
              <w:t>5</w:t>
            </w:r>
            <w:r>
              <w:rPr>
                <w:rFonts w:hint="eastAsia" w:asciiTheme="minorEastAsia" w:hAnsiTheme="minorEastAsia" w:eastAsiaTheme="minorEastAsia" w:cstheme="minorEastAsia"/>
                <w:snapToGrid w:val="0"/>
                <w:kern w:val="0"/>
                <w:szCs w:val="21"/>
              </w:rPr>
              <w:t>年7月</w:t>
            </w:r>
            <w:r>
              <w:rPr>
                <w:rFonts w:hint="eastAsia" w:asciiTheme="minorEastAsia" w:hAnsiTheme="minorEastAsia" w:eastAsiaTheme="minorEastAsia" w:cstheme="minorEastAsia"/>
                <w:snapToGrid w:val="0"/>
                <w:kern w:val="0"/>
                <w:szCs w:val="21"/>
                <w:lang w:val="en-US" w:eastAsia="zh-CN"/>
              </w:rPr>
              <w:t>28</w:t>
            </w:r>
            <w:r>
              <w:rPr>
                <w:rFonts w:hint="eastAsia" w:asciiTheme="minorEastAsia" w:hAnsiTheme="minorEastAsia" w:eastAsiaTheme="minorEastAsia" w:cstheme="minorEastAsia"/>
                <w:snapToGrid w:val="0"/>
                <w:kern w:val="0"/>
                <w:szCs w:val="21"/>
              </w:rPr>
              <w:t>日 12:00前发送至比选人提供的邮箱。</w:t>
            </w:r>
          </w:p>
        </w:tc>
      </w:tr>
      <w:tr w14:paraId="3FAA1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D4A84B7">
            <w:pPr>
              <w:snapToGrid w:val="0"/>
              <w:spacing w:line="400" w:lineRule="exact"/>
              <w:ind w:firstLine="211"/>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14:paraId="261F2ADF">
            <w:pPr>
              <w:snapToGrid w:val="0"/>
              <w:spacing w:line="400" w:lineRule="exact"/>
              <w:ind w:firstLine="211"/>
              <w:jc w:val="center"/>
              <w:rPr>
                <w:rFonts w:ascii="宋体" w:hAnsi="宋体"/>
                <w:kern w:val="0"/>
                <w:szCs w:val="21"/>
              </w:rPr>
            </w:pPr>
            <w:r>
              <w:rPr>
                <w:rFonts w:hint="eastAsia" w:ascii="宋体" w:hAnsi="宋体"/>
                <w:kern w:val="0"/>
                <w:szCs w:val="21"/>
              </w:rPr>
              <w:t>比选人</w:t>
            </w:r>
            <w:r>
              <w:rPr>
                <w:rFonts w:ascii="宋体" w:hAnsi="宋体"/>
                <w:kern w:val="0"/>
                <w:szCs w:val="21"/>
              </w:rPr>
              <w:t>对招标文件</w:t>
            </w:r>
            <w:r>
              <w:rPr>
                <w:rFonts w:hint="eastAsia" w:ascii="宋体" w:hAnsi="宋体"/>
                <w:kern w:val="0"/>
                <w:szCs w:val="21"/>
              </w:rPr>
              <w:t>澄清</w:t>
            </w:r>
            <w:r>
              <w:rPr>
                <w:rFonts w:ascii="宋体" w:hAnsi="宋体"/>
                <w:kern w:val="0"/>
                <w:szCs w:val="21"/>
              </w:rPr>
              <w:t>的截止时间</w:t>
            </w:r>
          </w:p>
        </w:tc>
        <w:tc>
          <w:tcPr>
            <w:tcW w:w="6490" w:type="dxa"/>
            <w:vAlign w:val="center"/>
          </w:tcPr>
          <w:p w14:paraId="48A93257">
            <w:pPr>
              <w:spacing w:line="360" w:lineRule="auto"/>
              <w:ind w:firstLine="420" w:firstLineChars="200"/>
              <w:rPr>
                <w:rFonts w:ascii="宋体" w:hAnsi="宋体"/>
                <w:snapToGrid w:val="0"/>
                <w:kern w:val="0"/>
                <w:szCs w:val="21"/>
              </w:rPr>
            </w:pPr>
            <w:r>
              <w:rPr>
                <w:rFonts w:hint="eastAsia" w:cs="宋体" w:asciiTheme="minorEastAsia" w:hAnsiTheme="minorEastAsia" w:eastAsiaTheme="minorEastAsia"/>
                <w:kern w:val="0"/>
                <w:szCs w:val="21"/>
              </w:rPr>
              <w:t>在行采家(https://www.gec123.com/) 和重庆经开区投资集团官网（http://www.cetzig.com/）</w:t>
            </w:r>
            <w:r>
              <w:rPr>
                <w:rFonts w:hint="eastAsia" w:asciiTheme="minorEastAsia" w:hAnsiTheme="minorEastAsia" w:eastAsiaTheme="minorEastAsia" w:cstheme="minorEastAsia"/>
                <w:snapToGrid w:val="0"/>
                <w:kern w:val="0"/>
                <w:szCs w:val="21"/>
              </w:rPr>
              <w:t>发布澄清。</w:t>
            </w:r>
          </w:p>
        </w:tc>
      </w:tr>
      <w:tr w14:paraId="1FA11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6BA11739">
            <w:pPr>
              <w:snapToGrid w:val="0"/>
              <w:spacing w:line="400" w:lineRule="exact"/>
              <w:ind w:firstLine="211"/>
              <w:jc w:val="center"/>
              <w:rPr>
                <w:rFonts w:ascii="宋体" w:hAnsi="宋体"/>
                <w:kern w:val="0"/>
                <w:szCs w:val="21"/>
              </w:rPr>
            </w:pPr>
          </w:p>
        </w:tc>
        <w:tc>
          <w:tcPr>
            <w:tcW w:w="1644" w:type="dxa"/>
            <w:vAlign w:val="center"/>
          </w:tcPr>
          <w:p w14:paraId="7607DC91">
            <w:pPr>
              <w:snapToGrid w:val="0"/>
              <w:spacing w:line="400" w:lineRule="exact"/>
              <w:ind w:firstLine="211"/>
              <w:jc w:val="center"/>
              <w:rPr>
                <w:rFonts w:ascii="宋体" w:hAnsi="宋体"/>
                <w:kern w:val="0"/>
                <w:szCs w:val="21"/>
              </w:rPr>
            </w:pPr>
            <w:r>
              <w:rPr>
                <w:rFonts w:hint="eastAsia" w:ascii="宋体" w:hAnsi="宋体"/>
                <w:kern w:val="0"/>
                <w:szCs w:val="21"/>
              </w:rPr>
              <w:t>投标截止时间</w:t>
            </w:r>
          </w:p>
        </w:tc>
        <w:tc>
          <w:tcPr>
            <w:tcW w:w="6490" w:type="dxa"/>
            <w:vAlign w:val="center"/>
          </w:tcPr>
          <w:p w14:paraId="468B7AEF">
            <w:pPr>
              <w:snapToGrid w:val="0"/>
              <w:spacing w:line="400" w:lineRule="exact"/>
              <w:ind w:firstLine="420" w:firstLineChars="200"/>
              <w:rPr>
                <w:rFonts w:ascii="宋体" w:hAnsi="宋体"/>
                <w:szCs w:val="21"/>
                <w:u w:val="single"/>
              </w:rPr>
            </w:pPr>
            <w:r>
              <w:rPr>
                <w:rFonts w:hint="eastAsia" w:ascii="宋体" w:hAnsi="宋体"/>
                <w:szCs w:val="21"/>
              </w:rPr>
              <w:t>详见比选公告规定的投标截止时间。</w:t>
            </w:r>
          </w:p>
        </w:tc>
      </w:tr>
      <w:tr w14:paraId="37E0C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360AA8">
            <w:pPr>
              <w:snapToGrid w:val="0"/>
              <w:spacing w:line="400" w:lineRule="exact"/>
              <w:ind w:firstLine="211"/>
              <w:jc w:val="center"/>
              <w:rPr>
                <w:rFonts w:ascii="宋体" w:hAnsi="宋体"/>
                <w:kern w:val="0"/>
                <w:szCs w:val="21"/>
              </w:rPr>
            </w:pPr>
            <w:r>
              <w:rPr>
                <w:rFonts w:ascii="宋体" w:hAnsi="宋体"/>
                <w:kern w:val="0"/>
                <w:szCs w:val="21"/>
              </w:rPr>
              <w:t>2.2.3</w:t>
            </w:r>
          </w:p>
        </w:tc>
        <w:tc>
          <w:tcPr>
            <w:tcW w:w="1644" w:type="dxa"/>
            <w:vAlign w:val="center"/>
          </w:tcPr>
          <w:p w14:paraId="0AF26A3A">
            <w:pPr>
              <w:snapToGrid w:val="0"/>
              <w:spacing w:afterLines="5" w:line="400" w:lineRule="exact"/>
              <w:jc w:val="center"/>
              <w:rPr>
                <w:rFonts w:ascii="宋体" w:hAnsi="宋体"/>
                <w:kern w:val="0"/>
                <w:szCs w:val="21"/>
              </w:rPr>
            </w:pPr>
            <w:r>
              <w:rPr>
                <w:rFonts w:hint="eastAsia" w:ascii="宋体" w:hAnsi="宋体"/>
                <w:kern w:val="0"/>
                <w:szCs w:val="21"/>
              </w:rPr>
              <w:t>比选人</w:t>
            </w:r>
            <w:r>
              <w:rPr>
                <w:rFonts w:ascii="宋体" w:hAnsi="宋体"/>
                <w:kern w:val="0"/>
                <w:szCs w:val="21"/>
              </w:rPr>
              <w:t>对招标文件进行</w:t>
            </w:r>
            <w:r>
              <w:rPr>
                <w:rFonts w:hint="eastAsia" w:ascii="宋体" w:hAnsi="宋体"/>
                <w:kern w:val="0"/>
                <w:szCs w:val="21"/>
              </w:rPr>
              <w:t>修改</w:t>
            </w:r>
            <w:r>
              <w:rPr>
                <w:rFonts w:ascii="宋体" w:hAnsi="宋体"/>
                <w:kern w:val="0"/>
                <w:szCs w:val="21"/>
              </w:rPr>
              <w:t>的时间</w:t>
            </w:r>
          </w:p>
        </w:tc>
        <w:tc>
          <w:tcPr>
            <w:tcW w:w="6490" w:type="dxa"/>
            <w:vAlign w:val="center"/>
          </w:tcPr>
          <w:p w14:paraId="3EDC9103">
            <w:pPr>
              <w:snapToGrid w:val="0"/>
              <w:spacing w:line="40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rPr>
              <w:t>竞选文件</w:t>
            </w:r>
            <w:r>
              <w:rPr>
                <w:rFonts w:ascii="宋体" w:hAnsi="宋体"/>
                <w:snapToGrid w:val="0"/>
                <w:kern w:val="0"/>
                <w:szCs w:val="21"/>
              </w:rPr>
              <w:t>编制的，须在投标截止时间</w:t>
            </w:r>
            <w:r>
              <w:rPr>
                <w:rFonts w:hint="eastAsia" w:ascii="宋体" w:hAnsi="宋体"/>
                <w:snapToGrid w:val="0"/>
                <w:kern w:val="0"/>
                <w:szCs w:val="21"/>
              </w:rPr>
              <w:t>1</w:t>
            </w:r>
            <w:r>
              <w:rPr>
                <w:rFonts w:ascii="宋体" w:hAnsi="宋体"/>
                <w:snapToGrid w:val="0"/>
                <w:kern w:val="0"/>
                <w:szCs w:val="21"/>
              </w:rPr>
              <w:t>日前发布，发布时间至投标截止时间不足</w:t>
            </w:r>
            <w:r>
              <w:rPr>
                <w:rFonts w:hint="eastAsia" w:ascii="宋体" w:hAnsi="宋体"/>
                <w:snapToGrid w:val="0"/>
                <w:kern w:val="0"/>
                <w:szCs w:val="21"/>
              </w:rPr>
              <w:t>1</w:t>
            </w:r>
            <w:r>
              <w:rPr>
                <w:rFonts w:ascii="宋体" w:hAnsi="宋体"/>
                <w:snapToGrid w:val="0"/>
                <w:kern w:val="0"/>
                <w:szCs w:val="21"/>
              </w:rPr>
              <w:t>日的，须相应延后投标截止时间。</w:t>
            </w:r>
          </w:p>
        </w:tc>
      </w:tr>
      <w:tr w14:paraId="72E7C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4C0FB3">
            <w:pPr>
              <w:snapToGrid w:val="0"/>
              <w:spacing w:line="400" w:lineRule="exact"/>
              <w:ind w:firstLine="211"/>
              <w:jc w:val="center"/>
              <w:rPr>
                <w:rFonts w:ascii="宋体" w:hAnsi="宋体"/>
                <w:kern w:val="0"/>
                <w:szCs w:val="21"/>
              </w:rPr>
            </w:pPr>
            <w:r>
              <w:rPr>
                <w:rFonts w:ascii="宋体" w:hAnsi="宋体"/>
                <w:kern w:val="0"/>
                <w:szCs w:val="21"/>
              </w:rPr>
              <w:t>3.1.1</w:t>
            </w:r>
          </w:p>
        </w:tc>
        <w:tc>
          <w:tcPr>
            <w:tcW w:w="1644" w:type="dxa"/>
            <w:vAlign w:val="center"/>
          </w:tcPr>
          <w:p w14:paraId="3D02A094">
            <w:pPr>
              <w:snapToGrid w:val="0"/>
              <w:spacing w:afterLines="10"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竞选文件</w:t>
            </w:r>
            <w:r>
              <w:rPr>
                <w:rFonts w:ascii="宋体" w:hAnsi="宋体"/>
                <w:kern w:val="0"/>
                <w:szCs w:val="21"/>
              </w:rPr>
              <w:t>的其他材料</w:t>
            </w:r>
          </w:p>
        </w:tc>
        <w:tc>
          <w:tcPr>
            <w:tcW w:w="6490" w:type="dxa"/>
            <w:vAlign w:val="center"/>
          </w:tcPr>
          <w:p w14:paraId="4757153A">
            <w:pPr>
              <w:snapToGrid w:val="0"/>
              <w:spacing w:line="400" w:lineRule="exact"/>
              <w:ind w:firstLine="420" w:firstLineChars="200"/>
              <w:rPr>
                <w:rFonts w:ascii="宋体" w:hAnsi="宋体"/>
                <w:szCs w:val="21"/>
              </w:rPr>
            </w:pPr>
            <w:r>
              <w:rPr>
                <w:rFonts w:hint="eastAsia" w:ascii="宋体" w:hAnsi="宋体"/>
                <w:szCs w:val="21"/>
              </w:rPr>
              <w:t>竞选人</w:t>
            </w:r>
            <w:r>
              <w:rPr>
                <w:rFonts w:ascii="宋体" w:hAnsi="宋体"/>
                <w:szCs w:val="21"/>
              </w:rPr>
              <w:t>的书面澄清、说明和补正（但不得改变</w:t>
            </w:r>
            <w:r>
              <w:rPr>
                <w:rFonts w:hint="eastAsia" w:ascii="宋体" w:hAnsi="宋体"/>
                <w:szCs w:val="21"/>
              </w:rPr>
              <w:t>竞选文件</w:t>
            </w:r>
            <w:r>
              <w:rPr>
                <w:rFonts w:ascii="宋体" w:hAnsi="宋体"/>
                <w:szCs w:val="21"/>
              </w:rPr>
              <w:t>的实质性内容）</w:t>
            </w:r>
          </w:p>
        </w:tc>
      </w:tr>
      <w:tr w14:paraId="7707E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4ED456">
            <w:pPr>
              <w:snapToGrid w:val="0"/>
              <w:spacing w:line="400" w:lineRule="exact"/>
              <w:ind w:firstLine="211"/>
              <w:jc w:val="center"/>
              <w:rPr>
                <w:rFonts w:ascii="宋体" w:hAnsi="宋体"/>
                <w:kern w:val="0"/>
                <w:szCs w:val="21"/>
              </w:rPr>
            </w:pPr>
            <w:r>
              <w:rPr>
                <w:rFonts w:ascii="宋体" w:hAnsi="宋体"/>
                <w:kern w:val="0"/>
                <w:szCs w:val="21"/>
              </w:rPr>
              <w:t>3.2</w:t>
            </w:r>
          </w:p>
        </w:tc>
        <w:tc>
          <w:tcPr>
            <w:tcW w:w="1644" w:type="dxa"/>
            <w:vAlign w:val="center"/>
          </w:tcPr>
          <w:p w14:paraId="46BE4176">
            <w:pPr>
              <w:snapToGrid w:val="0"/>
              <w:spacing w:line="400" w:lineRule="exact"/>
              <w:ind w:firstLine="211"/>
              <w:jc w:val="center"/>
              <w:rPr>
                <w:rFonts w:ascii="宋体" w:hAnsi="宋体"/>
                <w:kern w:val="0"/>
                <w:szCs w:val="21"/>
              </w:rPr>
            </w:pPr>
            <w:r>
              <w:rPr>
                <w:rFonts w:ascii="宋体" w:hAnsi="宋体"/>
                <w:kern w:val="0"/>
                <w:szCs w:val="21"/>
              </w:rPr>
              <w:t>投标报价</w:t>
            </w:r>
          </w:p>
        </w:tc>
        <w:tc>
          <w:tcPr>
            <w:tcW w:w="6490" w:type="dxa"/>
            <w:vAlign w:val="center"/>
          </w:tcPr>
          <w:p w14:paraId="7446D910">
            <w:pPr>
              <w:pStyle w:val="17"/>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本次报价须为人民币报价，采用</w:t>
            </w:r>
            <w:r>
              <w:rPr>
                <w:rFonts w:hint="eastAsia" w:ascii="宋体" w:hAnsi="宋体"/>
                <w:szCs w:val="21"/>
                <w:lang w:val="en-US" w:eastAsia="zh-CN"/>
              </w:rPr>
              <w:t>总价</w:t>
            </w:r>
            <w:r>
              <w:rPr>
                <w:rFonts w:hint="eastAsia" w:ascii="宋体" w:hAnsi="宋体"/>
                <w:szCs w:val="21"/>
              </w:rPr>
              <w:t>包干形式，</w:t>
            </w:r>
            <w:r>
              <w:rPr>
                <w:rFonts w:hint="eastAsia" w:ascii="宋体" w:hAnsi="宋体"/>
                <w:b/>
                <w:bCs/>
                <w:szCs w:val="21"/>
              </w:rPr>
              <w:t>最高限价</w:t>
            </w:r>
            <w:r>
              <w:rPr>
                <w:rFonts w:hint="eastAsia" w:ascii="宋体" w:hAnsi="宋体"/>
                <w:b/>
                <w:bCs/>
                <w:szCs w:val="21"/>
                <w:lang w:val="en-US" w:eastAsia="zh-CN"/>
              </w:rPr>
              <w:t>75万元/三年</w:t>
            </w:r>
            <w:r>
              <w:rPr>
                <w:rFonts w:hint="eastAsia" w:ascii="宋体" w:hAnsi="宋体"/>
                <w:szCs w:val="21"/>
              </w:rPr>
              <w:t>。报价包含但不限于</w:t>
            </w:r>
            <w:r>
              <w:rPr>
                <w:rFonts w:hint="eastAsia" w:ascii="宋体" w:hAnsi="宋体"/>
                <w:szCs w:val="21"/>
                <w:lang w:val="en-US" w:eastAsia="zh-CN"/>
              </w:rPr>
              <w:t>开展主体评级工作至交付正式评级报告过程中所有费用</w:t>
            </w:r>
            <w:r>
              <w:rPr>
                <w:rFonts w:hint="eastAsia" w:ascii="宋体" w:hAnsi="宋体"/>
                <w:szCs w:val="21"/>
              </w:rPr>
              <w:t>。因成交</w:t>
            </w:r>
            <w:r>
              <w:rPr>
                <w:rFonts w:hint="eastAsia" w:ascii="宋体" w:hAnsi="宋体"/>
                <w:szCs w:val="21"/>
                <w:lang w:val="en-US" w:eastAsia="zh-CN"/>
              </w:rPr>
              <w:t>竞选人</w:t>
            </w:r>
            <w:r>
              <w:rPr>
                <w:rFonts w:hint="eastAsia" w:ascii="宋体" w:hAnsi="宋体"/>
                <w:szCs w:val="21"/>
              </w:rPr>
              <w:t>自身原因造成漏报、少报皆由其自行承担责任，</w:t>
            </w:r>
            <w:r>
              <w:rPr>
                <w:rFonts w:hint="eastAsia" w:ascii="宋体" w:hAnsi="宋体"/>
                <w:szCs w:val="21"/>
                <w:lang w:val="en-US" w:eastAsia="zh-CN"/>
              </w:rPr>
              <w:t>比选</w:t>
            </w:r>
            <w:r>
              <w:rPr>
                <w:rFonts w:hint="eastAsia" w:ascii="宋体" w:hAnsi="宋体"/>
                <w:szCs w:val="21"/>
              </w:rPr>
              <w:t>人不再补偿。</w:t>
            </w:r>
          </w:p>
        </w:tc>
      </w:tr>
      <w:tr w14:paraId="4216C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2B17EB">
            <w:pPr>
              <w:snapToGrid w:val="0"/>
              <w:spacing w:line="400" w:lineRule="exact"/>
              <w:ind w:firstLine="211"/>
              <w:jc w:val="center"/>
              <w:rPr>
                <w:rFonts w:ascii="宋体" w:hAnsi="宋体"/>
                <w:kern w:val="0"/>
                <w:szCs w:val="21"/>
              </w:rPr>
            </w:pPr>
            <w:r>
              <w:rPr>
                <w:rFonts w:ascii="宋体" w:hAnsi="宋体"/>
                <w:kern w:val="0"/>
                <w:szCs w:val="21"/>
              </w:rPr>
              <w:t>3.3.1</w:t>
            </w:r>
          </w:p>
        </w:tc>
        <w:tc>
          <w:tcPr>
            <w:tcW w:w="1644" w:type="dxa"/>
            <w:vAlign w:val="center"/>
          </w:tcPr>
          <w:p w14:paraId="6D9F8665">
            <w:pPr>
              <w:snapToGrid w:val="0"/>
              <w:spacing w:line="400" w:lineRule="exact"/>
              <w:ind w:firstLine="211"/>
              <w:jc w:val="center"/>
              <w:rPr>
                <w:rFonts w:ascii="宋体" w:hAnsi="宋体"/>
                <w:kern w:val="0"/>
                <w:szCs w:val="21"/>
              </w:rPr>
            </w:pPr>
            <w:r>
              <w:rPr>
                <w:rFonts w:ascii="宋体" w:hAnsi="宋体"/>
                <w:kern w:val="0"/>
                <w:szCs w:val="21"/>
              </w:rPr>
              <w:t>投标有效期</w:t>
            </w:r>
          </w:p>
        </w:tc>
        <w:tc>
          <w:tcPr>
            <w:tcW w:w="6490" w:type="dxa"/>
            <w:vAlign w:val="center"/>
          </w:tcPr>
          <w:p w14:paraId="2FB82CF1">
            <w:pPr>
              <w:snapToGrid w:val="0"/>
              <w:spacing w:line="400" w:lineRule="exact"/>
              <w:ind w:firstLine="420" w:firstLineChars="200"/>
              <w:rPr>
                <w:rFonts w:ascii="宋体" w:hAnsi="宋体"/>
                <w:szCs w:val="21"/>
              </w:rPr>
            </w:pPr>
            <w:r>
              <w:rPr>
                <w:rFonts w:hint="eastAsia" w:ascii="宋体" w:hAnsi="宋体"/>
                <w:szCs w:val="21"/>
                <w:u w:val="single"/>
              </w:rPr>
              <w:t>90</w:t>
            </w:r>
            <w:r>
              <w:rPr>
                <w:rFonts w:ascii="宋体" w:hAnsi="宋体"/>
                <w:szCs w:val="21"/>
              </w:rPr>
              <w:t>日历天（从提交</w:t>
            </w:r>
            <w:r>
              <w:rPr>
                <w:rFonts w:hint="eastAsia" w:ascii="宋体" w:hAnsi="宋体"/>
                <w:szCs w:val="21"/>
              </w:rPr>
              <w:t>竞选文件</w:t>
            </w:r>
            <w:r>
              <w:rPr>
                <w:rFonts w:ascii="宋体" w:hAnsi="宋体"/>
                <w:szCs w:val="21"/>
              </w:rPr>
              <w:t>截止日起计算）</w:t>
            </w:r>
          </w:p>
        </w:tc>
      </w:tr>
      <w:tr w14:paraId="7AF1B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2AF629">
            <w:pPr>
              <w:snapToGrid w:val="0"/>
              <w:spacing w:line="400" w:lineRule="exact"/>
              <w:ind w:firstLine="211"/>
              <w:jc w:val="center"/>
              <w:rPr>
                <w:rFonts w:ascii="宋体" w:hAnsi="宋体"/>
                <w:kern w:val="0"/>
                <w:szCs w:val="21"/>
              </w:rPr>
            </w:pPr>
            <w:r>
              <w:rPr>
                <w:rFonts w:ascii="宋体" w:hAnsi="宋体"/>
                <w:kern w:val="0"/>
                <w:szCs w:val="21"/>
              </w:rPr>
              <w:t>3.6</w:t>
            </w:r>
          </w:p>
        </w:tc>
        <w:tc>
          <w:tcPr>
            <w:tcW w:w="1644" w:type="dxa"/>
            <w:vAlign w:val="center"/>
          </w:tcPr>
          <w:p w14:paraId="6CC00A54">
            <w:pPr>
              <w:snapToGrid w:val="0"/>
              <w:spacing w:line="400" w:lineRule="exact"/>
              <w:rPr>
                <w:rFonts w:ascii="宋体" w:hAnsi="宋体"/>
                <w:kern w:val="0"/>
                <w:szCs w:val="21"/>
              </w:rPr>
            </w:pPr>
            <w:r>
              <w:rPr>
                <w:rFonts w:ascii="宋体" w:hAnsi="宋体"/>
                <w:kern w:val="0"/>
                <w:szCs w:val="21"/>
              </w:rPr>
              <w:t>是否允许递交</w:t>
            </w:r>
          </w:p>
          <w:p w14:paraId="2BD3D577">
            <w:pPr>
              <w:snapToGrid w:val="0"/>
              <w:spacing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3376F21B">
            <w:pPr>
              <w:snapToGrid w:val="0"/>
              <w:spacing w:line="400" w:lineRule="exact"/>
              <w:ind w:firstLine="420" w:firstLineChars="200"/>
              <w:rPr>
                <w:rFonts w:ascii="宋体" w:hAnsi="宋体"/>
                <w:kern w:val="0"/>
                <w:szCs w:val="21"/>
              </w:rPr>
            </w:pPr>
            <w:r>
              <w:rPr>
                <w:rFonts w:ascii="宋体" w:hAnsi="宋体"/>
                <w:kern w:val="0"/>
                <w:szCs w:val="21"/>
              </w:rPr>
              <w:t>不允许</w:t>
            </w:r>
          </w:p>
        </w:tc>
      </w:tr>
      <w:tr w14:paraId="39735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23022B">
            <w:pPr>
              <w:snapToGrid w:val="0"/>
              <w:spacing w:line="400" w:lineRule="exact"/>
              <w:ind w:firstLine="211"/>
              <w:jc w:val="center"/>
              <w:rPr>
                <w:rFonts w:ascii="宋体" w:hAnsi="宋体"/>
                <w:kern w:val="0"/>
                <w:szCs w:val="21"/>
              </w:rPr>
            </w:pPr>
            <w:r>
              <w:rPr>
                <w:rFonts w:hint="eastAsia" w:ascii="宋体" w:hAnsi="宋体"/>
                <w:kern w:val="0"/>
                <w:szCs w:val="21"/>
              </w:rPr>
              <w:t>3.7.1</w:t>
            </w:r>
          </w:p>
        </w:tc>
        <w:tc>
          <w:tcPr>
            <w:tcW w:w="1644" w:type="dxa"/>
            <w:vAlign w:val="center"/>
          </w:tcPr>
          <w:p w14:paraId="3D7062D3">
            <w:pPr>
              <w:snapToGrid w:val="0"/>
              <w:spacing w:afterLines="30" w:line="400" w:lineRule="exact"/>
              <w:jc w:val="center"/>
              <w:rPr>
                <w:rFonts w:ascii="宋体" w:hAnsi="宋体"/>
                <w:kern w:val="0"/>
                <w:szCs w:val="21"/>
              </w:rPr>
            </w:pPr>
            <w:r>
              <w:rPr>
                <w:rFonts w:hint="eastAsia" w:ascii="宋体" w:hAnsi="宋体"/>
                <w:kern w:val="0"/>
                <w:szCs w:val="21"/>
              </w:rPr>
              <w:t>竞选文件格式要求</w:t>
            </w:r>
          </w:p>
        </w:tc>
        <w:tc>
          <w:tcPr>
            <w:tcW w:w="6490" w:type="dxa"/>
            <w:vAlign w:val="center"/>
          </w:tcPr>
          <w:p w14:paraId="0FCF32E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编制竞选文件时不得对</w:t>
            </w:r>
            <w:r>
              <w:rPr>
                <w:rFonts w:hint="eastAsia" w:ascii="宋体" w:hAnsi="宋体"/>
                <w:kern w:val="0"/>
                <w:szCs w:val="21"/>
                <w:highlight w:val="none"/>
                <w:lang w:eastAsia="zh-CN"/>
              </w:rPr>
              <w:t>第</w:t>
            </w:r>
            <w:r>
              <w:rPr>
                <w:rFonts w:hint="eastAsia" w:ascii="宋体" w:hAnsi="宋体"/>
                <w:kern w:val="0"/>
                <w:szCs w:val="21"/>
                <w:highlight w:val="none"/>
                <w:lang w:val="en-US" w:eastAsia="zh-CN"/>
              </w:rPr>
              <w:t>五</w:t>
            </w:r>
            <w:r>
              <w:rPr>
                <w:rFonts w:hint="eastAsia" w:ascii="宋体" w:hAnsi="宋体"/>
                <w:kern w:val="0"/>
                <w:szCs w:val="21"/>
                <w:highlight w:val="none"/>
                <w:lang w:eastAsia="zh-CN"/>
              </w:rPr>
              <w:t>章</w:t>
            </w:r>
            <w:r>
              <w:rPr>
                <w:rFonts w:hint="eastAsia" w:ascii="宋体" w:hAnsi="宋体"/>
                <w:kern w:val="0"/>
                <w:szCs w:val="21"/>
                <w:highlight w:val="none"/>
              </w:rPr>
              <w:t>“竞选文件格式”的相应要素作实质性修改，否则由评审小组作否决投标处理。</w:t>
            </w:r>
          </w:p>
        </w:tc>
      </w:tr>
      <w:tr w14:paraId="6148A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8FD360">
            <w:pPr>
              <w:snapToGrid w:val="0"/>
              <w:spacing w:line="400" w:lineRule="exact"/>
              <w:ind w:firstLine="211"/>
              <w:jc w:val="center"/>
              <w:rPr>
                <w:rFonts w:ascii="宋体" w:hAnsi="宋体"/>
                <w:kern w:val="0"/>
                <w:szCs w:val="21"/>
              </w:rPr>
            </w:pPr>
            <w:r>
              <w:rPr>
                <w:rFonts w:ascii="宋体" w:hAnsi="宋体"/>
                <w:kern w:val="0"/>
                <w:szCs w:val="21"/>
              </w:rPr>
              <w:t>3.7.3</w:t>
            </w:r>
          </w:p>
        </w:tc>
        <w:tc>
          <w:tcPr>
            <w:tcW w:w="1644" w:type="dxa"/>
            <w:vAlign w:val="center"/>
          </w:tcPr>
          <w:p w14:paraId="2AB8806C">
            <w:pPr>
              <w:snapToGrid w:val="0"/>
              <w:spacing w:line="400" w:lineRule="exact"/>
              <w:ind w:firstLine="211"/>
              <w:jc w:val="center"/>
              <w:rPr>
                <w:rFonts w:hint="eastAsia" w:ascii="宋体" w:hAnsi="宋体"/>
                <w:kern w:val="0"/>
                <w:szCs w:val="21"/>
              </w:rPr>
            </w:pPr>
            <w:r>
              <w:rPr>
                <w:rFonts w:hint="eastAsia" w:ascii="宋体" w:hAnsi="宋体"/>
                <w:kern w:val="0"/>
                <w:szCs w:val="21"/>
              </w:rPr>
              <w:t>签名</w:t>
            </w:r>
            <w:r>
              <w:rPr>
                <w:rFonts w:ascii="宋体" w:hAnsi="宋体"/>
                <w:kern w:val="0"/>
                <w:szCs w:val="21"/>
              </w:rPr>
              <w:t>盖章</w:t>
            </w:r>
          </w:p>
          <w:p w14:paraId="361985A6">
            <w:pPr>
              <w:snapToGrid w:val="0"/>
              <w:spacing w:line="400" w:lineRule="exact"/>
              <w:ind w:firstLine="211"/>
              <w:jc w:val="center"/>
              <w:rPr>
                <w:rFonts w:ascii="宋体" w:hAnsi="宋体"/>
                <w:kern w:val="0"/>
                <w:szCs w:val="21"/>
              </w:rPr>
            </w:pPr>
            <w:r>
              <w:rPr>
                <w:rFonts w:ascii="宋体" w:hAnsi="宋体"/>
                <w:kern w:val="0"/>
                <w:szCs w:val="21"/>
              </w:rPr>
              <w:t>要求</w:t>
            </w:r>
          </w:p>
        </w:tc>
        <w:tc>
          <w:tcPr>
            <w:tcW w:w="6490" w:type="dxa"/>
            <w:vAlign w:val="center"/>
          </w:tcPr>
          <w:p w14:paraId="2BBC5F94">
            <w:pPr>
              <w:snapToGrid w:val="0"/>
              <w:spacing w:line="400" w:lineRule="exact"/>
              <w:ind w:firstLine="420" w:firstLineChars="200"/>
              <w:rPr>
                <w:rFonts w:ascii="宋体" w:hAnsi="宋体"/>
                <w:szCs w:val="21"/>
              </w:rPr>
            </w:pPr>
            <w:r>
              <w:rPr>
                <w:rFonts w:hint="eastAsia" w:ascii="宋体" w:hAnsi="宋体"/>
                <w:szCs w:val="21"/>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727B62E5">
            <w:pPr>
              <w:snapToGrid w:val="0"/>
              <w:spacing w:line="400" w:lineRule="exact"/>
              <w:ind w:firstLine="420" w:firstLineChars="200"/>
              <w:rPr>
                <w:rFonts w:ascii="宋体" w:hAnsi="宋体"/>
                <w:i/>
                <w:szCs w:val="21"/>
              </w:rPr>
            </w:pPr>
            <w:r>
              <w:rPr>
                <w:rFonts w:hint="eastAsia" w:ascii="宋体" w:hAnsi="宋体"/>
                <w:szCs w:val="21"/>
              </w:rPr>
              <w:t>未按上述规定执行的，交由评审小组作否决投标处理。</w:t>
            </w:r>
          </w:p>
        </w:tc>
      </w:tr>
      <w:tr w14:paraId="532C9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309F5F">
            <w:pPr>
              <w:snapToGrid w:val="0"/>
              <w:spacing w:line="400" w:lineRule="exact"/>
              <w:ind w:firstLine="211"/>
              <w:jc w:val="center"/>
              <w:rPr>
                <w:rFonts w:ascii="宋体" w:hAnsi="宋体"/>
                <w:kern w:val="0"/>
                <w:szCs w:val="21"/>
              </w:rPr>
            </w:pPr>
            <w:r>
              <w:rPr>
                <w:rFonts w:ascii="宋体" w:hAnsi="宋体"/>
                <w:kern w:val="0"/>
                <w:szCs w:val="21"/>
              </w:rPr>
              <w:t>3.7.4</w:t>
            </w:r>
          </w:p>
        </w:tc>
        <w:tc>
          <w:tcPr>
            <w:tcW w:w="1644" w:type="dxa"/>
            <w:vAlign w:val="center"/>
          </w:tcPr>
          <w:p w14:paraId="0E24512C">
            <w:pPr>
              <w:snapToGrid w:val="0"/>
              <w:spacing w:line="400" w:lineRule="exact"/>
              <w:rPr>
                <w:rFonts w:ascii="宋体" w:hAnsi="宋体"/>
                <w:spacing w:val="-6"/>
                <w:kern w:val="0"/>
                <w:szCs w:val="21"/>
              </w:rPr>
            </w:pPr>
            <w:r>
              <w:rPr>
                <w:rFonts w:hint="eastAsia" w:ascii="宋体" w:hAnsi="宋体"/>
                <w:spacing w:val="-6"/>
                <w:kern w:val="0"/>
                <w:szCs w:val="21"/>
              </w:rPr>
              <w:t>竞选文件</w:t>
            </w:r>
            <w:r>
              <w:rPr>
                <w:rFonts w:ascii="宋体" w:hAnsi="宋体"/>
                <w:spacing w:val="-6"/>
                <w:kern w:val="0"/>
                <w:szCs w:val="21"/>
              </w:rPr>
              <w:t>的份数</w:t>
            </w:r>
          </w:p>
        </w:tc>
        <w:tc>
          <w:tcPr>
            <w:tcW w:w="6490" w:type="dxa"/>
            <w:vAlign w:val="center"/>
          </w:tcPr>
          <w:p w14:paraId="41798243">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竞选文件</w:t>
            </w:r>
            <w:r>
              <w:rPr>
                <w:rFonts w:ascii="宋体" w:hAnsi="宋体"/>
                <w:kern w:val="0"/>
                <w:szCs w:val="21"/>
              </w:rPr>
              <w:t>正本</w:t>
            </w:r>
            <w:r>
              <w:rPr>
                <w:rFonts w:hint="eastAsia" w:ascii="宋体" w:hAnsi="宋体"/>
                <w:kern w:val="0"/>
                <w:szCs w:val="21"/>
              </w:rPr>
              <w:t>1份、副本1份，电子版形式（光盘或U盘）1份，</w:t>
            </w:r>
            <w:r>
              <w:rPr>
                <w:rFonts w:ascii="宋体" w:hAnsi="宋体"/>
                <w:snapToGrid w:val="0"/>
                <w:kern w:val="0"/>
                <w:szCs w:val="21"/>
              </w:rPr>
              <w:t>不分正副本</w:t>
            </w:r>
            <w:r>
              <w:rPr>
                <w:rFonts w:hint="eastAsia" w:ascii="宋体" w:hAnsi="宋体"/>
                <w:kern w:val="0"/>
                <w:szCs w:val="21"/>
              </w:rPr>
              <w:t>。当副本和正本不一致时，以正本为准。否则由评审小组作否决投标处理。</w:t>
            </w:r>
          </w:p>
        </w:tc>
      </w:tr>
      <w:tr w14:paraId="6CBA6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B2CE15">
            <w:pPr>
              <w:snapToGrid w:val="0"/>
              <w:spacing w:line="400" w:lineRule="exact"/>
              <w:ind w:firstLine="211"/>
              <w:jc w:val="center"/>
              <w:rPr>
                <w:rFonts w:ascii="宋体" w:hAnsi="宋体"/>
                <w:kern w:val="0"/>
                <w:szCs w:val="21"/>
              </w:rPr>
            </w:pPr>
            <w:r>
              <w:rPr>
                <w:rFonts w:ascii="宋体" w:hAnsi="宋体"/>
                <w:kern w:val="0"/>
                <w:szCs w:val="21"/>
              </w:rPr>
              <w:t>3.7.5</w:t>
            </w:r>
          </w:p>
        </w:tc>
        <w:tc>
          <w:tcPr>
            <w:tcW w:w="1644" w:type="dxa"/>
            <w:vAlign w:val="center"/>
          </w:tcPr>
          <w:p w14:paraId="55A26074">
            <w:pPr>
              <w:snapToGrid w:val="0"/>
              <w:spacing w:line="400" w:lineRule="exact"/>
              <w:ind w:firstLine="211"/>
              <w:rPr>
                <w:rFonts w:ascii="宋体" w:hAnsi="宋体"/>
                <w:kern w:val="0"/>
                <w:szCs w:val="21"/>
              </w:rPr>
            </w:pPr>
            <w:r>
              <w:rPr>
                <w:rFonts w:ascii="宋体" w:hAnsi="宋体"/>
                <w:kern w:val="0"/>
                <w:szCs w:val="21"/>
              </w:rPr>
              <w:t>装订要求</w:t>
            </w:r>
          </w:p>
        </w:tc>
        <w:tc>
          <w:tcPr>
            <w:tcW w:w="6490" w:type="dxa"/>
            <w:vAlign w:val="center"/>
          </w:tcPr>
          <w:p w14:paraId="0559C263">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竞选函</w:t>
            </w:r>
            <w:r>
              <w:rPr>
                <w:rFonts w:ascii="宋体" w:hAnsi="宋体"/>
                <w:szCs w:val="21"/>
                <w:highlight w:val="none"/>
              </w:rPr>
              <w:t>部分的装订要求</w:t>
            </w:r>
          </w:p>
          <w:p w14:paraId="7C22E7A9">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w:t>
            </w:r>
            <w:r>
              <w:rPr>
                <w:rFonts w:hint="eastAsia" w:ascii="宋体" w:hAnsi="宋体"/>
                <w:szCs w:val="21"/>
                <w:highlight w:val="none"/>
                <w:lang w:eastAsia="zh-CN"/>
              </w:rPr>
              <w:t>第</w:t>
            </w:r>
            <w:r>
              <w:rPr>
                <w:rFonts w:hint="eastAsia" w:ascii="宋体" w:hAnsi="宋体"/>
                <w:szCs w:val="21"/>
                <w:highlight w:val="none"/>
                <w:lang w:val="en-US" w:eastAsia="zh-CN"/>
              </w:rPr>
              <w:t>五</w:t>
            </w:r>
            <w:r>
              <w:rPr>
                <w:rFonts w:hint="eastAsia" w:ascii="宋体" w:hAnsi="宋体"/>
                <w:szCs w:val="21"/>
                <w:highlight w:val="none"/>
                <w:lang w:eastAsia="zh-CN"/>
              </w:rPr>
              <w:t>章</w:t>
            </w:r>
            <w:r>
              <w:rPr>
                <w:rFonts w:ascii="宋体" w:hAnsi="宋体"/>
                <w:szCs w:val="21"/>
                <w:highlight w:val="none"/>
              </w:rPr>
              <w:t>规定格式装订成册，</w:t>
            </w:r>
            <w:r>
              <w:rPr>
                <w:rFonts w:hint="eastAsia" w:ascii="宋体" w:hAnsi="宋体" w:cs="宋体"/>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p>
          <w:p w14:paraId="2CB356A4">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0D2CE622">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w:t>
            </w:r>
            <w:r>
              <w:rPr>
                <w:rFonts w:hint="eastAsia" w:ascii="宋体" w:hAnsi="宋体"/>
                <w:szCs w:val="21"/>
                <w:highlight w:val="none"/>
                <w:lang w:eastAsia="zh-CN"/>
              </w:rPr>
              <w:t>第</w:t>
            </w:r>
            <w:r>
              <w:rPr>
                <w:rFonts w:hint="eastAsia" w:ascii="宋体" w:hAnsi="宋体"/>
                <w:szCs w:val="21"/>
                <w:highlight w:val="none"/>
                <w:lang w:val="en-US" w:eastAsia="zh-CN"/>
              </w:rPr>
              <w:t>五</w:t>
            </w:r>
            <w:r>
              <w:rPr>
                <w:rFonts w:hint="eastAsia" w:ascii="宋体" w:hAnsi="宋体"/>
                <w:szCs w:val="21"/>
                <w:highlight w:val="none"/>
                <w:lang w:eastAsia="zh-CN"/>
              </w:rPr>
              <w:t>章</w:t>
            </w:r>
            <w:r>
              <w:rPr>
                <w:rFonts w:ascii="宋体" w:hAnsi="宋体"/>
                <w:szCs w:val="21"/>
                <w:highlight w:val="none"/>
              </w:rPr>
              <w:t>规定格式装订成册，</w:t>
            </w:r>
            <w:r>
              <w:rPr>
                <w:rFonts w:hint="eastAsia" w:ascii="宋体" w:hAnsi="宋体" w:cs="宋体"/>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r>
              <w:rPr>
                <w:rFonts w:hint="eastAsia" w:ascii="宋体" w:hAnsi="宋体"/>
                <w:szCs w:val="21"/>
                <w:highlight w:val="none"/>
              </w:rPr>
              <w:t>。</w:t>
            </w:r>
          </w:p>
          <w:p w14:paraId="6C90E695">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kern w:val="0"/>
                <w:szCs w:val="21"/>
                <w:highlight w:val="none"/>
              </w:rPr>
              <w:t>商务、服务部分</w:t>
            </w:r>
            <w:r>
              <w:rPr>
                <w:rFonts w:ascii="宋体" w:hAnsi="宋体"/>
                <w:kern w:val="0"/>
                <w:szCs w:val="21"/>
                <w:highlight w:val="none"/>
              </w:rPr>
              <w:t>的装订要求</w:t>
            </w:r>
          </w:p>
          <w:p w14:paraId="3C50E078">
            <w:pPr>
              <w:adjustRightInd w:val="0"/>
              <w:snapToGrid w:val="0"/>
              <w:spacing w:line="400" w:lineRule="exact"/>
              <w:ind w:firstLine="420" w:firstLineChars="200"/>
              <w:rPr>
                <w:highlight w:val="none"/>
              </w:rPr>
            </w:pPr>
            <w:r>
              <w:rPr>
                <w:rFonts w:ascii="宋体" w:hAnsi="宋体"/>
                <w:szCs w:val="21"/>
                <w:highlight w:val="none"/>
              </w:rPr>
              <w:t>应按照</w:t>
            </w:r>
            <w:r>
              <w:rPr>
                <w:rFonts w:hint="eastAsia" w:ascii="宋体" w:hAnsi="宋体"/>
                <w:szCs w:val="21"/>
                <w:highlight w:val="none"/>
                <w:lang w:eastAsia="zh-CN"/>
              </w:rPr>
              <w:t>第</w:t>
            </w:r>
            <w:r>
              <w:rPr>
                <w:rFonts w:hint="eastAsia" w:ascii="宋体" w:hAnsi="宋体"/>
                <w:szCs w:val="21"/>
                <w:highlight w:val="none"/>
                <w:lang w:val="en-US" w:eastAsia="zh-CN"/>
              </w:rPr>
              <w:t>五</w:t>
            </w:r>
            <w:r>
              <w:rPr>
                <w:rFonts w:hint="eastAsia" w:ascii="宋体" w:hAnsi="宋体"/>
                <w:szCs w:val="21"/>
                <w:highlight w:val="none"/>
                <w:lang w:eastAsia="zh-CN"/>
              </w:rPr>
              <w:t>章</w:t>
            </w:r>
            <w:r>
              <w:rPr>
                <w:rFonts w:ascii="宋体" w:hAnsi="宋体"/>
                <w:szCs w:val="21"/>
                <w:highlight w:val="none"/>
              </w:rPr>
              <w:t>规定格式装订成册，</w:t>
            </w:r>
            <w:r>
              <w:rPr>
                <w:rFonts w:hint="eastAsia" w:ascii="宋体" w:hAnsi="宋体" w:cs="宋体"/>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r>
              <w:rPr>
                <w:rFonts w:hint="eastAsia" w:ascii="宋体" w:hAnsi="宋体"/>
                <w:szCs w:val="21"/>
                <w:highlight w:val="none"/>
              </w:rPr>
              <w:t>。</w:t>
            </w:r>
          </w:p>
        </w:tc>
      </w:tr>
      <w:tr w14:paraId="63BC2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59860D">
            <w:pPr>
              <w:snapToGrid w:val="0"/>
              <w:spacing w:line="400" w:lineRule="exact"/>
              <w:ind w:firstLine="211"/>
              <w:jc w:val="center"/>
              <w:rPr>
                <w:rFonts w:ascii="宋体" w:hAnsi="宋体"/>
                <w:kern w:val="0"/>
                <w:szCs w:val="21"/>
              </w:rPr>
            </w:pPr>
            <w:r>
              <w:rPr>
                <w:rFonts w:ascii="宋体" w:hAnsi="宋体"/>
                <w:kern w:val="0"/>
                <w:szCs w:val="21"/>
              </w:rPr>
              <w:t>4.1.1</w:t>
            </w:r>
          </w:p>
        </w:tc>
        <w:tc>
          <w:tcPr>
            <w:tcW w:w="1644" w:type="dxa"/>
            <w:vAlign w:val="center"/>
          </w:tcPr>
          <w:p w14:paraId="5B296D2F">
            <w:pPr>
              <w:snapToGrid w:val="0"/>
              <w:spacing w:line="400" w:lineRule="exact"/>
              <w:rPr>
                <w:rFonts w:ascii="宋体" w:hAnsi="宋体"/>
                <w:spacing w:val="-6"/>
                <w:kern w:val="0"/>
                <w:szCs w:val="21"/>
              </w:rPr>
            </w:pPr>
            <w:r>
              <w:rPr>
                <w:rFonts w:hint="eastAsia" w:ascii="宋体" w:hAnsi="宋体"/>
                <w:spacing w:val="-6"/>
                <w:kern w:val="0"/>
                <w:szCs w:val="21"/>
              </w:rPr>
              <w:t>竞选文件</w:t>
            </w:r>
            <w:r>
              <w:rPr>
                <w:rFonts w:ascii="宋体" w:hAnsi="宋体"/>
                <w:spacing w:val="-6"/>
                <w:kern w:val="0"/>
                <w:szCs w:val="21"/>
              </w:rPr>
              <w:t>的密封</w:t>
            </w:r>
          </w:p>
        </w:tc>
        <w:tc>
          <w:tcPr>
            <w:tcW w:w="6490" w:type="dxa"/>
            <w:vAlign w:val="center"/>
          </w:tcPr>
          <w:p w14:paraId="0E1AED1C">
            <w:pPr>
              <w:adjustRightInd w:val="0"/>
              <w:snapToGrid w:val="0"/>
              <w:spacing w:line="400" w:lineRule="exact"/>
              <w:ind w:firstLine="420" w:firstLineChars="200"/>
              <w:rPr>
                <w:rFonts w:ascii="宋体" w:hAnsi="宋体"/>
                <w:szCs w:val="21"/>
              </w:rPr>
            </w:pPr>
            <w:r>
              <w:rPr>
                <w:rFonts w:hint="eastAsia" w:ascii="宋体" w:hAnsi="宋体"/>
                <w:szCs w:val="21"/>
              </w:rPr>
              <w:t>应用“投标文件”袋单独封装，并在封口处加盖投标人单位法人章，同时“投标文件”袋应按本表第4.1.2项的规定写明相应内容。“投标文件”袋未按要求密封的，比选人应该拒收。</w:t>
            </w:r>
          </w:p>
        </w:tc>
      </w:tr>
      <w:tr w14:paraId="048A0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F1B0D6">
            <w:pPr>
              <w:snapToGrid w:val="0"/>
              <w:spacing w:line="400" w:lineRule="exact"/>
              <w:ind w:firstLine="211"/>
              <w:jc w:val="center"/>
              <w:rPr>
                <w:rFonts w:ascii="宋体" w:hAnsi="宋体"/>
                <w:kern w:val="0"/>
                <w:szCs w:val="21"/>
              </w:rPr>
            </w:pPr>
            <w:r>
              <w:rPr>
                <w:rFonts w:ascii="宋体" w:hAnsi="宋体"/>
                <w:kern w:val="0"/>
                <w:szCs w:val="21"/>
              </w:rPr>
              <w:t>4.1.2</w:t>
            </w:r>
          </w:p>
        </w:tc>
        <w:tc>
          <w:tcPr>
            <w:tcW w:w="1644" w:type="dxa"/>
            <w:vAlign w:val="center"/>
          </w:tcPr>
          <w:p w14:paraId="0F7F0293">
            <w:pPr>
              <w:snapToGrid w:val="0"/>
              <w:spacing w:line="400" w:lineRule="exact"/>
              <w:ind w:firstLine="211"/>
              <w:rPr>
                <w:rFonts w:ascii="宋体" w:hAnsi="宋体"/>
                <w:kern w:val="0"/>
                <w:szCs w:val="21"/>
              </w:rPr>
            </w:pPr>
            <w:r>
              <w:rPr>
                <w:rFonts w:ascii="宋体" w:hAnsi="宋体"/>
                <w:kern w:val="0"/>
                <w:szCs w:val="21"/>
              </w:rPr>
              <w:t>封套上写明</w:t>
            </w:r>
          </w:p>
        </w:tc>
        <w:tc>
          <w:tcPr>
            <w:tcW w:w="6490" w:type="dxa"/>
            <w:vAlign w:val="center"/>
          </w:tcPr>
          <w:p w14:paraId="2DAFA708">
            <w:pPr>
              <w:snapToGrid w:val="0"/>
              <w:spacing w:line="400" w:lineRule="exact"/>
              <w:ind w:firstLine="420" w:firstLineChars="200"/>
              <w:rPr>
                <w:rFonts w:ascii="宋体" w:hAnsi="宋体"/>
                <w:kern w:val="0"/>
                <w:szCs w:val="21"/>
              </w:rPr>
            </w:pPr>
            <w:r>
              <w:rPr>
                <w:rFonts w:ascii="宋体" w:hAnsi="宋体"/>
                <w:kern w:val="0"/>
                <w:szCs w:val="21"/>
              </w:rPr>
              <w:t>应在“</w:t>
            </w:r>
            <w:r>
              <w:rPr>
                <w:rFonts w:hint="eastAsia" w:ascii="宋体" w:hAnsi="宋体"/>
                <w:kern w:val="0"/>
                <w:szCs w:val="21"/>
              </w:rPr>
              <w:t>竞选文件</w:t>
            </w:r>
            <w:r>
              <w:rPr>
                <w:rFonts w:ascii="宋体" w:hAnsi="宋体"/>
                <w:kern w:val="0"/>
                <w:szCs w:val="21"/>
              </w:rPr>
              <w:t>”大袋封套上写明如下内容：</w:t>
            </w:r>
          </w:p>
          <w:p w14:paraId="2F8BA8A5">
            <w:pPr>
              <w:snapToGrid w:val="0"/>
              <w:spacing w:line="400" w:lineRule="exact"/>
              <w:ind w:firstLine="420" w:firstLineChars="200"/>
              <w:rPr>
                <w:rFonts w:ascii="宋体" w:hAnsi="宋体"/>
                <w:kern w:val="0"/>
                <w:szCs w:val="21"/>
              </w:rPr>
            </w:pPr>
            <w:r>
              <w:rPr>
                <w:rFonts w:hint="eastAsia" w:ascii="宋体" w:hAnsi="宋体"/>
                <w:kern w:val="0"/>
                <w:szCs w:val="21"/>
              </w:rPr>
              <w:t>比选人</w:t>
            </w:r>
            <w:r>
              <w:rPr>
                <w:rFonts w:ascii="宋体" w:hAnsi="宋体"/>
                <w:kern w:val="0"/>
                <w:szCs w:val="21"/>
              </w:rPr>
              <w:t>名称：</w:t>
            </w:r>
          </w:p>
          <w:p w14:paraId="2E719F75">
            <w:pPr>
              <w:snapToGrid w:val="0"/>
              <w:spacing w:line="400" w:lineRule="exact"/>
              <w:ind w:firstLine="420" w:firstLineChars="200"/>
              <w:rPr>
                <w:rFonts w:ascii="宋体" w:hAnsi="宋体"/>
                <w:kern w:val="0"/>
                <w:szCs w:val="21"/>
              </w:rPr>
            </w:pPr>
            <w:r>
              <w:rPr>
                <w:rFonts w:hint="eastAsia" w:ascii="宋体" w:hAnsi="宋体"/>
                <w:kern w:val="0"/>
                <w:szCs w:val="21"/>
              </w:rPr>
              <w:t>竞选人名称：</w:t>
            </w:r>
          </w:p>
          <w:p w14:paraId="3EB60DE9">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hint="eastAsia" w:ascii="宋体" w:hAnsi="宋体"/>
                <w:kern w:val="0"/>
                <w:szCs w:val="21"/>
              </w:rPr>
              <w:t>竞选文件</w:t>
            </w:r>
          </w:p>
          <w:p w14:paraId="0C177472">
            <w:pPr>
              <w:snapToGrid w:val="0"/>
              <w:spacing w:line="400" w:lineRule="exact"/>
              <w:ind w:firstLine="420" w:firstLineChars="200"/>
              <w:rPr>
                <w:rFonts w:ascii="宋体" w:hAnsi="宋体"/>
                <w:szCs w:val="21"/>
              </w:rPr>
            </w:pPr>
            <w:r>
              <w:rPr>
                <w:rFonts w:ascii="宋体" w:hAnsi="宋体"/>
                <w:kern w:val="0"/>
                <w:szCs w:val="21"/>
              </w:rPr>
              <w:t>在年月日时分前不得开启</w:t>
            </w:r>
          </w:p>
        </w:tc>
      </w:tr>
      <w:tr w14:paraId="7802E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5E511B">
            <w:pPr>
              <w:snapToGrid w:val="0"/>
              <w:spacing w:line="400" w:lineRule="exact"/>
              <w:ind w:firstLine="211"/>
              <w:jc w:val="center"/>
              <w:rPr>
                <w:rFonts w:ascii="宋体" w:hAnsi="宋体"/>
                <w:kern w:val="0"/>
                <w:szCs w:val="21"/>
              </w:rPr>
            </w:pPr>
            <w:r>
              <w:rPr>
                <w:rFonts w:ascii="宋体" w:hAnsi="宋体"/>
                <w:kern w:val="0"/>
                <w:szCs w:val="21"/>
              </w:rPr>
              <w:t>4.2.2</w:t>
            </w:r>
          </w:p>
        </w:tc>
        <w:tc>
          <w:tcPr>
            <w:tcW w:w="1644" w:type="dxa"/>
            <w:vAlign w:val="center"/>
          </w:tcPr>
          <w:p w14:paraId="7342F0C4">
            <w:pPr>
              <w:snapToGrid w:val="0"/>
              <w:spacing w:line="400" w:lineRule="exact"/>
              <w:ind w:firstLine="211"/>
              <w:jc w:val="center"/>
              <w:rPr>
                <w:rFonts w:ascii="宋体" w:hAnsi="宋体"/>
                <w:kern w:val="0"/>
                <w:szCs w:val="21"/>
              </w:rPr>
            </w:pPr>
            <w:r>
              <w:rPr>
                <w:rFonts w:ascii="宋体" w:hAnsi="宋体"/>
                <w:kern w:val="0"/>
                <w:szCs w:val="21"/>
              </w:rPr>
              <w:t>递交</w:t>
            </w:r>
            <w:r>
              <w:rPr>
                <w:rFonts w:hint="eastAsia" w:ascii="宋体" w:hAnsi="宋体"/>
                <w:kern w:val="0"/>
                <w:szCs w:val="21"/>
              </w:rPr>
              <w:t>竞选文件</w:t>
            </w:r>
            <w:r>
              <w:rPr>
                <w:rFonts w:ascii="宋体" w:hAnsi="宋体"/>
                <w:kern w:val="0"/>
                <w:szCs w:val="21"/>
              </w:rPr>
              <w:t>地点</w:t>
            </w:r>
          </w:p>
        </w:tc>
        <w:tc>
          <w:tcPr>
            <w:tcW w:w="6490" w:type="dxa"/>
            <w:vAlign w:val="center"/>
          </w:tcPr>
          <w:p w14:paraId="451A36A4">
            <w:pPr>
              <w:snapToGrid w:val="0"/>
              <w:spacing w:line="400" w:lineRule="exact"/>
              <w:ind w:firstLine="420" w:firstLineChars="200"/>
              <w:rPr>
                <w:rFonts w:ascii="宋体" w:hAnsi="宋体"/>
                <w:bCs/>
                <w:i/>
                <w:szCs w:val="21"/>
              </w:rPr>
            </w:pPr>
            <w:r>
              <w:rPr>
                <w:rFonts w:hint="eastAsia" w:ascii="宋体" w:hAnsi="宋体"/>
                <w:szCs w:val="21"/>
              </w:rPr>
              <w:t>重庆市南岸区茶园江桥路一号附1号重庆经开投投资集团有限公司办公室</w:t>
            </w:r>
          </w:p>
        </w:tc>
      </w:tr>
      <w:tr w14:paraId="4491F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651ED3">
            <w:pPr>
              <w:snapToGrid w:val="0"/>
              <w:spacing w:line="400" w:lineRule="exact"/>
              <w:ind w:firstLine="211"/>
              <w:jc w:val="center"/>
              <w:rPr>
                <w:rFonts w:ascii="宋体" w:hAnsi="宋体"/>
                <w:kern w:val="0"/>
                <w:szCs w:val="21"/>
              </w:rPr>
            </w:pPr>
            <w:r>
              <w:rPr>
                <w:rFonts w:ascii="宋体" w:hAnsi="宋体"/>
                <w:kern w:val="0"/>
                <w:szCs w:val="21"/>
              </w:rPr>
              <w:t>4.2.3</w:t>
            </w:r>
          </w:p>
        </w:tc>
        <w:tc>
          <w:tcPr>
            <w:tcW w:w="1644" w:type="dxa"/>
            <w:vAlign w:val="center"/>
          </w:tcPr>
          <w:p w14:paraId="7A3D3E74">
            <w:pPr>
              <w:snapToGrid w:val="0"/>
              <w:spacing w:line="400" w:lineRule="exact"/>
              <w:ind w:firstLine="211"/>
              <w:jc w:val="center"/>
              <w:rPr>
                <w:rFonts w:ascii="宋体" w:hAnsi="宋体"/>
                <w:kern w:val="0"/>
                <w:szCs w:val="21"/>
              </w:rPr>
            </w:pPr>
            <w:r>
              <w:rPr>
                <w:rFonts w:ascii="宋体" w:hAnsi="宋体"/>
                <w:kern w:val="0"/>
                <w:szCs w:val="21"/>
              </w:rPr>
              <w:t>是否退还</w:t>
            </w:r>
            <w:r>
              <w:rPr>
                <w:rFonts w:hint="eastAsia" w:ascii="宋体" w:hAnsi="宋体"/>
                <w:kern w:val="0"/>
                <w:szCs w:val="21"/>
              </w:rPr>
              <w:t>竞选文件</w:t>
            </w:r>
          </w:p>
        </w:tc>
        <w:tc>
          <w:tcPr>
            <w:tcW w:w="6490" w:type="dxa"/>
            <w:vAlign w:val="center"/>
          </w:tcPr>
          <w:p w14:paraId="34397765">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否</w:t>
            </w:r>
          </w:p>
        </w:tc>
      </w:tr>
      <w:tr w14:paraId="0E0D5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CF69DC">
            <w:pPr>
              <w:snapToGrid w:val="0"/>
              <w:spacing w:line="400" w:lineRule="exact"/>
              <w:ind w:firstLine="211"/>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3336EABD">
            <w:pPr>
              <w:snapToGrid w:val="0"/>
              <w:spacing w:line="400" w:lineRule="exact"/>
              <w:ind w:firstLine="211"/>
              <w:jc w:val="center"/>
              <w:rPr>
                <w:rFonts w:ascii="宋体" w:hAnsi="宋体"/>
                <w:kern w:val="0"/>
                <w:szCs w:val="21"/>
              </w:rPr>
            </w:pPr>
            <w:r>
              <w:rPr>
                <w:rFonts w:ascii="宋体" w:hAnsi="宋体"/>
                <w:kern w:val="0"/>
                <w:szCs w:val="21"/>
              </w:rPr>
              <w:t>开标时间和</w:t>
            </w:r>
          </w:p>
          <w:p w14:paraId="11861C9E">
            <w:pPr>
              <w:snapToGrid w:val="0"/>
              <w:spacing w:line="400" w:lineRule="exact"/>
              <w:ind w:firstLine="211"/>
              <w:jc w:val="center"/>
              <w:rPr>
                <w:rFonts w:ascii="宋体" w:hAnsi="宋体"/>
                <w:kern w:val="0"/>
                <w:szCs w:val="21"/>
              </w:rPr>
            </w:pPr>
            <w:r>
              <w:rPr>
                <w:rFonts w:ascii="宋体" w:hAnsi="宋体"/>
                <w:kern w:val="0"/>
                <w:szCs w:val="21"/>
              </w:rPr>
              <w:t>地点</w:t>
            </w:r>
          </w:p>
        </w:tc>
        <w:tc>
          <w:tcPr>
            <w:tcW w:w="6490" w:type="dxa"/>
            <w:vAlign w:val="center"/>
          </w:tcPr>
          <w:p w14:paraId="0ACF47FD">
            <w:pPr>
              <w:snapToGrid w:val="0"/>
              <w:spacing w:line="400" w:lineRule="exact"/>
              <w:ind w:firstLine="420" w:firstLineChars="200"/>
              <w:rPr>
                <w:rFonts w:ascii="宋体" w:hAnsi="宋体"/>
                <w:kern w:val="0"/>
                <w:szCs w:val="21"/>
              </w:rPr>
            </w:pPr>
            <w:r>
              <w:rPr>
                <w:rFonts w:ascii="宋体" w:hAnsi="宋体"/>
                <w:kern w:val="0"/>
                <w:szCs w:val="21"/>
              </w:rPr>
              <w:t>开标时间：</w:t>
            </w:r>
            <w:r>
              <w:rPr>
                <w:rFonts w:hint="eastAsia" w:ascii="宋体" w:hAnsi="宋体"/>
                <w:kern w:val="0"/>
                <w:szCs w:val="21"/>
              </w:rPr>
              <w:t>202</w:t>
            </w:r>
            <w:r>
              <w:rPr>
                <w:rFonts w:hint="eastAsia" w:ascii="宋体" w:hAnsi="宋体"/>
                <w:kern w:val="0"/>
                <w:szCs w:val="21"/>
                <w:lang w:val="en-US" w:eastAsia="zh-CN"/>
              </w:rPr>
              <w:t>5</w:t>
            </w:r>
            <w:r>
              <w:rPr>
                <w:rFonts w:hint="eastAsia" w:ascii="宋体" w:hAnsi="宋体"/>
                <w:kern w:val="0"/>
                <w:szCs w:val="21"/>
              </w:rPr>
              <w:t>年7月</w:t>
            </w:r>
            <w:r>
              <w:rPr>
                <w:rFonts w:hint="eastAsia" w:ascii="宋体" w:hAnsi="宋体"/>
                <w:kern w:val="0"/>
                <w:szCs w:val="21"/>
                <w:lang w:val="en-US" w:eastAsia="zh-CN"/>
              </w:rPr>
              <w:t>30</w:t>
            </w:r>
            <w:r>
              <w:rPr>
                <w:rFonts w:hint="eastAsia" w:ascii="宋体" w:hAnsi="宋体"/>
                <w:kern w:val="0"/>
                <w:szCs w:val="21"/>
              </w:rPr>
              <w:t>日10时00分</w:t>
            </w:r>
          </w:p>
          <w:p w14:paraId="332BFA92">
            <w:pPr>
              <w:snapToGrid w:val="0"/>
              <w:spacing w:line="400" w:lineRule="exact"/>
              <w:ind w:firstLine="420" w:firstLineChars="200"/>
              <w:rPr>
                <w:rFonts w:ascii="宋体" w:hAnsi="宋体"/>
                <w:bCs/>
                <w:i/>
                <w:szCs w:val="21"/>
              </w:rPr>
            </w:pPr>
            <w:r>
              <w:rPr>
                <w:rFonts w:ascii="宋体" w:hAnsi="宋体"/>
                <w:kern w:val="0"/>
                <w:szCs w:val="21"/>
              </w:rPr>
              <w:t>开标地点</w:t>
            </w:r>
            <w:r>
              <w:rPr>
                <w:rFonts w:hint="eastAsia" w:ascii="宋体" w:hAnsi="宋体"/>
                <w:kern w:val="0"/>
                <w:szCs w:val="21"/>
              </w:rPr>
              <w:t>：</w:t>
            </w:r>
            <w:r>
              <w:rPr>
                <w:rFonts w:hint="eastAsia" w:ascii="宋体" w:hAnsi="宋体"/>
                <w:szCs w:val="21"/>
              </w:rPr>
              <w:t>重庆市南岸区茶园江桥路一号附1号重庆经开投投资集团有限公司15楼接待室</w:t>
            </w:r>
          </w:p>
        </w:tc>
      </w:tr>
      <w:tr w14:paraId="79A4C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B35474">
            <w:pPr>
              <w:snapToGrid w:val="0"/>
              <w:spacing w:line="400" w:lineRule="exact"/>
              <w:ind w:firstLine="211"/>
              <w:jc w:val="center"/>
              <w:rPr>
                <w:rFonts w:ascii="宋体" w:hAnsi="宋体"/>
                <w:szCs w:val="21"/>
              </w:rPr>
            </w:pPr>
            <w:r>
              <w:rPr>
                <w:rFonts w:ascii="宋体" w:hAnsi="宋体"/>
                <w:szCs w:val="21"/>
              </w:rPr>
              <w:t>5.2</w:t>
            </w:r>
          </w:p>
        </w:tc>
        <w:tc>
          <w:tcPr>
            <w:tcW w:w="1644" w:type="dxa"/>
            <w:vAlign w:val="center"/>
          </w:tcPr>
          <w:p w14:paraId="4D7806C5">
            <w:pPr>
              <w:snapToGrid w:val="0"/>
              <w:spacing w:line="400" w:lineRule="exact"/>
              <w:ind w:firstLine="211"/>
              <w:jc w:val="center"/>
              <w:rPr>
                <w:rFonts w:ascii="宋体" w:hAnsi="宋体"/>
                <w:szCs w:val="21"/>
              </w:rPr>
            </w:pPr>
            <w:r>
              <w:rPr>
                <w:rFonts w:ascii="宋体" w:hAnsi="宋体"/>
                <w:szCs w:val="21"/>
              </w:rPr>
              <w:t>开标程序</w:t>
            </w:r>
          </w:p>
        </w:tc>
        <w:tc>
          <w:tcPr>
            <w:tcW w:w="6490" w:type="dxa"/>
            <w:vAlign w:val="center"/>
          </w:tcPr>
          <w:p w14:paraId="6FB4801B">
            <w:pPr>
              <w:autoSpaceDE w:val="0"/>
              <w:autoSpaceDN w:val="0"/>
              <w:adjustRightInd w:val="0"/>
              <w:snapToGrid w:val="0"/>
              <w:spacing w:line="400" w:lineRule="exact"/>
              <w:ind w:firstLine="420" w:firstLineChars="200"/>
              <w:rPr>
                <w:rFonts w:ascii="宋体" w:hAnsi="宋体"/>
                <w:szCs w:val="21"/>
              </w:rPr>
            </w:pPr>
            <w:r>
              <w:rPr>
                <w:rFonts w:ascii="宋体" w:hAnsi="宋体"/>
                <w:szCs w:val="21"/>
              </w:rPr>
              <w:t>主持人按下列程序进行开标：</w:t>
            </w:r>
          </w:p>
          <w:p w14:paraId="4874F149">
            <w:pPr>
              <w:autoSpaceDE w:val="0"/>
              <w:autoSpaceDN w:val="0"/>
              <w:adjustRightInd w:val="0"/>
              <w:snapToGrid w:val="0"/>
              <w:spacing w:line="400" w:lineRule="exact"/>
              <w:ind w:firstLine="420" w:firstLineChars="200"/>
              <w:rPr>
                <w:rFonts w:ascii="宋体" w:hAnsi="宋体"/>
                <w:szCs w:val="21"/>
              </w:rPr>
            </w:pPr>
            <w:r>
              <w:rPr>
                <w:rFonts w:ascii="宋体" w:hAnsi="宋体"/>
                <w:szCs w:val="21"/>
              </w:rPr>
              <w:t>1. 核验参加开标会议的</w:t>
            </w:r>
            <w:r>
              <w:rPr>
                <w:rFonts w:hint="eastAsia" w:ascii="宋体" w:hAnsi="宋体"/>
                <w:szCs w:val="21"/>
              </w:rPr>
              <w:t>竞选人</w:t>
            </w:r>
            <w:r>
              <w:rPr>
                <w:rFonts w:ascii="宋体" w:hAnsi="宋体"/>
                <w:szCs w:val="21"/>
              </w:rPr>
              <w:t>的法定代表人或</w:t>
            </w:r>
            <w:r>
              <w:rPr>
                <w:rFonts w:hint="eastAsia" w:ascii="宋体" w:hAnsi="宋体"/>
                <w:szCs w:val="21"/>
              </w:rPr>
              <w:t>委托代理人</w:t>
            </w:r>
            <w:r>
              <w:rPr>
                <w:rFonts w:ascii="宋体" w:hAnsi="宋体"/>
                <w:szCs w:val="21"/>
              </w:rPr>
              <w:t>本人身份证（原件），核验委托代理人的授权委托书</w:t>
            </w:r>
            <w:r>
              <w:rPr>
                <w:rFonts w:hint="eastAsia" w:ascii="宋体" w:hAnsi="宋体"/>
                <w:szCs w:val="21"/>
              </w:rPr>
              <w:t>、养老保险证明材料复印件</w:t>
            </w:r>
            <w:r>
              <w:rPr>
                <w:rFonts w:ascii="宋体" w:hAnsi="宋体"/>
                <w:szCs w:val="21"/>
              </w:rPr>
              <w:t>，以确认其身份合法有效；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14:paraId="356C764D">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2</w:t>
            </w:r>
            <w:r>
              <w:rPr>
                <w:rFonts w:ascii="宋体" w:hAnsi="宋体"/>
                <w:szCs w:val="21"/>
              </w:rPr>
              <w:t>. 公布在投标截止时间前递交</w:t>
            </w:r>
            <w:r>
              <w:rPr>
                <w:rFonts w:hint="eastAsia" w:ascii="宋体" w:hAnsi="宋体"/>
                <w:szCs w:val="21"/>
              </w:rPr>
              <w:t>竞选文件</w:t>
            </w:r>
            <w:r>
              <w:rPr>
                <w:rFonts w:ascii="宋体" w:hAnsi="宋体"/>
                <w:szCs w:val="21"/>
              </w:rPr>
              <w:t>的</w:t>
            </w:r>
            <w:r>
              <w:rPr>
                <w:rFonts w:hint="eastAsia" w:ascii="宋体" w:hAnsi="宋体"/>
                <w:szCs w:val="21"/>
              </w:rPr>
              <w:t>竞选人</w:t>
            </w:r>
            <w:r>
              <w:rPr>
                <w:rFonts w:ascii="宋体" w:hAnsi="宋体"/>
                <w:szCs w:val="21"/>
              </w:rPr>
              <w:t>名称</w:t>
            </w:r>
            <w:r>
              <w:rPr>
                <w:rFonts w:hint="eastAsia" w:ascii="宋体" w:hAnsi="宋体"/>
                <w:szCs w:val="21"/>
              </w:rPr>
              <w:t>。</w:t>
            </w:r>
          </w:p>
          <w:p w14:paraId="7F5DA983">
            <w:pPr>
              <w:snapToGrid w:val="0"/>
              <w:spacing w:line="400" w:lineRule="exact"/>
              <w:ind w:firstLine="420" w:firstLineChars="200"/>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竞选文件的密封检查：竞选人可对自己的竞选文件封装情况进行检查，以确认其竞选文件密封完好。</w:t>
            </w:r>
          </w:p>
          <w:p w14:paraId="1B41F596">
            <w:pPr>
              <w:snapToGrid w:val="0"/>
              <w:spacing w:line="400" w:lineRule="exact"/>
              <w:ind w:firstLine="420" w:firstLineChars="200"/>
              <w:rPr>
                <w:rFonts w:ascii="宋体" w:hAnsi="宋体"/>
                <w:szCs w:val="21"/>
              </w:rPr>
            </w:pPr>
            <w:r>
              <w:rPr>
                <w:rFonts w:hint="eastAsia" w:ascii="宋体" w:hAnsi="宋体"/>
                <w:szCs w:val="21"/>
                <w:lang w:val="en-US" w:eastAsia="zh-CN"/>
              </w:rPr>
              <w:t>4</w:t>
            </w:r>
            <w:r>
              <w:rPr>
                <w:rFonts w:ascii="宋体" w:hAnsi="宋体"/>
                <w:szCs w:val="21"/>
              </w:rPr>
              <w:t>. 公布最高限价</w:t>
            </w:r>
            <w:r>
              <w:rPr>
                <w:rFonts w:hint="eastAsia" w:ascii="宋体" w:hAnsi="宋体"/>
                <w:szCs w:val="21"/>
              </w:rPr>
              <w:t>。</w:t>
            </w:r>
          </w:p>
          <w:p w14:paraId="0DA88E23">
            <w:pPr>
              <w:snapToGrid w:val="0"/>
              <w:spacing w:line="400" w:lineRule="exact"/>
              <w:ind w:firstLine="420" w:firstLineChars="200"/>
              <w:rPr>
                <w:rFonts w:ascii="宋体" w:hAnsi="宋体"/>
                <w:szCs w:val="21"/>
              </w:rPr>
            </w:pPr>
            <w:r>
              <w:rPr>
                <w:rFonts w:hint="eastAsia" w:ascii="宋体" w:hAnsi="宋体"/>
                <w:szCs w:val="21"/>
                <w:lang w:val="en-US" w:eastAsia="zh-CN"/>
              </w:rPr>
              <w:t>5</w:t>
            </w:r>
            <w:r>
              <w:rPr>
                <w:rFonts w:ascii="宋体" w:hAnsi="宋体"/>
                <w:szCs w:val="21"/>
              </w:rPr>
              <w:t>.逐单位随机开启</w:t>
            </w:r>
            <w:r>
              <w:rPr>
                <w:rFonts w:hint="eastAsia" w:ascii="宋体" w:hAnsi="宋体"/>
                <w:szCs w:val="21"/>
              </w:rPr>
              <w:t>竞选文件</w:t>
            </w:r>
            <w:r>
              <w:rPr>
                <w:rFonts w:ascii="宋体" w:hAnsi="宋体"/>
                <w:szCs w:val="21"/>
              </w:rPr>
              <w:t>。公布</w:t>
            </w:r>
            <w:r>
              <w:rPr>
                <w:rFonts w:hint="eastAsia" w:ascii="宋体" w:hAnsi="宋体"/>
                <w:szCs w:val="21"/>
              </w:rPr>
              <w:t>竞选人</w:t>
            </w:r>
            <w:r>
              <w:rPr>
                <w:rFonts w:ascii="宋体" w:hAnsi="宋体"/>
                <w:szCs w:val="21"/>
              </w:rPr>
              <w:t>名称、投标报价、工期及其他内容并记录在案</w:t>
            </w:r>
            <w:r>
              <w:rPr>
                <w:rFonts w:hint="eastAsia" w:ascii="宋体" w:hAnsi="宋体"/>
                <w:szCs w:val="21"/>
              </w:rPr>
              <w:t>。</w:t>
            </w:r>
          </w:p>
          <w:p w14:paraId="0F385367">
            <w:pPr>
              <w:numPr>
                <w:ilvl w:val="255"/>
                <w:numId w:val="0"/>
              </w:num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.竞选人对开标有异议的，应当场提出，由比选人或代理机构当场答复，并记录到开标记录表中。异议处理完毕后，汇总开标情况，打印开标记录表。</w:t>
            </w:r>
          </w:p>
          <w:p w14:paraId="4BB0C47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lang w:val="en-US" w:eastAsia="zh-CN"/>
              </w:rPr>
              <w:t>7</w:t>
            </w:r>
            <w:r>
              <w:rPr>
                <w:rFonts w:ascii="宋体" w:hAnsi="宋体"/>
                <w:szCs w:val="21"/>
              </w:rPr>
              <w:t xml:space="preserve">. </w:t>
            </w:r>
            <w:r>
              <w:rPr>
                <w:rFonts w:hint="eastAsia" w:ascii="宋体" w:hAnsi="宋体"/>
                <w:szCs w:val="21"/>
              </w:rPr>
              <w:t>竞选人</w:t>
            </w:r>
            <w:r>
              <w:rPr>
                <w:rFonts w:ascii="宋体" w:hAnsi="宋体"/>
                <w:szCs w:val="21"/>
              </w:rPr>
              <w:t>代表、</w:t>
            </w:r>
            <w:r>
              <w:rPr>
                <w:rFonts w:hint="eastAsia" w:ascii="宋体" w:hAnsi="宋体"/>
                <w:szCs w:val="21"/>
              </w:rPr>
              <w:t>比选人</w:t>
            </w:r>
            <w:r>
              <w:rPr>
                <w:rFonts w:ascii="宋体" w:hAnsi="宋体"/>
                <w:szCs w:val="21"/>
              </w:rPr>
              <w:t>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2C668FF4">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lang w:val="en-US" w:eastAsia="zh-CN"/>
              </w:rPr>
              <w:t>8</w:t>
            </w:r>
            <w:r>
              <w:rPr>
                <w:rFonts w:ascii="宋体" w:hAnsi="宋体"/>
                <w:szCs w:val="21"/>
              </w:rPr>
              <w:t>. 开标结束。</w:t>
            </w:r>
          </w:p>
        </w:tc>
      </w:tr>
      <w:tr w14:paraId="09D80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AE897E">
            <w:pPr>
              <w:snapToGrid w:val="0"/>
              <w:spacing w:line="400" w:lineRule="exact"/>
              <w:ind w:firstLine="211"/>
              <w:jc w:val="center"/>
              <w:rPr>
                <w:rFonts w:ascii="宋体" w:hAnsi="宋体"/>
                <w:kern w:val="0"/>
                <w:szCs w:val="21"/>
              </w:rPr>
            </w:pPr>
            <w:r>
              <w:rPr>
                <w:rFonts w:ascii="宋体" w:hAnsi="宋体"/>
                <w:kern w:val="0"/>
                <w:szCs w:val="21"/>
              </w:rPr>
              <w:t>6.1.1</w:t>
            </w:r>
          </w:p>
        </w:tc>
        <w:tc>
          <w:tcPr>
            <w:tcW w:w="1644" w:type="dxa"/>
            <w:vAlign w:val="center"/>
          </w:tcPr>
          <w:p w14:paraId="2D2D4B2D">
            <w:pPr>
              <w:snapToGrid w:val="0"/>
              <w:spacing w:line="400" w:lineRule="exact"/>
              <w:ind w:firstLine="211"/>
              <w:jc w:val="center"/>
              <w:rPr>
                <w:rFonts w:ascii="宋体" w:hAnsi="宋体"/>
                <w:kern w:val="0"/>
                <w:szCs w:val="21"/>
              </w:rPr>
            </w:pPr>
            <w:r>
              <w:rPr>
                <w:rFonts w:ascii="宋体" w:hAnsi="宋体"/>
                <w:kern w:val="0"/>
                <w:szCs w:val="21"/>
              </w:rPr>
              <w:t>评审小组的组建</w:t>
            </w:r>
          </w:p>
        </w:tc>
        <w:tc>
          <w:tcPr>
            <w:tcW w:w="6490" w:type="dxa"/>
            <w:vAlign w:val="center"/>
          </w:tcPr>
          <w:p w14:paraId="599F77C6">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由比选人依法自行组建评审小组</w:t>
            </w:r>
            <w:r>
              <w:rPr>
                <w:rFonts w:hint="eastAsia" w:ascii="宋体" w:hAnsi="宋体"/>
                <w:kern w:val="0"/>
                <w:szCs w:val="21"/>
              </w:rPr>
              <w:t>。</w:t>
            </w:r>
          </w:p>
        </w:tc>
      </w:tr>
      <w:tr w14:paraId="1C4E2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547ED3">
            <w:pPr>
              <w:snapToGrid w:val="0"/>
              <w:spacing w:line="400" w:lineRule="exact"/>
              <w:ind w:firstLine="211"/>
              <w:jc w:val="center"/>
              <w:rPr>
                <w:rFonts w:ascii="宋体" w:hAnsi="宋体"/>
                <w:kern w:val="0"/>
                <w:szCs w:val="21"/>
              </w:rPr>
            </w:pPr>
            <w:r>
              <w:rPr>
                <w:rFonts w:ascii="宋体" w:hAnsi="宋体"/>
                <w:kern w:val="0"/>
                <w:szCs w:val="21"/>
              </w:rPr>
              <w:t>7.1</w:t>
            </w:r>
          </w:p>
        </w:tc>
        <w:tc>
          <w:tcPr>
            <w:tcW w:w="1644" w:type="dxa"/>
            <w:vAlign w:val="center"/>
          </w:tcPr>
          <w:p w14:paraId="71CDBC0C">
            <w:pPr>
              <w:snapToGrid w:val="0"/>
              <w:spacing w:afterLines="20" w:line="400" w:lineRule="exact"/>
              <w:jc w:val="center"/>
              <w:rPr>
                <w:rFonts w:ascii="宋体" w:hAnsi="宋体"/>
                <w:kern w:val="0"/>
                <w:szCs w:val="21"/>
              </w:rPr>
            </w:pPr>
            <w:r>
              <w:rPr>
                <w:rFonts w:ascii="宋体" w:hAnsi="宋体"/>
                <w:kern w:val="0"/>
                <w:szCs w:val="21"/>
              </w:rPr>
              <w:t>是否授权评审小组确定中标人</w:t>
            </w:r>
          </w:p>
        </w:tc>
        <w:tc>
          <w:tcPr>
            <w:tcW w:w="6490" w:type="dxa"/>
            <w:vAlign w:val="center"/>
          </w:tcPr>
          <w:p w14:paraId="13F8D812">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是</w:t>
            </w:r>
          </w:p>
          <w:p w14:paraId="3B766F69">
            <w:pPr>
              <w:snapToGrid w:val="0"/>
              <w:spacing w:line="400" w:lineRule="exact"/>
              <w:ind w:firstLine="420" w:firstLineChars="200"/>
              <w:rPr>
                <w:rFonts w:ascii="宋体" w:hAnsi="宋体"/>
                <w:i/>
                <w:kern w:val="0"/>
                <w:szCs w:val="21"/>
              </w:rPr>
            </w:pPr>
            <w:r>
              <w:rPr>
                <w:rFonts w:hint="eastAsia" w:ascii="宋体" w:hAnsi="宋体"/>
                <w:kern w:val="0"/>
                <w:szCs w:val="21"/>
              </w:rPr>
              <w:t>☑</w:t>
            </w:r>
            <w:r>
              <w:rPr>
                <w:rFonts w:ascii="宋体" w:hAnsi="宋体"/>
                <w:kern w:val="0"/>
                <w:szCs w:val="21"/>
              </w:rPr>
              <w:t>否，推荐经评审综合得分由高到低排名前三名为中标候选人。</w:t>
            </w:r>
          </w:p>
        </w:tc>
      </w:tr>
      <w:tr w14:paraId="1697B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8AC5EF">
            <w:pPr>
              <w:snapToGrid w:val="0"/>
              <w:spacing w:line="400" w:lineRule="exact"/>
              <w:ind w:firstLine="211"/>
              <w:jc w:val="center"/>
              <w:rPr>
                <w:rFonts w:ascii="宋体" w:hAnsi="宋体"/>
                <w:kern w:val="0"/>
                <w:szCs w:val="21"/>
              </w:rPr>
            </w:pPr>
            <w:r>
              <w:rPr>
                <w:rFonts w:hint="eastAsia" w:ascii="宋体" w:hAnsi="宋体"/>
                <w:kern w:val="0"/>
                <w:szCs w:val="21"/>
              </w:rPr>
              <w:t>7.2</w:t>
            </w:r>
          </w:p>
        </w:tc>
        <w:tc>
          <w:tcPr>
            <w:tcW w:w="1644" w:type="dxa"/>
            <w:vAlign w:val="center"/>
          </w:tcPr>
          <w:p w14:paraId="5F9A5920">
            <w:pPr>
              <w:snapToGrid w:val="0"/>
              <w:spacing w:afterLines="20"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70F9128B">
            <w:pPr>
              <w:snapToGrid w:val="0"/>
              <w:spacing w:line="400" w:lineRule="exact"/>
              <w:ind w:firstLine="420" w:firstLineChars="200"/>
              <w:rPr>
                <w:rFonts w:ascii="宋体" w:hAnsi="宋体" w:cs="宋体"/>
                <w:szCs w:val="21"/>
              </w:rPr>
            </w:pPr>
            <w:r>
              <w:rPr>
                <w:rFonts w:hint="eastAsia" w:ascii="宋体" w:hAnsi="宋体" w:cs="宋体"/>
                <w:szCs w:val="21"/>
              </w:rPr>
              <w:t>比选人在收到评标报告后3日内将评标结果在</w:t>
            </w:r>
            <w:r>
              <w:rPr>
                <w:rFonts w:hint="eastAsia" w:cs="宋体" w:asciiTheme="minorEastAsia" w:hAnsiTheme="minorEastAsia" w:eastAsiaTheme="minorEastAsia"/>
                <w:kern w:val="0"/>
                <w:szCs w:val="21"/>
              </w:rPr>
              <w:t>重庆经开区投资集团官网（http://www.cetzig.com/）</w:t>
            </w:r>
            <w:r>
              <w:rPr>
                <w:rFonts w:hint="eastAsia" w:ascii="宋体" w:hAnsi="宋体" w:cs="宋体"/>
                <w:szCs w:val="21"/>
              </w:rPr>
              <w:t>上进行公示，公示期为1个工作日。</w:t>
            </w:r>
          </w:p>
        </w:tc>
      </w:tr>
      <w:tr w14:paraId="7BE54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3B211C">
            <w:pPr>
              <w:snapToGrid w:val="0"/>
              <w:spacing w:line="400" w:lineRule="exact"/>
              <w:ind w:firstLine="211"/>
              <w:jc w:val="center"/>
              <w:rPr>
                <w:rFonts w:ascii="宋体" w:hAnsi="宋体"/>
                <w:kern w:val="0"/>
                <w:szCs w:val="21"/>
              </w:rPr>
            </w:pPr>
            <w:r>
              <w:rPr>
                <w:rFonts w:ascii="宋体" w:hAnsi="宋体"/>
                <w:kern w:val="0"/>
                <w:szCs w:val="21"/>
              </w:rPr>
              <w:t>8.1</w:t>
            </w:r>
          </w:p>
        </w:tc>
        <w:tc>
          <w:tcPr>
            <w:tcW w:w="1644" w:type="dxa"/>
            <w:vAlign w:val="center"/>
          </w:tcPr>
          <w:p w14:paraId="7ECCE214">
            <w:pPr>
              <w:snapToGrid w:val="0"/>
              <w:spacing w:line="400" w:lineRule="exact"/>
              <w:ind w:firstLine="211"/>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13A1DA64">
            <w:pPr>
              <w:snapToGrid w:val="0"/>
              <w:spacing w:line="400" w:lineRule="exact"/>
              <w:ind w:firstLine="420" w:firstLineChars="200"/>
              <w:rPr>
                <w:rFonts w:ascii="宋体" w:hAnsi="宋体"/>
                <w:kern w:val="0"/>
                <w:szCs w:val="21"/>
              </w:rPr>
            </w:pPr>
            <w:r>
              <w:rPr>
                <w:rFonts w:ascii="宋体" w:hAnsi="宋体"/>
                <w:kern w:val="0"/>
                <w:szCs w:val="21"/>
              </w:rPr>
              <w:t>1.按</w:t>
            </w:r>
            <w:r>
              <w:rPr>
                <w:rFonts w:hint="eastAsia" w:ascii="宋体" w:hAnsi="宋体"/>
                <w:kern w:val="0"/>
                <w:szCs w:val="21"/>
              </w:rPr>
              <w:t>竞选人</w:t>
            </w:r>
            <w:r>
              <w:rPr>
                <w:rFonts w:ascii="宋体" w:hAnsi="宋体"/>
                <w:kern w:val="0"/>
                <w:szCs w:val="21"/>
              </w:rPr>
              <w:t>须知第8.1（1）执行；</w:t>
            </w:r>
          </w:p>
          <w:p w14:paraId="2A3B9A06">
            <w:pPr>
              <w:snapToGrid w:val="0"/>
              <w:spacing w:line="400" w:lineRule="exact"/>
              <w:ind w:firstLine="420" w:firstLineChars="200"/>
              <w:rPr>
                <w:rFonts w:ascii="宋体" w:hAnsi="宋体"/>
                <w:kern w:val="0"/>
                <w:szCs w:val="21"/>
              </w:rPr>
            </w:pPr>
            <w:r>
              <w:rPr>
                <w:rFonts w:ascii="宋体" w:hAnsi="宋体"/>
                <w:kern w:val="0"/>
                <w:szCs w:val="21"/>
              </w:rPr>
              <w:t>2.按</w:t>
            </w:r>
            <w:r>
              <w:rPr>
                <w:rFonts w:hint="eastAsia" w:ascii="宋体" w:hAnsi="宋体"/>
                <w:kern w:val="0"/>
                <w:szCs w:val="21"/>
              </w:rPr>
              <w:t>竞选人</w:t>
            </w:r>
            <w:r>
              <w:rPr>
                <w:rFonts w:ascii="宋体" w:hAnsi="宋体"/>
                <w:kern w:val="0"/>
                <w:szCs w:val="21"/>
              </w:rPr>
              <w:t>须知第8.1（2）执行；</w:t>
            </w:r>
          </w:p>
          <w:p w14:paraId="18A1576D">
            <w:pPr>
              <w:widowControl/>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ascii="宋体" w:hAnsi="宋体"/>
                <w:kern w:val="0"/>
                <w:szCs w:val="21"/>
              </w:rPr>
              <w:t>按</w:t>
            </w:r>
            <w:r>
              <w:rPr>
                <w:rFonts w:hint="eastAsia" w:ascii="宋体" w:hAnsi="宋体"/>
                <w:kern w:val="0"/>
                <w:szCs w:val="21"/>
              </w:rPr>
              <w:t>竞选人</w:t>
            </w:r>
            <w:r>
              <w:rPr>
                <w:rFonts w:ascii="宋体" w:hAnsi="宋体"/>
                <w:kern w:val="0"/>
                <w:szCs w:val="21"/>
              </w:rPr>
              <w:t>须知第8.1（3）执行；</w:t>
            </w:r>
          </w:p>
          <w:p w14:paraId="1CA12DD6">
            <w:pPr>
              <w:widowControl/>
              <w:spacing w:afterLines="20"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w:t>
            </w:r>
            <w:r>
              <w:rPr>
                <w:rFonts w:hint="eastAsia" w:ascii="宋体" w:hAnsi="宋体"/>
                <w:kern w:val="0"/>
                <w:szCs w:val="21"/>
              </w:rPr>
              <w:t>竞选人</w:t>
            </w:r>
            <w:r>
              <w:rPr>
                <w:rFonts w:ascii="宋体" w:hAnsi="宋体"/>
                <w:kern w:val="0"/>
                <w:szCs w:val="21"/>
              </w:rPr>
              <w:t>须知第8.1（4）执行</w:t>
            </w:r>
            <w:r>
              <w:rPr>
                <w:rFonts w:hint="eastAsia" w:ascii="宋体" w:hAnsi="宋体"/>
                <w:kern w:val="0"/>
                <w:szCs w:val="21"/>
              </w:rPr>
              <w:t>。</w:t>
            </w:r>
          </w:p>
          <w:p w14:paraId="61181E51">
            <w:pPr>
              <w:widowControl/>
              <w:spacing w:afterLines="20" w:line="400" w:lineRule="exact"/>
              <w:ind w:firstLine="420" w:firstLineChars="200"/>
              <w:rPr>
                <w:rFonts w:ascii="宋体" w:hAnsi="宋体"/>
                <w:kern w:val="0"/>
                <w:szCs w:val="21"/>
              </w:rPr>
            </w:pPr>
            <w:r>
              <w:rPr>
                <w:rFonts w:hint="eastAsia" w:ascii="宋体" w:hAnsi="宋体"/>
                <w:kern w:val="0"/>
                <w:szCs w:val="21"/>
              </w:rPr>
              <w:t>注：本款只适用于首次招标。</w:t>
            </w:r>
          </w:p>
        </w:tc>
      </w:tr>
      <w:tr w14:paraId="4F30B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B72ADB">
            <w:pPr>
              <w:snapToGrid w:val="0"/>
              <w:spacing w:line="400" w:lineRule="exact"/>
              <w:ind w:firstLine="211"/>
              <w:jc w:val="center"/>
              <w:rPr>
                <w:rFonts w:ascii="宋体" w:hAnsi="宋体"/>
                <w:kern w:val="0"/>
                <w:szCs w:val="21"/>
              </w:rPr>
            </w:pPr>
            <w:r>
              <w:rPr>
                <w:rFonts w:ascii="宋体" w:hAnsi="宋体"/>
                <w:kern w:val="0"/>
                <w:szCs w:val="21"/>
              </w:rPr>
              <w:t>8.2</w:t>
            </w:r>
          </w:p>
        </w:tc>
        <w:tc>
          <w:tcPr>
            <w:tcW w:w="1644" w:type="dxa"/>
            <w:vAlign w:val="center"/>
          </w:tcPr>
          <w:p w14:paraId="6D4A2FD3">
            <w:pPr>
              <w:snapToGrid w:val="0"/>
              <w:spacing w:line="400" w:lineRule="exact"/>
              <w:ind w:firstLine="211"/>
              <w:jc w:val="center"/>
            </w:pPr>
            <w:bookmarkStart w:id="107" w:name="_Toc536628250"/>
            <w:bookmarkStart w:id="108" w:name="_Toc509218709"/>
            <w:bookmarkStart w:id="109" w:name="_Toc16930431"/>
            <w:bookmarkStart w:id="110" w:name="_Toc13210670"/>
            <w:bookmarkStart w:id="111" w:name="_Toc430530434"/>
            <w:r>
              <w:rPr>
                <w:rFonts w:hint="eastAsia" w:ascii="宋体" w:hAnsi="宋体"/>
                <w:kern w:val="0"/>
                <w:szCs w:val="21"/>
              </w:rPr>
              <w:t>重新</w:t>
            </w:r>
            <w:r>
              <w:rPr>
                <w:rFonts w:ascii="宋体" w:hAnsi="宋体"/>
                <w:kern w:val="0"/>
                <w:szCs w:val="21"/>
              </w:rPr>
              <w:t>招标和不再招标</w:t>
            </w:r>
            <w:bookmarkEnd w:id="107"/>
            <w:bookmarkEnd w:id="108"/>
            <w:bookmarkEnd w:id="109"/>
            <w:bookmarkEnd w:id="110"/>
            <w:bookmarkEnd w:id="111"/>
          </w:p>
        </w:tc>
        <w:tc>
          <w:tcPr>
            <w:tcW w:w="6490" w:type="dxa"/>
            <w:vAlign w:val="center"/>
          </w:tcPr>
          <w:p w14:paraId="5660EF81">
            <w:pPr>
              <w:autoSpaceDE w:val="0"/>
              <w:autoSpaceDN w:val="0"/>
              <w:adjustRightInd w:val="0"/>
              <w:snapToGrid w:val="0"/>
              <w:spacing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14:paraId="5108D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0E099B">
            <w:pPr>
              <w:snapToGrid w:val="0"/>
              <w:spacing w:line="400" w:lineRule="exact"/>
              <w:ind w:firstLine="211"/>
              <w:jc w:val="center"/>
              <w:rPr>
                <w:rFonts w:ascii="宋体" w:hAnsi="宋体"/>
                <w:kern w:val="0"/>
                <w:szCs w:val="21"/>
              </w:rPr>
            </w:pPr>
            <w:r>
              <w:rPr>
                <w:rFonts w:ascii="宋体" w:hAnsi="宋体"/>
                <w:kern w:val="0"/>
                <w:szCs w:val="21"/>
              </w:rPr>
              <w:t>10</w:t>
            </w:r>
          </w:p>
        </w:tc>
        <w:tc>
          <w:tcPr>
            <w:tcW w:w="8134" w:type="dxa"/>
            <w:gridSpan w:val="2"/>
            <w:vAlign w:val="center"/>
          </w:tcPr>
          <w:p w14:paraId="043B7BAA">
            <w:pPr>
              <w:snapToGrid w:val="0"/>
              <w:spacing w:line="400" w:lineRule="exact"/>
              <w:ind w:firstLine="211"/>
              <w:jc w:val="center"/>
              <w:rPr>
                <w:rFonts w:ascii="宋体" w:hAnsi="宋体"/>
                <w:kern w:val="0"/>
                <w:szCs w:val="21"/>
              </w:rPr>
            </w:pPr>
            <w:r>
              <w:rPr>
                <w:rFonts w:ascii="宋体" w:hAnsi="宋体"/>
                <w:kern w:val="0"/>
                <w:szCs w:val="21"/>
              </w:rPr>
              <w:t>需要补充的其他内容</w:t>
            </w:r>
          </w:p>
        </w:tc>
      </w:tr>
      <w:tr w14:paraId="30F91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3EE820">
            <w:pPr>
              <w:spacing w:line="360" w:lineRule="auto"/>
              <w:ind w:firstLine="211"/>
              <w:jc w:val="center"/>
              <w:rPr>
                <w:rFonts w:ascii="宋体" w:hAnsi="宋体" w:cs="宋体"/>
                <w:szCs w:val="21"/>
              </w:rPr>
            </w:pPr>
            <w:r>
              <w:rPr>
                <w:rFonts w:hint="eastAsia" w:asciiTheme="minorEastAsia" w:hAnsiTheme="minorEastAsia" w:eastAsiaTheme="minorEastAsia" w:cstheme="minorEastAsia"/>
                <w:szCs w:val="21"/>
              </w:rPr>
              <w:t>10.1</w:t>
            </w:r>
          </w:p>
        </w:tc>
        <w:tc>
          <w:tcPr>
            <w:tcW w:w="1644" w:type="dxa"/>
            <w:vAlign w:val="center"/>
          </w:tcPr>
          <w:p w14:paraId="773E8D8B">
            <w:pPr>
              <w:spacing w:line="360" w:lineRule="auto"/>
              <w:ind w:firstLine="211"/>
              <w:jc w:val="center"/>
              <w:rPr>
                <w:rFonts w:ascii="宋体" w:hAnsi="宋体" w:cs="宋体"/>
                <w:kern w:val="0"/>
                <w:szCs w:val="21"/>
              </w:rPr>
            </w:pPr>
            <w:r>
              <w:rPr>
                <w:rFonts w:hint="eastAsia" w:asciiTheme="minorEastAsia" w:hAnsiTheme="minorEastAsia" w:eastAsiaTheme="minorEastAsia" w:cstheme="minorEastAsia"/>
                <w:szCs w:val="21"/>
              </w:rPr>
              <w:t>结算及支付</w:t>
            </w:r>
          </w:p>
        </w:tc>
        <w:tc>
          <w:tcPr>
            <w:tcW w:w="6490" w:type="dxa"/>
          </w:tcPr>
          <w:p w14:paraId="4EAE4AFD">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14:paraId="08EA16FA">
            <w:pPr>
              <w:spacing w:line="360" w:lineRule="auto"/>
              <w:ind w:firstLine="420" w:firstLineChars="200"/>
              <w:rPr>
                <w:rFonts w:hint="default" w:asciiTheme="minorEastAsia" w:hAnsiTheme="minorEastAsia" w:eastAsiaTheme="minorEastAsia" w:cstheme="minorEastAsia"/>
                <w:bCs/>
                <w:kern w:val="0"/>
                <w:szCs w:val="21"/>
                <w:highlight w:val="none"/>
                <w:lang w:val="en-US" w:eastAsia="zh-CN"/>
              </w:rPr>
            </w:pPr>
            <w:r>
              <w:rPr>
                <w:rFonts w:hint="eastAsia" w:asciiTheme="minorEastAsia" w:hAnsiTheme="minorEastAsia" w:eastAsiaTheme="minorEastAsia" w:cstheme="minorEastAsia"/>
                <w:bCs/>
                <w:kern w:val="0"/>
                <w:szCs w:val="21"/>
                <w:highlight w:val="none"/>
              </w:rPr>
              <w:t>结算金额=</w:t>
            </w:r>
            <w:r>
              <w:rPr>
                <w:rFonts w:hint="eastAsia" w:asciiTheme="minorEastAsia" w:hAnsiTheme="minorEastAsia" w:eastAsiaTheme="minorEastAsia" w:cstheme="minorEastAsia"/>
                <w:bCs/>
                <w:kern w:val="0"/>
                <w:szCs w:val="21"/>
                <w:highlight w:val="none"/>
                <w:lang w:val="en-US" w:eastAsia="zh-CN"/>
              </w:rPr>
              <w:t>中标金额</w:t>
            </w:r>
          </w:p>
          <w:p w14:paraId="51960A27">
            <w:pPr>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cs="宋体"/>
                <w:b/>
                <w:bCs/>
                <w:kern w:val="0"/>
                <w:szCs w:val="21"/>
                <w:highlight w:val="none"/>
              </w:rPr>
              <w:t>支付方式：</w:t>
            </w:r>
            <w:r>
              <w:rPr>
                <w:rFonts w:hint="eastAsia" w:ascii="宋体" w:hAnsi="宋体" w:cs="宋体"/>
                <w:b/>
                <w:bCs/>
                <w:kern w:val="0"/>
                <w:szCs w:val="21"/>
                <w:highlight w:val="none"/>
                <w:lang w:val="en-US" w:eastAsia="zh-CN"/>
              </w:rPr>
              <w:t>合同签订后</w:t>
            </w:r>
            <w:r>
              <w:rPr>
                <w:rFonts w:hint="eastAsia" w:ascii="宋体" w:hAnsi="宋体" w:cs="宋体"/>
                <w:b/>
                <w:bCs/>
                <w:kern w:val="0"/>
                <w:szCs w:val="21"/>
                <w:highlight w:val="none"/>
              </w:rPr>
              <w:t>5日内</w:t>
            </w:r>
            <w:r>
              <w:rPr>
                <w:rFonts w:hint="eastAsia" w:ascii="宋体" w:hAnsi="宋体" w:cs="宋体"/>
                <w:b/>
                <w:bCs/>
                <w:kern w:val="0"/>
                <w:szCs w:val="21"/>
                <w:highlight w:val="none"/>
                <w:lang w:eastAsia="zh-CN"/>
              </w:rPr>
              <w:t>，</w:t>
            </w:r>
            <w:r>
              <w:rPr>
                <w:rFonts w:hint="eastAsia" w:ascii="宋体" w:hAnsi="宋体" w:cs="宋体"/>
                <w:b/>
                <w:bCs/>
                <w:kern w:val="0"/>
                <w:szCs w:val="21"/>
                <w:highlight w:val="none"/>
              </w:rPr>
              <w:t>并在</w:t>
            </w:r>
            <w:r>
              <w:rPr>
                <w:rFonts w:hint="eastAsia" w:ascii="宋体" w:hAnsi="宋体" w:cs="宋体"/>
                <w:b/>
                <w:bCs/>
                <w:kern w:val="0"/>
                <w:szCs w:val="21"/>
                <w:highlight w:val="none"/>
                <w:lang w:val="en-US" w:eastAsia="zh-CN"/>
              </w:rPr>
              <w:t>中标人</w:t>
            </w:r>
            <w:r>
              <w:rPr>
                <w:rFonts w:hint="eastAsia" w:ascii="宋体" w:hAnsi="宋体" w:cs="宋体"/>
                <w:b/>
                <w:bCs/>
                <w:kern w:val="0"/>
                <w:szCs w:val="21"/>
                <w:highlight w:val="none"/>
              </w:rPr>
              <w:t>进场前将</w:t>
            </w:r>
            <w:r>
              <w:rPr>
                <w:rFonts w:hint="eastAsia" w:ascii="宋体" w:hAnsi="宋体" w:cs="宋体"/>
                <w:b/>
                <w:bCs/>
                <w:kern w:val="0"/>
                <w:szCs w:val="21"/>
                <w:highlight w:val="none"/>
                <w:lang w:val="en-US" w:eastAsia="zh-CN"/>
              </w:rPr>
              <w:t>当年</w:t>
            </w:r>
            <w:r>
              <w:rPr>
                <w:rFonts w:hint="eastAsia" w:ascii="宋体" w:hAnsi="宋体" w:cs="宋体"/>
                <w:b/>
                <w:bCs/>
                <w:kern w:val="0"/>
                <w:szCs w:val="21"/>
                <w:highlight w:val="none"/>
                <w:lang w:val="en-US" w:eastAsia="zh-CN"/>
              </w:rPr>
              <w:t>服务</w:t>
            </w:r>
            <w:r>
              <w:rPr>
                <w:rFonts w:hint="eastAsia" w:ascii="宋体" w:hAnsi="宋体" w:cs="宋体"/>
                <w:b/>
                <w:bCs/>
                <w:kern w:val="0"/>
                <w:szCs w:val="21"/>
                <w:highlight w:val="none"/>
              </w:rPr>
              <w:t>费用一次性全额支付给</w:t>
            </w:r>
            <w:r>
              <w:rPr>
                <w:rFonts w:hint="eastAsia" w:ascii="宋体" w:hAnsi="宋体" w:cs="宋体"/>
                <w:b/>
                <w:bCs/>
                <w:kern w:val="0"/>
                <w:szCs w:val="21"/>
                <w:highlight w:val="none"/>
                <w:lang w:val="en-US" w:eastAsia="zh-CN"/>
              </w:rPr>
              <w:t>中标人。</w:t>
            </w:r>
          </w:p>
          <w:p w14:paraId="5995BF3A">
            <w:pPr>
              <w:widowControl/>
              <w:spacing w:line="400" w:lineRule="exact"/>
              <w:ind w:firstLine="422" w:firstLineChars="200"/>
            </w:pPr>
            <w:r>
              <w:rPr>
                <w:rFonts w:hint="eastAsia" w:ascii="宋体" w:hAnsi="宋体"/>
                <w:b/>
                <w:bCs/>
                <w:kern w:val="0"/>
                <w:szCs w:val="21"/>
                <w:highlight w:val="none"/>
              </w:rPr>
              <w:t>具体详见合同条款。</w:t>
            </w:r>
          </w:p>
        </w:tc>
      </w:tr>
      <w:tr w14:paraId="2D2B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8DCDB2">
            <w:pPr>
              <w:snapToGrid w:val="0"/>
              <w:spacing w:line="400" w:lineRule="exact"/>
              <w:ind w:firstLine="211"/>
              <w:jc w:val="center"/>
              <w:rPr>
                <w:rFonts w:ascii="宋体" w:hAnsi="宋体"/>
                <w:kern w:val="0"/>
                <w:szCs w:val="21"/>
              </w:rPr>
            </w:pPr>
            <w:r>
              <w:rPr>
                <w:rFonts w:ascii="宋体" w:hAnsi="宋体"/>
                <w:kern w:val="0"/>
                <w:szCs w:val="21"/>
              </w:rPr>
              <w:t>10.</w:t>
            </w:r>
            <w:r>
              <w:rPr>
                <w:rFonts w:hint="eastAsia" w:ascii="宋体" w:hAnsi="宋体"/>
                <w:kern w:val="0"/>
                <w:szCs w:val="21"/>
              </w:rPr>
              <w:t>4</w:t>
            </w:r>
          </w:p>
        </w:tc>
        <w:tc>
          <w:tcPr>
            <w:tcW w:w="1644" w:type="dxa"/>
            <w:vAlign w:val="center"/>
          </w:tcPr>
          <w:p w14:paraId="10EA0AA2">
            <w:pPr>
              <w:snapToGrid w:val="0"/>
              <w:spacing w:line="400" w:lineRule="exact"/>
              <w:ind w:firstLine="211"/>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3DC1B53B">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竞选人</w:t>
            </w:r>
            <w:r>
              <w:rPr>
                <w:rFonts w:ascii="宋体" w:hAnsi="宋体"/>
                <w:kern w:val="0"/>
                <w:szCs w:val="21"/>
              </w:rPr>
              <w:t>或者其他利害关系人就本项目的招标文件</w:t>
            </w:r>
            <w:r>
              <w:rPr>
                <w:rFonts w:hint="eastAsia" w:ascii="宋体" w:hAnsi="宋体"/>
                <w:kern w:val="0"/>
                <w:szCs w:val="21"/>
              </w:rPr>
              <w:t>（含澄清修改）、开标情况、</w:t>
            </w:r>
            <w:r>
              <w:rPr>
                <w:rFonts w:ascii="宋体" w:hAnsi="宋体"/>
                <w:kern w:val="0"/>
                <w:szCs w:val="21"/>
              </w:rPr>
              <w:t>评标结果等事项提出异议或投诉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rPr>
              <w:t>比选人</w:t>
            </w:r>
            <w:r>
              <w:rPr>
                <w:rFonts w:ascii="宋体" w:hAnsi="宋体"/>
                <w:kern w:val="0"/>
                <w:szCs w:val="21"/>
              </w:rPr>
              <w:t>提出异议；</w:t>
            </w:r>
            <w:r>
              <w:rPr>
                <w:rFonts w:hint="eastAsia" w:ascii="宋体" w:hAnsi="宋体"/>
                <w:kern w:val="0"/>
                <w:szCs w:val="21"/>
              </w:rPr>
              <w:t>比选人</w:t>
            </w:r>
            <w:r>
              <w:rPr>
                <w:rFonts w:ascii="宋体" w:hAnsi="宋体"/>
                <w:kern w:val="0"/>
                <w:szCs w:val="21"/>
              </w:rPr>
              <w:t>应当在规定时间内答复；对</w:t>
            </w:r>
            <w:r>
              <w:rPr>
                <w:rFonts w:hint="eastAsia" w:ascii="宋体" w:hAnsi="宋体"/>
                <w:kern w:val="0"/>
                <w:szCs w:val="21"/>
              </w:rPr>
              <w:t>比选人</w:t>
            </w:r>
            <w:r>
              <w:rPr>
                <w:rFonts w:ascii="宋体" w:hAnsi="宋体"/>
                <w:kern w:val="0"/>
                <w:szCs w:val="21"/>
              </w:rPr>
              <w:t>的答复不满意，可向行政监督部门投诉。</w:t>
            </w:r>
          </w:p>
          <w:p w14:paraId="79E9718A">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75115051">
            <w:pPr>
              <w:widowControl/>
              <w:spacing w:line="400" w:lineRule="exact"/>
              <w:ind w:firstLine="420" w:firstLineChars="200"/>
              <w:rPr>
                <w:rFonts w:ascii="宋体" w:hAnsi="宋体"/>
                <w:kern w:val="0"/>
                <w:szCs w:val="21"/>
              </w:rPr>
            </w:pPr>
            <w:r>
              <w:rPr>
                <w:rFonts w:hint="eastAsia" w:ascii="宋体" w:hAnsi="宋体"/>
                <w:kern w:val="0"/>
                <w:szCs w:val="21"/>
              </w:rPr>
              <w:t>（1）异议人或投诉人的名称、地址及有效联系方式；</w:t>
            </w:r>
          </w:p>
          <w:p w14:paraId="31B0EDC8">
            <w:pPr>
              <w:widowControl/>
              <w:spacing w:line="400" w:lineRule="exact"/>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7E3ACA7D">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14:paraId="33682FA2">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14:paraId="449C90D3">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14:paraId="6D01173D">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C1F9936">
            <w:pPr>
              <w:widowControl/>
              <w:spacing w:line="400" w:lineRule="exact"/>
              <w:ind w:firstLine="420" w:firstLineChars="200"/>
              <w:rPr>
                <w:rFonts w:ascii="宋体" w:hAnsi="宋体"/>
                <w:kern w:val="0"/>
                <w:szCs w:val="21"/>
              </w:rPr>
            </w:pPr>
            <w:r>
              <w:rPr>
                <w:rFonts w:ascii="宋体" w:hAnsi="宋体"/>
                <w:kern w:val="0"/>
                <w:szCs w:val="21"/>
              </w:rPr>
              <w:t>2.行政监督部门依照《</w:t>
            </w:r>
            <w:r>
              <w:rPr>
                <w:rFonts w:hint="eastAsia" w:ascii="宋体" w:hAnsi="宋体"/>
                <w:kern w:val="0"/>
                <w:szCs w:val="21"/>
              </w:rPr>
              <w:t>中华人民共和国</w:t>
            </w:r>
            <w:r>
              <w:rPr>
                <w:rFonts w:ascii="宋体" w:hAnsi="宋体"/>
                <w:kern w:val="0"/>
                <w:szCs w:val="21"/>
              </w:rPr>
              <w:t>招标投标法》、《</w:t>
            </w:r>
            <w:r>
              <w:rPr>
                <w:rFonts w:hint="eastAsia" w:ascii="宋体" w:hAnsi="宋体"/>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w:t>
            </w:r>
            <w:r>
              <w:rPr>
                <w:rFonts w:hint="eastAsia" w:ascii="宋体" w:hAnsi="宋体" w:cs="宋体"/>
                <w:kern w:val="0"/>
                <w:szCs w:val="21"/>
              </w:rPr>
              <w:t>《关于印发&lt;重庆市招标投标活动投诉处理实施细则（修订）&gt;的通知》（渝公管发〔2021〕54号）</w:t>
            </w:r>
            <w:r>
              <w:rPr>
                <w:rFonts w:ascii="宋体" w:hAnsi="宋体"/>
                <w:kern w:val="0"/>
                <w:szCs w:val="21"/>
              </w:rPr>
              <w:t>等法律法规文件处理投诉。</w:t>
            </w:r>
          </w:p>
          <w:p w14:paraId="5D12B19F">
            <w:pPr>
              <w:snapToGrid w:val="0"/>
              <w:spacing w:afterLines="40" w:line="400" w:lineRule="exact"/>
              <w:ind w:firstLine="420" w:firstLineChars="200"/>
              <w:rPr>
                <w:rFonts w:ascii="宋体" w:hAnsi="宋体"/>
                <w:kern w:val="0"/>
                <w:szCs w:val="21"/>
              </w:rPr>
            </w:pPr>
            <w:r>
              <w:rPr>
                <w:rFonts w:hint="eastAsia" w:ascii="宋体" w:hAnsi="宋体"/>
                <w:kern w:val="0"/>
                <w:szCs w:val="21"/>
              </w:rPr>
              <w:t>3. 根据《重庆市工程建设领域招标投标信用管理暂行办法》的规定，竞选人捏造事实、伪造材料，或者以非法手段获取证明材料进行质疑或者投诉的，将被列入黑名单管理；</w:t>
            </w:r>
            <w:r>
              <w:rPr>
                <w:rFonts w:ascii="宋体" w:hAnsi="宋体"/>
                <w:kern w:val="0"/>
                <w:szCs w:val="21"/>
              </w:rPr>
              <w:t>给他人造成损失的，依法承担赔偿责任。</w:t>
            </w:r>
          </w:p>
          <w:p w14:paraId="284D3641">
            <w:pPr>
              <w:widowControl/>
              <w:spacing w:line="400" w:lineRule="exact"/>
              <w:ind w:firstLine="420" w:firstLineChars="200"/>
              <w:rPr>
                <w:rFonts w:ascii="宋体" w:hAnsi="宋体"/>
                <w:kern w:val="0"/>
                <w:szCs w:val="21"/>
              </w:rPr>
            </w:pPr>
            <w:r>
              <w:rPr>
                <w:rFonts w:hint="eastAsia" w:ascii="宋体" w:hAnsi="宋体"/>
                <w:kern w:val="0"/>
                <w:szCs w:val="21"/>
              </w:rPr>
              <w:t>4.异议受理单位：重庆经开区投资集团有限公司</w:t>
            </w:r>
          </w:p>
          <w:p w14:paraId="470481F0">
            <w:pPr>
              <w:widowControl/>
              <w:spacing w:line="400" w:lineRule="exact"/>
              <w:ind w:firstLine="630" w:firstLineChars="300"/>
              <w:rPr>
                <w:rFonts w:ascii="宋体" w:hAnsi="宋体"/>
                <w:kern w:val="0"/>
                <w:szCs w:val="21"/>
              </w:rPr>
            </w:pPr>
            <w:r>
              <w:rPr>
                <w:rFonts w:hint="eastAsia" w:ascii="宋体" w:hAnsi="宋体"/>
                <w:kern w:val="0"/>
                <w:szCs w:val="21"/>
              </w:rPr>
              <w:t>联系电话：62637528</w:t>
            </w:r>
          </w:p>
        </w:tc>
      </w:tr>
      <w:tr w14:paraId="6C5DD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194BBD">
            <w:pPr>
              <w:snapToGrid w:val="0"/>
              <w:spacing w:line="400" w:lineRule="exact"/>
              <w:ind w:firstLine="211"/>
              <w:jc w:val="center"/>
              <w:rPr>
                <w:rFonts w:ascii="宋体" w:hAnsi="宋体"/>
                <w:kern w:val="0"/>
                <w:szCs w:val="21"/>
              </w:rPr>
            </w:pPr>
            <w:r>
              <w:rPr>
                <w:rFonts w:hint="eastAsia" w:ascii="宋体" w:hAnsi="宋体"/>
                <w:kern w:val="0"/>
                <w:szCs w:val="21"/>
              </w:rPr>
              <w:t>10.5</w:t>
            </w:r>
          </w:p>
        </w:tc>
        <w:tc>
          <w:tcPr>
            <w:tcW w:w="1644" w:type="dxa"/>
            <w:vAlign w:val="center"/>
          </w:tcPr>
          <w:p w14:paraId="181C7037">
            <w:pPr>
              <w:snapToGrid w:val="0"/>
              <w:spacing w:line="400" w:lineRule="exact"/>
              <w:ind w:firstLine="211"/>
              <w:jc w:val="center"/>
              <w:rPr>
                <w:rFonts w:ascii="宋体" w:hAnsi="宋体"/>
                <w:kern w:val="0"/>
                <w:szCs w:val="21"/>
              </w:rPr>
            </w:pPr>
            <w:r>
              <w:rPr>
                <w:rFonts w:hint="eastAsia" w:ascii="宋体" w:hAnsi="宋体"/>
                <w:kern w:val="0"/>
                <w:szCs w:val="21"/>
              </w:rPr>
              <w:t>关于对比选文件及投标争议的解释</w:t>
            </w:r>
          </w:p>
        </w:tc>
        <w:tc>
          <w:tcPr>
            <w:tcW w:w="6490" w:type="dxa"/>
            <w:vAlign w:val="center"/>
          </w:tcPr>
          <w:p w14:paraId="31914FB0">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对资格预审文件或者比选文件的评标标准和方法，以及资格审查和否决投标条款理解有争议的，应当作出不利于比选人的解释，但违背国家利益、社会公共利益的除外。</w:t>
            </w:r>
          </w:p>
          <w:p w14:paraId="7BB237A2">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对竞选文件理解有争议的，应当作出不利于提交该竞选文件的竞选人的解释。</w:t>
            </w:r>
          </w:p>
        </w:tc>
      </w:tr>
    </w:tbl>
    <w:p w14:paraId="437216F4">
      <w:pPr>
        <w:pStyle w:val="3"/>
        <w:spacing w:before="0" w:after="0" w:line="200" w:lineRule="exact"/>
        <w:ind w:firstLine="320"/>
        <w:rPr>
          <w:rFonts w:ascii="宋体" w:hAnsi="宋体"/>
          <w:b w:val="0"/>
          <w:snapToGrid w:val="0"/>
        </w:rPr>
      </w:pPr>
      <w:bookmarkStart w:id="112" w:name="_Toc287620685"/>
      <w:bookmarkStart w:id="113" w:name="_Toc200513126"/>
      <w:bookmarkStart w:id="114" w:name="_Toc430530435"/>
      <w:bookmarkStart w:id="115" w:name="_Toc224103317"/>
      <w:bookmarkStart w:id="116" w:name="_Toc287607746"/>
      <w:bookmarkStart w:id="117" w:name="_Toc277082552"/>
    </w:p>
    <w:bookmarkEnd w:id="112"/>
    <w:bookmarkEnd w:id="113"/>
    <w:bookmarkEnd w:id="114"/>
    <w:bookmarkEnd w:id="115"/>
    <w:bookmarkEnd w:id="116"/>
    <w:bookmarkEnd w:id="117"/>
    <w:p w14:paraId="503E32FC">
      <w:pPr>
        <w:pStyle w:val="4"/>
        <w:spacing w:before="0" w:after="0" w:line="360" w:lineRule="auto"/>
        <w:rPr>
          <w:rFonts w:ascii="宋体" w:hAnsi="宋体" w:cs="宋体"/>
          <w:sz w:val="21"/>
          <w:szCs w:val="21"/>
        </w:rPr>
        <w:sectPr>
          <w:pgSz w:w="11906" w:h="16838"/>
          <w:pgMar w:top="1134" w:right="1418" w:bottom="1134" w:left="1418" w:header="851" w:footer="992" w:gutter="0"/>
          <w:cols w:space="720" w:num="1"/>
          <w:docGrid w:type="lines" w:linePitch="312" w:charSpace="0"/>
        </w:sectPr>
      </w:pPr>
      <w:bookmarkStart w:id="118" w:name="_Toc19008"/>
    </w:p>
    <w:p w14:paraId="3A2D9B3D">
      <w:pPr>
        <w:pStyle w:val="4"/>
        <w:spacing w:before="0" w:after="0" w:line="360" w:lineRule="auto"/>
        <w:rPr>
          <w:rFonts w:ascii="宋体" w:hAnsi="宋体" w:cs="宋体"/>
          <w:sz w:val="21"/>
          <w:szCs w:val="21"/>
        </w:rPr>
      </w:pPr>
      <w:r>
        <w:rPr>
          <w:rFonts w:hint="eastAsia" w:ascii="宋体" w:hAnsi="宋体" w:cs="宋体"/>
          <w:sz w:val="21"/>
          <w:szCs w:val="21"/>
        </w:rPr>
        <w:t>1.总则</w:t>
      </w:r>
      <w:bookmarkEnd w:id="118"/>
    </w:p>
    <w:p w14:paraId="0BF04932">
      <w:pPr>
        <w:pStyle w:val="4"/>
        <w:spacing w:before="0" w:after="0" w:line="360" w:lineRule="auto"/>
        <w:rPr>
          <w:rFonts w:ascii="宋体" w:hAnsi="宋体" w:cs="宋体"/>
          <w:sz w:val="21"/>
          <w:szCs w:val="21"/>
        </w:rPr>
      </w:pPr>
      <w:bookmarkStart w:id="119" w:name="_Toc293756837"/>
      <w:bookmarkStart w:id="120" w:name="_Toc9752"/>
      <w:bookmarkStart w:id="121" w:name="_Toc293756840"/>
      <w:r>
        <w:rPr>
          <w:rFonts w:hint="eastAsia" w:ascii="宋体" w:hAnsi="宋体" w:cs="宋体"/>
          <w:sz w:val="21"/>
          <w:szCs w:val="21"/>
        </w:rPr>
        <w:t>1.1 项目概况</w:t>
      </w:r>
      <w:bookmarkEnd w:id="119"/>
      <w:bookmarkEnd w:id="120"/>
    </w:p>
    <w:p w14:paraId="537FB892">
      <w:pPr>
        <w:ind w:firstLine="210" w:firstLineChars="100"/>
      </w:pPr>
      <w:bookmarkStart w:id="122" w:name="_Toc5437"/>
      <w:bookmarkStart w:id="123" w:name="_Toc293756838"/>
      <w:r>
        <w:rPr>
          <w:rFonts w:hint="eastAsia"/>
        </w:rPr>
        <w:t>1.1.1根据《中华人民共和国招标投标法》等有关法律、法规和规章的规定，本招标项目已具备比选条件，现进行比选。</w:t>
      </w:r>
    </w:p>
    <w:p w14:paraId="47175D7A">
      <w:pPr>
        <w:ind w:firstLine="210" w:firstLineChars="100"/>
      </w:pPr>
      <w:r>
        <w:rPr>
          <w:rFonts w:hint="eastAsia"/>
        </w:rPr>
        <w:t>1.1.2 本比选项目比选人、比选代理机构、项目名称、项目地点：见投标人须知前附表。</w:t>
      </w:r>
    </w:p>
    <w:p w14:paraId="356E673D">
      <w:pPr>
        <w:ind w:firstLine="210" w:firstLineChars="100"/>
      </w:pPr>
      <w:r>
        <w:rPr>
          <w:rFonts w:hint="eastAsia"/>
        </w:rPr>
        <w:t>1.1.3  本招标项目比选代理机构：见投标人须知前附表。</w:t>
      </w:r>
    </w:p>
    <w:p w14:paraId="7196080D">
      <w:pPr>
        <w:ind w:firstLine="210" w:firstLineChars="100"/>
      </w:pPr>
      <w:r>
        <w:rPr>
          <w:rFonts w:hint="eastAsia"/>
        </w:rPr>
        <w:t>1.1.4  本招标项目名称：见投标人须知前附表。</w:t>
      </w:r>
    </w:p>
    <w:p w14:paraId="56AE5142">
      <w:pPr>
        <w:ind w:firstLine="210" w:firstLineChars="100"/>
      </w:pPr>
      <w:r>
        <w:rPr>
          <w:rFonts w:hint="eastAsia"/>
        </w:rPr>
        <w:t>1.1.5  本招标项目地点：见投标人须知前附表。</w:t>
      </w:r>
    </w:p>
    <w:p w14:paraId="38EAB83F">
      <w:pPr>
        <w:ind w:firstLine="210" w:firstLineChars="100"/>
      </w:pPr>
      <w:r>
        <w:rPr>
          <w:rFonts w:hint="eastAsia"/>
        </w:rPr>
        <w:t>1.1.6  本招标项目概况：见投标人须知前附表。</w:t>
      </w:r>
    </w:p>
    <w:p w14:paraId="5207A371">
      <w:pPr>
        <w:pStyle w:val="4"/>
        <w:spacing w:before="0" w:after="0" w:line="360" w:lineRule="auto"/>
        <w:rPr>
          <w:rFonts w:ascii="宋体" w:hAnsi="宋体" w:cs="宋体"/>
          <w:sz w:val="21"/>
          <w:szCs w:val="21"/>
        </w:rPr>
      </w:pPr>
      <w:r>
        <w:rPr>
          <w:rFonts w:hint="eastAsia" w:ascii="宋体" w:hAnsi="宋体" w:cs="宋体"/>
          <w:sz w:val="21"/>
          <w:szCs w:val="21"/>
        </w:rPr>
        <w:t>1.2 资金来源和落实情况</w:t>
      </w:r>
      <w:bookmarkEnd w:id="122"/>
      <w:bookmarkEnd w:id="123"/>
    </w:p>
    <w:p w14:paraId="29061389">
      <w:pPr>
        <w:ind w:firstLine="210" w:firstLineChars="100"/>
      </w:pPr>
      <w:bookmarkStart w:id="124" w:name="_Toc19957"/>
      <w:bookmarkStart w:id="125" w:name="_Toc293756839"/>
      <w:r>
        <w:rPr>
          <w:rFonts w:hint="eastAsia"/>
        </w:rPr>
        <w:t>1.2.1  本招标项目的资金来源：见投标人须知前附表。</w:t>
      </w:r>
    </w:p>
    <w:p w14:paraId="2BBA24BC">
      <w:pPr>
        <w:ind w:firstLine="210" w:firstLineChars="100"/>
      </w:pPr>
      <w:r>
        <w:rPr>
          <w:rFonts w:hint="eastAsia"/>
        </w:rPr>
        <w:t>1.2.2  本招标项目的出资比例：见投标人须知前附表。</w:t>
      </w:r>
    </w:p>
    <w:p w14:paraId="390833C4">
      <w:pPr>
        <w:ind w:firstLine="210" w:firstLineChars="100"/>
      </w:pPr>
      <w:r>
        <w:rPr>
          <w:rFonts w:hint="eastAsia"/>
        </w:rPr>
        <w:t>1.2.3  本招标项目的资金落实情况：见投标人须知前附表。</w:t>
      </w:r>
    </w:p>
    <w:p w14:paraId="4F7A10F4">
      <w:pPr>
        <w:pStyle w:val="4"/>
        <w:spacing w:before="0" w:after="0" w:line="360" w:lineRule="auto"/>
        <w:rPr>
          <w:rFonts w:ascii="宋体" w:hAnsi="宋体" w:cs="宋体"/>
          <w:sz w:val="21"/>
          <w:szCs w:val="21"/>
        </w:rPr>
      </w:pPr>
      <w:r>
        <w:rPr>
          <w:rFonts w:hint="eastAsia" w:ascii="宋体" w:hAnsi="宋体" w:cs="宋体"/>
          <w:sz w:val="21"/>
          <w:szCs w:val="21"/>
        </w:rPr>
        <w:t>1.3 比选范围、计划工期和质量要求</w:t>
      </w:r>
      <w:bookmarkEnd w:id="124"/>
      <w:bookmarkEnd w:id="125"/>
    </w:p>
    <w:p w14:paraId="10F1037E">
      <w:pPr>
        <w:ind w:firstLine="210" w:firstLineChars="100"/>
      </w:pPr>
      <w:bookmarkStart w:id="126" w:name="_Toc9928"/>
      <w:r>
        <w:rPr>
          <w:rFonts w:hint="eastAsia"/>
        </w:rPr>
        <w:t>1.3.1  比选范围：见投标人须知前附表。</w:t>
      </w:r>
    </w:p>
    <w:p w14:paraId="70B11BE8">
      <w:pPr>
        <w:ind w:firstLine="210" w:firstLineChars="100"/>
      </w:pPr>
      <w:r>
        <w:rPr>
          <w:rFonts w:hint="eastAsia"/>
        </w:rPr>
        <w:t>1.3.2  服务期：见投标人须知前附表。</w:t>
      </w:r>
    </w:p>
    <w:p w14:paraId="43C8C062">
      <w:pPr>
        <w:ind w:firstLine="210" w:firstLineChars="100"/>
      </w:pPr>
      <w:r>
        <w:rPr>
          <w:rFonts w:hint="eastAsia"/>
        </w:rPr>
        <w:t>1.3.3  质量要求：见投标人须知前附表。</w:t>
      </w:r>
    </w:p>
    <w:p w14:paraId="1184B1CA">
      <w:pPr>
        <w:pStyle w:val="4"/>
        <w:spacing w:before="0" w:after="0" w:line="360" w:lineRule="auto"/>
        <w:rPr>
          <w:rFonts w:ascii="宋体" w:hAnsi="宋体" w:cs="宋体"/>
          <w:sz w:val="21"/>
          <w:szCs w:val="21"/>
        </w:rPr>
      </w:pPr>
      <w:r>
        <w:rPr>
          <w:rFonts w:hint="eastAsia" w:ascii="宋体" w:hAnsi="宋体" w:cs="宋体"/>
          <w:sz w:val="21"/>
          <w:szCs w:val="21"/>
        </w:rPr>
        <w:t xml:space="preserve">1.4 </w:t>
      </w:r>
      <w:bookmarkEnd w:id="121"/>
      <w:r>
        <w:rPr>
          <w:rFonts w:hint="eastAsia" w:ascii="宋体" w:hAnsi="宋体" w:cs="宋体"/>
          <w:sz w:val="21"/>
          <w:szCs w:val="21"/>
        </w:rPr>
        <w:t>投标人资格要求</w:t>
      </w:r>
      <w:bookmarkEnd w:id="126"/>
    </w:p>
    <w:p w14:paraId="02664451">
      <w:pPr>
        <w:ind w:firstLine="210" w:firstLineChars="100"/>
      </w:pPr>
      <w:bookmarkStart w:id="127" w:name="_Toc4874"/>
      <w:bookmarkStart w:id="128" w:name="_Toc293756841"/>
      <w:r>
        <w:rPr>
          <w:rFonts w:hint="eastAsia"/>
        </w:rPr>
        <w:t>1.4.1 投标人应具备承担本标段施工的资质条件、能力: 见投标人须知前附表。</w:t>
      </w:r>
    </w:p>
    <w:p w14:paraId="3FF6F04D">
      <w:pPr>
        <w:ind w:firstLine="210" w:firstLineChars="100"/>
      </w:pPr>
      <w:r>
        <w:rPr>
          <w:rFonts w:hint="eastAsia"/>
        </w:rPr>
        <w:t>（1） 资质条件：见投标人须知前附表</w:t>
      </w:r>
    </w:p>
    <w:p w14:paraId="620E0799">
      <w:pPr>
        <w:ind w:firstLine="210" w:firstLineChars="100"/>
      </w:pPr>
      <w:r>
        <w:rPr>
          <w:rFonts w:hint="eastAsia"/>
        </w:rPr>
        <w:t>（2）其他主要管理人员要求：见投标人须知前附表</w:t>
      </w:r>
    </w:p>
    <w:p w14:paraId="126E6A2C">
      <w:pPr>
        <w:ind w:firstLine="210" w:firstLineChars="100"/>
      </w:pPr>
      <w:r>
        <w:rPr>
          <w:rFonts w:hint="eastAsia"/>
        </w:rPr>
        <w:t>（3）委托代理人：见投标人须知前附表</w:t>
      </w:r>
    </w:p>
    <w:p w14:paraId="020C56D7">
      <w:pPr>
        <w:ind w:firstLine="210" w:firstLineChars="100"/>
      </w:pPr>
      <w:r>
        <w:rPr>
          <w:rFonts w:hint="eastAsia"/>
        </w:rPr>
        <w:t>（4）其他要求：见投标人须知前附表。</w:t>
      </w:r>
    </w:p>
    <w:p w14:paraId="50139E39">
      <w:pPr>
        <w:ind w:firstLine="210" w:firstLineChars="100"/>
      </w:pPr>
      <w:r>
        <w:rPr>
          <w:rFonts w:hint="eastAsia"/>
        </w:rPr>
        <w:t>1.4.2 本次比选不接受联合体。</w:t>
      </w:r>
    </w:p>
    <w:p w14:paraId="76A13154">
      <w:pPr>
        <w:ind w:firstLine="210" w:firstLineChars="100"/>
      </w:pPr>
      <w:r>
        <w:rPr>
          <w:rFonts w:hint="eastAsia"/>
        </w:rPr>
        <w:t>1.4.3 投标人不得存在下列情形之一：</w:t>
      </w:r>
    </w:p>
    <w:p w14:paraId="50517E18">
      <w:pPr>
        <w:ind w:firstLine="210" w:firstLineChars="100"/>
      </w:pPr>
      <w:r>
        <w:rPr>
          <w:rFonts w:hint="eastAsia"/>
        </w:rPr>
        <w:t>（1）与比选人存在利害关系可能影响招标公正性的法人、其他组织或者个人；</w:t>
      </w:r>
    </w:p>
    <w:p w14:paraId="66D41955">
      <w:pPr>
        <w:ind w:firstLine="210" w:firstLineChars="100"/>
      </w:pPr>
      <w:r>
        <w:rPr>
          <w:rFonts w:hint="eastAsia"/>
        </w:rPr>
        <w:t>（2）被责令停业的；</w:t>
      </w:r>
    </w:p>
    <w:p w14:paraId="7C09149B">
      <w:pPr>
        <w:ind w:firstLine="210" w:firstLineChars="100"/>
      </w:pPr>
      <w:r>
        <w:rPr>
          <w:rFonts w:hint="eastAsia"/>
        </w:rPr>
        <w:t>（3）被国家、重庆市（含市或任意区县）有关行政部门处以暂停投标资格行政处罚，且在处罚期限内的；</w:t>
      </w:r>
    </w:p>
    <w:p w14:paraId="32B58131">
      <w:pPr>
        <w:ind w:firstLine="210" w:firstLineChars="100"/>
      </w:pPr>
      <w:r>
        <w:rPr>
          <w:rFonts w:hint="eastAsia"/>
        </w:rPr>
        <w:t>（4）财产被接管或冻结的；</w:t>
      </w:r>
    </w:p>
    <w:p w14:paraId="6756908D">
      <w:pPr>
        <w:ind w:firstLine="210" w:firstLineChars="100"/>
      </w:pPr>
      <w:r>
        <w:rPr>
          <w:rFonts w:hint="eastAsia"/>
        </w:rPr>
        <w:t>（5）单位负责人为同一人或者存在控股、管理关系的不同单位，不得在同一标段中同时投标。</w:t>
      </w:r>
    </w:p>
    <w:p w14:paraId="5BD59014">
      <w:pPr>
        <w:pStyle w:val="4"/>
        <w:spacing w:before="0" w:after="0" w:line="360" w:lineRule="auto"/>
        <w:rPr>
          <w:rFonts w:ascii="宋体" w:hAnsi="宋体" w:cs="宋体"/>
          <w:sz w:val="21"/>
          <w:szCs w:val="21"/>
        </w:rPr>
      </w:pPr>
      <w:r>
        <w:rPr>
          <w:rFonts w:hint="eastAsia" w:ascii="宋体" w:hAnsi="宋体" w:cs="宋体"/>
          <w:sz w:val="21"/>
          <w:szCs w:val="21"/>
        </w:rPr>
        <w:t>1.5 费用承担</w:t>
      </w:r>
      <w:bookmarkEnd w:id="127"/>
      <w:bookmarkEnd w:id="128"/>
    </w:p>
    <w:p w14:paraId="125DAB13">
      <w:pPr>
        <w:ind w:firstLine="210" w:firstLineChars="100"/>
      </w:pPr>
      <w:bookmarkStart w:id="129" w:name="_Toc293756842"/>
      <w:bookmarkStart w:id="130" w:name="_Toc11009"/>
      <w:r>
        <w:rPr>
          <w:rFonts w:hint="eastAsia"/>
        </w:rPr>
        <w:t>竞选人准备和参加比选活动发生的费用自理。</w:t>
      </w:r>
    </w:p>
    <w:p w14:paraId="64E1B7B0">
      <w:pPr>
        <w:pStyle w:val="4"/>
        <w:spacing w:before="0" w:after="0" w:line="360" w:lineRule="auto"/>
        <w:rPr>
          <w:rFonts w:ascii="宋体" w:hAnsi="宋体" w:cs="宋体"/>
          <w:sz w:val="21"/>
          <w:szCs w:val="21"/>
        </w:rPr>
      </w:pPr>
      <w:r>
        <w:rPr>
          <w:rFonts w:hint="eastAsia" w:ascii="宋体" w:hAnsi="宋体" w:cs="宋体"/>
          <w:sz w:val="21"/>
          <w:szCs w:val="21"/>
        </w:rPr>
        <w:t>1.6 保密</w:t>
      </w:r>
      <w:bookmarkEnd w:id="129"/>
      <w:bookmarkEnd w:id="130"/>
    </w:p>
    <w:p w14:paraId="5A36F222">
      <w:pPr>
        <w:ind w:firstLine="210" w:firstLineChars="100"/>
      </w:pPr>
      <w:bookmarkStart w:id="131" w:name="_Toc18963"/>
      <w:bookmarkStart w:id="132" w:name="_Toc293756843"/>
      <w:r>
        <w:rPr>
          <w:rFonts w:hint="eastAsia"/>
        </w:rPr>
        <w:t>参与比选活动的各方应对比选文件和比选文件中的商业和技术等秘密保密，违者应对由此造成的后果承担法律责任。</w:t>
      </w:r>
    </w:p>
    <w:p w14:paraId="0C92B07E">
      <w:pPr>
        <w:pStyle w:val="4"/>
        <w:spacing w:before="0" w:after="0" w:line="360" w:lineRule="auto"/>
        <w:rPr>
          <w:rFonts w:ascii="宋体" w:hAnsi="宋体" w:cs="宋体"/>
          <w:sz w:val="21"/>
          <w:szCs w:val="21"/>
        </w:rPr>
      </w:pPr>
      <w:r>
        <w:rPr>
          <w:rFonts w:hint="eastAsia" w:ascii="宋体" w:hAnsi="宋体" w:cs="宋体"/>
          <w:sz w:val="21"/>
          <w:szCs w:val="21"/>
        </w:rPr>
        <w:t>1.7 语言文字</w:t>
      </w:r>
      <w:bookmarkEnd w:id="131"/>
      <w:bookmarkEnd w:id="132"/>
    </w:p>
    <w:p w14:paraId="646035A4">
      <w:pPr>
        <w:ind w:firstLine="210" w:firstLineChars="100"/>
      </w:pPr>
      <w:bookmarkStart w:id="133" w:name="_Toc104"/>
      <w:bookmarkStart w:id="134" w:name="_Toc293756844"/>
      <w:r>
        <w:rPr>
          <w:rFonts w:hint="eastAsia"/>
        </w:rPr>
        <w:t>除专用术语外，与比选有关的语言均使用中文。必要时专用术语应附有中文注释。</w:t>
      </w:r>
    </w:p>
    <w:p w14:paraId="680DB0F7">
      <w:pPr>
        <w:pStyle w:val="4"/>
        <w:spacing w:before="0" w:after="0" w:line="360" w:lineRule="auto"/>
        <w:rPr>
          <w:rFonts w:ascii="宋体" w:hAnsi="宋体" w:cs="宋体"/>
          <w:sz w:val="21"/>
          <w:szCs w:val="21"/>
        </w:rPr>
      </w:pPr>
      <w:r>
        <w:rPr>
          <w:rFonts w:hint="eastAsia" w:ascii="宋体" w:hAnsi="宋体" w:cs="宋体"/>
          <w:sz w:val="21"/>
          <w:szCs w:val="21"/>
        </w:rPr>
        <w:t>1.8 计量单位</w:t>
      </w:r>
      <w:bookmarkEnd w:id="133"/>
      <w:bookmarkEnd w:id="134"/>
    </w:p>
    <w:p w14:paraId="3F136199">
      <w:pPr>
        <w:ind w:firstLine="210" w:firstLineChars="100"/>
      </w:pPr>
      <w:bookmarkStart w:id="135" w:name="_Toc293756845"/>
      <w:bookmarkStart w:id="136" w:name="_Toc2427"/>
      <w:r>
        <w:rPr>
          <w:rFonts w:hint="eastAsia"/>
        </w:rPr>
        <w:t>所有计量均采用中华人民共和国法定计量单位。</w:t>
      </w:r>
    </w:p>
    <w:p w14:paraId="79608E38">
      <w:pPr>
        <w:pStyle w:val="4"/>
        <w:spacing w:before="0" w:after="0" w:line="360" w:lineRule="auto"/>
        <w:rPr>
          <w:rFonts w:ascii="宋体" w:hAnsi="宋体" w:cs="宋体"/>
          <w:sz w:val="21"/>
          <w:szCs w:val="21"/>
        </w:rPr>
      </w:pPr>
      <w:r>
        <w:rPr>
          <w:rFonts w:hint="eastAsia" w:ascii="宋体" w:hAnsi="宋体" w:cs="宋体"/>
          <w:sz w:val="21"/>
          <w:szCs w:val="21"/>
        </w:rPr>
        <w:t>1.9 踏勘现场</w:t>
      </w:r>
      <w:bookmarkEnd w:id="135"/>
      <w:bookmarkEnd w:id="136"/>
    </w:p>
    <w:p w14:paraId="2E822C36">
      <w:pPr>
        <w:ind w:firstLine="210" w:firstLineChars="100"/>
      </w:pPr>
      <w:bookmarkStart w:id="137" w:name="_Toc293756846"/>
      <w:bookmarkStart w:id="138" w:name="_Toc30203"/>
      <w:r>
        <w:rPr>
          <w:rFonts w:hint="eastAsia"/>
        </w:rPr>
        <w:t>1.9.1  竞选人须知前附表规定组织踏勘现场的，比选人按竞选人须知前附表规定的时间、 地点组织竞选人踏勘项目现场。</w:t>
      </w:r>
    </w:p>
    <w:p w14:paraId="3F1AD01E">
      <w:pPr>
        <w:ind w:firstLine="210" w:firstLineChars="100"/>
      </w:pPr>
      <w:r>
        <w:rPr>
          <w:rFonts w:hint="eastAsia"/>
        </w:rPr>
        <w:t>1.9.2  竞选人踏勘现场发生的费用自理。</w:t>
      </w:r>
    </w:p>
    <w:p w14:paraId="6AB241BC">
      <w:pPr>
        <w:ind w:firstLine="210" w:firstLineChars="100"/>
      </w:pPr>
      <w:r>
        <w:rPr>
          <w:rFonts w:hint="eastAsia"/>
        </w:rPr>
        <w:t>1.9.3  除比选人的原因外，竞选人自行负责在踏勘现场中所发生的人员伤亡和财产损失。</w:t>
      </w:r>
    </w:p>
    <w:p w14:paraId="2C137B92">
      <w:pPr>
        <w:ind w:firstLine="210" w:firstLineChars="100"/>
      </w:pPr>
      <w:r>
        <w:rPr>
          <w:rFonts w:hint="eastAsia"/>
        </w:rPr>
        <w:t>1.9.4  比选人在踏勘现场中介绍的工程场地和相关的周边环境情况，供竞选人在编制投标文件时参考，比选人不对竞选人据此做出的判断和决策负责。</w:t>
      </w:r>
    </w:p>
    <w:p w14:paraId="3618E5B8">
      <w:pPr>
        <w:pStyle w:val="4"/>
        <w:spacing w:before="0" w:after="0" w:line="360" w:lineRule="auto"/>
        <w:rPr>
          <w:rFonts w:ascii="宋体" w:hAnsi="宋体" w:cs="宋体"/>
          <w:sz w:val="21"/>
          <w:szCs w:val="21"/>
        </w:rPr>
      </w:pPr>
      <w:r>
        <w:rPr>
          <w:rFonts w:hint="eastAsia" w:ascii="宋体" w:hAnsi="宋体" w:cs="宋体"/>
          <w:sz w:val="21"/>
          <w:szCs w:val="21"/>
        </w:rPr>
        <w:t>1.10 比选预备会</w:t>
      </w:r>
      <w:bookmarkEnd w:id="137"/>
      <w:bookmarkEnd w:id="138"/>
    </w:p>
    <w:p w14:paraId="65EFA0B8">
      <w:pPr>
        <w:ind w:firstLine="210" w:firstLineChars="100"/>
        <w:rPr>
          <w:snapToGrid w:val="0"/>
        </w:rPr>
      </w:pPr>
      <w:bookmarkStart w:id="139" w:name="_Toc293756847"/>
      <w:bookmarkStart w:id="140" w:name="_Toc13696"/>
      <w:r>
        <w:rPr>
          <w:rFonts w:hint="eastAsia"/>
          <w:snapToGrid w:val="0"/>
        </w:rPr>
        <w:t>1.10.1  竞选人须知前附表规定召开投标预备会的，比选人按竞选人须知前附表规定的时间和地点召开投标预备会，澄清竞选人提出的问题。</w:t>
      </w:r>
    </w:p>
    <w:p w14:paraId="2B98FA27">
      <w:pPr>
        <w:ind w:firstLine="210" w:firstLineChars="100"/>
        <w:rPr>
          <w:snapToGrid w:val="0"/>
        </w:rPr>
      </w:pPr>
      <w:r>
        <w:rPr>
          <w:rFonts w:hint="eastAsia"/>
          <w:snapToGrid w:val="0"/>
        </w:rPr>
        <w:t>1.10.2  竞选人应在竞选人须知前附表</w:t>
      </w:r>
      <w:r>
        <w:rPr>
          <w:rFonts w:hint="eastAsia"/>
        </w:rPr>
        <w:t>2.2.4</w:t>
      </w:r>
      <w:r>
        <w:rPr>
          <w:rFonts w:hint="eastAsia"/>
          <w:snapToGrid w:val="0"/>
        </w:rPr>
        <w:t>规定的时间前，以书面形式将提出的问题送达比选人，以便比选人澄清。</w:t>
      </w:r>
    </w:p>
    <w:p w14:paraId="4DD2C0D2">
      <w:pPr>
        <w:ind w:firstLine="210" w:firstLineChars="100"/>
      </w:pPr>
      <w:r>
        <w:rPr>
          <w:rFonts w:hint="eastAsia"/>
          <w:snapToGrid w:val="0"/>
        </w:rPr>
        <w:t>1.10.3  比选人在竞选人须知前附表规定的时间内，将对竞选人所提</w:t>
      </w:r>
      <w:r>
        <w:rPr>
          <w:rFonts w:hint="eastAsia"/>
          <w:snapToGrid w:val="0"/>
          <w:position w:val="-2"/>
        </w:rPr>
        <w:t>的</w:t>
      </w:r>
      <w:r>
        <w:rPr>
          <w:rFonts w:hint="eastAsia"/>
          <w:snapToGrid w:val="0"/>
        </w:rPr>
        <w:t>问题</w:t>
      </w:r>
      <w:r>
        <w:rPr>
          <w:rFonts w:hint="eastAsia"/>
          <w:snapToGrid w:val="0"/>
          <w:position w:val="-2"/>
        </w:rPr>
        <w:t>进行澄清。该澄清内容为比选文件的组成部分。</w:t>
      </w:r>
    </w:p>
    <w:p w14:paraId="3F4A6CBE">
      <w:pPr>
        <w:pStyle w:val="4"/>
        <w:spacing w:before="0" w:after="0" w:line="360" w:lineRule="auto"/>
        <w:rPr>
          <w:rFonts w:ascii="宋体" w:hAnsi="宋体" w:cs="宋体"/>
          <w:sz w:val="21"/>
          <w:szCs w:val="21"/>
        </w:rPr>
      </w:pPr>
      <w:r>
        <w:rPr>
          <w:rFonts w:hint="eastAsia" w:ascii="宋体" w:hAnsi="宋体" w:cs="宋体"/>
          <w:sz w:val="21"/>
          <w:szCs w:val="21"/>
        </w:rPr>
        <w:t>1.11 分包</w:t>
      </w:r>
      <w:bookmarkEnd w:id="139"/>
      <w:bookmarkEnd w:id="140"/>
    </w:p>
    <w:p w14:paraId="3A14BC60">
      <w:pPr>
        <w:ind w:firstLine="210" w:firstLineChars="100"/>
      </w:pPr>
      <w:r>
        <w:rPr>
          <w:rFonts w:hint="eastAsia"/>
        </w:rPr>
        <w:t>竞选人拟在中标后将中标项目的部分非主体、非关键性工作进行分包的，应符合竞选人须知前附表规定的分包内容、分包金额和接受分包的第三人资质要求等限制性条件。</w:t>
      </w:r>
    </w:p>
    <w:p w14:paraId="5B7BCA4B">
      <w:pPr>
        <w:spacing w:line="360" w:lineRule="auto"/>
        <w:rPr>
          <w:rFonts w:ascii="宋体" w:hAnsi="宋体" w:cs="宋体"/>
          <w:b/>
          <w:bCs/>
          <w:szCs w:val="21"/>
        </w:rPr>
      </w:pPr>
      <w:r>
        <w:rPr>
          <w:rFonts w:hint="eastAsia" w:ascii="宋体" w:hAnsi="宋体" w:cs="宋体"/>
          <w:b/>
          <w:bCs/>
          <w:szCs w:val="21"/>
        </w:rPr>
        <w:t>1.12 偏离</w:t>
      </w:r>
    </w:p>
    <w:p w14:paraId="7D3AF1C7">
      <w:pPr>
        <w:ind w:firstLine="210" w:firstLineChars="100"/>
      </w:pPr>
      <w:bookmarkStart w:id="141" w:name="_Toc21334"/>
      <w:r>
        <w:rPr>
          <w:rFonts w:hint="eastAsia"/>
        </w:rPr>
        <w:t>竞选人须知前附表允许竞选文件偏离比选文件某些要求的，偏离应当符合比选文件规定的偏离范围和幅度。</w:t>
      </w:r>
    </w:p>
    <w:p w14:paraId="52874416">
      <w:pPr>
        <w:pStyle w:val="4"/>
        <w:spacing w:before="0" w:after="0" w:line="360" w:lineRule="auto"/>
        <w:rPr>
          <w:rFonts w:ascii="宋体" w:hAnsi="宋体" w:cs="宋体"/>
          <w:sz w:val="21"/>
          <w:szCs w:val="21"/>
        </w:rPr>
      </w:pPr>
      <w:r>
        <w:rPr>
          <w:rFonts w:hint="eastAsia" w:ascii="宋体" w:hAnsi="宋体" w:cs="宋体"/>
          <w:sz w:val="21"/>
          <w:szCs w:val="21"/>
        </w:rPr>
        <w:t>2.比选文件</w:t>
      </w:r>
      <w:bookmarkEnd w:id="141"/>
    </w:p>
    <w:p w14:paraId="46E9AE2C">
      <w:pPr>
        <w:pStyle w:val="4"/>
        <w:spacing w:before="0" w:after="0" w:line="360" w:lineRule="auto"/>
        <w:rPr>
          <w:rFonts w:ascii="宋体" w:hAnsi="宋体" w:cs="宋体"/>
          <w:sz w:val="21"/>
          <w:szCs w:val="21"/>
        </w:rPr>
      </w:pPr>
      <w:bookmarkStart w:id="142" w:name="_Toc25177"/>
      <w:bookmarkStart w:id="143" w:name="_Toc293756848"/>
      <w:r>
        <w:rPr>
          <w:rFonts w:hint="eastAsia" w:ascii="宋体" w:hAnsi="宋体" w:cs="宋体"/>
          <w:sz w:val="21"/>
          <w:szCs w:val="21"/>
        </w:rPr>
        <w:t>2.1比选文件的组成</w:t>
      </w:r>
      <w:bookmarkEnd w:id="142"/>
      <w:bookmarkEnd w:id="143"/>
    </w:p>
    <w:p w14:paraId="0CB3264A">
      <w:pPr>
        <w:ind w:firstLine="210" w:firstLineChars="100"/>
      </w:pPr>
      <w:bookmarkStart w:id="144" w:name="_Toc17073"/>
      <w:bookmarkStart w:id="145" w:name="_Toc293756849"/>
      <w:r>
        <w:rPr>
          <w:rFonts w:hint="eastAsia"/>
        </w:rPr>
        <w:t>本比选文件包括：</w:t>
      </w:r>
    </w:p>
    <w:p w14:paraId="44F07DE2">
      <w:pPr>
        <w:ind w:firstLine="210" w:firstLineChars="100"/>
      </w:pPr>
      <w:r>
        <w:rPr>
          <w:rFonts w:hint="eastAsia"/>
        </w:rPr>
        <w:t>（1）比选公告；</w:t>
      </w:r>
    </w:p>
    <w:p w14:paraId="6EE4C6F3">
      <w:pPr>
        <w:ind w:firstLine="210" w:firstLineChars="100"/>
      </w:pPr>
      <w:r>
        <w:rPr>
          <w:rFonts w:hint="eastAsia"/>
        </w:rPr>
        <w:t>（2）竞选人须知；</w:t>
      </w:r>
    </w:p>
    <w:p w14:paraId="6FF7D17E">
      <w:pPr>
        <w:ind w:firstLine="210" w:firstLineChars="100"/>
      </w:pPr>
      <w:r>
        <w:rPr>
          <w:rFonts w:hint="eastAsia"/>
        </w:rPr>
        <w:t>（3）评标办法；</w:t>
      </w:r>
    </w:p>
    <w:p w14:paraId="72C115BE">
      <w:pPr>
        <w:ind w:firstLine="210" w:firstLineChars="100"/>
      </w:pPr>
      <w:r>
        <w:rPr>
          <w:rFonts w:hint="eastAsia"/>
        </w:rPr>
        <w:t>（4）合同条款及格式；</w:t>
      </w:r>
    </w:p>
    <w:p w14:paraId="380F9F6E">
      <w:pPr>
        <w:ind w:firstLine="210" w:firstLineChars="100"/>
      </w:pPr>
      <w:r>
        <w:rPr>
          <w:rFonts w:hint="eastAsia"/>
        </w:rPr>
        <w:t>（5）技术标准和要求；</w:t>
      </w:r>
    </w:p>
    <w:p w14:paraId="4AEC3FCB">
      <w:pPr>
        <w:ind w:firstLine="210" w:firstLineChars="100"/>
      </w:pPr>
      <w:r>
        <w:rPr>
          <w:rFonts w:hint="eastAsia"/>
        </w:rPr>
        <w:t>（6）竞选文件格式；</w:t>
      </w:r>
    </w:p>
    <w:p w14:paraId="0C873A77">
      <w:pPr>
        <w:ind w:firstLine="210" w:firstLineChars="100"/>
      </w:pPr>
      <w:r>
        <w:rPr>
          <w:rFonts w:hint="eastAsia"/>
        </w:rPr>
        <w:t>（7）竞选人须知前附表规定的其他材料。</w:t>
      </w:r>
    </w:p>
    <w:p w14:paraId="3BE473FE">
      <w:pPr>
        <w:ind w:firstLine="210" w:firstLineChars="100"/>
      </w:pPr>
      <w:r>
        <w:rPr>
          <w:rFonts w:hint="eastAsia"/>
        </w:rPr>
        <w:t>根据本章第1.10 款、第2.2 款和第2.3 款对比选文件所作的澄清、修改，构成比选文件的组成部分。</w:t>
      </w:r>
    </w:p>
    <w:p w14:paraId="2C958992">
      <w:pPr>
        <w:pStyle w:val="4"/>
        <w:spacing w:before="0" w:after="0" w:line="360" w:lineRule="auto"/>
        <w:rPr>
          <w:rFonts w:ascii="宋体" w:hAnsi="宋体" w:cs="宋体"/>
          <w:sz w:val="21"/>
          <w:szCs w:val="21"/>
        </w:rPr>
      </w:pPr>
      <w:r>
        <w:rPr>
          <w:rFonts w:hint="eastAsia" w:ascii="宋体" w:hAnsi="宋体" w:cs="宋体"/>
          <w:sz w:val="21"/>
          <w:szCs w:val="21"/>
        </w:rPr>
        <w:t>2.2比选文件的澄清</w:t>
      </w:r>
      <w:bookmarkEnd w:id="144"/>
      <w:bookmarkEnd w:id="145"/>
    </w:p>
    <w:p w14:paraId="5CD427D7">
      <w:pPr>
        <w:ind w:firstLine="210" w:firstLineChars="100"/>
      </w:pPr>
      <w:bookmarkStart w:id="146" w:name="_Toc293756850"/>
      <w:bookmarkStart w:id="147" w:name="_Toc25781"/>
      <w:r>
        <w:rPr>
          <w:rFonts w:hint="eastAsia"/>
        </w:rPr>
        <w:t>2.2.1 竞选人应仔细阅读和检查比选文件的全部内容。如发现缺页或附件不全，应及时向比选人提出，以便补齐。如有疑问，应在竞选人须知前附表规定的时间前以书面形式提交至比选人邮箱提问，要求比选人对比选文件予以澄清。</w:t>
      </w:r>
    </w:p>
    <w:p w14:paraId="44DBB8E8">
      <w:pPr>
        <w:ind w:firstLine="210" w:firstLineChars="100"/>
      </w:pPr>
      <w:r>
        <w:rPr>
          <w:rFonts w:hint="eastAsia"/>
        </w:rPr>
        <w:t>2.2.2比选文件的澄清将在竞选人须知前附表规定的比选截止时间1天前在</w:t>
      </w:r>
      <w:r>
        <w:rPr>
          <w:spacing w:val="7"/>
        </w:rPr>
        <w:t>行采家(</w:t>
      </w:r>
      <w:r>
        <w:fldChar w:fldCharType="begin"/>
      </w:r>
      <w:r>
        <w:instrText xml:space="preserve"> HYPERLINK "https://www.gec123.com/" </w:instrText>
      </w:r>
      <w:r>
        <w:fldChar w:fldCharType="separate"/>
      </w:r>
      <w:r>
        <w:t>https</w:t>
      </w:r>
      <w:r>
        <w:rPr>
          <w:spacing w:val="7"/>
        </w:rPr>
        <w:t>://</w:t>
      </w:r>
      <w:r>
        <w:t>www</w:t>
      </w:r>
      <w:r>
        <w:rPr>
          <w:spacing w:val="7"/>
        </w:rPr>
        <w:t>.</w:t>
      </w:r>
      <w:r>
        <w:t>gec</w:t>
      </w:r>
      <w:r>
        <w:rPr>
          <w:spacing w:val="7"/>
        </w:rPr>
        <w:t>123.</w:t>
      </w:r>
      <w:r>
        <w:t>com</w:t>
      </w:r>
      <w:r>
        <w:rPr>
          <w:spacing w:val="7"/>
        </w:rPr>
        <w:t>/</w:t>
      </w:r>
      <w:r>
        <w:rPr>
          <w:spacing w:val="7"/>
        </w:rPr>
        <w:fldChar w:fldCharType="end"/>
      </w:r>
      <w:r>
        <w:rPr>
          <w:spacing w:val="7"/>
        </w:rPr>
        <w:t>)</w:t>
      </w:r>
      <w:r>
        <w:rPr>
          <w:rFonts w:hint="eastAsia"/>
          <w:spacing w:val="7"/>
        </w:rPr>
        <w:t>和</w:t>
      </w:r>
      <w:r>
        <w:rPr>
          <w:rFonts w:hint="eastAsia" w:asciiTheme="minorEastAsia" w:hAnsiTheme="minorEastAsia" w:eastAsiaTheme="minorEastAsia"/>
        </w:rPr>
        <w:t>重庆经开区投资集团官网（http://www.cetzig.com/）</w:t>
      </w:r>
      <w:r>
        <w:rPr>
          <w:rFonts w:hint="eastAsia"/>
        </w:rPr>
        <w:t>发布，但不指明澄清问题的来源。如果澄清发出的时间距比选截止时间不足1天，相应延长比选截止时间。</w:t>
      </w:r>
    </w:p>
    <w:p w14:paraId="5213CBB4">
      <w:pPr>
        <w:ind w:firstLine="210" w:firstLineChars="100"/>
      </w:pPr>
      <w:r>
        <w:rPr>
          <w:rFonts w:hint="eastAsia"/>
        </w:rPr>
        <w:t>2.2.3  比选人对比选文件的修改内容可能影响竞选文件编制的，须在比选截止时间1日前发布，发布时间至比选截止时间不足1日的，须相应延后比选截止时间。</w:t>
      </w:r>
    </w:p>
    <w:p w14:paraId="4527F72C">
      <w:pPr>
        <w:pStyle w:val="4"/>
        <w:spacing w:before="0" w:after="0" w:line="360" w:lineRule="auto"/>
        <w:rPr>
          <w:rFonts w:ascii="宋体" w:hAnsi="宋体" w:cs="宋体"/>
          <w:sz w:val="21"/>
          <w:szCs w:val="21"/>
        </w:rPr>
      </w:pPr>
      <w:r>
        <w:rPr>
          <w:rFonts w:hint="eastAsia" w:ascii="宋体" w:hAnsi="宋体" w:cs="宋体"/>
          <w:sz w:val="21"/>
          <w:szCs w:val="21"/>
        </w:rPr>
        <w:t>2.3比选文件的修改</w:t>
      </w:r>
      <w:bookmarkEnd w:id="146"/>
      <w:bookmarkEnd w:id="147"/>
    </w:p>
    <w:p w14:paraId="2BD181E6">
      <w:pPr>
        <w:ind w:firstLine="210" w:firstLineChars="100"/>
      </w:pPr>
      <w:bookmarkStart w:id="148" w:name="_Toc293756851"/>
      <w:bookmarkStart w:id="149" w:name="_Toc13298"/>
      <w:r>
        <w:rPr>
          <w:rFonts w:hint="eastAsia"/>
        </w:rPr>
        <w:t>按照本章2.2比选文件的澄清相关内容及方式执行。</w:t>
      </w:r>
    </w:p>
    <w:p w14:paraId="4C8D3A35">
      <w:pPr>
        <w:pStyle w:val="4"/>
        <w:spacing w:before="0" w:after="0" w:line="360" w:lineRule="auto"/>
        <w:rPr>
          <w:rFonts w:ascii="宋体" w:hAnsi="宋体" w:cs="宋体"/>
          <w:sz w:val="21"/>
          <w:szCs w:val="21"/>
        </w:rPr>
      </w:pPr>
      <w:r>
        <w:rPr>
          <w:rFonts w:hint="eastAsia" w:ascii="宋体" w:hAnsi="宋体" w:cs="宋体"/>
          <w:sz w:val="21"/>
          <w:szCs w:val="21"/>
        </w:rPr>
        <w:t>3.竞选文件</w:t>
      </w:r>
      <w:bookmarkEnd w:id="148"/>
      <w:bookmarkEnd w:id="149"/>
    </w:p>
    <w:p w14:paraId="75E666E8">
      <w:pPr>
        <w:pStyle w:val="4"/>
        <w:spacing w:before="0" w:after="0" w:line="360" w:lineRule="auto"/>
        <w:rPr>
          <w:rFonts w:ascii="宋体" w:hAnsi="宋体" w:cs="宋体"/>
          <w:sz w:val="21"/>
          <w:szCs w:val="21"/>
        </w:rPr>
      </w:pPr>
      <w:bookmarkStart w:id="150" w:name="_Toc27406"/>
      <w:bookmarkStart w:id="151" w:name="_Toc293756852"/>
      <w:r>
        <w:rPr>
          <w:rFonts w:hint="eastAsia" w:ascii="宋体" w:hAnsi="宋体" w:cs="宋体"/>
          <w:sz w:val="21"/>
          <w:szCs w:val="21"/>
        </w:rPr>
        <w:t>3.1 竞选文件的组成</w:t>
      </w:r>
      <w:bookmarkEnd w:id="150"/>
      <w:bookmarkEnd w:id="151"/>
    </w:p>
    <w:p w14:paraId="3CD9B45D">
      <w:pPr>
        <w:ind w:firstLine="210" w:firstLineChars="100"/>
      </w:pPr>
      <w:bookmarkStart w:id="152" w:name="_Toc18735"/>
      <w:r>
        <w:rPr>
          <w:rFonts w:hint="eastAsia"/>
        </w:rPr>
        <w:t>3.1.1 竞选文件应包括下列内容：</w:t>
      </w:r>
    </w:p>
    <w:p w14:paraId="44EF3B92">
      <w:pPr>
        <w:ind w:firstLine="210" w:firstLineChars="100"/>
      </w:pPr>
      <w:r>
        <w:rPr>
          <w:rFonts w:hint="eastAsia"/>
        </w:rPr>
        <w:t>（1）竞选函及竞选函附录；</w:t>
      </w:r>
    </w:p>
    <w:p w14:paraId="445AC7B4">
      <w:pPr>
        <w:ind w:firstLine="210" w:firstLineChars="100"/>
      </w:pPr>
      <w:r>
        <w:rPr>
          <w:rFonts w:hint="eastAsia"/>
        </w:rPr>
        <w:t>（2）法定代表人身份证明或附有法定代表人身份证明的授权委托书；</w:t>
      </w:r>
    </w:p>
    <w:p w14:paraId="7341764A">
      <w:pPr>
        <w:ind w:firstLine="210" w:firstLineChars="100"/>
      </w:pPr>
      <w:r>
        <w:rPr>
          <w:rFonts w:hint="eastAsia"/>
        </w:rPr>
        <w:t>（3）资格审查资料；</w:t>
      </w:r>
    </w:p>
    <w:p w14:paraId="3B070A23">
      <w:pPr>
        <w:ind w:firstLine="210" w:firstLineChars="100"/>
      </w:pPr>
      <w:r>
        <w:rPr>
          <w:rFonts w:hint="eastAsia"/>
        </w:rPr>
        <w:t>（4）竞选人须知前附表规定的其他材料。</w:t>
      </w:r>
    </w:p>
    <w:p w14:paraId="02FE4B25">
      <w:pPr>
        <w:ind w:firstLine="210" w:firstLineChars="100"/>
      </w:pPr>
      <w:r>
        <w:rPr>
          <w:rFonts w:hint="eastAsia"/>
        </w:rPr>
        <w:t>3.1.2  竞选人须知前附表规定不接受联合体竞选的，或竞选人没有组成联合体的，竞选文件不包括本章第3.1.1（3）目所指的联合体协议书。</w:t>
      </w:r>
    </w:p>
    <w:p w14:paraId="59ED5306">
      <w:pPr>
        <w:pStyle w:val="4"/>
        <w:spacing w:before="0" w:after="0" w:line="360" w:lineRule="auto"/>
        <w:rPr>
          <w:rFonts w:ascii="宋体" w:hAnsi="宋体" w:cs="宋体"/>
          <w:sz w:val="21"/>
          <w:szCs w:val="21"/>
        </w:rPr>
      </w:pPr>
      <w:r>
        <w:rPr>
          <w:rFonts w:hint="eastAsia" w:ascii="宋体" w:hAnsi="宋体" w:cs="宋体"/>
          <w:sz w:val="21"/>
          <w:szCs w:val="21"/>
        </w:rPr>
        <w:t>3.2 比选报价</w:t>
      </w:r>
      <w:bookmarkEnd w:id="152"/>
    </w:p>
    <w:p w14:paraId="593FB0A8">
      <w:pPr>
        <w:ind w:firstLine="210" w:firstLineChars="100"/>
      </w:pPr>
      <w:bookmarkStart w:id="153" w:name="_Toc3741"/>
      <w:r>
        <w:rPr>
          <w:rFonts w:hint="eastAsia"/>
        </w:rPr>
        <w:t>3.2.1  竞选人应竞选函及竞选函附录的要求填写相应表格。</w:t>
      </w:r>
    </w:p>
    <w:p w14:paraId="733C49AD">
      <w:pPr>
        <w:pStyle w:val="4"/>
        <w:spacing w:before="0" w:after="0" w:line="360" w:lineRule="auto"/>
        <w:rPr>
          <w:rFonts w:ascii="宋体" w:hAnsi="宋体" w:cs="宋体"/>
          <w:sz w:val="21"/>
          <w:szCs w:val="21"/>
        </w:rPr>
      </w:pPr>
      <w:r>
        <w:rPr>
          <w:rFonts w:hint="eastAsia" w:ascii="宋体" w:hAnsi="宋体" w:cs="宋体"/>
          <w:sz w:val="21"/>
          <w:szCs w:val="21"/>
        </w:rPr>
        <w:t>3.3  比选有效期</w:t>
      </w:r>
      <w:bookmarkEnd w:id="153"/>
    </w:p>
    <w:p w14:paraId="0F4931A5">
      <w:pPr>
        <w:ind w:firstLine="210" w:firstLineChars="100"/>
      </w:pPr>
      <w:bookmarkStart w:id="154" w:name="_Toc8270"/>
      <w:bookmarkStart w:id="155" w:name="_Toc293756853"/>
      <w:r>
        <w:rPr>
          <w:rFonts w:hint="eastAsia"/>
        </w:rPr>
        <w:t>3.3.1  在竞选人须知前附表规定的比选有效期内，竞选人不得要求撤销或修改其竞选文件。</w:t>
      </w:r>
    </w:p>
    <w:p w14:paraId="10011028">
      <w:pPr>
        <w:ind w:firstLine="210" w:firstLineChars="100"/>
      </w:pPr>
      <w:r>
        <w:rPr>
          <w:rFonts w:hint="eastAsia"/>
        </w:rPr>
        <w:t>3.3.2  出现特殊情况需要延长竞选有效期的，比选人以书面形式通知所有竞选人延长比选有效期。竞选人同意延长的，应相应延长其比选保证金的有效期，但不得要求或被允许修改或撤销其竞选文件；竞选人拒绝延长的，其竞选失效，但竞选人有权收回其比选保证金。</w:t>
      </w:r>
    </w:p>
    <w:p w14:paraId="7B74893D">
      <w:pPr>
        <w:pStyle w:val="4"/>
        <w:spacing w:before="0" w:after="0" w:line="360" w:lineRule="auto"/>
        <w:rPr>
          <w:rFonts w:ascii="宋体" w:hAnsi="宋体" w:cs="宋体"/>
          <w:sz w:val="21"/>
          <w:szCs w:val="21"/>
        </w:rPr>
      </w:pPr>
      <w:r>
        <w:rPr>
          <w:rFonts w:hint="eastAsia" w:ascii="宋体" w:hAnsi="宋体" w:cs="宋体"/>
          <w:sz w:val="21"/>
          <w:szCs w:val="21"/>
        </w:rPr>
        <w:t>3.4 比选保证金</w:t>
      </w:r>
      <w:bookmarkEnd w:id="154"/>
      <w:bookmarkEnd w:id="155"/>
      <w:r>
        <w:rPr>
          <w:rFonts w:hint="eastAsia" w:ascii="宋体" w:hAnsi="宋体" w:cs="宋体"/>
          <w:sz w:val="21"/>
          <w:szCs w:val="21"/>
        </w:rPr>
        <w:t>（如有）</w:t>
      </w:r>
    </w:p>
    <w:p w14:paraId="2EAC7B55">
      <w:pPr>
        <w:ind w:firstLine="210" w:firstLineChars="100"/>
      </w:pPr>
      <w:bookmarkStart w:id="156" w:name="_Toc293756854"/>
      <w:bookmarkStart w:id="157" w:name="_Toc250"/>
      <w:r>
        <w:rPr>
          <w:rFonts w:hint="eastAsia"/>
        </w:rPr>
        <w:t>3.4.1 竞选人在递交竞选文件的同时，应按竞选人须知前附表规定的比选保证金金额、比选保证金缴纳形式及要求，缴纳比选保证金，并作为其竞选文件的组成部分。</w:t>
      </w:r>
    </w:p>
    <w:p w14:paraId="752F291F">
      <w:pPr>
        <w:ind w:firstLine="210" w:firstLineChars="100"/>
      </w:pPr>
      <w:r>
        <w:rPr>
          <w:rFonts w:hint="eastAsia"/>
        </w:rPr>
        <w:t>3.4.2 竞选人不按本章第3.4.1 项要求提交比选保证金的，其竞选文件作否决投标处理。</w:t>
      </w:r>
    </w:p>
    <w:p w14:paraId="5B00DC7F">
      <w:pPr>
        <w:ind w:firstLine="210" w:firstLineChars="100"/>
      </w:pPr>
      <w:r>
        <w:rPr>
          <w:rFonts w:hint="eastAsia"/>
        </w:rPr>
        <w:t>3.4.3 比选保证金退还：见竞选人须知前附表。</w:t>
      </w:r>
    </w:p>
    <w:p w14:paraId="6242FA8E">
      <w:pPr>
        <w:ind w:firstLine="210" w:firstLineChars="100"/>
      </w:pPr>
      <w:r>
        <w:rPr>
          <w:rFonts w:hint="eastAsia"/>
        </w:rPr>
        <w:t>（1）竞选人在规定的竞选有效期内撤销或修改其竞选文件；</w:t>
      </w:r>
    </w:p>
    <w:p w14:paraId="66AD4A7B">
      <w:pPr>
        <w:ind w:firstLine="210" w:firstLineChars="100"/>
      </w:pPr>
      <w:r>
        <w:rPr>
          <w:rFonts w:hint="eastAsia"/>
        </w:rPr>
        <w:t>（2）中标人在收到中标通知书后，无正当理由拒签合同协议书或未按比选文件规定提交履约担保；</w:t>
      </w:r>
    </w:p>
    <w:p w14:paraId="264B1643">
      <w:pPr>
        <w:ind w:firstLine="210" w:firstLineChars="100"/>
      </w:pPr>
      <w:r>
        <w:rPr>
          <w:rFonts w:hint="eastAsia"/>
        </w:rPr>
        <w:t>（3）违反本章9.2条对竞选人的纪律要求的；</w:t>
      </w:r>
    </w:p>
    <w:p w14:paraId="75399CB1">
      <w:pPr>
        <w:ind w:firstLine="210" w:firstLineChars="100"/>
      </w:pPr>
      <w:r>
        <w:rPr>
          <w:rFonts w:hint="eastAsia"/>
        </w:rPr>
        <w:t>（4）法律法规和本比选文件规定的其他情形。</w:t>
      </w:r>
    </w:p>
    <w:p w14:paraId="7AA704BA">
      <w:pPr>
        <w:ind w:firstLine="210" w:firstLineChars="100"/>
      </w:pPr>
      <w:r>
        <w:rPr>
          <w:rFonts w:hint="eastAsia"/>
        </w:rPr>
        <w:t>3.4.5（1）比选保证金为无条件担保；</w:t>
      </w:r>
    </w:p>
    <w:p w14:paraId="41E1CB65">
      <w:pPr>
        <w:ind w:firstLine="210" w:firstLineChars="100"/>
      </w:pPr>
      <w:r>
        <w:rPr>
          <w:rFonts w:hint="eastAsia"/>
        </w:rPr>
        <w:t>（2）比选保证金的受益人为比选人。</w:t>
      </w:r>
    </w:p>
    <w:p w14:paraId="5398F17B">
      <w:pPr>
        <w:pStyle w:val="4"/>
        <w:spacing w:before="0" w:after="0" w:line="360" w:lineRule="auto"/>
        <w:rPr>
          <w:rFonts w:ascii="宋体" w:hAnsi="宋体" w:cs="宋体"/>
          <w:sz w:val="21"/>
          <w:szCs w:val="21"/>
        </w:rPr>
      </w:pPr>
      <w:r>
        <w:rPr>
          <w:rFonts w:hint="eastAsia" w:ascii="宋体" w:hAnsi="宋体" w:cs="宋体"/>
          <w:sz w:val="21"/>
          <w:szCs w:val="21"/>
        </w:rPr>
        <w:t>3.5 资格审查资料</w:t>
      </w:r>
      <w:bookmarkEnd w:id="156"/>
      <w:bookmarkEnd w:id="157"/>
    </w:p>
    <w:p w14:paraId="74DA13AF">
      <w:pPr>
        <w:ind w:firstLine="210" w:firstLineChars="100"/>
      </w:pPr>
      <w:r>
        <w:rPr>
          <w:rFonts w:hint="eastAsia"/>
        </w:rPr>
        <w:t>竞选人须在递交竞选文件的同时将竞选人须知前附表1.4.1中要求的原件一次性提交，评审小组审查时必须对有关证明和证件的原件核查，若经审查复印件与原件不一致，或未提交原件的，则竞选文件作否决投标处理。</w:t>
      </w:r>
    </w:p>
    <w:p w14:paraId="256E80DC">
      <w:r>
        <w:rPr>
          <w:rFonts w:hint="eastAsia"/>
        </w:rPr>
        <w:t>联合体竞选的，详见竞选人须知前附表联合体竞选相关内容。</w:t>
      </w:r>
    </w:p>
    <w:p w14:paraId="379FE195">
      <w:pPr>
        <w:spacing w:line="360" w:lineRule="auto"/>
        <w:rPr>
          <w:rFonts w:ascii="宋体" w:hAnsi="宋体" w:cs="宋体"/>
          <w:b/>
          <w:szCs w:val="21"/>
        </w:rPr>
      </w:pPr>
      <w:r>
        <w:rPr>
          <w:rFonts w:hint="eastAsia" w:ascii="宋体" w:hAnsi="宋体" w:cs="宋体"/>
          <w:b/>
          <w:szCs w:val="21"/>
        </w:rPr>
        <w:t>3.6 备选比选方案</w:t>
      </w:r>
    </w:p>
    <w:p w14:paraId="256919A1">
      <w:pPr>
        <w:ind w:firstLine="210" w:firstLineChars="100"/>
      </w:pPr>
      <w:r>
        <w:rPr>
          <w:rFonts w:hint="eastAsia"/>
        </w:rPr>
        <w:t>除竞选人须知前附表另有规定外，竞选人不得递交备选比选方案。允许竞选人递交备选竞选方案的，只有中标人所递交的备选竞选方案方可予以考虑。评审小组认为中标人的备选竞选方案优于其按照比选文件要求编制的竞选方案的，比选人可以接受该备选比选方案。</w:t>
      </w:r>
    </w:p>
    <w:p w14:paraId="54708F91">
      <w:pPr>
        <w:spacing w:line="360" w:lineRule="auto"/>
        <w:rPr>
          <w:rFonts w:ascii="宋体" w:hAnsi="宋体" w:cs="宋体"/>
          <w:b/>
          <w:szCs w:val="21"/>
        </w:rPr>
      </w:pPr>
      <w:r>
        <w:rPr>
          <w:rFonts w:hint="eastAsia" w:ascii="宋体" w:hAnsi="宋体" w:cs="宋体"/>
          <w:b/>
          <w:szCs w:val="21"/>
        </w:rPr>
        <w:t>3.7 竞选文件的编制</w:t>
      </w:r>
    </w:p>
    <w:p w14:paraId="3C9C1254">
      <w:pPr>
        <w:ind w:firstLine="210" w:firstLineChars="100"/>
      </w:pPr>
      <w:bookmarkStart w:id="158" w:name="_Toc293756855"/>
      <w:r>
        <w:rPr>
          <w:rFonts w:hint="eastAsia"/>
        </w:rPr>
        <w:t>3.7.1  竞选文件应按</w:t>
      </w:r>
      <w:r>
        <w:rPr>
          <w:rFonts w:hint="eastAsia"/>
          <w:lang w:eastAsia="zh-CN"/>
        </w:rPr>
        <w:t>第七章</w:t>
      </w:r>
      <w:r>
        <w:rPr>
          <w:rFonts w:hint="eastAsia"/>
        </w:rPr>
        <w:t>“竞选文件格式”进行编写，如有必要，可以增加附页，作为竞选文件的组成部分。其中，竞选函附录在满足比选文件实质性要求的基础上，可以提出比比选文件要求更有利于比选人的承诺。</w:t>
      </w:r>
    </w:p>
    <w:p w14:paraId="7E25A859">
      <w:pPr>
        <w:ind w:firstLine="210" w:firstLineChars="100"/>
      </w:pPr>
      <w:r>
        <w:rPr>
          <w:rFonts w:hint="eastAsia"/>
        </w:rPr>
        <w:t>3.7.2  竞选文件应当对比选文件有关工期、竞选有效期、质量要求、技术标准和要求、比选范围等实质性内容做出响应。</w:t>
      </w:r>
    </w:p>
    <w:p w14:paraId="6A4CA30C">
      <w:pPr>
        <w:ind w:firstLine="210" w:firstLineChars="100"/>
      </w:pPr>
      <w:r>
        <w:rPr>
          <w:rFonts w:hint="eastAsia"/>
        </w:rPr>
        <w:t>3.7.3  竞选文件的签字盖章要求：按本章竞选人须知前附表第3.7.3项执行。</w:t>
      </w:r>
    </w:p>
    <w:p w14:paraId="62658625">
      <w:pPr>
        <w:ind w:firstLine="210" w:firstLineChars="100"/>
      </w:pPr>
      <w:r>
        <w:rPr>
          <w:rFonts w:hint="eastAsia"/>
        </w:rPr>
        <w:t>3.7.4  竞选文件的份数见竞选人须知前附表。《技术部分》不分正副本，正本和副本的封面上应清楚地标记“正本”或“副本”的字样，正本和副本封面均须加盖单位法人章，否则作否决投标处理。当副本和正本不一致时，以正本为准。</w:t>
      </w:r>
    </w:p>
    <w:p w14:paraId="17877825">
      <w:pPr>
        <w:spacing w:line="360" w:lineRule="auto"/>
        <w:ind w:firstLine="210" w:firstLineChars="100"/>
        <w:rPr>
          <w:rFonts w:ascii="宋体" w:hAnsi="宋体" w:cs="宋体"/>
          <w:szCs w:val="21"/>
        </w:rPr>
      </w:pPr>
      <w:r>
        <w:rPr>
          <w:rFonts w:hint="eastAsia"/>
        </w:rPr>
        <w:t>3.7.5  竞选文件的正本与副本应分别装订成册，并编制目录，具体装订要求见竞选人须知前附表规定。</w:t>
      </w:r>
    </w:p>
    <w:p w14:paraId="4EFB6F5B">
      <w:pPr>
        <w:pStyle w:val="4"/>
        <w:spacing w:before="0" w:after="0" w:line="360" w:lineRule="auto"/>
        <w:rPr>
          <w:rFonts w:ascii="宋体" w:hAnsi="宋体" w:cs="宋体"/>
          <w:sz w:val="21"/>
          <w:szCs w:val="21"/>
        </w:rPr>
      </w:pPr>
      <w:bookmarkStart w:id="159" w:name="_Toc10924"/>
      <w:r>
        <w:rPr>
          <w:rFonts w:hint="eastAsia" w:ascii="宋体" w:hAnsi="宋体" w:cs="宋体"/>
          <w:sz w:val="21"/>
          <w:szCs w:val="21"/>
        </w:rPr>
        <w:t>4.</w:t>
      </w:r>
      <w:bookmarkEnd w:id="158"/>
      <w:r>
        <w:rPr>
          <w:rFonts w:hint="eastAsia" w:ascii="宋体" w:hAnsi="宋体" w:cs="宋体"/>
          <w:sz w:val="21"/>
          <w:szCs w:val="21"/>
        </w:rPr>
        <w:t>竞选文件的递交等</w:t>
      </w:r>
      <w:bookmarkEnd w:id="159"/>
    </w:p>
    <w:p w14:paraId="1670C77D">
      <w:pPr>
        <w:pStyle w:val="4"/>
        <w:spacing w:before="0" w:after="0" w:line="360" w:lineRule="auto"/>
        <w:ind w:firstLine="422" w:firstLineChars="200"/>
        <w:rPr>
          <w:rFonts w:ascii="宋体" w:hAnsi="宋体" w:cs="宋体"/>
          <w:sz w:val="21"/>
          <w:szCs w:val="21"/>
        </w:rPr>
      </w:pPr>
      <w:bookmarkStart w:id="160" w:name="_Toc293756856"/>
      <w:bookmarkStart w:id="161" w:name="_Toc25512"/>
      <w:r>
        <w:rPr>
          <w:rFonts w:hint="eastAsia" w:ascii="宋体" w:hAnsi="宋体" w:cs="宋体"/>
          <w:sz w:val="21"/>
          <w:szCs w:val="21"/>
        </w:rPr>
        <w:t>4.1 竞选文件的密封和标记</w:t>
      </w:r>
      <w:bookmarkEnd w:id="160"/>
      <w:bookmarkEnd w:id="161"/>
    </w:p>
    <w:p w14:paraId="54E41283">
      <w:pPr>
        <w:ind w:firstLine="210" w:firstLineChars="100"/>
      </w:pPr>
      <w:bookmarkStart w:id="162" w:name="_Toc293756857"/>
      <w:bookmarkStart w:id="163" w:name="_Toc2798"/>
      <w:r>
        <w:rPr>
          <w:rFonts w:hint="eastAsia"/>
        </w:rPr>
        <w:t>4.1.1  竞选文件的正本与副本密封见竞选人须知前附表。</w:t>
      </w:r>
    </w:p>
    <w:p w14:paraId="3B6EC46A">
      <w:pPr>
        <w:ind w:firstLine="210" w:firstLineChars="100"/>
      </w:pPr>
      <w:r>
        <w:rPr>
          <w:rFonts w:hint="eastAsia"/>
        </w:rPr>
        <w:t>4.1.2  竞选文件的封套上应写明的内容见竞选人须知前附表。</w:t>
      </w:r>
    </w:p>
    <w:p w14:paraId="5558C8BB">
      <w:pPr>
        <w:ind w:firstLine="210" w:firstLineChars="100"/>
      </w:pPr>
      <w:r>
        <w:rPr>
          <w:rFonts w:hint="eastAsia"/>
        </w:rPr>
        <w:t>4.1.3  未按本章第 4.1项要求密封的竞选文件，比选人不予受理。</w:t>
      </w:r>
    </w:p>
    <w:p w14:paraId="1C14D258">
      <w:pPr>
        <w:pStyle w:val="4"/>
        <w:spacing w:before="0" w:after="0" w:line="360" w:lineRule="auto"/>
        <w:ind w:firstLine="422" w:firstLineChars="200"/>
        <w:rPr>
          <w:rFonts w:ascii="宋体" w:hAnsi="宋体" w:cs="宋体"/>
          <w:sz w:val="21"/>
          <w:szCs w:val="21"/>
        </w:rPr>
      </w:pPr>
      <w:r>
        <w:rPr>
          <w:rFonts w:hint="eastAsia" w:ascii="宋体" w:hAnsi="宋体" w:cs="宋体"/>
          <w:sz w:val="21"/>
          <w:szCs w:val="21"/>
        </w:rPr>
        <w:t>4.2 竞选文件的递交</w:t>
      </w:r>
      <w:bookmarkEnd w:id="162"/>
      <w:bookmarkEnd w:id="163"/>
    </w:p>
    <w:p w14:paraId="6E508F9A">
      <w:pPr>
        <w:ind w:firstLine="210" w:firstLineChars="100"/>
      </w:pPr>
      <w:bookmarkStart w:id="164" w:name="_Toc293756858"/>
      <w:bookmarkStart w:id="165" w:name="_Toc288"/>
      <w:r>
        <w:rPr>
          <w:rFonts w:hint="eastAsia"/>
        </w:rPr>
        <w:t>4.2.1 竞选人应按本章竞选人须知前附表第2.2.2项规定的时间递交竞选文件。</w:t>
      </w:r>
    </w:p>
    <w:p w14:paraId="2BE33343">
      <w:pPr>
        <w:ind w:firstLine="210" w:firstLineChars="100"/>
      </w:pPr>
      <w:r>
        <w:rPr>
          <w:rFonts w:hint="eastAsia"/>
        </w:rPr>
        <w:t>4.2.2 竞选人递交竞选文件的地点：见竞选人须知前附表。</w:t>
      </w:r>
    </w:p>
    <w:p w14:paraId="7704355C">
      <w:pPr>
        <w:ind w:firstLine="210" w:firstLineChars="100"/>
      </w:pPr>
      <w:r>
        <w:rPr>
          <w:rFonts w:hint="eastAsia"/>
        </w:rPr>
        <w:t>4.2.3 除竞选人须知前附表另有规定外，竞选人所递交的竞选文件不予退还。</w:t>
      </w:r>
    </w:p>
    <w:p w14:paraId="474E4679">
      <w:pPr>
        <w:ind w:firstLine="210" w:firstLineChars="100"/>
      </w:pPr>
      <w:r>
        <w:rPr>
          <w:rFonts w:hint="eastAsia"/>
        </w:rPr>
        <w:t>4.2.4 逾期送达的或者未送达指定地点的竞选文件，比选人不予受理。</w:t>
      </w:r>
    </w:p>
    <w:p w14:paraId="146AA17D">
      <w:pPr>
        <w:pStyle w:val="4"/>
        <w:spacing w:before="0" w:after="0" w:line="360" w:lineRule="auto"/>
        <w:ind w:firstLine="422" w:firstLineChars="200"/>
        <w:rPr>
          <w:rFonts w:ascii="宋体" w:hAnsi="宋体" w:cs="宋体"/>
          <w:sz w:val="21"/>
          <w:szCs w:val="21"/>
        </w:rPr>
      </w:pPr>
      <w:r>
        <w:rPr>
          <w:rFonts w:hint="eastAsia" w:ascii="宋体" w:hAnsi="宋体" w:cs="宋体"/>
          <w:sz w:val="21"/>
          <w:szCs w:val="21"/>
        </w:rPr>
        <w:t>4.3 竞选文件的修改与撤回</w:t>
      </w:r>
      <w:bookmarkEnd w:id="164"/>
      <w:bookmarkEnd w:id="165"/>
    </w:p>
    <w:p w14:paraId="60814B63">
      <w:pPr>
        <w:ind w:firstLine="210" w:firstLineChars="100"/>
      </w:pPr>
      <w:bookmarkStart w:id="166" w:name="_Toc293756859"/>
      <w:bookmarkStart w:id="167" w:name="_Toc29290"/>
      <w:r>
        <w:rPr>
          <w:rFonts w:hint="eastAsia"/>
        </w:rPr>
        <w:t>4.3.1 在本章竞选人须知前附表第2.2.2项规定的比选截止时间前，竞选人可以修改或撤回已递交的竞选文件，但应以书面形式通知比选人。</w:t>
      </w:r>
    </w:p>
    <w:p w14:paraId="1C8BDCA3">
      <w:pPr>
        <w:ind w:firstLine="210" w:firstLineChars="100"/>
      </w:pPr>
      <w:r>
        <w:rPr>
          <w:rFonts w:hint="eastAsia"/>
        </w:rPr>
        <w:t>4.3.2 竞选人修改或撤回已递交竞选文件的书面通知应按照本章第3.7.3 项的要求签字或盖章。比选人收到书面通知后，向竞选人出具签收凭证。</w:t>
      </w:r>
    </w:p>
    <w:p w14:paraId="6BF35443">
      <w:pPr>
        <w:ind w:firstLine="210" w:firstLineChars="100"/>
      </w:pPr>
      <w:r>
        <w:rPr>
          <w:rFonts w:hint="eastAsia"/>
        </w:rPr>
        <w:t>4.3.3 修改的内容为竞选文件的组成部分。修改的竞选文件应按照本章第3 条、第4 条规定进行编制、密封、标记和递交，并标明“修改”字样。</w:t>
      </w:r>
    </w:p>
    <w:p w14:paraId="33890C17">
      <w:pPr>
        <w:pStyle w:val="4"/>
        <w:spacing w:before="0" w:after="0" w:line="360" w:lineRule="auto"/>
        <w:rPr>
          <w:rFonts w:ascii="宋体" w:hAnsi="宋体" w:cs="宋体"/>
          <w:sz w:val="21"/>
          <w:szCs w:val="21"/>
        </w:rPr>
      </w:pPr>
      <w:r>
        <w:rPr>
          <w:rFonts w:hint="eastAsia" w:ascii="宋体" w:hAnsi="宋体" w:cs="宋体"/>
          <w:sz w:val="21"/>
          <w:szCs w:val="21"/>
        </w:rPr>
        <w:t xml:space="preserve">5. </w:t>
      </w:r>
      <w:bookmarkEnd w:id="166"/>
      <w:r>
        <w:rPr>
          <w:rFonts w:hint="eastAsia" w:ascii="宋体" w:hAnsi="宋体" w:cs="宋体"/>
          <w:sz w:val="21"/>
          <w:szCs w:val="21"/>
        </w:rPr>
        <w:t>比选</w:t>
      </w:r>
      <w:bookmarkEnd w:id="167"/>
    </w:p>
    <w:p w14:paraId="5DCAE8A8">
      <w:pPr>
        <w:pStyle w:val="4"/>
        <w:spacing w:before="0" w:after="0" w:line="360" w:lineRule="auto"/>
        <w:ind w:firstLine="422" w:firstLineChars="200"/>
        <w:rPr>
          <w:rFonts w:ascii="宋体" w:hAnsi="宋体" w:cs="宋体"/>
          <w:sz w:val="21"/>
          <w:szCs w:val="21"/>
        </w:rPr>
      </w:pPr>
      <w:bookmarkStart w:id="168" w:name="_Toc293756860"/>
      <w:bookmarkStart w:id="169" w:name="_Toc6939"/>
      <w:r>
        <w:rPr>
          <w:rFonts w:hint="eastAsia" w:ascii="宋体" w:hAnsi="宋体" w:cs="宋体"/>
          <w:sz w:val="21"/>
          <w:szCs w:val="21"/>
        </w:rPr>
        <w:t>5.1 比选时间和地点</w:t>
      </w:r>
      <w:bookmarkEnd w:id="168"/>
      <w:bookmarkEnd w:id="169"/>
    </w:p>
    <w:p w14:paraId="14A04FBD">
      <w:pPr>
        <w:ind w:firstLine="210" w:firstLineChars="100"/>
      </w:pPr>
      <w:bookmarkStart w:id="170" w:name="_Toc293756861"/>
      <w:bookmarkStart w:id="171" w:name="_Toc716"/>
      <w:r>
        <w:rPr>
          <w:rFonts w:hint="eastAsia"/>
        </w:rPr>
        <w:t>比选人在竞选人须知前附表第 2.2.2 项规定的比选截止时间（开标时间）和竞选人须知前附表规定的地点公开开标，并邀请所有竞选人的法定代表人或其委托代理人准时参加。</w:t>
      </w:r>
    </w:p>
    <w:p w14:paraId="3C62DC74">
      <w:pPr>
        <w:pStyle w:val="4"/>
        <w:spacing w:before="0" w:after="0" w:line="360" w:lineRule="auto"/>
        <w:ind w:firstLine="422" w:firstLineChars="200"/>
        <w:rPr>
          <w:rFonts w:ascii="宋体" w:hAnsi="宋体" w:cs="宋体"/>
          <w:sz w:val="21"/>
          <w:szCs w:val="21"/>
        </w:rPr>
      </w:pPr>
      <w:r>
        <w:rPr>
          <w:rFonts w:hint="eastAsia" w:ascii="宋体" w:hAnsi="宋体" w:cs="宋体"/>
          <w:sz w:val="21"/>
          <w:szCs w:val="21"/>
        </w:rPr>
        <w:t>5.2 比选程序</w:t>
      </w:r>
      <w:bookmarkEnd w:id="170"/>
      <w:bookmarkEnd w:id="171"/>
    </w:p>
    <w:p w14:paraId="4E2F4738">
      <w:pPr>
        <w:ind w:firstLine="210" w:firstLineChars="100"/>
      </w:pPr>
      <w:bookmarkStart w:id="172" w:name="_Toc293756862"/>
      <w:bookmarkStart w:id="173" w:name="_Toc24607"/>
      <w:r>
        <w:rPr>
          <w:rFonts w:hint="eastAsia"/>
        </w:rPr>
        <w:t>详见竞选人须知前附表5.2开标程序。</w:t>
      </w:r>
    </w:p>
    <w:p w14:paraId="40190480">
      <w:pPr>
        <w:pStyle w:val="4"/>
        <w:spacing w:before="0" w:after="0" w:line="360" w:lineRule="auto"/>
        <w:rPr>
          <w:rFonts w:ascii="宋体" w:hAnsi="宋体" w:cs="宋体"/>
          <w:sz w:val="21"/>
          <w:szCs w:val="21"/>
        </w:rPr>
      </w:pPr>
      <w:r>
        <w:rPr>
          <w:rFonts w:hint="eastAsia" w:ascii="宋体" w:hAnsi="宋体" w:cs="宋体"/>
          <w:sz w:val="21"/>
          <w:szCs w:val="21"/>
        </w:rPr>
        <w:t>6. 评</w:t>
      </w:r>
      <w:bookmarkEnd w:id="172"/>
      <w:r>
        <w:rPr>
          <w:rFonts w:hint="eastAsia" w:ascii="宋体" w:hAnsi="宋体" w:cs="宋体"/>
          <w:sz w:val="21"/>
          <w:szCs w:val="21"/>
        </w:rPr>
        <w:t>审</w:t>
      </w:r>
      <w:bookmarkEnd w:id="173"/>
    </w:p>
    <w:p w14:paraId="7974858B">
      <w:pPr>
        <w:ind w:firstLine="210" w:firstLineChars="100"/>
        <w:rPr>
          <w:snapToGrid w:val="0"/>
        </w:rPr>
      </w:pPr>
      <w:bookmarkStart w:id="174" w:name="_Toc287620720"/>
      <w:bookmarkStart w:id="175" w:name="_Toc509218745"/>
      <w:bookmarkStart w:id="176" w:name="_Toc277082587"/>
      <w:bookmarkStart w:id="177" w:name="_Toc287607781"/>
      <w:bookmarkStart w:id="178" w:name="_Toc224103352"/>
      <w:bookmarkStart w:id="179" w:name="_Toc200513161"/>
      <w:bookmarkStart w:id="180" w:name="_Toc430530470"/>
      <w:bookmarkStart w:id="181" w:name="_Toc7646"/>
      <w:bookmarkStart w:id="182" w:name="_Toc287607782"/>
      <w:bookmarkStart w:id="183" w:name="_Toc277082588"/>
      <w:bookmarkStart w:id="184" w:name="_Toc287620721"/>
      <w:bookmarkStart w:id="185" w:name="_Toc509218746"/>
      <w:bookmarkStart w:id="186" w:name="_Toc430530471"/>
      <w:bookmarkStart w:id="187" w:name="_Toc224103353"/>
      <w:bookmarkStart w:id="188" w:name="_Toc200513162"/>
      <w:bookmarkStart w:id="189" w:name="_Toc293756866"/>
      <w:r>
        <w:rPr>
          <w:rFonts w:hint="eastAsia"/>
          <w:snapToGrid w:val="0"/>
        </w:rPr>
        <w:t>6.1  评审小组</w:t>
      </w:r>
      <w:bookmarkEnd w:id="174"/>
      <w:bookmarkEnd w:id="175"/>
      <w:bookmarkEnd w:id="176"/>
      <w:bookmarkEnd w:id="177"/>
      <w:bookmarkEnd w:id="178"/>
      <w:bookmarkEnd w:id="179"/>
      <w:bookmarkEnd w:id="180"/>
      <w:bookmarkEnd w:id="181"/>
    </w:p>
    <w:p w14:paraId="76C07884">
      <w:pPr>
        <w:ind w:firstLine="210" w:firstLineChars="100"/>
        <w:rPr>
          <w:b/>
          <w:snapToGrid w:val="0"/>
        </w:rPr>
      </w:pPr>
      <w:r>
        <w:rPr>
          <w:rFonts w:hint="eastAsia"/>
          <w:snapToGrid w:val="0"/>
        </w:rPr>
        <w:t>6.1.1  评标由比选人依据法律法规和相关规范性文件组建的评审小组负责。</w:t>
      </w:r>
    </w:p>
    <w:p w14:paraId="2F23DDA1">
      <w:pPr>
        <w:ind w:firstLine="210" w:firstLineChars="100"/>
        <w:rPr>
          <w:snapToGrid w:val="0"/>
        </w:rPr>
      </w:pPr>
      <w:r>
        <w:rPr>
          <w:rFonts w:hint="eastAsia"/>
          <w:snapToGrid w:val="0"/>
        </w:rPr>
        <w:t>6.1.2  评审小组成员有下列情形之一的，应当回避：</w:t>
      </w:r>
    </w:p>
    <w:p w14:paraId="07D0C2AD">
      <w:pPr>
        <w:ind w:firstLine="210" w:firstLineChars="100"/>
        <w:rPr>
          <w:snapToGrid w:val="0"/>
        </w:rPr>
      </w:pPr>
      <w:bookmarkStart w:id="190" w:name="_Toc27306"/>
      <w:r>
        <w:rPr>
          <w:rFonts w:hint="eastAsia"/>
          <w:snapToGrid w:val="0"/>
        </w:rPr>
        <w:t>（1）竞选人或竞选人的主要负责人的近亲属；</w:t>
      </w:r>
      <w:bookmarkEnd w:id="190"/>
    </w:p>
    <w:p w14:paraId="2366C151">
      <w:pPr>
        <w:ind w:firstLine="210" w:firstLineChars="100"/>
        <w:rPr>
          <w:snapToGrid w:val="0"/>
        </w:rPr>
      </w:pPr>
      <w:bookmarkStart w:id="191" w:name="_Toc7327"/>
      <w:r>
        <w:rPr>
          <w:rFonts w:hint="eastAsia"/>
          <w:snapToGrid w:val="0"/>
        </w:rPr>
        <w:t>（2）项目主管部门或者项目行政监督部门的人员；</w:t>
      </w:r>
      <w:bookmarkEnd w:id="191"/>
    </w:p>
    <w:p w14:paraId="550D8A7B">
      <w:pPr>
        <w:ind w:firstLine="210" w:firstLineChars="100"/>
        <w:rPr>
          <w:snapToGrid w:val="0"/>
        </w:rPr>
      </w:pPr>
      <w:bookmarkStart w:id="192" w:name="_Toc32357"/>
      <w:r>
        <w:rPr>
          <w:rFonts w:hint="eastAsia"/>
          <w:snapToGrid w:val="0"/>
        </w:rPr>
        <w:t>（3）与竞选人有利害关系，可能影响对竞选公正评审的；</w:t>
      </w:r>
      <w:bookmarkEnd w:id="192"/>
    </w:p>
    <w:p w14:paraId="4A5C010F">
      <w:pPr>
        <w:ind w:firstLine="210" w:firstLineChars="100"/>
        <w:rPr>
          <w:snapToGrid w:val="0"/>
        </w:rPr>
      </w:pPr>
      <w:bookmarkStart w:id="193" w:name="_Toc28689"/>
      <w:r>
        <w:rPr>
          <w:rFonts w:hint="eastAsia"/>
          <w:snapToGrid w:val="0"/>
        </w:rPr>
        <w:t>（4）曾因在招标、评标以及其他与招标竞选有关活动中从事违法行为而受过行政处罚或刑事处罚的；</w:t>
      </w:r>
      <w:bookmarkEnd w:id="193"/>
    </w:p>
    <w:p w14:paraId="39BD2333">
      <w:pPr>
        <w:ind w:firstLine="210" w:firstLineChars="100"/>
        <w:rPr>
          <w:snapToGrid w:val="0"/>
        </w:rPr>
      </w:pPr>
      <w:bookmarkStart w:id="194" w:name="_Toc7240"/>
      <w:r>
        <w:rPr>
          <w:rFonts w:hint="eastAsia"/>
          <w:snapToGrid w:val="0"/>
        </w:rPr>
        <w:t>（5）法律法规规定的其他情形。</w:t>
      </w:r>
      <w:bookmarkEnd w:id="194"/>
    </w:p>
    <w:p w14:paraId="13BF1103">
      <w:pPr>
        <w:ind w:firstLine="210" w:firstLineChars="100"/>
        <w:rPr>
          <w:snapToGrid w:val="0"/>
        </w:rPr>
      </w:pPr>
      <w:r>
        <w:rPr>
          <w:rFonts w:hint="eastAsia"/>
          <w:snapToGrid w:val="0"/>
        </w:rPr>
        <w:t>6.1.3  评标过程中，评审小组成员有回避事由、擅离职守或者因健康等原因不能继续评标的，应当及时更换。被更换的评审小组成员作出的评审结论无效，由更换后的评审小组成员重新进行评审。</w:t>
      </w:r>
    </w:p>
    <w:p w14:paraId="29CF124E">
      <w:pPr>
        <w:pStyle w:val="4"/>
        <w:spacing w:before="0" w:after="0" w:line="360" w:lineRule="auto"/>
        <w:ind w:firstLine="422" w:firstLineChars="200"/>
        <w:rPr>
          <w:rFonts w:ascii="宋体" w:hAnsi="宋体" w:cs="宋体"/>
          <w:sz w:val="21"/>
          <w:szCs w:val="21"/>
        </w:rPr>
      </w:pPr>
      <w:bookmarkStart w:id="195" w:name="_Toc349"/>
      <w:r>
        <w:rPr>
          <w:rFonts w:hint="eastAsia" w:ascii="宋体" w:hAnsi="宋体" w:cs="宋体"/>
          <w:sz w:val="21"/>
          <w:szCs w:val="21"/>
        </w:rPr>
        <w:t>6.2  评标原则</w:t>
      </w:r>
      <w:bookmarkEnd w:id="182"/>
      <w:bookmarkEnd w:id="183"/>
      <w:bookmarkEnd w:id="184"/>
      <w:bookmarkEnd w:id="185"/>
      <w:bookmarkEnd w:id="186"/>
      <w:bookmarkEnd w:id="187"/>
      <w:bookmarkEnd w:id="188"/>
      <w:bookmarkEnd w:id="195"/>
    </w:p>
    <w:p w14:paraId="7FAC920A">
      <w:pPr>
        <w:ind w:firstLine="210" w:firstLineChars="100"/>
        <w:rPr>
          <w:snapToGrid w:val="0"/>
        </w:rPr>
      </w:pPr>
      <w:bookmarkStart w:id="196" w:name="_Toc3231"/>
      <w:bookmarkStart w:id="197" w:name="_Toc287620722"/>
      <w:bookmarkStart w:id="198" w:name="_Toc224103354"/>
      <w:bookmarkStart w:id="199" w:name="_Toc509218747"/>
      <w:bookmarkStart w:id="200" w:name="_Toc430530472"/>
      <w:bookmarkStart w:id="201" w:name="_Toc200513163"/>
      <w:bookmarkStart w:id="202" w:name="_Toc287607783"/>
      <w:bookmarkStart w:id="203" w:name="_Toc277082589"/>
      <w:r>
        <w:rPr>
          <w:rFonts w:hint="eastAsia"/>
          <w:snapToGrid w:val="0"/>
        </w:rPr>
        <w:t>评标活动遵循公平、公正、科学和择优的原则。</w:t>
      </w:r>
    </w:p>
    <w:p w14:paraId="1320F1C1">
      <w:pPr>
        <w:pStyle w:val="4"/>
        <w:spacing w:before="0" w:after="0" w:line="360" w:lineRule="auto"/>
        <w:ind w:firstLine="422" w:firstLineChars="200"/>
        <w:rPr>
          <w:rFonts w:ascii="宋体" w:hAnsi="宋体" w:cs="宋体"/>
          <w:sz w:val="21"/>
          <w:szCs w:val="21"/>
        </w:rPr>
      </w:pPr>
      <w:r>
        <w:rPr>
          <w:rFonts w:hint="eastAsia" w:ascii="宋体" w:hAnsi="宋体" w:cs="宋体"/>
          <w:sz w:val="21"/>
          <w:szCs w:val="21"/>
        </w:rPr>
        <w:t>6.3  评标</w:t>
      </w:r>
      <w:bookmarkEnd w:id="196"/>
      <w:bookmarkEnd w:id="197"/>
      <w:bookmarkEnd w:id="198"/>
      <w:bookmarkEnd w:id="199"/>
      <w:bookmarkEnd w:id="200"/>
      <w:bookmarkEnd w:id="201"/>
      <w:bookmarkEnd w:id="202"/>
      <w:bookmarkEnd w:id="203"/>
    </w:p>
    <w:p w14:paraId="425686E7">
      <w:pPr>
        <w:ind w:firstLine="210" w:firstLineChars="100"/>
        <w:rPr>
          <w:snapToGrid w:val="0"/>
        </w:rPr>
      </w:pPr>
      <w:bookmarkStart w:id="204" w:name="_Toc5190"/>
      <w:r>
        <w:rPr>
          <w:rFonts w:hint="eastAsia"/>
          <w:snapToGrid w:val="0"/>
        </w:rPr>
        <w:t>评审小组按照第三章“评标办法”规定的方法、评审因素、标准和程序对竞选文件进行评审。第三章“评标办法”没有规定的方法、评审因素和标准，不得作为评标依据。</w:t>
      </w:r>
    </w:p>
    <w:p w14:paraId="52BEBF2E">
      <w:pPr>
        <w:pStyle w:val="4"/>
        <w:spacing w:before="0" w:after="0" w:line="360" w:lineRule="auto"/>
        <w:rPr>
          <w:rFonts w:ascii="宋体" w:hAnsi="宋体" w:cs="宋体"/>
          <w:sz w:val="21"/>
          <w:szCs w:val="21"/>
        </w:rPr>
      </w:pPr>
      <w:r>
        <w:rPr>
          <w:rFonts w:hint="eastAsia" w:ascii="宋体" w:hAnsi="宋体" w:cs="宋体"/>
          <w:sz w:val="21"/>
          <w:szCs w:val="21"/>
        </w:rPr>
        <w:t>7. 合同授予</w:t>
      </w:r>
      <w:bookmarkEnd w:id="189"/>
      <w:bookmarkEnd w:id="204"/>
    </w:p>
    <w:p w14:paraId="0F4EEECA">
      <w:pPr>
        <w:pStyle w:val="4"/>
        <w:spacing w:before="0" w:after="0" w:line="360" w:lineRule="auto"/>
        <w:ind w:firstLine="422" w:firstLineChars="200"/>
        <w:rPr>
          <w:rFonts w:ascii="宋体" w:hAnsi="宋体" w:cs="宋体"/>
          <w:sz w:val="21"/>
          <w:szCs w:val="21"/>
        </w:rPr>
      </w:pPr>
      <w:bookmarkStart w:id="205" w:name="_Toc293756867"/>
      <w:bookmarkStart w:id="206" w:name="_Toc13886"/>
      <w:r>
        <w:rPr>
          <w:rFonts w:hint="eastAsia" w:ascii="宋体" w:hAnsi="宋体" w:cs="宋体"/>
          <w:sz w:val="21"/>
          <w:szCs w:val="21"/>
        </w:rPr>
        <w:t>7.1 定选方式</w:t>
      </w:r>
      <w:bookmarkEnd w:id="205"/>
      <w:bookmarkEnd w:id="206"/>
    </w:p>
    <w:p w14:paraId="5825D69D">
      <w:pPr>
        <w:ind w:firstLine="210" w:firstLineChars="100"/>
      </w:pPr>
      <w:bookmarkStart w:id="207" w:name="_Toc17919"/>
      <w:bookmarkStart w:id="208" w:name="_Toc293756868"/>
      <w:r>
        <w:rPr>
          <w:rFonts w:hint="eastAsia"/>
        </w:rPr>
        <w:t>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审小组提出的中标候选人名单排序依次确定其他中标候选人为中标人，也可以重新招标。</w:t>
      </w:r>
    </w:p>
    <w:p w14:paraId="36D878FB">
      <w:r>
        <w:rPr>
          <w:rFonts w:hint="eastAsia"/>
        </w:rPr>
        <w:t>评审小组推荐中标候选人的人数见竞选人须知前附表。</w:t>
      </w:r>
    </w:p>
    <w:p w14:paraId="0F11266D">
      <w:pPr>
        <w:pStyle w:val="4"/>
        <w:spacing w:before="0" w:after="0" w:line="360" w:lineRule="auto"/>
        <w:ind w:firstLine="422" w:firstLineChars="200"/>
        <w:rPr>
          <w:rFonts w:ascii="宋体" w:hAnsi="宋体" w:cs="宋体"/>
          <w:sz w:val="21"/>
          <w:szCs w:val="21"/>
        </w:rPr>
      </w:pPr>
      <w:r>
        <w:rPr>
          <w:rFonts w:hint="eastAsia" w:ascii="宋体" w:hAnsi="宋体" w:cs="宋体"/>
          <w:sz w:val="21"/>
          <w:szCs w:val="21"/>
        </w:rPr>
        <w:t>7.2 中标通知</w:t>
      </w:r>
      <w:bookmarkEnd w:id="207"/>
      <w:bookmarkEnd w:id="208"/>
    </w:p>
    <w:p w14:paraId="4EBCB149">
      <w:pPr>
        <w:ind w:firstLine="210" w:firstLineChars="100"/>
      </w:pPr>
      <w:bookmarkStart w:id="209" w:name="_Toc293756869"/>
      <w:r>
        <w:rPr>
          <w:rFonts w:hint="eastAsia"/>
        </w:rPr>
        <w:t>比选人在收到评标报告之日起3日内公示中标候选人，公示期不得少于1个工作日。</w:t>
      </w:r>
    </w:p>
    <w:p w14:paraId="7364A294">
      <w:r>
        <w:rPr>
          <w:rFonts w:hint="eastAsia"/>
        </w:rPr>
        <w:t>在本章第 3.3 款规定的竞选有效期内，且未有竞选人的异议与投诉，比选人以书面形式向中标人发出中标通知书。</w:t>
      </w:r>
    </w:p>
    <w:p w14:paraId="0D3DC898">
      <w:pPr>
        <w:spacing w:line="360" w:lineRule="auto"/>
        <w:ind w:firstLine="422" w:firstLineChars="200"/>
        <w:rPr>
          <w:rFonts w:hint="eastAsia" w:ascii="宋体" w:hAnsi="宋体" w:eastAsia="宋体" w:cs="宋体"/>
          <w:b/>
          <w:bCs/>
          <w:szCs w:val="21"/>
          <w:lang w:eastAsia="zh-CN"/>
        </w:rPr>
      </w:pPr>
      <w:r>
        <w:rPr>
          <w:rFonts w:hint="eastAsia" w:ascii="宋体" w:hAnsi="宋体" w:cs="宋体"/>
          <w:b/>
          <w:bCs/>
          <w:szCs w:val="21"/>
        </w:rPr>
        <w:t>7.3 履约担保</w:t>
      </w:r>
      <w:bookmarkEnd w:id="209"/>
      <w:r>
        <w:rPr>
          <w:rFonts w:hint="eastAsia" w:ascii="宋体" w:hAnsi="宋体" w:cs="宋体"/>
          <w:b/>
          <w:bCs/>
          <w:szCs w:val="21"/>
          <w:lang w:eastAsia="zh-CN"/>
        </w:rPr>
        <w:t>（</w:t>
      </w:r>
      <w:r>
        <w:rPr>
          <w:rFonts w:hint="eastAsia" w:ascii="宋体" w:hAnsi="宋体" w:cs="宋体"/>
          <w:b/>
          <w:bCs/>
          <w:szCs w:val="21"/>
          <w:lang w:val="en-US" w:eastAsia="zh-CN"/>
        </w:rPr>
        <w:t>如有</w:t>
      </w:r>
      <w:r>
        <w:rPr>
          <w:rFonts w:hint="eastAsia" w:ascii="宋体" w:hAnsi="宋体" w:cs="宋体"/>
          <w:b/>
          <w:bCs/>
          <w:szCs w:val="21"/>
          <w:lang w:eastAsia="zh-CN"/>
        </w:rPr>
        <w:t>）</w:t>
      </w:r>
    </w:p>
    <w:p w14:paraId="203DD4F0">
      <w:pPr>
        <w:ind w:firstLine="210" w:firstLineChars="100"/>
      </w:pPr>
      <w:bookmarkStart w:id="210" w:name="_Toc5235"/>
      <w:bookmarkStart w:id="211" w:name="_Toc293756870"/>
      <w:r>
        <w:rPr>
          <w:rFonts w:hint="eastAsia"/>
        </w:rPr>
        <w:t>7.3.1 在签订合同前，中标人应按竞选人须知前附表规定的金额、担保形式和比选文件第四章“合同条款及格式”规定的履约担保格式向比选人提交履约担保。</w:t>
      </w:r>
    </w:p>
    <w:p w14:paraId="0FE51F94">
      <w:pPr>
        <w:ind w:firstLine="210" w:firstLineChars="100"/>
      </w:pPr>
      <w:r>
        <w:rPr>
          <w:rFonts w:hint="eastAsia"/>
        </w:rPr>
        <w:t>7.3.2 中选人不能按本章第7.3.1 项要求提交履约担保的，视为放弃中选，其比选保证金不予退还，给比选人造成的损失超过比选保证金数额的，中选人还应当对超过部分予以赔偿。</w:t>
      </w:r>
    </w:p>
    <w:p w14:paraId="77FD4B8D">
      <w:pPr>
        <w:pStyle w:val="4"/>
        <w:spacing w:before="0" w:after="0" w:line="360" w:lineRule="auto"/>
        <w:ind w:firstLine="422" w:firstLineChars="200"/>
        <w:rPr>
          <w:rFonts w:ascii="宋体" w:hAnsi="宋体" w:cs="宋体"/>
          <w:sz w:val="21"/>
          <w:szCs w:val="21"/>
        </w:rPr>
      </w:pPr>
      <w:r>
        <w:rPr>
          <w:rFonts w:hint="eastAsia" w:ascii="宋体" w:hAnsi="宋体" w:cs="宋体"/>
          <w:sz w:val="21"/>
          <w:szCs w:val="21"/>
        </w:rPr>
        <w:t>7.4 签订合同</w:t>
      </w:r>
      <w:bookmarkEnd w:id="210"/>
      <w:bookmarkEnd w:id="211"/>
    </w:p>
    <w:p w14:paraId="7C08C149">
      <w:pPr>
        <w:ind w:firstLine="210" w:firstLineChars="100"/>
      </w:pPr>
      <w:bookmarkStart w:id="212" w:name="_Toc293756871"/>
      <w:bookmarkStart w:id="213" w:name="_Toc21469"/>
      <w:r>
        <w:rPr>
          <w:rFonts w:hint="eastAsia"/>
        </w:rPr>
        <w:t>7.4.1 比选人和中标人应当自中标通知书发出之日起15天内，根据比选文件和中标人的竞选文件订立书面合同。中标人放弃中标项目，无正当理由不与比选人签订合同，在签订合同时向比选人提出附加条件或者更改合同实质性内容的，比选人取消其中标资格，其比选保证金不予退还；给比选人造成的损失超过比选保证金数额的，中标人还应当对超过部分予以赔偿。</w:t>
      </w:r>
    </w:p>
    <w:p w14:paraId="175B9ED8">
      <w:pPr>
        <w:ind w:firstLine="210" w:firstLineChars="100"/>
      </w:pPr>
      <w:r>
        <w:rPr>
          <w:rFonts w:hint="eastAsia"/>
        </w:rPr>
        <w:t>7.4.2 发出中选通知书后，比选人无正当理由拒签合同的，比选人应向中选人退还比选保证金；给中选人造成损失的，还应当赔偿损失。</w:t>
      </w:r>
    </w:p>
    <w:p w14:paraId="4F4AEA05">
      <w:pPr>
        <w:pStyle w:val="4"/>
        <w:spacing w:before="0" w:after="0" w:line="360" w:lineRule="auto"/>
        <w:rPr>
          <w:rFonts w:ascii="宋体" w:hAnsi="宋体" w:cs="宋体"/>
          <w:sz w:val="21"/>
          <w:szCs w:val="21"/>
        </w:rPr>
      </w:pPr>
      <w:r>
        <w:rPr>
          <w:rFonts w:hint="eastAsia" w:ascii="宋体" w:hAnsi="宋体" w:cs="宋体"/>
          <w:sz w:val="21"/>
          <w:szCs w:val="21"/>
        </w:rPr>
        <w:t>8. 重新比选和不再比选</w:t>
      </w:r>
      <w:bookmarkEnd w:id="212"/>
      <w:bookmarkEnd w:id="213"/>
    </w:p>
    <w:p w14:paraId="78430950">
      <w:pPr>
        <w:keepNext/>
        <w:keepLines/>
        <w:snapToGrid w:val="0"/>
        <w:spacing w:line="360" w:lineRule="auto"/>
        <w:ind w:firstLine="420" w:firstLineChars="200"/>
        <w:outlineLvl w:val="2"/>
        <w:rPr>
          <w:rFonts w:ascii="宋体" w:hAnsi="宋体" w:cs="宋体"/>
          <w:bCs/>
          <w:snapToGrid w:val="0"/>
          <w:szCs w:val="21"/>
        </w:rPr>
      </w:pPr>
      <w:bookmarkStart w:id="214" w:name="_Toc430530479"/>
      <w:bookmarkStart w:id="215" w:name="_Toc200513170"/>
      <w:bookmarkStart w:id="216" w:name="_Toc224103361"/>
      <w:bookmarkStart w:id="217" w:name="_Toc287620729"/>
      <w:bookmarkStart w:id="218" w:name="_Toc277082596"/>
      <w:bookmarkStart w:id="219" w:name="_Toc509218754"/>
      <w:bookmarkStart w:id="220" w:name="_Toc287607790"/>
      <w:bookmarkStart w:id="221" w:name="_Toc27002"/>
      <w:bookmarkStart w:id="222" w:name="_Toc284231394"/>
      <w:bookmarkStart w:id="223" w:name="_Toc293756873"/>
      <w:r>
        <w:rPr>
          <w:rFonts w:hint="eastAsia" w:ascii="宋体" w:hAnsi="宋体" w:cs="宋体"/>
          <w:bCs/>
          <w:snapToGrid w:val="0"/>
          <w:szCs w:val="21"/>
        </w:rPr>
        <w:t>8.1  重新</w:t>
      </w:r>
      <w:bookmarkEnd w:id="214"/>
      <w:bookmarkEnd w:id="215"/>
      <w:bookmarkEnd w:id="216"/>
      <w:bookmarkEnd w:id="217"/>
      <w:bookmarkEnd w:id="218"/>
      <w:bookmarkEnd w:id="219"/>
      <w:bookmarkEnd w:id="220"/>
      <w:r>
        <w:rPr>
          <w:rFonts w:hint="eastAsia" w:ascii="宋体" w:hAnsi="宋体" w:cs="宋体"/>
          <w:bCs/>
          <w:snapToGrid w:val="0"/>
          <w:szCs w:val="21"/>
        </w:rPr>
        <w:t>比选</w:t>
      </w:r>
      <w:bookmarkEnd w:id="221"/>
    </w:p>
    <w:p w14:paraId="556194EE">
      <w:pPr>
        <w:ind w:firstLine="210" w:firstLineChars="100"/>
        <w:rPr>
          <w:snapToGrid w:val="0"/>
        </w:rPr>
      </w:pPr>
      <w:r>
        <w:rPr>
          <w:rFonts w:hint="eastAsia"/>
          <w:snapToGrid w:val="0"/>
        </w:rPr>
        <w:t>8.1  重新比选</w:t>
      </w:r>
    </w:p>
    <w:p w14:paraId="631C6ECB">
      <w:pPr>
        <w:ind w:firstLine="210" w:firstLineChars="100"/>
        <w:rPr>
          <w:snapToGrid w:val="0"/>
        </w:rPr>
      </w:pPr>
      <w:r>
        <w:rPr>
          <w:rFonts w:hint="eastAsia"/>
          <w:snapToGrid w:val="0"/>
        </w:rPr>
        <w:t>有下列情形之一的，比选人将重新比选：</w:t>
      </w:r>
    </w:p>
    <w:p w14:paraId="27215F95">
      <w:pPr>
        <w:ind w:firstLine="210" w:firstLineChars="100"/>
        <w:rPr>
          <w:snapToGrid w:val="0"/>
        </w:rPr>
      </w:pPr>
      <w:r>
        <w:rPr>
          <w:rFonts w:hint="eastAsia"/>
          <w:snapToGrid w:val="0"/>
        </w:rPr>
        <w:t>（1）比选截止时间止，竞选人少于 3 个的；</w:t>
      </w:r>
    </w:p>
    <w:p w14:paraId="266F7A55">
      <w:pPr>
        <w:ind w:firstLine="210" w:firstLineChars="100"/>
        <w:rPr>
          <w:snapToGrid w:val="0"/>
        </w:rPr>
      </w:pPr>
      <w:r>
        <w:rPr>
          <w:rFonts w:hint="eastAsia"/>
          <w:snapToGrid w:val="0"/>
        </w:rPr>
        <w:t>（2）经评审小组评审后否决所有投标的；</w:t>
      </w:r>
    </w:p>
    <w:p w14:paraId="22A48EC3">
      <w:pPr>
        <w:ind w:firstLine="210" w:firstLineChars="100"/>
        <w:rPr>
          <w:snapToGrid w:val="0"/>
        </w:rPr>
      </w:pPr>
      <w:r>
        <w:rPr>
          <w:rFonts w:hint="eastAsia"/>
          <w:snapToGrid w:val="0"/>
        </w:rPr>
        <w:t>（3）经评审小组评审后部分投标被否决，导致有效竞选人不足三个的，评审小组应当否决所有投标。但是有效竞选人的经济、技术等指标仍然具有市场竞争力，能够满足比选文件要求的，评审小组可以继续评标并确定中标候选人。</w:t>
      </w:r>
    </w:p>
    <w:p w14:paraId="5A800CD8">
      <w:pPr>
        <w:ind w:firstLine="210" w:firstLineChars="100"/>
        <w:rPr>
          <w:snapToGrid w:val="0"/>
        </w:rPr>
      </w:pPr>
      <w:r>
        <w:rPr>
          <w:rFonts w:hint="eastAsia"/>
          <w:snapToGrid w:val="0"/>
        </w:rPr>
        <w:t>（4）法律法规规定的其他情形。</w:t>
      </w:r>
    </w:p>
    <w:p w14:paraId="0C9134D9">
      <w:pPr>
        <w:pStyle w:val="4"/>
        <w:spacing w:before="0" w:after="0" w:line="360" w:lineRule="auto"/>
        <w:ind w:firstLine="422" w:firstLineChars="200"/>
        <w:rPr>
          <w:rFonts w:ascii="宋体" w:hAnsi="宋体" w:cs="宋体"/>
          <w:sz w:val="21"/>
          <w:szCs w:val="21"/>
        </w:rPr>
      </w:pPr>
      <w:bookmarkStart w:id="224" w:name="_Toc28804"/>
      <w:r>
        <w:rPr>
          <w:rFonts w:hint="eastAsia" w:ascii="宋体" w:hAnsi="宋体" w:cs="宋体"/>
          <w:sz w:val="21"/>
          <w:szCs w:val="21"/>
        </w:rPr>
        <w:t>8.2 不再</w:t>
      </w:r>
      <w:bookmarkEnd w:id="222"/>
      <w:bookmarkEnd w:id="223"/>
      <w:r>
        <w:rPr>
          <w:rFonts w:hint="eastAsia" w:ascii="宋体" w:hAnsi="宋体" w:cs="宋体"/>
          <w:sz w:val="21"/>
          <w:szCs w:val="21"/>
        </w:rPr>
        <w:t>比选</w:t>
      </w:r>
      <w:bookmarkEnd w:id="224"/>
    </w:p>
    <w:p w14:paraId="33431816">
      <w:pPr>
        <w:spacing w:line="360" w:lineRule="auto"/>
        <w:ind w:firstLine="420" w:firstLineChars="200"/>
        <w:rPr>
          <w:rFonts w:ascii="宋体" w:hAnsi="宋体" w:cs="宋体"/>
          <w:szCs w:val="21"/>
        </w:rPr>
      </w:pPr>
      <w:bookmarkStart w:id="225" w:name="_Toc284159360"/>
      <w:bookmarkStart w:id="226" w:name="_Toc293756874"/>
      <w:bookmarkStart w:id="227" w:name="_Toc288046894"/>
      <w:bookmarkStart w:id="228" w:name="_Toc284158539"/>
      <w:bookmarkStart w:id="229" w:name="_Toc284159224"/>
      <w:bookmarkStart w:id="230" w:name="_Toc284158456"/>
      <w:bookmarkStart w:id="231" w:name="_Toc284231395"/>
      <w:bookmarkStart w:id="232" w:name="_Toc288052291"/>
      <w:bookmarkStart w:id="233" w:name="_Toc288046541"/>
      <w:bookmarkStart w:id="234" w:name="_Toc288045280"/>
      <w:r>
        <w:rPr>
          <w:rFonts w:hint="eastAsia"/>
        </w:rPr>
        <w:t>重新比选后竞选人仍少于三个的，按法定程序开展比选和评审，确定中选人。经评审无合格竞选人，属于审批或核准项目的，报经原审批部门批准可以不再比选</w:t>
      </w:r>
      <w:r>
        <w:rPr>
          <w:rFonts w:hint="eastAsia" w:ascii="宋体" w:hAnsi="宋体" w:cs="宋体"/>
          <w:szCs w:val="21"/>
        </w:rPr>
        <w:t>。</w:t>
      </w:r>
      <w:bookmarkEnd w:id="225"/>
      <w:bookmarkEnd w:id="226"/>
      <w:bookmarkEnd w:id="227"/>
      <w:bookmarkEnd w:id="228"/>
      <w:bookmarkEnd w:id="229"/>
      <w:bookmarkEnd w:id="230"/>
      <w:bookmarkEnd w:id="231"/>
      <w:bookmarkEnd w:id="232"/>
      <w:bookmarkEnd w:id="233"/>
      <w:bookmarkEnd w:id="234"/>
    </w:p>
    <w:p w14:paraId="7A06846F">
      <w:pPr>
        <w:pStyle w:val="4"/>
        <w:spacing w:before="0" w:after="0" w:line="360" w:lineRule="auto"/>
        <w:rPr>
          <w:rFonts w:ascii="宋体" w:hAnsi="宋体" w:cs="宋体"/>
          <w:sz w:val="21"/>
          <w:szCs w:val="21"/>
        </w:rPr>
      </w:pPr>
      <w:bookmarkStart w:id="235" w:name="_Toc509218756"/>
      <w:bookmarkStart w:id="236" w:name="_Toc430530481"/>
      <w:bookmarkStart w:id="237" w:name="_Toc224103363"/>
      <w:bookmarkStart w:id="238" w:name="_Toc287620731"/>
      <w:bookmarkStart w:id="239" w:name="_Toc36043737"/>
      <w:bookmarkStart w:id="240" w:name="_Toc31090"/>
      <w:bookmarkStart w:id="241" w:name="_Toc200513172"/>
      <w:bookmarkStart w:id="242" w:name="_Toc277082598"/>
      <w:bookmarkStart w:id="243" w:name="_Toc287607792"/>
      <w:r>
        <w:rPr>
          <w:rFonts w:hint="eastAsia" w:ascii="宋体" w:hAnsi="宋体" w:cs="宋体"/>
          <w:sz w:val="21"/>
          <w:szCs w:val="21"/>
        </w:rPr>
        <w:t>9.  纪律和监督</w:t>
      </w:r>
      <w:bookmarkEnd w:id="235"/>
      <w:bookmarkEnd w:id="236"/>
      <w:bookmarkEnd w:id="237"/>
      <w:bookmarkEnd w:id="238"/>
      <w:bookmarkEnd w:id="239"/>
      <w:bookmarkEnd w:id="240"/>
      <w:bookmarkEnd w:id="241"/>
      <w:bookmarkEnd w:id="242"/>
      <w:bookmarkEnd w:id="243"/>
    </w:p>
    <w:p w14:paraId="14B23DB9">
      <w:pPr>
        <w:ind w:firstLine="210" w:firstLineChars="100"/>
        <w:rPr>
          <w:snapToGrid w:val="0"/>
        </w:rPr>
      </w:pPr>
      <w:bookmarkStart w:id="244" w:name="_Toc224103364"/>
      <w:bookmarkStart w:id="245" w:name="_Toc200513173"/>
      <w:bookmarkStart w:id="246" w:name="_Toc287620732"/>
      <w:bookmarkStart w:id="247" w:name="_Toc287607793"/>
      <w:bookmarkStart w:id="248" w:name="_Toc509218757"/>
      <w:bookmarkStart w:id="249" w:name="_Toc430530482"/>
      <w:bookmarkStart w:id="250" w:name="_Toc277082599"/>
      <w:bookmarkStart w:id="251" w:name="_Toc25463"/>
      <w:r>
        <w:rPr>
          <w:rFonts w:hint="eastAsia"/>
          <w:snapToGrid w:val="0"/>
        </w:rPr>
        <w:t>9.1  对比选人的纪律要求</w:t>
      </w:r>
      <w:bookmarkEnd w:id="244"/>
      <w:bookmarkEnd w:id="245"/>
      <w:bookmarkEnd w:id="246"/>
      <w:bookmarkEnd w:id="247"/>
      <w:bookmarkEnd w:id="248"/>
      <w:bookmarkEnd w:id="249"/>
      <w:bookmarkEnd w:id="250"/>
      <w:bookmarkEnd w:id="251"/>
    </w:p>
    <w:p w14:paraId="3A15AE89">
      <w:pPr>
        <w:ind w:firstLine="210" w:firstLineChars="100"/>
      </w:pPr>
      <w:r>
        <w:rPr>
          <w:rFonts w:hint="eastAsia"/>
          <w:snapToGrid w:val="0"/>
        </w:rPr>
        <w:t>比选人不得泄漏招标投标活动中应当保密的情况和资料，不得与竞选人串通损害国家利 益、社会公共利益或者他人合法权益，</w:t>
      </w:r>
      <w:r>
        <w:rPr>
          <w:rFonts w:hint="eastAsia"/>
        </w:rPr>
        <w:t>禁止比选人与竞选人串通投标。</w:t>
      </w:r>
    </w:p>
    <w:p w14:paraId="30866C50">
      <w:pPr>
        <w:ind w:firstLine="210" w:firstLineChars="100"/>
      </w:pPr>
      <w:r>
        <w:rPr>
          <w:rFonts w:hint="eastAsia"/>
        </w:rPr>
        <w:t>有下列情形之一的，属于比选人与竞选人串通投标：</w:t>
      </w:r>
    </w:p>
    <w:p w14:paraId="0642CD4A">
      <w:pPr>
        <w:ind w:firstLine="210" w:firstLineChars="100"/>
      </w:pPr>
      <w:r>
        <w:rPr>
          <w:rFonts w:hint="eastAsia"/>
        </w:rPr>
        <w:t>（1）比选人在开标前开启竞选文件并将有关信息泄露给其他竞选人；</w:t>
      </w:r>
    </w:p>
    <w:p w14:paraId="3A3A2FBA">
      <w:pPr>
        <w:ind w:firstLine="210" w:firstLineChars="100"/>
      </w:pPr>
      <w:r>
        <w:rPr>
          <w:rFonts w:hint="eastAsia"/>
        </w:rPr>
        <w:t>（2）比选人直接或者间接向竞选人泄露标底、评审小组成员等信息；</w:t>
      </w:r>
    </w:p>
    <w:p w14:paraId="7563A355">
      <w:pPr>
        <w:ind w:firstLine="210" w:firstLineChars="100"/>
      </w:pPr>
      <w:r>
        <w:rPr>
          <w:rFonts w:hint="eastAsia"/>
        </w:rPr>
        <w:t>（3）比选人明示或者暗示竞选人压低或者抬高竞选报价；</w:t>
      </w:r>
    </w:p>
    <w:p w14:paraId="03783663">
      <w:pPr>
        <w:ind w:firstLine="210" w:firstLineChars="100"/>
      </w:pPr>
      <w:r>
        <w:rPr>
          <w:rFonts w:hint="eastAsia"/>
        </w:rPr>
        <w:t>（4）比选人授意竞选人撤换、修改竞选文件；</w:t>
      </w:r>
    </w:p>
    <w:p w14:paraId="49E9D171">
      <w:pPr>
        <w:ind w:firstLine="210" w:firstLineChars="100"/>
      </w:pPr>
      <w:r>
        <w:rPr>
          <w:rFonts w:hint="eastAsia"/>
        </w:rPr>
        <w:t>（5）比选人明示或者暗示竞选人为特定竞选人中标提供方便；</w:t>
      </w:r>
    </w:p>
    <w:p w14:paraId="79CE783C">
      <w:pPr>
        <w:ind w:firstLine="210" w:firstLineChars="100"/>
        <w:rPr>
          <w:snapToGrid w:val="0"/>
        </w:rPr>
      </w:pPr>
      <w:r>
        <w:rPr>
          <w:rFonts w:hint="eastAsia"/>
        </w:rPr>
        <w:t>（6）比选人与竞选人为谋求特定竞选人中标而采取的其他串通行为。</w:t>
      </w:r>
    </w:p>
    <w:p w14:paraId="097993D6">
      <w:pPr>
        <w:ind w:firstLine="210" w:firstLineChars="100"/>
        <w:rPr>
          <w:snapToGrid w:val="0"/>
        </w:rPr>
      </w:pPr>
      <w:bookmarkStart w:id="252" w:name="_Toc287607794"/>
      <w:bookmarkStart w:id="253" w:name="_Toc509218758"/>
      <w:bookmarkStart w:id="254" w:name="_Toc200513174"/>
      <w:bookmarkStart w:id="255" w:name="_Toc277082600"/>
      <w:bookmarkStart w:id="256" w:name="_Toc224103365"/>
      <w:bookmarkStart w:id="257" w:name="_Toc287620733"/>
      <w:bookmarkStart w:id="258" w:name="_Toc430530483"/>
      <w:bookmarkStart w:id="259" w:name="_Toc14890"/>
      <w:r>
        <w:rPr>
          <w:rFonts w:hint="eastAsia"/>
          <w:snapToGrid w:val="0"/>
        </w:rPr>
        <w:t>9.2  对竞选人的纪律要求</w:t>
      </w:r>
      <w:bookmarkEnd w:id="252"/>
      <w:bookmarkEnd w:id="253"/>
      <w:bookmarkEnd w:id="254"/>
      <w:bookmarkEnd w:id="255"/>
      <w:bookmarkEnd w:id="256"/>
      <w:bookmarkEnd w:id="257"/>
      <w:bookmarkEnd w:id="258"/>
      <w:bookmarkEnd w:id="259"/>
    </w:p>
    <w:p w14:paraId="0639A7B6">
      <w:pPr>
        <w:ind w:firstLine="210" w:firstLineChars="100"/>
      </w:pPr>
      <w:r>
        <w:rPr>
          <w:rFonts w:hint="eastAsia"/>
          <w:snapToGrid w:val="0"/>
        </w:rPr>
        <w:t>竞选人不得相互串通竞选或者与比选人串通投标，不得向比选人或者评审小组成员行贿谋取中标，不得以他人名义投标或者以其他方式弄虚作假骗取中标；竞选人不得以任何方式干扰、影响评标工作。</w:t>
      </w:r>
      <w:r>
        <w:rPr>
          <w:rFonts w:hint="eastAsia"/>
        </w:rPr>
        <w:t>有下列情形之一的，属于竞选人相互串通投标：</w:t>
      </w:r>
    </w:p>
    <w:p w14:paraId="703E764F">
      <w:pPr>
        <w:ind w:firstLine="210" w:firstLineChars="100"/>
      </w:pPr>
      <w:r>
        <w:rPr>
          <w:rFonts w:hint="eastAsia"/>
        </w:rPr>
        <w:t>（1）竞选人之间协商竞选报价等竞选文件的实质性内容；</w:t>
      </w:r>
    </w:p>
    <w:p w14:paraId="2FE339DF">
      <w:pPr>
        <w:ind w:firstLine="210" w:firstLineChars="100"/>
      </w:pPr>
      <w:r>
        <w:rPr>
          <w:rFonts w:hint="eastAsia"/>
        </w:rPr>
        <w:t>（2）竞选人之间约定中标人；</w:t>
      </w:r>
    </w:p>
    <w:p w14:paraId="6A8CC5CC">
      <w:pPr>
        <w:ind w:firstLine="210" w:firstLineChars="100"/>
      </w:pPr>
      <w:r>
        <w:rPr>
          <w:rFonts w:hint="eastAsia"/>
        </w:rPr>
        <w:t>（3）竞选人之间约定部分竞选人放弃投标或者中标；</w:t>
      </w:r>
    </w:p>
    <w:p w14:paraId="2AB796F6">
      <w:pPr>
        <w:ind w:firstLine="210" w:firstLineChars="100"/>
      </w:pPr>
      <w:r>
        <w:rPr>
          <w:rFonts w:hint="eastAsia"/>
        </w:rPr>
        <w:t>（4）属于同一集团、协会、商会等组织成员的竞选人按照该组织要求协同投标；</w:t>
      </w:r>
    </w:p>
    <w:p w14:paraId="1DF5B718">
      <w:pPr>
        <w:ind w:firstLine="210" w:firstLineChars="100"/>
      </w:pPr>
      <w:r>
        <w:rPr>
          <w:rFonts w:hint="eastAsia"/>
        </w:rPr>
        <w:t>（5）竞选人之间为谋取中标或者排斥特定竞选人而采取的其他联合行动。</w:t>
      </w:r>
    </w:p>
    <w:p w14:paraId="2CA5D368">
      <w:pPr>
        <w:ind w:firstLine="210" w:firstLineChars="100"/>
      </w:pPr>
      <w:r>
        <w:rPr>
          <w:rFonts w:hint="eastAsia"/>
        </w:rPr>
        <w:t>有下列情形之一的，视为竞选人相互串通竞选：</w:t>
      </w:r>
    </w:p>
    <w:p w14:paraId="0B77285A">
      <w:pPr>
        <w:ind w:firstLine="210" w:firstLineChars="100"/>
      </w:pPr>
      <w:r>
        <w:rPr>
          <w:rFonts w:hint="eastAsia"/>
        </w:rPr>
        <w:t>（1）不同竞选人的竞选文件由同一单位或者个人编制；</w:t>
      </w:r>
    </w:p>
    <w:p w14:paraId="7C769C2B">
      <w:pPr>
        <w:ind w:firstLine="210" w:firstLineChars="100"/>
      </w:pPr>
      <w:r>
        <w:rPr>
          <w:rFonts w:hint="eastAsia"/>
        </w:rPr>
        <w:t>（2）不同竞选人委托同一单位或者个人办理投标事宜；</w:t>
      </w:r>
    </w:p>
    <w:p w14:paraId="7FF60EF2">
      <w:pPr>
        <w:ind w:firstLine="210" w:firstLineChars="100"/>
      </w:pPr>
      <w:r>
        <w:rPr>
          <w:rFonts w:hint="eastAsia"/>
        </w:rPr>
        <w:t>（3）不同竞选人的竞选文件载明的项目管理成员为同一人；</w:t>
      </w:r>
    </w:p>
    <w:p w14:paraId="26E32502">
      <w:pPr>
        <w:ind w:firstLine="210" w:firstLineChars="100"/>
      </w:pPr>
      <w:r>
        <w:rPr>
          <w:rFonts w:hint="eastAsia"/>
        </w:rPr>
        <w:t>（4）不同竞选人的竞选文件异常一致或者竞选报价呈规律性差异；</w:t>
      </w:r>
    </w:p>
    <w:p w14:paraId="106A80FD">
      <w:pPr>
        <w:ind w:firstLine="210" w:firstLineChars="100"/>
      </w:pPr>
      <w:r>
        <w:rPr>
          <w:rFonts w:hint="eastAsia"/>
        </w:rPr>
        <w:t>（5）不同竞选人的竞选文件相互混装；</w:t>
      </w:r>
    </w:p>
    <w:p w14:paraId="1C720EC1">
      <w:pPr>
        <w:ind w:firstLine="210" w:firstLineChars="100"/>
      </w:pPr>
      <w:r>
        <w:rPr>
          <w:rFonts w:hint="eastAsia"/>
        </w:rPr>
        <w:t>（6）不同竞选人的比选保证金从同一单位或者个人的账户转出。</w:t>
      </w:r>
    </w:p>
    <w:p w14:paraId="7F8D72AD">
      <w:pPr>
        <w:ind w:firstLine="210" w:firstLineChars="100"/>
      </w:pPr>
      <w:r>
        <w:rPr>
          <w:rFonts w:hint="eastAsia"/>
        </w:rPr>
        <w:t>使用通过受让或者租借等方式获取的资格、资质证书竞选的，属于以他人名义竞选。</w:t>
      </w:r>
    </w:p>
    <w:p w14:paraId="380318AD">
      <w:pPr>
        <w:ind w:firstLine="210" w:firstLineChars="100"/>
      </w:pPr>
      <w:r>
        <w:rPr>
          <w:rFonts w:hint="eastAsia"/>
        </w:rPr>
        <w:t>竞选人有下列情形之一的，属于以其他方式弄虚作假的行为：</w:t>
      </w:r>
    </w:p>
    <w:p w14:paraId="65E2AFE2">
      <w:pPr>
        <w:ind w:firstLine="210" w:firstLineChars="100"/>
      </w:pPr>
      <w:r>
        <w:rPr>
          <w:rFonts w:hint="eastAsia"/>
        </w:rPr>
        <w:t>（一）使用伪造、变造的许可证件；</w:t>
      </w:r>
    </w:p>
    <w:p w14:paraId="53752BC8">
      <w:pPr>
        <w:ind w:firstLine="210" w:firstLineChars="100"/>
      </w:pPr>
      <w:r>
        <w:rPr>
          <w:rFonts w:hint="eastAsia"/>
        </w:rPr>
        <w:t>（二）提供虚假的财务状况或者业绩；</w:t>
      </w:r>
    </w:p>
    <w:p w14:paraId="60B7590A">
      <w:pPr>
        <w:ind w:firstLine="210" w:firstLineChars="100"/>
      </w:pPr>
      <w:r>
        <w:rPr>
          <w:rFonts w:hint="eastAsia"/>
        </w:rPr>
        <w:t>（三）提供虚假的项目负责人或者主要技术人员简历、劳动关系证明；</w:t>
      </w:r>
    </w:p>
    <w:p w14:paraId="16A6C9E7">
      <w:pPr>
        <w:ind w:firstLine="210" w:firstLineChars="100"/>
      </w:pPr>
      <w:r>
        <w:rPr>
          <w:rFonts w:hint="eastAsia"/>
        </w:rPr>
        <w:t>（四）提供虚假的信用状况；</w:t>
      </w:r>
    </w:p>
    <w:p w14:paraId="1945D9FC">
      <w:pPr>
        <w:ind w:firstLine="210" w:firstLineChars="100"/>
        <w:rPr>
          <w:snapToGrid w:val="0"/>
        </w:rPr>
      </w:pPr>
      <w:r>
        <w:rPr>
          <w:rFonts w:hint="eastAsia"/>
        </w:rPr>
        <w:t>（五）其他弄虚作假的行为。</w:t>
      </w:r>
    </w:p>
    <w:p w14:paraId="7DF016BB">
      <w:pPr>
        <w:ind w:firstLine="210" w:firstLineChars="100"/>
        <w:rPr>
          <w:snapToGrid w:val="0"/>
        </w:rPr>
      </w:pPr>
      <w:bookmarkStart w:id="260" w:name="_Toc277082601"/>
      <w:bookmarkStart w:id="261" w:name="_Toc224103366"/>
      <w:bookmarkStart w:id="262" w:name="_Toc20024"/>
      <w:bookmarkStart w:id="263" w:name="_Toc509218759"/>
      <w:bookmarkStart w:id="264" w:name="_Toc430530484"/>
      <w:bookmarkStart w:id="265" w:name="_Toc287620734"/>
      <w:bookmarkStart w:id="266" w:name="_Toc287607795"/>
      <w:bookmarkStart w:id="267" w:name="_Toc200513175"/>
      <w:r>
        <w:rPr>
          <w:rFonts w:hint="eastAsia"/>
          <w:snapToGrid w:val="0"/>
        </w:rPr>
        <w:t>9.3  对评审小组成员的纪律要求</w:t>
      </w:r>
      <w:bookmarkEnd w:id="260"/>
      <w:bookmarkEnd w:id="261"/>
      <w:bookmarkEnd w:id="262"/>
      <w:bookmarkEnd w:id="263"/>
      <w:bookmarkEnd w:id="264"/>
      <w:bookmarkEnd w:id="265"/>
      <w:bookmarkEnd w:id="266"/>
      <w:bookmarkEnd w:id="267"/>
    </w:p>
    <w:p w14:paraId="6B05724D">
      <w:pPr>
        <w:ind w:firstLine="210" w:firstLineChars="100"/>
        <w:rPr>
          <w:snapToGrid w:val="0"/>
        </w:rPr>
      </w:pPr>
      <w:r>
        <w:rPr>
          <w:rFonts w:hint="eastAsia"/>
          <w:snapToGrid w:val="0"/>
        </w:rPr>
        <w:t>评审小组成员不得收受他人的财物或者其他好处，不得向他人透漏对竞选文件的评审和比较、中标候选人的推荐情况以及评标有关的其他情况。在评标活动中，评审小组成员不得擅离职守，影响评标程序正常进行，不得使用第三章“评标办法”没有规定的评审因素和标准进行评标。</w:t>
      </w:r>
    </w:p>
    <w:p w14:paraId="727AC0CC">
      <w:pPr>
        <w:ind w:firstLine="210" w:firstLineChars="100"/>
        <w:rPr>
          <w:snapToGrid w:val="0"/>
        </w:rPr>
      </w:pPr>
      <w:bookmarkStart w:id="268" w:name="_Toc287607796"/>
      <w:bookmarkStart w:id="269" w:name="_Toc200513176"/>
      <w:bookmarkStart w:id="270" w:name="_Toc1608"/>
      <w:bookmarkStart w:id="271" w:name="_Toc430530485"/>
      <w:bookmarkStart w:id="272" w:name="_Toc277082602"/>
      <w:bookmarkStart w:id="273" w:name="_Toc224103367"/>
      <w:bookmarkStart w:id="274" w:name="_Toc287620735"/>
      <w:bookmarkStart w:id="275" w:name="_Toc509218760"/>
      <w:r>
        <w:rPr>
          <w:rFonts w:hint="eastAsia"/>
          <w:snapToGrid w:val="0"/>
        </w:rPr>
        <w:t>9.4  对与评标活动有关的工作人员的纪律要求</w:t>
      </w:r>
      <w:bookmarkEnd w:id="268"/>
      <w:bookmarkEnd w:id="269"/>
      <w:bookmarkEnd w:id="270"/>
      <w:bookmarkEnd w:id="271"/>
      <w:bookmarkEnd w:id="272"/>
      <w:bookmarkEnd w:id="273"/>
      <w:bookmarkEnd w:id="274"/>
      <w:bookmarkEnd w:id="275"/>
    </w:p>
    <w:p w14:paraId="47776606">
      <w:pPr>
        <w:ind w:firstLine="210" w:firstLineChars="100"/>
        <w:rPr>
          <w:snapToGrid w:val="0"/>
        </w:rPr>
      </w:pPr>
      <w:r>
        <w:rPr>
          <w:rFonts w:hint="eastAsia"/>
          <w:snapToGrid w:val="0"/>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729BC288">
      <w:pPr>
        <w:ind w:firstLine="210" w:firstLineChars="100"/>
        <w:rPr>
          <w:snapToGrid w:val="0"/>
        </w:rPr>
      </w:pPr>
      <w:bookmarkStart w:id="276" w:name="_Toc430530486"/>
      <w:bookmarkStart w:id="277" w:name="_Toc200513177"/>
      <w:bookmarkStart w:id="278" w:name="_Toc2907"/>
      <w:bookmarkStart w:id="279" w:name="_Toc287607797"/>
      <w:bookmarkStart w:id="280" w:name="_Toc287620736"/>
      <w:bookmarkStart w:id="281" w:name="_Toc509218761"/>
      <w:bookmarkStart w:id="282" w:name="_Toc277082603"/>
      <w:bookmarkStart w:id="283" w:name="_Toc224103368"/>
      <w:r>
        <w:rPr>
          <w:rFonts w:hint="eastAsia"/>
          <w:snapToGrid w:val="0"/>
        </w:rPr>
        <w:t>9.5  投诉</w:t>
      </w:r>
      <w:bookmarkEnd w:id="276"/>
      <w:bookmarkEnd w:id="277"/>
      <w:bookmarkEnd w:id="278"/>
      <w:bookmarkEnd w:id="279"/>
      <w:bookmarkEnd w:id="280"/>
      <w:bookmarkEnd w:id="281"/>
      <w:bookmarkEnd w:id="282"/>
      <w:bookmarkEnd w:id="283"/>
    </w:p>
    <w:p w14:paraId="55BA7C0E">
      <w:pPr>
        <w:ind w:firstLine="210" w:firstLineChars="100"/>
        <w:rPr>
          <w:snapToGrid w:val="0"/>
        </w:rPr>
      </w:pPr>
      <w:r>
        <w:rPr>
          <w:rFonts w:hint="eastAsia"/>
          <w:snapToGrid w:val="0"/>
        </w:rPr>
        <w:t>竞选人和其他利害关系人认为本次招标活动违反法律、法规和规章规定的，有权向有关行政监督部门投诉。</w:t>
      </w:r>
    </w:p>
    <w:p w14:paraId="4454ED1E">
      <w:pPr>
        <w:ind w:firstLine="210" w:firstLineChars="100"/>
        <w:rPr>
          <w:snapToGrid w:val="0"/>
        </w:rPr>
      </w:pPr>
      <w:bookmarkStart w:id="284" w:name="_Toc287607798"/>
      <w:bookmarkStart w:id="285" w:name="_Toc36043738"/>
      <w:bookmarkStart w:id="286" w:name="_Toc287620737"/>
      <w:bookmarkStart w:id="287" w:name="_Toc200513178"/>
      <w:bookmarkStart w:id="288" w:name="_Toc224103369"/>
      <w:bookmarkStart w:id="289" w:name="_Toc430530487"/>
      <w:bookmarkStart w:id="290" w:name="_Toc277082604"/>
      <w:bookmarkStart w:id="291" w:name="_Toc509218762"/>
      <w:r>
        <w:rPr>
          <w:rFonts w:hint="eastAsia"/>
          <w:snapToGrid w:val="0"/>
        </w:rPr>
        <w:t>10. 需要补充的其他内容</w:t>
      </w:r>
      <w:bookmarkEnd w:id="284"/>
      <w:bookmarkEnd w:id="285"/>
      <w:bookmarkEnd w:id="286"/>
      <w:bookmarkEnd w:id="287"/>
      <w:bookmarkEnd w:id="288"/>
      <w:bookmarkEnd w:id="289"/>
      <w:bookmarkEnd w:id="290"/>
      <w:bookmarkEnd w:id="291"/>
    </w:p>
    <w:p w14:paraId="72846334">
      <w:pPr>
        <w:ind w:firstLine="210" w:firstLineChars="100"/>
        <w:rPr>
          <w:snapToGrid w:val="0"/>
        </w:rPr>
      </w:pPr>
      <w:r>
        <w:rPr>
          <w:rFonts w:hint="eastAsia"/>
          <w:snapToGrid w:val="0"/>
        </w:rPr>
        <w:t>需要补充的其他内容：见竞选人须知前附表。</w:t>
      </w:r>
    </w:p>
    <w:p w14:paraId="0A5692AD">
      <w:pPr>
        <w:spacing w:line="360" w:lineRule="auto"/>
        <w:ind w:firstLine="240" w:firstLineChars="100"/>
        <w:rPr>
          <w:rFonts w:ascii="宋体" w:hAnsi="宋体" w:cs="宋体"/>
          <w:sz w:val="24"/>
        </w:rPr>
        <w:sectPr>
          <w:pgSz w:w="11906" w:h="16838"/>
          <w:pgMar w:top="1134" w:right="1418" w:bottom="1134" w:left="1418" w:header="851" w:footer="992" w:gutter="0"/>
          <w:cols w:space="720" w:num="1"/>
          <w:docGrid w:type="lines" w:linePitch="312" w:charSpace="0"/>
        </w:sectPr>
      </w:pPr>
    </w:p>
    <w:p w14:paraId="7F342BD6">
      <w:pPr>
        <w:pStyle w:val="2"/>
        <w:spacing w:line="360" w:lineRule="auto"/>
        <w:ind w:firstLine="883" w:firstLineChars="200"/>
        <w:jc w:val="center"/>
        <w:rPr>
          <w:rFonts w:ascii="宋体" w:hAnsi="宋体"/>
        </w:rPr>
      </w:pPr>
      <w:bookmarkStart w:id="292" w:name="_Toc5770"/>
      <w:bookmarkStart w:id="293" w:name="_Toc30353"/>
      <w:bookmarkStart w:id="294" w:name="_Toc509218774"/>
      <w:bookmarkStart w:id="295" w:name="_Toc6128"/>
      <w:bookmarkStart w:id="296" w:name="_Toc287607812"/>
      <w:bookmarkStart w:id="297" w:name="_Toc430530500"/>
      <w:bookmarkStart w:id="298" w:name="_Toc287620751"/>
      <w:bookmarkStart w:id="299" w:name="_Toc224103384"/>
      <w:bookmarkStart w:id="300" w:name="_Toc200513198"/>
      <w:bookmarkStart w:id="301" w:name="_Toc277082618"/>
      <w:r>
        <w:rPr>
          <w:rFonts w:ascii="宋体" w:hAnsi="宋体"/>
        </w:rPr>
        <w:t>第三章 评标办法（综合评估法）</w:t>
      </w:r>
      <w:bookmarkEnd w:id="292"/>
      <w:bookmarkEnd w:id="293"/>
      <w:bookmarkEnd w:id="294"/>
      <w:bookmarkEnd w:id="295"/>
      <w:bookmarkStart w:id="302" w:name="_Toc277082617"/>
      <w:bookmarkStart w:id="303" w:name="_Toc287620750"/>
      <w:bookmarkStart w:id="304" w:name="_Toc287607811"/>
      <w:bookmarkStart w:id="305" w:name="_Toc430530499"/>
      <w:bookmarkStart w:id="306" w:name="_Toc224103383"/>
    </w:p>
    <w:p w14:paraId="4BD9B56F">
      <w:pPr>
        <w:pStyle w:val="3"/>
        <w:spacing w:before="100" w:after="100" w:line="360" w:lineRule="auto"/>
        <w:ind w:firstLine="321"/>
        <w:rPr>
          <w:rFonts w:ascii="宋体" w:hAnsi="宋体"/>
        </w:rPr>
      </w:pPr>
      <w:bookmarkStart w:id="307" w:name="_Toc32566"/>
      <w:bookmarkStart w:id="308" w:name="_Toc10870"/>
      <w:bookmarkStart w:id="309" w:name="_Toc14663"/>
      <w:bookmarkStart w:id="310" w:name="_Toc509218775"/>
      <w:r>
        <w:rPr>
          <w:rFonts w:hint="eastAsia" w:ascii="宋体" w:hAnsi="宋体"/>
        </w:rPr>
        <w:t>评标办法前附表</w:t>
      </w:r>
      <w:bookmarkEnd w:id="307"/>
      <w:bookmarkEnd w:id="308"/>
      <w:bookmarkEnd w:id="309"/>
      <w:bookmarkEnd w:id="310"/>
    </w:p>
    <w:p w14:paraId="7C2AD402">
      <w:pPr>
        <w:spacing w:line="360" w:lineRule="auto"/>
        <w:ind w:firstLine="420" w:firstLineChars="20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bookmarkEnd w:id="302"/>
    <w:bookmarkEnd w:id="303"/>
    <w:bookmarkEnd w:id="304"/>
    <w:bookmarkEnd w:id="305"/>
    <w:bookmarkEnd w:id="306"/>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089504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6B605E69">
            <w:bookmarkStart w:id="311" w:name="_Toc509218776"/>
            <w:r>
              <w:t>条款号</w:t>
            </w:r>
          </w:p>
        </w:tc>
        <w:tc>
          <w:tcPr>
            <w:tcW w:w="2559" w:type="dxa"/>
            <w:gridSpan w:val="3"/>
            <w:vAlign w:val="center"/>
          </w:tcPr>
          <w:p w14:paraId="24B373F6">
            <w:r>
              <w:t>评审因素</w:t>
            </w:r>
          </w:p>
        </w:tc>
        <w:tc>
          <w:tcPr>
            <w:tcW w:w="5493" w:type="dxa"/>
            <w:vAlign w:val="center"/>
          </w:tcPr>
          <w:p w14:paraId="06F263BF">
            <w:r>
              <w:t>评审标准</w:t>
            </w:r>
          </w:p>
        </w:tc>
      </w:tr>
      <w:tr w14:paraId="2B3204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404CFF6C">
            <w:r>
              <w:rPr>
                <w:rFonts w:hint="eastAsia"/>
              </w:rPr>
              <w:t>1</w:t>
            </w:r>
          </w:p>
        </w:tc>
        <w:tc>
          <w:tcPr>
            <w:tcW w:w="2559" w:type="dxa"/>
            <w:gridSpan w:val="3"/>
            <w:vAlign w:val="center"/>
          </w:tcPr>
          <w:p w14:paraId="160E392B">
            <w:r>
              <w:t>评标办法</w:t>
            </w:r>
          </w:p>
        </w:tc>
        <w:tc>
          <w:tcPr>
            <w:tcW w:w="5493" w:type="dxa"/>
            <w:vAlign w:val="center"/>
          </w:tcPr>
          <w:p w14:paraId="47B2FFBF">
            <w:r>
              <w:rPr>
                <w:rFonts w:hint="eastAsia"/>
              </w:rPr>
              <w:t>本次评标采用综合评估法。评审小组按照本章第 2.2 款规定的评分标准进行打分，按得分由高到低顺序推荐中标候选人。综合评分相等时，以投标报价低的优先；投标报价相等的，以“投标人在红名单中优先”的原则排序</w:t>
            </w:r>
            <w:r>
              <w:rPr>
                <w:rFonts w:hint="eastAsia"/>
                <w:spacing w:val="4"/>
                <w:szCs w:val="21"/>
              </w:rPr>
              <w:t>（联合体投标的，须联合体牵头人在红名单中），投标人是否属于红名单，以开标环节信用状况查询结果为准</w:t>
            </w:r>
            <w:r>
              <w:rPr>
                <w:rFonts w:hint="eastAsia"/>
              </w:rPr>
              <w:t>；投标人均在红名单中或均不在红名单中的，由评审小组按照</w:t>
            </w:r>
            <w:r>
              <w:rPr>
                <w:rFonts w:hint="eastAsia" w:cs="宋体"/>
                <w:szCs w:val="21"/>
                <w:u w:val="single"/>
              </w:rPr>
              <w:t>服务方案 得分高的优先</w:t>
            </w:r>
            <w:r>
              <w:rPr>
                <w:rFonts w:hint="eastAsia"/>
              </w:rPr>
              <w:t>原则排序。</w:t>
            </w:r>
          </w:p>
        </w:tc>
      </w:tr>
      <w:tr w14:paraId="125AD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73" w:hRule="atLeast"/>
          <w:jc w:val="center"/>
        </w:trPr>
        <w:tc>
          <w:tcPr>
            <w:tcW w:w="851" w:type="dxa"/>
            <w:gridSpan w:val="2"/>
            <w:vMerge w:val="restart"/>
            <w:vAlign w:val="center"/>
          </w:tcPr>
          <w:p w14:paraId="18538CE4">
            <w:r>
              <w:t>2.1.</w:t>
            </w:r>
            <w:r>
              <w:rPr>
                <w:rFonts w:hint="eastAsia"/>
              </w:rPr>
              <w:t>1</w:t>
            </w:r>
          </w:p>
        </w:tc>
        <w:tc>
          <w:tcPr>
            <w:tcW w:w="567" w:type="dxa"/>
            <w:vMerge w:val="restart"/>
            <w:vAlign w:val="center"/>
          </w:tcPr>
          <w:p w14:paraId="3035B381">
            <w:r>
              <w:t>资格评审标准</w:t>
            </w:r>
          </w:p>
        </w:tc>
        <w:tc>
          <w:tcPr>
            <w:tcW w:w="2559" w:type="dxa"/>
            <w:gridSpan w:val="3"/>
            <w:tcBorders>
              <w:bottom w:val="single" w:color="auto" w:sz="4" w:space="0"/>
            </w:tcBorders>
            <w:vAlign w:val="center"/>
          </w:tcPr>
          <w:p w14:paraId="5EB09AF5">
            <w:r>
              <w:rPr>
                <w:rFonts w:hint="eastAsia"/>
              </w:rPr>
              <w:t>营业执照</w:t>
            </w:r>
          </w:p>
        </w:tc>
        <w:tc>
          <w:tcPr>
            <w:tcW w:w="5493" w:type="dxa"/>
            <w:vAlign w:val="center"/>
          </w:tcPr>
          <w:p w14:paraId="039362EB">
            <w:r>
              <w:t>符合第二章“</w:t>
            </w:r>
            <w:r>
              <w:rPr>
                <w:rFonts w:hint="eastAsia"/>
              </w:rPr>
              <w:t>竞选人</w:t>
            </w:r>
            <w:r>
              <w:t>须知”第1.4.1项规定。</w:t>
            </w:r>
          </w:p>
        </w:tc>
      </w:tr>
      <w:tr w14:paraId="58A9B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13" w:hRule="atLeast"/>
          <w:jc w:val="center"/>
        </w:trPr>
        <w:tc>
          <w:tcPr>
            <w:tcW w:w="851" w:type="dxa"/>
            <w:gridSpan w:val="2"/>
            <w:vMerge w:val="continue"/>
          </w:tcPr>
          <w:p w14:paraId="01790962"/>
        </w:tc>
        <w:tc>
          <w:tcPr>
            <w:tcW w:w="567" w:type="dxa"/>
            <w:vMerge w:val="continue"/>
          </w:tcPr>
          <w:p w14:paraId="65CCEE62"/>
        </w:tc>
        <w:tc>
          <w:tcPr>
            <w:tcW w:w="2559" w:type="dxa"/>
            <w:gridSpan w:val="3"/>
            <w:tcBorders>
              <w:top w:val="single" w:color="auto" w:sz="4" w:space="0"/>
              <w:bottom w:val="single" w:color="auto" w:sz="4" w:space="0"/>
            </w:tcBorders>
          </w:tcPr>
          <w:p w14:paraId="60F79BDA">
            <w:pPr>
              <w:rPr>
                <w:rFonts w:hint="default" w:eastAsia="宋体"/>
                <w:lang w:val="en-US" w:eastAsia="zh-CN"/>
              </w:rPr>
            </w:pPr>
            <w:r>
              <w:rPr>
                <w:rFonts w:hint="eastAsia"/>
                <w:lang w:val="en-US" w:eastAsia="zh-CN"/>
              </w:rPr>
              <w:t>资质证书</w:t>
            </w:r>
          </w:p>
        </w:tc>
        <w:tc>
          <w:tcPr>
            <w:tcW w:w="5493" w:type="dxa"/>
            <w:vAlign w:val="center"/>
          </w:tcPr>
          <w:p w14:paraId="73E01A4E">
            <w:r>
              <w:t>符合第二章“</w:t>
            </w:r>
            <w:r>
              <w:rPr>
                <w:rFonts w:hint="eastAsia"/>
              </w:rPr>
              <w:t>竞选人</w:t>
            </w:r>
            <w:r>
              <w:t>须知”第1.4.1项规定。</w:t>
            </w:r>
          </w:p>
        </w:tc>
      </w:tr>
      <w:tr w14:paraId="17C92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851" w:type="dxa"/>
            <w:gridSpan w:val="2"/>
            <w:vMerge w:val="continue"/>
          </w:tcPr>
          <w:p w14:paraId="4C57B703"/>
        </w:tc>
        <w:tc>
          <w:tcPr>
            <w:tcW w:w="567" w:type="dxa"/>
            <w:vMerge w:val="continue"/>
          </w:tcPr>
          <w:p w14:paraId="77B09770"/>
        </w:tc>
        <w:tc>
          <w:tcPr>
            <w:tcW w:w="2559" w:type="dxa"/>
            <w:gridSpan w:val="3"/>
            <w:tcBorders>
              <w:top w:val="single" w:color="auto" w:sz="4" w:space="0"/>
              <w:bottom w:val="single" w:color="auto" w:sz="4" w:space="0"/>
            </w:tcBorders>
          </w:tcPr>
          <w:p w14:paraId="71A8B78D">
            <w:r>
              <w:t>投标截止日投标资格情况</w:t>
            </w:r>
          </w:p>
        </w:tc>
        <w:tc>
          <w:tcPr>
            <w:tcW w:w="5493" w:type="dxa"/>
            <w:vAlign w:val="center"/>
          </w:tcPr>
          <w:p w14:paraId="095C0A1E">
            <w:r>
              <w:t>符合第二章“</w:t>
            </w:r>
            <w:r>
              <w:rPr>
                <w:rFonts w:hint="eastAsia"/>
              </w:rPr>
              <w:t>竞选人</w:t>
            </w:r>
            <w:r>
              <w:t>须知”第1.4.1项规定</w:t>
            </w:r>
          </w:p>
        </w:tc>
      </w:tr>
      <w:tr w14:paraId="34071F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50" w:hRule="atLeast"/>
          <w:jc w:val="center"/>
        </w:trPr>
        <w:tc>
          <w:tcPr>
            <w:tcW w:w="851" w:type="dxa"/>
            <w:gridSpan w:val="2"/>
            <w:vMerge w:val="continue"/>
          </w:tcPr>
          <w:p w14:paraId="4EE6CCF5"/>
        </w:tc>
        <w:tc>
          <w:tcPr>
            <w:tcW w:w="567" w:type="dxa"/>
            <w:vMerge w:val="continue"/>
          </w:tcPr>
          <w:p w14:paraId="7AA4A8E8"/>
        </w:tc>
        <w:tc>
          <w:tcPr>
            <w:tcW w:w="2559" w:type="dxa"/>
            <w:gridSpan w:val="3"/>
            <w:tcBorders>
              <w:top w:val="single" w:color="auto" w:sz="4" w:space="0"/>
              <w:bottom w:val="single" w:color="auto" w:sz="4" w:space="0"/>
            </w:tcBorders>
          </w:tcPr>
          <w:p w14:paraId="49068A10">
            <w:pPr>
              <w:rPr>
                <w:szCs w:val="21"/>
              </w:rPr>
            </w:pPr>
            <w:r>
              <w:rPr>
                <w:rFonts w:hint="eastAsia"/>
              </w:rPr>
              <w:t>其他要求</w:t>
            </w:r>
          </w:p>
        </w:tc>
        <w:tc>
          <w:tcPr>
            <w:tcW w:w="5493" w:type="dxa"/>
            <w:vAlign w:val="center"/>
          </w:tcPr>
          <w:p w14:paraId="36077C6C">
            <w:r>
              <w:t>符合第二章“投标人须知”第1.4.1项规定</w:t>
            </w:r>
          </w:p>
        </w:tc>
      </w:tr>
      <w:tr w14:paraId="74EE9D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661112EC">
            <w:r>
              <w:t>2.1.</w:t>
            </w:r>
            <w:r>
              <w:rPr>
                <w:rFonts w:hint="eastAsia"/>
              </w:rPr>
              <w:t>2</w:t>
            </w:r>
          </w:p>
        </w:tc>
        <w:tc>
          <w:tcPr>
            <w:tcW w:w="567" w:type="dxa"/>
            <w:vMerge w:val="restart"/>
            <w:vAlign w:val="center"/>
          </w:tcPr>
          <w:p w14:paraId="118A6B40">
            <w:r>
              <w:t>形式评审标准</w:t>
            </w:r>
          </w:p>
        </w:tc>
        <w:tc>
          <w:tcPr>
            <w:tcW w:w="2559" w:type="dxa"/>
            <w:gridSpan w:val="3"/>
            <w:tcBorders>
              <w:top w:val="single" w:color="auto" w:sz="4" w:space="0"/>
              <w:bottom w:val="single" w:color="auto" w:sz="4" w:space="0"/>
            </w:tcBorders>
            <w:vAlign w:val="center"/>
          </w:tcPr>
          <w:p w14:paraId="28F49259">
            <w:r>
              <w:rPr>
                <w:rFonts w:hint="eastAsia"/>
              </w:rPr>
              <w:t>竞选人</w:t>
            </w:r>
            <w:r>
              <w:t>名称</w:t>
            </w:r>
          </w:p>
        </w:tc>
        <w:tc>
          <w:tcPr>
            <w:tcW w:w="5493" w:type="dxa"/>
            <w:vAlign w:val="center"/>
          </w:tcPr>
          <w:p w14:paraId="55DB0A5F">
            <w:r>
              <w:t>与营业执照一致</w:t>
            </w:r>
            <w:r>
              <w:rPr>
                <w:rFonts w:hint="eastAsia"/>
              </w:rPr>
              <w:t>，依法变更名称的应提交相应证明材料</w:t>
            </w:r>
            <w:r>
              <w:t>。</w:t>
            </w:r>
          </w:p>
        </w:tc>
      </w:tr>
      <w:tr w14:paraId="5FE53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EF306BB"/>
        </w:tc>
        <w:tc>
          <w:tcPr>
            <w:tcW w:w="567" w:type="dxa"/>
            <w:vMerge w:val="continue"/>
          </w:tcPr>
          <w:p w14:paraId="5D67BE8A"/>
        </w:tc>
        <w:tc>
          <w:tcPr>
            <w:tcW w:w="2559" w:type="dxa"/>
            <w:gridSpan w:val="3"/>
            <w:tcBorders>
              <w:top w:val="single" w:color="auto" w:sz="4" w:space="0"/>
              <w:bottom w:val="single" w:color="auto" w:sz="4" w:space="0"/>
            </w:tcBorders>
            <w:vAlign w:val="center"/>
          </w:tcPr>
          <w:p w14:paraId="0F429CDD">
            <w:r>
              <w:rPr>
                <w:rFonts w:hint="eastAsia"/>
              </w:rPr>
              <w:t>竞选函签名</w:t>
            </w:r>
            <w:r>
              <w:t>盖章</w:t>
            </w:r>
          </w:p>
        </w:tc>
        <w:tc>
          <w:tcPr>
            <w:tcW w:w="5493" w:type="dxa"/>
            <w:vAlign w:val="center"/>
          </w:tcPr>
          <w:p w14:paraId="548FEE28">
            <w:r>
              <w:rPr>
                <w:rFonts w:hint="eastAsia"/>
              </w:rPr>
              <w:t>竞选函</w:t>
            </w:r>
            <w:r>
              <w:t>格式规定</w:t>
            </w:r>
            <w:r>
              <w:rPr>
                <w:rFonts w:hint="eastAsia"/>
              </w:rPr>
              <w:t>签名、</w:t>
            </w:r>
            <w:r>
              <w:t>盖章的位置有法定代表人或其委托代理人</w:t>
            </w:r>
            <w:r>
              <w:rPr>
                <w:rFonts w:hint="eastAsia"/>
              </w:rPr>
              <w:t>签名</w:t>
            </w:r>
            <w:r>
              <w:t>（或盖章）、加盖单位法人章。</w:t>
            </w:r>
          </w:p>
        </w:tc>
      </w:tr>
      <w:tr w14:paraId="61A23D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4058210"/>
        </w:tc>
        <w:tc>
          <w:tcPr>
            <w:tcW w:w="567" w:type="dxa"/>
            <w:vMerge w:val="continue"/>
          </w:tcPr>
          <w:p w14:paraId="32ABC212"/>
        </w:tc>
        <w:tc>
          <w:tcPr>
            <w:tcW w:w="2559" w:type="dxa"/>
            <w:gridSpan w:val="3"/>
            <w:tcBorders>
              <w:top w:val="single" w:color="auto" w:sz="4" w:space="0"/>
              <w:bottom w:val="single" w:color="auto" w:sz="4" w:space="0"/>
            </w:tcBorders>
            <w:vAlign w:val="center"/>
          </w:tcPr>
          <w:p w14:paraId="2E4364D3">
            <w:r>
              <w:rPr>
                <w:rFonts w:hint="eastAsia"/>
              </w:rPr>
              <w:t>竞选文件</w:t>
            </w:r>
            <w:r>
              <w:t>格式</w:t>
            </w:r>
          </w:p>
        </w:tc>
        <w:tc>
          <w:tcPr>
            <w:tcW w:w="5493" w:type="dxa"/>
            <w:vAlign w:val="center"/>
          </w:tcPr>
          <w:p w14:paraId="55A53413">
            <w:r>
              <w:t>符合</w:t>
            </w:r>
            <w:r>
              <w:rPr>
                <w:rFonts w:hint="eastAsia"/>
              </w:rPr>
              <w:t>第二</w:t>
            </w:r>
            <w:r>
              <w:t>章“</w:t>
            </w:r>
            <w:r>
              <w:rPr>
                <w:rFonts w:hint="eastAsia"/>
              </w:rPr>
              <w:t>竞选人须知</w:t>
            </w:r>
            <w:r>
              <w:t>”</w:t>
            </w:r>
            <w:r>
              <w:rPr>
                <w:rFonts w:hint="eastAsia"/>
              </w:rPr>
              <w:t>第3.7款</w:t>
            </w:r>
            <w:r>
              <w:t>的要求。</w:t>
            </w:r>
          </w:p>
        </w:tc>
      </w:tr>
      <w:tr w14:paraId="7289F2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34FD13D"/>
        </w:tc>
        <w:tc>
          <w:tcPr>
            <w:tcW w:w="567" w:type="dxa"/>
            <w:vMerge w:val="continue"/>
          </w:tcPr>
          <w:p w14:paraId="0742DFE7"/>
        </w:tc>
        <w:tc>
          <w:tcPr>
            <w:tcW w:w="2559" w:type="dxa"/>
            <w:gridSpan w:val="3"/>
            <w:tcBorders>
              <w:top w:val="single" w:color="auto" w:sz="4" w:space="0"/>
              <w:bottom w:val="single" w:color="auto" w:sz="4" w:space="0"/>
            </w:tcBorders>
            <w:vAlign w:val="center"/>
          </w:tcPr>
          <w:p w14:paraId="531B9E7A">
            <w:r>
              <w:rPr>
                <w:rFonts w:hint="eastAsia"/>
              </w:rPr>
              <w:t>竞选文件份数</w:t>
            </w:r>
          </w:p>
        </w:tc>
        <w:tc>
          <w:tcPr>
            <w:tcW w:w="5493" w:type="dxa"/>
            <w:vAlign w:val="center"/>
          </w:tcPr>
          <w:p w14:paraId="77636546">
            <w:r>
              <w:rPr>
                <w:rFonts w:hint="eastAsia"/>
              </w:rPr>
              <w:t>符合第二章“竞选人须知”第3.7.4项规定。</w:t>
            </w:r>
          </w:p>
        </w:tc>
      </w:tr>
      <w:tr w14:paraId="3D248F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9A1C8EB"/>
        </w:tc>
        <w:tc>
          <w:tcPr>
            <w:tcW w:w="567" w:type="dxa"/>
            <w:vMerge w:val="continue"/>
          </w:tcPr>
          <w:p w14:paraId="48233B7E"/>
        </w:tc>
        <w:tc>
          <w:tcPr>
            <w:tcW w:w="2559" w:type="dxa"/>
            <w:gridSpan w:val="3"/>
            <w:tcBorders>
              <w:top w:val="single" w:color="auto" w:sz="4" w:space="0"/>
              <w:bottom w:val="single" w:color="auto" w:sz="4" w:space="0"/>
            </w:tcBorders>
            <w:vAlign w:val="center"/>
          </w:tcPr>
          <w:p w14:paraId="0FBC2F55">
            <w:r>
              <w:t>报价唯一</w:t>
            </w:r>
          </w:p>
        </w:tc>
        <w:tc>
          <w:tcPr>
            <w:tcW w:w="5493" w:type="dxa"/>
            <w:vAlign w:val="center"/>
          </w:tcPr>
          <w:p w14:paraId="541464E8">
            <w:r>
              <w:t>只能有一个有效报价，在招标文件没有规定的情况下，不得提交选择性报价。</w:t>
            </w:r>
          </w:p>
        </w:tc>
      </w:tr>
      <w:tr w14:paraId="53BA1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EADCA2C"/>
        </w:tc>
        <w:tc>
          <w:tcPr>
            <w:tcW w:w="567" w:type="dxa"/>
            <w:vMerge w:val="continue"/>
          </w:tcPr>
          <w:p w14:paraId="3B15ED68"/>
        </w:tc>
        <w:tc>
          <w:tcPr>
            <w:tcW w:w="2559" w:type="dxa"/>
            <w:gridSpan w:val="3"/>
            <w:tcBorders>
              <w:top w:val="single" w:color="auto" w:sz="4" w:space="0"/>
              <w:bottom w:val="single" w:color="auto" w:sz="4" w:space="0"/>
            </w:tcBorders>
            <w:vAlign w:val="center"/>
          </w:tcPr>
          <w:p w14:paraId="66C057EA">
            <w:r>
              <w:rPr>
                <w:rFonts w:hint="eastAsia"/>
              </w:rPr>
              <w:t>竞选文件</w:t>
            </w:r>
            <w:r>
              <w:t>的签署</w:t>
            </w:r>
          </w:p>
        </w:tc>
        <w:tc>
          <w:tcPr>
            <w:tcW w:w="5493" w:type="dxa"/>
            <w:vAlign w:val="center"/>
          </w:tcPr>
          <w:p w14:paraId="4F8B7780">
            <w:r>
              <w:rPr>
                <w:rFonts w:hint="eastAsia"/>
                <w:lang w:eastAsia="zh-CN"/>
              </w:rPr>
              <w:t>第</w:t>
            </w:r>
            <w:r>
              <w:rPr>
                <w:rFonts w:hint="eastAsia"/>
                <w:lang w:val="en-US" w:eastAsia="zh-CN"/>
              </w:rPr>
              <w:t>五</w:t>
            </w:r>
            <w:r>
              <w:rPr>
                <w:rFonts w:hint="eastAsia"/>
                <w:lang w:eastAsia="zh-CN"/>
              </w:rPr>
              <w:t>章</w:t>
            </w:r>
            <w:r>
              <w:rPr>
                <w:rFonts w:hint="eastAsia"/>
              </w:rPr>
              <w:t xml:space="preserve"> 竞选文件格式要求</w:t>
            </w:r>
            <w:r>
              <w:t>法定代表人或其委托代理人</w:t>
            </w:r>
            <w:r>
              <w:rPr>
                <w:rFonts w:hint="eastAsia"/>
              </w:rPr>
              <w:t>签名</w:t>
            </w:r>
            <w:r>
              <w:t>（或盖章）</w:t>
            </w:r>
            <w:r>
              <w:rPr>
                <w:rFonts w:hint="eastAsia"/>
              </w:rPr>
              <w:t>的须</w:t>
            </w:r>
            <w:r>
              <w:t>齐全。</w:t>
            </w:r>
          </w:p>
          <w:p w14:paraId="329B7214">
            <w:r>
              <w:rPr>
                <w:rFonts w:hint="eastAsia"/>
              </w:rPr>
              <w:t>若投标单位为联合体，则联合体协议书各联合体成员单位签名（或盖章）须齐全，联合体协议书以外的竞选文件格式中，要求联合体牵头人</w:t>
            </w:r>
            <w:r>
              <w:t>法定代表人或其委托代理人</w:t>
            </w:r>
            <w:r>
              <w:rPr>
                <w:rFonts w:hint="eastAsia"/>
              </w:rPr>
              <w:t>签名</w:t>
            </w:r>
            <w:r>
              <w:t>（或盖章）</w:t>
            </w:r>
            <w:r>
              <w:rPr>
                <w:rFonts w:hint="eastAsia"/>
              </w:rPr>
              <w:t>的须</w:t>
            </w:r>
            <w:r>
              <w:t>齐全。</w:t>
            </w:r>
          </w:p>
        </w:tc>
      </w:tr>
      <w:tr w14:paraId="79FD58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35668EB"/>
        </w:tc>
        <w:tc>
          <w:tcPr>
            <w:tcW w:w="567" w:type="dxa"/>
            <w:vMerge w:val="continue"/>
          </w:tcPr>
          <w:p w14:paraId="3C8BBD0F"/>
        </w:tc>
        <w:tc>
          <w:tcPr>
            <w:tcW w:w="2559" w:type="dxa"/>
            <w:gridSpan w:val="3"/>
            <w:tcBorders>
              <w:top w:val="single" w:color="auto" w:sz="4" w:space="0"/>
              <w:bottom w:val="single" w:color="auto" w:sz="4" w:space="0"/>
            </w:tcBorders>
            <w:vAlign w:val="center"/>
          </w:tcPr>
          <w:p w14:paraId="45F8D594">
            <w:r>
              <w:t>委托代理人</w:t>
            </w:r>
          </w:p>
        </w:tc>
        <w:tc>
          <w:tcPr>
            <w:tcW w:w="5493" w:type="dxa"/>
            <w:vAlign w:val="center"/>
          </w:tcPr>
          <w:p w14:paraId="21A2C05D">
            <w:r>
              <w:rPr>
                <w:rFonts w:hint="eastAsia"/>
              </w:rPr>
              <w:t>竞选人</w:t>
            </w:r>
            <w:r>
              <w:t>法定代表人的委托代理人有法定代表人签署的授权委托书</w:t>
            </w:r>
            <w:r>
              <w:rPr>
                <w:rFonts w:hint="eastAsia"/>
              </w:rPr>
              <w:t>和竞选人为其缴纳的养老保险。</w:t>
            </w:r>
          </w:p>
        </w:tc>
      </w:tr>
      <w:tr w14:paraId="195F3A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048FDA6F"/>
        </w:tc>
        <w:tc>
          <w:tcPr>
            <w:tcW w:w="567" w:type="dxa"/>
            <w:vMerge w:val="continue"/>
            <w:textDirection w:val="tbRlV"/>
            <w:vAlign w:val="center"/>
          </w:tcPr>
          <w:p w14:paraId="4F1D7359"/>
        </w:tc>
        <w:tc>
          <w:tcPr>
            <w:tcW w:w="2559" w:type="dxa"/>
            <w:gridSpan w:val="3"/>
            <w:vAlign w:val="center"/>
          </w:tcPr>
          <w:p w14:paraId="7E42D594">
            <w:r>
              <w:t>投标内容</w:t>
            </w:r>
          </w:p>
        </w:tc>
        <w:tc>
          <w:tcPr>
            <w:tcW w:w="5493" w:type="dxa"/>
            <w:vAlign w:val="center"/>
          </w:tcPr>
          <w:p w14:paraId="3DD8F84C">
            <w:r>
              <w:t>符合第二章“</w:t>
            </w:r>
            <w:r>
              <w:rPr>
                <w:rFonts w:hint="eastAsia"/>
              </w:rPr>
              <w:t>竞选人</w:t>
            </w:r>
            <w:r>
              <w:t>须知”第1.3.1项规定</w:t>
            </w:r>
          </w:p>
        </w:tc>
      </w:tr>
      <w:tr w14:paraId="43766E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517273F"/>
        </w:tc>
        <w:tc>
          <w:tcPr>
            <w:tcW w:w="567" w:type="dxa"/>
            <w:vMerge w:val="continue"/>
          </w:tcPr>
          <w:p w14:paraId="4086F72E"/>
        </w:tc>
        <w:tc>
          <w:tcPr>
            <w:tcW w:w="2559" w:type="dxa"/>
            <w:gridSpan w:val="3"/>
            <w:vAlign w:val="center"/>
          </w:tcPr>
          <w:p w14:paraId="140CB745">
            <w:r>
              <w:rPr>
                <w:rFonts w:hint="eastAsia"/>
              </w:rPr>
              <w:t>服务</w:t>
            </w:r>
            <w:r>
              <w:t>期</w:t>
            </w:r>
          </w:p>
        </w:tc>
        <w:tc>
          <w:tcPr>
            <w:tcW w:w="5493" w:type="dxa"/>
            <w:vAlign w:val="center"/>
          </w:tcPr>
          <w:p w14:paraId="63D8B31B">
            <w:r>
              <w:t>符合第二章“</w:t>
            </w:r>
            <w:r>
              <w:rPr>
                <w:rFonts w:hint="eastAsia"/>
              </w:rPr>
              <w:t>竞选人</w:t>
            </w:r>
            <w:r>
              <w:t>须知”第1.3.2项规定</w:t>
            </w:r>
          </w:p>
        </w:tc>
      </w:tr>
      <w:tr w14:paraId="620C87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DC2DF38"/>
        </w:tc>
        <w:tc>
          <w:tcPr>
            <w:tcW w:w="567" w:type="dxa"/>
            <w:vMerge w:val="continue"/>
          </w:tcPr>
          <w:p w14:paraId="53363C69"/>
        </w:tc>
        <w:tc>
          <w:tcPr>
            <w:tcW w:w="2559" w:type="dxa"/>
            <w:gridSpan w:val="3"/>
            <w:vAlign w:val="center"/>
          </w:tcPr>
          <w:p w14:paraId="033234D4">
            <w:r>
              <w:t>质量</w:t>
            </w:r>
            <w:r>
              <w:rPr>
                <w:rFonts w:hint="eastAsia"/>
              </w:rPr>
              <w:t>标准</w:t>
            </w:r>
          </w:p>
        </w:tc>
        <w:tc>
          <w:tcPr>
            <w:tcW w:w="5493" w:type="dxa"/>
            <w:vAlign w:val="center"/>
          </w:tcPr>
          <w:p w14:paraId="05C8C7AA">
            <w:r>
              <w:t>符合第二章“</w:t>
            </w:r>
            <w:r>
              <w:rPr>
                <w:rFonts w:hint="eastAsia"/>
              </w:rPr>
              <w:t>竞选人</w:t>
            </w:r>
            <w:r>
              <w:t>须知”第1.3.3项规定</w:t>
            </w:r>
          </w:p>
        </w:tc>
      </w:tr>
      <w:tr w14:paraId="7283C6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0C60553"/>
        </w:tc>
        <w:tc>
          <w:tcPr>
            <w:tcW w:w="567" w:type="dxa"/>
            <w:vMerge w:val="continue"/>
          </w:tcPr>
          <w:p w14:paraId="1D1205F6"/>
        </w:tc>
        <w:tc>
          <w:tcPr>
            <w:tcW w:w="2559" w:type="dxa"/>
            <w:gridSpan w:val="3"/>
            <w:vAlign w:val="center"/>
          </w:tcPr>
          <w:p w14:paraId="154A0829">
            <w:r>
              <w:t>投标有效期</w:t>
            </w:r>
          </w:p>
        </w:tc>
        <w:tc>
          <w:tcPr>
            <w:tcW w:w="5493" w:type="dxa"/>
            <w:vAlign w:val="center"/>
          </w:tcPr>
          <w:p w14:paraId="2DE04721">
            <w:r>
              <w:t>符合第二章“</w:t>
            </w:r>
            <w:r>
              <w:rPr>
                <w:rFonts w:hint="eastAsia"/>
              </w:rPr>
              <w:t>竞选人</w:t>
            </w:r>
            <w:r>
              <w:t>须知”第3.3.1项规定</w:t>
            </w:r>
          </w:p>
        </w:tc>
      </w:tr>
      <w:tr w14:paraId="68691E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35430E5"/>
        </w:tc>
        <w:tc>
          <w:tcPr>
            <w:tcW w:w="567" w:type="dxa"/>
            <w:vMerge w:val="continue"/>
          </w:tcPr>
          <w:p w14:paraId="45C05991"/>
        </w:tc>
        <w:tc>
          <w:tcPr>
            <w:tcW w:w="2559" w:type="dxa"/>
            <w:gridSpan w:val="3"/>
            <w:vAlign w:val="center"/>
          </w:tcPr>
          <w:p w14:paraId="7D20D9FD">
            <w:r>
              <w:t>投标保证金</w:t>
            </w:r>
          </w:p>
        </w:tc>
        <w:tc>
          <w:tcPr>
            <w:tcW w:w="5493" w:type="dxa"/>
            <w:vAlign w:val="center"/>
          </w:tcPr>
          <w:p w14:paraId="61F555DC">
            <w:r>
              <w:t>符合第二章</w:t>
            </w:r>
            <w:r>
              <w:rPr>
                <w:rFonts w:hint="eastAsia"/>
              </w:rPr>
              <w:t>竞选人</w:t>
            </w:r>
            <w:r>
              <w:t>须知前附表第3.4</w:t>
            </w:r>
            <w:r>
              <w:rPr>
                <w:rFonts w:hint="eastAsia"/>
              </w:rPr>
              <w:t>款</w:t>
            </w:r>
            <w:r>
              <w:t>规定</w:t>
            </w:r>
          </w:p>
        </w:tc>
      </w:tr>
      <w:tr w14:paraId="312E39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16A805A5"/>
        </w:tc>
        <w:tc>
          <w:tcPr>
            <w:tcW w:w="567" w:type="dxa"/>
            <w:vMerge w:val="continue"/>
          </w:tcPr>
          <w:p w14:paraId="432C526D"/>
        </w:tc>
        <w:tc>
          <w:tcPr>
            <w:tcW w:w="2559" w:type="dxa"/>
            <w:gridSpan w:val="3"/>
            <w:vAlign w:val="center"/>
          </w:tcPr>
          <w:p w14:paraId="106B5773">
            <w:r>
              <w:t>权利义务</w:t>
            </w:r>
          </w:p>
        </w:tc>
        <w:tc>
          <w:tcPr>
            <w:tcW w:w="5493" w:type="dxa"/>
            <w:vAlign w:val="center"/>
          </w:tcPr>
          <w:p w14:paraId="2E18D553">
            <w:pPr>
              <w:rPr>
                <w:highlight w:val="none"/>
              </w:rPr>
            </w:pPr>
            <w:r>
              <w:rPr>
                <w:highlight w:val="none"/>
              </w:rPr>
              <w:t>符合第四章“合同条款及格式”规定，</w:t>
            </w:r>
            <w:r>
              <w:rPr>
                <w:rFonts w:hint="eastAsia"/>
                <w:highlight w:val="none"/>
              </w:rPr>
              <w:t>竞选文件</w:t>
            </w:r>
            <w:r>
              <w:rPr>
                <w:highlight w:val="none"/>
              </w:rPr>
              <w:t>不应附有</w:t>
            </w:r>
            <w:r>
              <w:rPr>
                <w:rFonts w:hint="eastAsia"/>
                <w:highlight w:val="none"/>
              </w:rPr>
              <w:t>比选人</w:t>
            </w:r>
            <w:r>
              <w:rPr>
                <w:highlight w:val="none"/>
              </w:rPr>
              <w:t>不能接受的条件。</w:t>
            </w:r>
            <w:r>
              <w:rPr>
                <w:rFonts w:hint="eastAsia"/>
                <w:highlight w:val="none"/>
              </w:rPr>
              <w:t>（由竞选人承诺，承诺书格式详见</w:t>
            </w:r>
            <w:r>
              <w:rPr>
                <w:rFonts w:hint="eastAsia"/>
                <w:highlight w:val="none"/>
                <w:lang w:eastAsia="zh-CN"/>
              </w:rPr>
              <w:t>第</w:t>
            </w:r>
            <w:r>
              <w:rPr>
                <w:rFonts w:hint="eastAsia"/>
                <w:highlight w:val="none"/>
                <w:lang w:val="en-US" w:eastAsia="zh-CN"/>
              </w:rPr>
              <w:t>五</w:t>
            </w:r>
            <w:r>
              <w:rPr>
                <w:rFonts w:hint="eastAsia"/>
                <w:highlight w:val="none"/>
                <w:lang w:eastAsia="zh-CN"/>
              </w:rPr>
              <w:t>章</w:t>
            </w:r>
            <w:r>
              <w:rPr>
                <w:rFonts w:hint="eastAsia"/>
                <w:highlight w:val="none"/>
              </w:rPr>
              <w:t>竞选文件格式。）</w:t>
            </w:r>
          </w:p>
        </w:tc>
      </w:tr>
      <w:tr w14:paraId="6EFBA5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AA2A4AE"/>
        </w:tc>
        <w:tc>
          <w:tcPr>
            <w:tcW w:w="567" w:type="dxa"/>
            <w:vMerge w:val="continue"/>
          </w:tcPr>
          <w:p w14:paraId="020612AB"/>
        </w:tc>
        <w:tc>
          <w:tcPr>
            <w:tcW w:w="2559" w:type="dxa"/>
            <w:gridSpan w:val="3"/>
            <w:vAlign w:val="center"/>
          </w:tcPr>
          <w:p w14:paraId="67B9B3B8">
            <w:r>
              <w:rPr>
                <w:rFonts w:hint="eastAsia" w:ascii="MS Mincho" w:hAnsi="MS Mincho" w:cs="MS Mincho"/>
                <w:lang w:eastAsia="zh-CN"/>
              </w:rPr>
              <w:t>□</w:t>
            </w:r>
            <w:r>
              <w:t>技术标准和要求</w:t>
            </w:r>
          </w:p>
        </w:tc>
        <w:tc>
          <w:tcPr>
            <w:tcW w:w="5493" w:type="dxa"/>
            <w:vAlign w:val="center"/>
          </w:tcPr>
          <w:p w14:paraId="1DF8426A">
            <w:pPr>
              <w:rPr>
                <w:highlight w:val="none"/>
              </w:rPr>
            </w:pPr>
            <w:r>
              <w:rPr>
                <w:highlight w:val="none"/>
              </w:rPr>
              <w:t>符合“技术标准和要求”规定</w:t>
            </w:r>
            <w:r>
              <w:rPr>
                <w:rFonts w:hint="eastAsia"/>
                <w:highlight w:val="none"/>
              </w:rPr>
              <w:t>。（由竞选人承诺，承诺书格式详见</w:t>
            </w:r>
            <w:r>
              <w:rPr>
                <w:rFonts w:hint="eastAsia"/>
                <w:highlight w:val="none"/>
                <w:lang w:eastAsia="zh-CN"/>
              </w:rPr>
              <w:t>第</w:t>
            </w:r>
            <w:r>
              <w:rPr>
                <w:rFonts w:hint="eastAsia"/>
                <w:highlight w:val="none"/>
                <w:lang w:val="en-US" w:eastAsia="zh-CN"/>
              </w:rPr>
              <w:t>五</w:t>
            </w:r>
            <w:r>
              <w:rPr>
                <w:rFonts w:hint="eastAsia"/>
                <w:highlight w:val="none"/>
                <w:lang w:eastAsia="zh-CN"/>
              </w:rPr>
              <w:t>章</w:t>
            </w:r>
            <w:r>
              <w:rPr>
                <w:rFonts w:hint="eastAsia"/>
                <w:highlight w:val="none"/>
              </w:rPr>
              <w:t>竞选文件格式。）</w:t>
            </w:r>
          </w:p>
        </w:tc>
      </w:tr>
      <w:tr w14:paraId="1C75AA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F9B227D"/>
        </w:tc>
        <w:tc>
          <w:tcPr>
            <w:tcW w:w="567" w:type="dxa"/>
            <w:vMerge w:val="continue"/>
          </w:tcPr>
          <w:p w14:paraId="17CE8F1D"/>
        </w:tc>
        <w:tc>
          <w:tcPr>
            <w:tcW w:w="2559" w:type="dxa"/>
            <w:gridSpan w:val="3"/>
            <w:vAlign w:val="center"/>
          </w:tcPr>
          <w:p w14:paraId="54302CCD">
            <w:r>
              <w:t>投标报价算术错误修正</w:t>
            </w:r>
          </w:p>
        </w:tc>
        <w:tc>
          <w:tcPr>
            <w:tcW w:w="5493" w:type="dxa"/>
            <w:vAlign w:val="center"/>
          </w:tcPr>
          <w:p w14:paraId="4888A6E5">
            <w:r>
              <w:t>符合第三章3.评标程序第3.1.3项规定。</w:t>
            </w:r>
          </w:p>
        </w:tc>
      </w:tr>
      <w:tr w14:paraId="200BA1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20E7A5B"/>
        </w:tc>
        <w:tc>
          <w:tcPr>
            <w:tcW w:w="567" w:type="dxa"/>
            <w:vMerge w:val="continue"/>
          </w:tcPr>
          <w:p w14:paraId="0D47E8A7"/>
        </w:tc>
        <w:tc>
          <w:tcPr>
            <w:tcW w:w="2559" w:type="dxa"/>
            <w:gridSpan w:val="3"/>
            <w:vAlign w:val="center"/>
          </w:tcPr>
          <w:p w14:paraId="5FC8E23F">
            <w:r>
              <w:t>实质性要求</w:t>
            </w:r>
          </w:p>
        </w:tc>
        <w:tc>
          <w:tcPr>
            <w:tcW w:w="5493" w:type="dxa"/>
            <w:vAlign w:val="center"/>
          </w:tcPr>
          <w:p w14:paraId="05F553D8">
            <w:r>
              <w:rPr>
                <w:rFonts w:hint="eastAsia"/>
              </w:rPr>
              <w:t>符合第二章“竞选人须知”第1.4.3项规定。</w:t>
            </w:r>
          </w:p>
          <w:p w14:paraId="6E81E42F">
            <w:r>
              <w:rPr>
                <w:rFonts w:hint="eastAsia"/>
              </w:rPr>
              <w:t>本次投标不得有串通投标</w:t>
            </w:r>
            <w:r>
              <w:t>、弄虚作假等其他违反招投标相关法律、法规行为。</w:t>
            </w:r>
          </w:p>
          <w:p w14:paraId="356F89A7">
            <w:r>
              <w:rPr>
                <w:rFonts w:hint="eastAsia"/>
              </w:rPr>
              <w:t>按评审小组要求澄清、说明或补正。</w:t>
            </w:r>
          </w:p>
        </w:tc>
      </w:tr>
      <w:tr w14:paraId="5D9513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73599ADF">
            <w:r>
              <w:t>2.2.1</w:t>
            </w:r>
          </w:p>
        </w:tc>
        <w:tc>
          <w:tcPr>
            <w:tcW w:w="2559" w:type="dxa"/>
            <w:gridSpan w:val="3"/>
            <w:vAlign w:val="center"/>
          </w:tcPr>
          <w:p w14:paraId="4AB51F60">
            <w:pPr>
              <w:rPr>
                <w:rFonts w:hint="eastAsia"/>
              </w:rPr>
            </w:pPr>
            <w:r>
              <w:t xml:space="preserve">分值构成 </w:t>
            </w:r>
          </w:p>
          <w:p w14:paraId="47768E94">
            <w:r>
              <w:t>（总分1</w:t>
            </w:r>
            <w:r>
              <w:rPr>
                <w:rFonts w:hint="eastAsia"/>
              </w:rPr>
              <w:t>00</w:t>
            </w:r>
            <w:r>
              <w:t>分）</w:t>
            </w:r>
          </w:p>
        </w:tc>
        <w:tc>
          <w:tcPr>
            <w:tcW w:w="5493" w:type="dxa"/>
            <w:vAlign w:val="center"/>
          </w:tcPr>
          <w:p w14:paraId="4E58EEF6">
            <w:r>
              <w:rPr>
                <w:rFonts w:hint="eastAsia"/>
              </w:rPr>
              <w:t xml:space="preserve">1.总报价 </w:t>
            </w:r>
            <w:r>
              <w:rPr>
                <w:rFonts w:hint="eastAsia"/>
                <w:lang w:val="en-US" w:eastAsia="zh-CN"/>
              </w:rPr>
              <w:t>20</w:t>
            </w:r>
            <w:r>
              <w:t>分</w:t>
            </w:r>
            <w:r>
              <w:rPr>
                <w:rFonts w:hint="eastAsia"/>
              </w:rPr>
              <w:t>；</w:t>
            </w:r>
          </w:p>
          <w:p w14:paraId="11EFAFA8">
            <w:r>
              <w:rPr>
                <w:rFonts w:hint="eastAsia"/>
              </w:rPr>
              <w:t>2.服务部分</w:t>
            </w:r>
            <w:r>
              <w:rPr>
                <w:rFonts w:hint="eastAsia"/>
                <w:lang w:val="en-US" w:eastAsia="zh-CN"/>
              </w:rPr>
              <w:t>40</w:t>
            </w:r>
            <w:r>
              <w:rPr>
                <w:rFonts w:hint="eastAsia"/>
              </w:rPr>
              <w:t>分；</w:t>
            </w:r>
          </w:p>
          <w:p w14:paraId="6C0643A9">
            <w:pPr>
              <w:pStyle w:val="17"/>
            </w:pPr>
            <w:r>
              <w:rPr>
                <w:rFonts w:hint="eastAsia"/>
              </w:rPr>
              <w:t xml:space="preserve">3.商务部分 </w:t>
            </w:r>
            <w:r>
              <w:rPr>
                <w:rFonts w:hint="eastAsia"/>
                <w:lang w:val="en-US" w:eastAsia="zh-CN"/>
              </w:rPr>
              <w:t>40</w:t>
            </w:r>
            <w:r>
              <w:rPr>
                <w:rFonts w:hint="eastAsia"/>
              </w:rPr>
              <w:t>分。</w:t>
            </w:r>
          </w:p>
        </w:tc>
      </w:tr>
      <w:tr w14:paraId="0C29C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93" w:hRule="atLeast"/>
          <w:jc w:val="center"/>
        </w:trPr>
        <w:tc>
          <w:tcPr>
            <w:tcW w:w="1418" w:type="dxa"/>
            <w:gridSpan w:val="3"/>
            <w:vMerge w:val="restart"/>
            <w:vAlign w:val="center"/>
          </w:tcPr>
          <w:p w14:paraId="7BB00BFA">
            <w:r>
              <w:rPr>
                <w:rFonts w:hint="eastAsia"/>
              </w:rPr>
              <w:t>2.2.2</w:t>
            </w:r>
          </w:p>
        </w:tc>
        <w:tc>
          <w:tcPr>
            <w:tcW w:w="2559" w:type="dxa"/>
            <w:gridSpan w:val="3"/>
            <w:vMerge w:val="restart"/>
            <w:vAlign w:val="center"/>
          </w:tcPr>
          <w:p w14:paraId="177EF237">
            <w:pPr>
              <w:keepNext w:val="0"/>
              <w:keepLines w:val="0"/>
              <w:pageBreakBefore w:val="0"/>
              <w:widowControl w:val="0"/>
              <w:kinsoku/>
              <w:wordWrap/>
              <w:overflowPunct/>
              <w:topLinePunct w:val="0"/>
              <w:autoSpaceDE/>
              <w:autoSpaceDN/>
              <w:bidi w:val="0"/>
              <w:adjustRightInd/>
              <w:snapToGrid/>
              <w:spacing w:line="320" w:lineRule="exact"/>
              <w:textAlignment w:val="auto"/>
              <w:rPr>
                <w:highlight w:val="none"/>
              </w:rPr>
            </w:pPr>
            <w:r>
              <w:rPr>
                <w:highlight w:val="none"/>
              </w:rPr>
              <w:t>服务部分</w:t>
            </w:r>
            <w:r>
              <w:rPr>
                <w:rFonts w:hint="eastAsia"/>
                <w:highlight w:val="none"/>
              </w:rPr>
              <w:t>（</w:t>
            </w:r>
            <w:r>
              <w:rPr>
                <w:rFonts w:hint="eastAsia"/>
                <w:highlight w:val="none"/>
                <w:lang w:val="en-US" w:eastAsia="zh-CN"/>
              </w:rPr>
              <w:t>40</w:t>
            </w:r>
            <w:r>
              <w:rPr>
                <w:rFonts w:hint="eastAsia"/>
                <w:highlight w:val="none"/>
              </w:rPr>
              <w:t>分）</w:t>
            </w:r>
          </w:p>
        </w:tc>
        <w:tc>
          <w:tcPr>
            <w:tcW w:w="5493" w:type="dxa"/>
            <w:shd w:val="clear" w:color="auto" w:fill="auto"/>
            <w:vAlign w:val="center"/>
          </w:tcPr>
          <w:p w14:paraId="21EDD46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eastAsia="宋体" w:cs="Times New Roman"/>
                <w:kern w:val="2"/>
                <w:sz w:val="21"/>
                <w:szCs w:val="24"/>
                <w:highlight w:val="none"/>
                <w:lang w:val="en-US" w:eastAsia="zh-CN" w:bidi="ar-SA"/>
              </w:rPr>
            </w:pPr>
            <w:r>
              <w:rPr>
                <w:rFonts w:hint="eastAsia"/>
                <w:highlight w:val="none"/>
              </w:rPr>
              <w:t>承诺评级所需工作时间，根据出具评级报告时间排名，</w:t>
            </w:r>
            <w:r>
              <w:rPr>
                <w:rFonts w:hint="eastAsia"/>
                <w:highlight w:val="none"/>
                <w:lang w:bidi="ar"/>
              </w:rPr>
              <w:t>排名第一的得10分，第二名得8分，第三名得6分，第四名得4分，第五名得2分，第五名之后得0分。</w:t>
            </w:r>
          </w:p>
        </w:tc>
      </w:tr>
      <w:tr w14:paraId="6DB1BC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11" w:hRule="atLeast"/>
          <w:jc w:val="center"/>
        </w:trPr>
        <w:tc>
          <w:tcPr>
            <w:tcW w:w="1418" w:type="dxa"/>
            <w:gridSpan w:val="3"/>
            <w:vMerge w:val="continue"/>
            <w:vAlign w:val="center"/>
          </w:tcPr>
          <w:p w14:paraId="6629CC36">
            <w:pPr>
              <w:rPr>
                <w:rFonts w:hint="eastAsia"/>
              </w:rPr>
            </w:pPr>
          </w:p>
        </w:tc>
        <w:tc>
          <w:tcPr>
            <w:tcW w:w="2559" w:type="dxa"/>
            <w:gridSpan w:val="3"/>
            <w:vMerge w:val="continue"/>
            <w:vAlign w:val="center"/>
          </w:tcPr>
          <w:p w14:paraId="2E6C4A12">
            <w:pPr>
              <w:keepNext w:val="0"/>
              <w:keepLines w:val="0"/>
              <w:pageBreakBefore w:val="0"/>
              <w:widowControl w:val="0"/>
              <w:kinsoku/>
              <w:wordWrap/>
              <w:overflowPunct/>
              <w:topLinePunct w:val="0"/>
              <w:autoSpaceDE/>
              <w:autoSpaceDN/>
              <w:bidi w:val="0"/>
              <w:adjustRightInd/>
              <w:snapToGrid/>
              <w:spacing w:line="320" w:lineRule="exact"/>
              <w:textAlignment w:val="auto"/>
              <w:rPr>
                <w:highlight w:val="none"/>
              </w:rPr>
            </w:pPr>
          </w:p>
        </w:tc>
        <w:tc>
          <w:tcPr>
            <w:tcW w:w="5493" w:type="dxa"/>
            <w:shd w:val="clear" w:color="auto" w:fill="auto"/>
            <w:vAlign w:val="center"/>
          </w:tcPr>
          <w:p w14:paraId="6D6959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highlight w:val="none"/>
              </w:rPr>
            </w:pPr>
            <w:r>
              <w:rPr>
                <w:rFonts w:hint="eastAsia"/>
                <w:highlight w:val="none"/>
              </w:rPr>
              <w:t>根据投标人提供得信用评级服务方案，从方案实施步骤是否明确，方案内容是否完善（包括但不限于评级工作程序、评级方法、访谈提纲、信用评级资料清单等内容）等评价。</w:t>
            </w:r>
          </w:p>
          <w:p w14:paraId="4C20DC5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highlight w:val="none"/>
                <w:lang w:val="en-US" w:eastAsia="zh-CN"/>
              </w:rPr>
            </w:pPr>
            <w:r>
              <w:rPr>
                <w:rFonts w:hint="eastAsia"/>
                <w:highlight w:val="none"/>
              </w:rPr>
              <w:t>方案清晰、详细、合理的得（20-30</w:t>
            </w:r>
            <w:r>
              <w:rPr>
                <w:highlight w:val="none"/>
              </w:rPr>
              <w:t>）</w:t>
            </w:r>
            <w:r>
              <w:rPr>
                <w:rFonts w:hint="eastAsia"/>
                <w:highlight w:val="none"/>
              </w:rPr>
              <w:t>分，方案基本满足要求的得（10-20</w:t>
            </w:r>
            <w:r>
              <w:rPr>
                <w:highlight w:val="none"/>
              </w:rPr>
              <w:t>）</w:t>
            </w:r>
            <w:r>
              <w:rPr>
                <w:rFonts w:hint="eastAsia"/>
                <w:highlight w:val="none"/>
              </w:rPr>
              <w:t>分，方案不清晰难以实施的得0分。</w:t>
            </w:r>
          </w:p>
        </w:tc>
      </w:tr>
      <w:tr w14:paraId="1C0299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Merge w:val="restart"/>
            <w:vAlign w:val="center"/>
          </w:tcPr>
          <w:p w14:paraId="3646A681">
            <w:r>
              <w:rPr>
                <w:rFonts w:hint="eastAsia"/>
              </w:rPr>
              <w:t>2.2.3</w:t>
            </w:r>
          </w:p>
        </w:tc>
        <w:tc>
          <w:tcPr>
            <w:tcW w:w="2559" w:type="dxa"/>
            <w:gridSpan w:val="3"/>
            <w:vMerge w:val="restart"/>
            <w:vAlign w:val="center"/>
          </w:tcPr>
          <w:p w14:paraId="61B402D4">
            <w:pPr>
              <w:keepNext w:val="0"/>
              <w:keepLines w:val="0"/>
              <w:pageBreakBefore w:val="0"/>
              <w:widowControl w:val="0"/>
              <w:kinsoku/>
              <w:wordWrap/>
              <w:overflowPunct/>
              <w:topLinePunct w:val="0"/>
              <w:autoSpaceDE/>
              <w:autoSpaceDN/>
              <w:bidi w:val="0"/>
              <w:adjustRightInd/>
              <w:snapToGrid/>
              <w:spacing w:line="320" w:lineRule="exact"/>
              <w:textAlignment w:val="auto"/>
              <w:rPr>
                <w:highlight w:val="none"/>
              </w:rPr>
            </w:pPr>
            <w:r>
              <w:rPr>
                <w:highlight w:val="none"/>
              </w:rPr>
              <w:t>商务部分</w:t>
            </w:r>
            <w:r>
              <w:rPr>
                <w:rFonts w:hint="eastAsia"/>
                <w:highlight w:val="none"/>
              </w:rPr>
              <w:t>（</w:t>
            </w:r>
            <w:r>
              <w:rPr>
                <w:rFonts w:hint="eastAsia"/>
                <w:highlight w:val="none"/>
                <w:lang w:val="en-US" w:eastAsia="zh-CN"/>
              </w:rPr>
              <w:t>40</w:t>
            </w:r>
            <w:r>
              <w:rPr>
                <w:rFonts w:hint="eastAsia"/>
                <w:highlight w:val="none"/>
              </w:rPr>
              <w:t>分）</w:t>
            </w:r>
          </w:p>
        </w:tc>
        <w:tc>
          <w:tcPr>
            <w:tcW w:w="5493" w:type="dxa"/>
            <w:vAlign w:val="center"/>
          </w:tcPr>
          <w:p w14:paraId="39A9FA8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highlight w:val="none"/>
              </w:rPr>
            </w:pPr>
            <w:r>
              <w:rPr>
                <w:rFonts w:hint="eastAsia"/>
                <w:highlight w:val="none"/>
                <w:lang w:val="en-US" w:eastAsia="zh-CN"/>
              </w:rPr>
              <w:t>1、</w:t>
            </w:r>
            <w:r>
              <w:rPr>
                <w:rFonts w:hint="eastAsia"/>
                <w:highlight w:val="none"/>
              </w:rPr>
              <w:t>业绩</w:t>
            </w:r>
            <w:r>
              <w:rPr>
                <w:rFonts w:hint="eastAsia"/>
                <w:highlight w:val="none"/>
                <w:lang w:eastAsia="zh-CN"/>
              </w:rPr>
              <w:t>：</w:t>
            </w:r>
            <w:r>
              <w:rPr>
                <w:rFonts w:hint="eastAsia"/>
                <w:highlight w:val="none"/>
                <w:lang w:val="en-US" w:eastAsia="zh-CN"/>
              </w:rPr>
              <w:t>大型国企</w:t>
            </w:r>
            <w:r>
              <w:rPr>
                <w:rFonts w:hint="eastAsia"/>
                <w:highlight w:val="none"/>
              </w:rPr>
              <w:t>主体评级业绩</w:t>
            </w:r>
            <w:r>
              <w:rPr>
                <w:rFonts w:hint="eastAsia"/>
                <w:highlight w:val="none"/>
              </w:rPr>
              <w:t>，一个得</w:t>
            </w:r>
            <w:r>
              <w:rPr>
                <w:highlight w:val="none"/>
              </w:rPr>
              <w:t>2</w:t>
            </w:r>
            <w:r>
              <w:rPr>
                <w:rFonts w:hint="eastAsia"/>
                <w:highlight w:val="none"/>
              </w:rPr>
              <w:t>分；最多得10分。</w:t>
            </w:r>
          </w:p>
          <w:p w14:paraId="1AF63FAC">
            <w:pPr>
              <w:keepNext w:val="0"/>
              <w:keepLines w:val="0"/>
              <w:pageBreakBefore w:val="0"/>
              <w:widowControl w:val="0"/>
              <w:kinsoku/>
              <w:wordWrap/>
              <w:overflowPunct/>
              <w:topLinePunct w:val="0"/>
              <w:autoSpaceDE/>
              <w:autoSpaceDN/>
              <w:bidi w:val="0"/>
              <w:adjustRightInd/>
              <w:snapToGrid/>
              <w:spacing w:line="320" w:lineRule="exact"/>
              <w:ind w:firstLine="211" w:firstLineChars="100"/>
              <w:textAlignment w:val="auto"/>
              <w:rPr>
                <w:highlight w:val="none"/>
              </w:rPr>
            </w:pPr>
            <w:r>
              <w:rPr>
                <w:rFonts w:hint="eastAsia"/>
                <w:b/>
                <w:bCs/>
                <w:highlight w:val="none"/>
              </w:rPr>
              <w:t>提供业绩合同</w:t>
            </w:r>
            <w:r>
              <w:rPr>
                <w:rFonts w:hint="eastAsia"/>
                <w:b/>
                <w:bCs/>
                <w:highlight w:val="none"/>
                <w:lang w:val="en-US" w:eastAsia="zh-CN"/>
              </w:rPr>
              <w:t>关键信息页</w:t>
            </w:r>
            <w:r>
              <w:rPr>
                <w:rFonts w:hint="eastAsia"/>
                <w:b/>
                <w:bCs/>
                <w:highlight w:val="none"/>
              </w:rPr>
              <w:t>复印件并加盖并加盖</w:t>
            </w:r>
            <w:r>
              <w:rPr>
                <w:rFonts w:hint="eastAsia"/>
                <w:b/>
                <w:bCs/>
                <w:highlight w:val="none"/>
                <w:lang w:val="en-US" w:eastAsia="zh-CN"/>
              </w:rPr>
              <w:t>公</w:t>
            </w:r>
            <w:r>
              <w:rPr>
                <w:rFonts w:hint="eastAsia"/>
                <w:b/>
                <w:bCs/>
                <w:highlight w:val="none"/>
              </w:rPr>
              <w:t>章。</w:t>
            </w:r>
          </w:p>
        </w:tc>
      </w:tr>
      <w:tr w14:paraId="237D40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1418" w:type="dxa"/>
            <w:gridSpan w:val="3"/>
            <w:vMerge w:val="continue"/>
            <w:vAlign w:val="center"/>
          </w:tcPr>
          <w:p w14:paraId="1A3FFAA3">
            <w:pPr>
              <w:rPr>
                <w:rFonts w:hint="eastAsia"/>
              </w:rPr>
            </w:pPr>
          </w:p>
        </w:tc>
        <w:tc>
          <w:tcPr>
            <w:tcW w:w="2559" w:type="dxa"/>
            <w:gridSpan w:val="3"/>
            <w:vMerge w:val="continue"/>
            <w:vAlign w:val="center"/>
          </w:tcPr>
          <w:p w14:paraId="0A9C1C3E">
            <w:pPr>
              <w:keepNext w:val="0"/>
              <w:keepLines w:val="0"/>
              <w:pageBreakBefore w:val="0"/>
              <w:widowControl w:val="0"/>
              <w:kinsoku/>
              <w:wordWrap/>
              <w:overflowPunct/>
              <w:topLinePunct w:val="0"/>
              <w:autoSpaceDE/>
              <w:autoSpaceDN/>
              <w:bidi w:val="0"/>
              <w:adjustRightInd/>
              <w:snapToGrid/>
              <w:spacing w:line="320" w:lineRule="exact"/>
              <w:textAlignment w:val="auto"/>
              <w:rPr>
                <w:highlight w:val="none"/>
              </w:rPr>
            </w:pPr>
          </w:p>
        </w:tc>
        <w:tc>
          <w:tcPr>
            <w:tcW w:w="5493" w:type="dxa"/>
            <w:vAlign w:val="center"/>
          </w:tcPr>
          <w:p w14:paraId="2757259B">
            <w:pPr>
              <w:keepNext w:val="0"/>
              <w:keepLines w:val="0"/>
              <w:pageBreakBefore w:val="0"/>
              <w:widowControl w:val="0"/>
              <w:kinsoku/>
              <w:wordWrap/>
              <w:overflowPunct/>
              <w:topLinePunct w:val="0"/>
              <w:autoSpaceDE/>
              <w:autoSpaceDN/>
              <w:bidi w:val="0"/>
              <w:adjustRightInd/>
              <w:snapToGrid/>
              <w:spacing w:line="320" w:lineRule="exact"/>
              <w:ind w:firstLine="315" w:firstLineChars="150"/>
              <w:textAlignment w:val="auto"/>
              <w:rPr>
                <w:rFonts w:hint="eastAsia"/>
                <w:highlight w:val="none"/>
              </w:rPr>
            </w:pPr>
            <w:r>
              <w:rPr>
                <w:rFonts w:hint="eastAsia"/>
                <w:highlight w:val="none"/>
              </w:rPr>
              <w:t>2、监管机构评价结果：</w:t>
            </w:r>
          </w:p>
          <w:p w14:paraId="31D43D93">
            <w:pPr>
              <w:keepNext w:val="0"/>
              <w:keepLines w:val="0"/>
              <w:pageBreakBefore w:val="0"/>
              <w:widowControl w:val="0"/>
              <w:kinsoku/>
              <w:wordWrap/>
              <w:overflowPunct/>
              <w:topLinePunct w:val="0"/>
              <w:autoSpaceDE/>
              <w:autoSpaceDN/>
              <w:bidi w:val="0"/>
              <w:adjustRightInd/>
              <w:snapToGrid/>
              <w:spacing w:line="320" w:lineRule="exact"/>
              <w:ind w:firstLine="315" w:firstLineChars="150"/>
              <w:textAlignment w:val="auto"/>
              <w:rPr>
                <w:rFonts w:hint="eastAsia"/>
                <w:highlight w:val="none"/>
              </w:rPr>
            </w:pPr>
            <w:r>
              <w:rPr>
                <w:rFonts w:hint="eastAsia"/>
                <w:highlight w:val="none"/>
              </w:rPr>
              <w:t>（1）根据中国证券业协会最近一对2022年度企业债券信用评级结果的名次进行排名打分，在所有供应商中，排名第一的得10分，第二名得8分，第三名得6分，第四名得4分，第五名得2分，第五名之后得0分；；</w:t>
            </w:r>
          </w:p>
          <w:p w14:paraId="7C4E0289">
            <w:pPr>
              <w:keepNext w:val="0"/>
              <w:keepLines w:val="0"/>
              <w:pageBreakBefore w:val="0"/>
              <w:widowControl w:val="0"/>
              <w:kinsoku/>
              <w:wordWrap/>
              <w:overflowPunct/>
              <w:topLinePunct w:val="0"/>
              <w:autoSpaceDE/>
              <w:autoSpaceDN/>
              <w:bidi w:val="0"/>
              <w:adjustRightInd/>
              <w:snapToGrid/>
              <w:spacing w:line="320" w:lineRule="exact"/>
              <w:ind w:firstLine="315" w:firstLineChars="150"/>
              <w:textAlignment w:val="auto"/>
              <w:rPr>
                <w:rFonts w:hint="eastAsia"/>
                <w:highlight w:val="none"/>
              </w:rPr>
            </w:pPr>
            <w:r>
              <w:rPr>
                <w:rFonts w:hint="eastAsia"/>
                <w:highlight w:val="none"/>
              </w:rPr>
              <w:t>注：按照中国证券业协会关于公布2022年度企业债券主承销商和信用评级机构信用评价结果的通知，中证协发〔2023〕196号，2022年度信用评级机构信用评价结果的排名进行打分。</w:t>
            </w:r>
          </w:p>
          <w:p w14:paraId="6DEB7150">
            <w:pPr>
              <w:keepNext w:val="0"/>
              <w:keepLines w:val="0"/>
              <w:pageBreakBefore w:val="0"/>
              <w:widowControl w:val="0"/>
              <w:kinsoku/>
              <w:wordWrap/>
              <w:overflowPunct/>
              <w:topLinePunct w:val="0"/>
              <w:autoSpaceDE/>
              <w:autoSpaceDN/>
              <w:bidi w:val="0"/>
              <w:adjustRightInd/>
              <w:snapToGrid/>
              <w:spacing w:line="320" w:lineRule="exact"/>
              <w:ind w:firstLine="315" w:firstLineChars="150"/>
              <w:textAlignment w:val="auto"/>
              <w:rPr>
                <w:rFonts w:hint="eastAsia"/>
                <w:highlight w:val="none"/>
              </w:rPr>
            </w:pPr>
            <w:r>
              <w:rPr>
                <w:rFonts w:hint="eastAsia"/>
                <w:highlight w:val="none"/>
              </w:rPr>
              <w:t>（2）据中国银行间交易商协会最近一次对信用评级机构信用评价的名次进行排名打分，在所有供应商中，排名第一名的供应商得10分，第二名得8分，第三名得6分，第四名得4分,第五名得2分，第五名之后得0分。</w:t>
            </w:r>
          </w:p>
          <w:p w14:paraId="1B1C8227">
            <w:pPr>
              <w:keepNext w:val="0"/>
              <w:keepLines w:val="0"/>
              <w:pageBreakBefore w:val="0"/>
              <w:widowControl w:val="0"/>
              <w:kinsoku/>
              <w:wordWrap/>
              <w:overflowPunct/>
              <w:topLinePunct w:val="0"/>
              <w:autoSpaceDE/>
              <w:autoSpaceDN/>
              <w:bidi w:val="0"/>
              <w:adjustRightInd/>
              <w:snapToGrid/>
              <w:spacing w:line="320" w:lineRule="exact"/>
              <w:ind w:firstLine="315" w:firstLineChars="150"/>
              <w:textAlignment w:val="auto"/>
              <w:rPr>
                <w:highlight w:val="none"/>
              </w:rPr>
            </w:pPr>
            <w:r>
              <w:rPr>
                <w:rFonts w:hint="eastAsia"/>
                <w:highlight w:val="none"/>
              </w:rPr>
              <w:t>注：按照中国银行间市场交易商协会、中国证券业协会公告【2020】2号，银行间市场排名情况进行打分。</w:t>
            </w:r>
            <w:r>
              <w:rPr>
                <w:rFonts w:hint="eastAsia" w:asciiTheme="minorEastAsia" w:hAnsiTheme="minorEastAsia" w:eastAsiaTheme="minorEastAsia" w:cstheme="minorEastAsia"/>
                <w:b/>
                <w:bCs/>
                <w:szCs w:val="21"/>
                <w:highlight w:val="none"/>
              </w:rPr>
              <w:t>(投标人须在投标文件资格审查部分提供</w:t>
            </w:r>
            <w:r>
              <w:rPr>
                <w:rFonts w:hint="eastAsia" w:asciiTheme="minorEastAsia" w:hAnsiTheme="minorEastAsia" w:eastAsiaTheme="minorEastAsia" w:cstheme="minorEastAsia"/>
                <w:b/>
                <w:bCs/>
                <w:szCs w:val="21"/>
                <w:highlight w:val="none"/>
                <w:lang w:val="en-US" w:eastAsia="zh-CN"/>
              </w:rPr>
              <w:t>监管机构评价结果截图</w:t>
            </w:r>
            <w:r>
              <w:rPr>
                <w:rFonts w:hint="eastAsia" w:asciiTheme="minorEastAsia" w:hAnsiTheme="minorEastAsia" w:eastAsiaTheme="minorEastAsia" w:cstheme="minorEastAsia"/>
                <w:b/>
                <w:bCs/>
                <w:szCs w:val="21"/>
                <w:highlight w:val="none"/>
              </w:rPr>
              <w:t>加盖公章)。</w:t>
            </w:r>
          </w:p>
        </w:tc>
      </w:tr>
      <w:tr w14:paraId="0A781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Merge w:val="continue"/>
            <w:vAlign w:val="center"/>
          </w:tcPr>
          <w:p w14:paraId="0130E4F1">
            <w:pPr>
              <w:rPr>
                <w:rFonts w:hint="eastAsia"/>
              </w:rPr>
            </w:pPr>
          </w:p>
        </w:tc>
        <w:tc>
          <w:tcPr>
            <w:tcW w:w="2559" w:type="dxa"/>
            <w:gridSpan w:val="3"/>
            <w:vMerge w:val="continue"/>
            <w:vAlign w:val="center"/>
          </w:tcPr>
          <w:p w14:paraId="1D59D3CC">
            <w:pPr>
              <w:keepNext w:val="0"/>
              <w:keepLines w:val="0"/>
              <w:pageBreakBefore w:val="0"/>
              <w:widowControl w:val="0"/>
              <w:kinsoku/>
              <w:wordWrap/>
              <w:overflowPunct/>
              <w:topLinePunct w:val="0"/>
              <w:autoSpaceDE/>
              <w:autoSpaceDN/>
              <w:bidi w:val="0"/>
              <w:adjustRightInd/>
              <w:snapToGrid/>
              <w:spacing w:line="320" w:lineRule="exact"/>
              <w:textAlignment w:val="auto"/>
              <w:rPr>
                <w:highlight w:val="none"/>
              </w:rPr>
            </w:pPr>
          </w:p>
        </w:tc>
        <w:tc>
          <w:tcPr>
            <w:tcW w:w="5493" w:type="dxa"/>
            <w:vAlign w:val="center"/>
          </w:tcPr>
          <w:p w14:paraId="483C1DA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highlight w:val="none"/>
                <w:lang w:bidi="ar"/>
              </w:rPr>
            </w:pPr>
            <w:r>
              <w:rPr>
                <w:rFonts w:hint="eastAsia"/>
                <w:highlight w:val="none"/>
              </w:rPr>
              <w:t>3、人员配置：</w:t>
            </w:r>
            <w:r>
              <w:rPr>
                <w:highlight w:val="none"/>
                <w:lang w:bidi="ar"/>
              </w:rPr>
              <w:t>根据竞标供应商对本项目配备人员的人数、资历、资质，是否有</w:t>
            </w:r>
            <w:r>
              <w:rPr>
                <w:rFonts w:hint="eastAsia"/>
                <w:highlight w:val="none"/>
                <w:lang w:bidi="ar"/>
              </w:rPr>
              <w:t>政府平台</w:t>
            </w:r>
            <w:r>
              <w:rPr>
                <w:highlight w:val="none"/>
                <w:lang w:bidi="ar"/>
              </w:rPr>
              <w:t>业务的</w:t>
            </w:r>
            <w:r>
              <w:rPr>
                <w:rFonts w:hint="eastAsia"/>
                <w:highlight w:val="none"/>
                <w:lang w:bidi="ar"/>
              </w:rPr>
              <w:t>作业</w:t>
            </w:r>
            <w:r>
              <w:rPr>
                <w:highlight w:val="none"/>
                <w:lang w:bidi="ar"/>
              </w:rPr>
              <w:t>经历，综合比较打分。</w:t>
            </w:r>
          </w:p>
          <w:p w14:paraId="2B06EDD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highlight w:val="none"/>
                <w:lang w:bidi="ar"/>
              </w:rPr>
            </w:pPr>
            <w:r>
              <w:rPr>
                <w:rFonts w:hint="eastAsia"/>
                <w:highlight w:val="none"/>
                <w:lang w:bidi="ar"/>
              </w:rPr>
              <w:t>①服务人员人数：4人得4分，3人得3分，2人得1分；</w:t>
            </w:r>
          </w:p>
          <w:p w14:paraId="0F7B683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highlight w:val="none"/>
                <w:lang w:bidi="ar"/>
              </w:rPr>
            </w:pPr>
            <w:r>
              <w:rPr>
                <w:rFonts w:hint="eastAsia"/>
                <w:highlight w:val="none"/>
                <w:lang w:bidi="ar"/>
              </w:rPr>
              <w:t>②服务人员政府平台作业历史业绩：每个得1分，总体不超过3分；</w:t>
            </w:r>
          </w:p>
          <w:p w14:paraId="3F174FC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eastAsia="宋体"/>
                <w:highlight w:val="none"/>
                <w:lang w:val="en-US" w:eastAsia="zh-CN"/>
              </w:rPr>
            </w:pPr>
            <w:r>
              <w:rPr>
                <w:rFonts w:hint="eastAsia"/>
                <w:highlight w:val="none"/>
                <w:lang w:bidi="ar"/>
              </w:rPr>
              <w:t>③服务人员从业年限：从业年限5年及以上得3分，从业年限3-5年得2分，从业年限1-3年得1分，总体不超过3分；</w:t>
            </w:r>
          </w:p>
          <w:p w14:paraId="188D2AD7">
            <w:pPr>
              <w:keepNext w:val="0"/>
              <w:keepLines w:val="0"/>
              <w:pageBreakBefore w:val="0"/>
              <w:widowControl w:val="0"/>
              <w:kinsoku/>
              <w:wordWrap/>
              <w:overflowPunct/>
              <w:topLinePunct w:val="0"/>
              <w:autoSpaceDE/>
              <w:autoSpaceDN/>
              <w:bidi w:val="0"/>
              <w:adjustRightInd/>
              <w:snapToGrid/>
              <w:spacing w:line="320" w:lineRule="exact"/>
              <w:ind w:firstLine="211" w:firstLineChars="100"/>
              <w:textAlignment w:val="auto"/>
              <w:rPr>
                <w:rFonts w:hint="eastAsia"/>
                <w:highlight w:val="none"/>
              </w:rPr>
            </w:pPr>
            <w:r>
              <w:rPr>
                <w:rFonts w:hint="eastAsia"/>
                <w:b/>
                <w:bCs/>
                <w:highlight w:val="none"/>
              </w:rPr>
              <w:t>提供</w:t>
            </w:r>
            <w:r>
              <w:rPr>
                <w:rFonts w:hint="eastAsia"/>
                <w:b/>
                <w:bCs/>
                <w:highlight w:val="none"/>
                <w:lang w:val="en-US" w:eastAsia="zh-CN"/>
              </w:rPr>
              <w:t>人员相关证件、证书</w:t>
            </w:r>
            <w:r>
              <w:rPr>
                <w:rFonts w:hint="eastAsia"/>
                <w:b/>
                <w:bCs/>
                <w:highlight w:val="none"/>
              </w:rPr>
              <w:t>复印件</w:t>
            </w:r>
            <w:r>
              <w:rPr>
                <w:rFonts w:hint="eastAsia"/>
                <w:b/>
                <w:bCs/>
                <w:highlight w:val="none"/>
                <w:lang w:val="en-US" w:eastAsia="zh-CN"/>
              </w:rPr>
              <w:t>加盖公章</w:t>
            </w:r>
            <w:r>
              <w:rPr>
                <w:rFonts w:hint="eastAsia"/>
                <w:b/>
                <w:bCs/>
                <w:highlight w:val="none"/>
                <w:lang w:eastAsia="zh-CN"/>
              </w:rPr>
              <w:t>，</w:t>
            </w:r>
            <w:r>
              <w:rPr>
                <w:rFonts w:hint="eastAsia"/>
                <w:b/>
                <w:bCs/>
                <w:highlight w:val="none"/>
                <w:lang w:val="en-US" w:eastAsia="zh-CN"/>
              </w:rPr>
              <w:t>工作经历证明等材料，</w:t>
            </w:r>
            <w:r>
              <w:rPr>
                <w:rFonts w:hint="eastAsia"/>
                <w:b/>
                <w:bCs/>
                <w:highlight w:val="none"/>
              </w:rPr>
              <w:t>并加盖</w:t>
            </w:r>
            <w:r>
              <w:rPr>
                <w:rFonts w:hint="eastAsia"/>
                <w:b/>
                <w:bCs/>
                <w:highlight w:val="none"/>
                <w:lang w:val="en-US" w:eastAsia="zh-CN"/>
              </w:rPr>
              <w:t>公</w:t>
            </w:r>
            <w:r>
              <w:rPr>
                <w:rFonts w:hint="eastAsia"/>
                <w:b/>
                <w:bCs/>
                <w:highlight w:val="none"/>
              </w:rPr>
              <w:t>章。</w:t>
            </w:r>
          </w:p>
        </w:tc>
      </w:tr>
      <w:tr w14:paraId="5B0E0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22F3D43D">
            <w:r>
              <w:t>2.2.</w:t>
            </w:r>
            <w:r>
              <w:rPr>
                <w:rFonts w:hint="eastAsia"/>
              </w:rPr>
              <w:t>4</w:t>
            </w:r>
          </w:p>
        </w:tc>
        <w:tc>
          <w:tcPr>
            <w:tcW w:w="2131" w:type="dxa"/>
            <w:gridSpan w:val="4"/>
            <w:vAlign w:val="center"/>
          </w:tcPr>
          <w:p w14:paraId="4431A964">
            <w:r>
              <w:t>评标基准价计算方法</w:t>
            </w:r>
          </w:p>
        </w:tc>
        <w:tc>
          <w:tcPr>
            <w:tcW w:w="1013" w:type="dxa"/>
            <w:vAlign w:val="center"/>
          </w:tcPr>
          <w:p w14:paraId="2E9CEEF1">
            <w:r>
              <w:t>投标总报价</w:t>
            </w:r>
          </w:p>
        </w:tc>
        <w:tc>
          <w:tcPr>
            <w:tcW w:w="5493" w:type="dxa"/>
          </w:tcPr>
          <w:p w14:paraId="770D79C7">
            <w:pPr>
              <w:ind w:firstLine="210" w:firstLineChars="100"/>
              <w:rPr>
                <w:i/>
              </w:rPr>
            </w:pPr>
            <w:r>
              <w:t>所有通过初步评审合格的</w:t>
            </w:r>
            <w:r>
              <w:rPr>
                <w:rFonts w:hint="eastAsia"/>
              </w:rPr>
              <w:t>竞选人</w:t>
            </w:r>
            <w:r>
              <w:t>的投标总报价中</w:t>
            </w:r>
            <w:r>
              <w:rPr>
                <w:rFonts w:hint="eastAsia"/>
              </w:rPr>
              <w:t>以</w:t>
            </w:r>
            <w:r>
              <w:t>最低</w:t>
            </w:r>
            <w:r>
              <w:rPr>
                <w:rFonts w:hint="eastAsia"/>
              </w:rPr>
              <w:t>报</w:t>
            </w:r>
            <w:r>
              <w:t>价</w:t>
            </w:r>
            <w:r>
              <w:rPr>
                <w:rFonts w:hint="eastAsia"/>
              </w:rPr>
              <w:t>作为本项目的投标总报价的评标基准价。</w:t>
            </w:r>
          </w:p>
          <w:p w14:paraId="270F4F98">
            <w:r>
              <w:rPr>
                <w:rFonts w:hint="eastAsia"/>
              </w:rPr>
              <w:t>评标基准价计算的最终</w:t>
            </w:r>
            <w:r>
              <w:t>结果取小数点后两位，第三位四舍五入。</w:t>
            </w:r>
          </w:p>
          <w:p w14:paraId="3CAA3E22">
            <w:pPr>
              <w:ind w:firstLine="210" w:firstLineChars="100"/>
            </w:pPr>
            <w:r>
              <w:t>在评标基准价计算完成后（除计算错误外），在后续的评审中不得再对其做出调整。</w:t>
            </w:r>
          </w:p>
        </w:tc>
      </w:tr>
      <w:tr w14:paraId="2013D3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vAlign w:val="center"/>
          </w:tcPr>
          <w:p w14:paraId="21E6ABD7">
            <w:r>
              <w:t>2.2.</w:t>
            </w:r>
            <w:r>
              <w:rPr>
                <w:rFonts w:hint="eastAsia"/>
              </w:rPr>
              <w:t>4</w:t>
            </w:r>
          </w:p>
          <w:p w14:paraId="1798E5BC">
            <w:r>
              <w:rPr>
                <w:rFonts w:hint="eastAsia"/>
              </w:rPr>
              <w:t>（1）</w:t>
            </w:r>
          </w:p>
        </w:tc>
        <w:tc>
          <w:tcPr>
            <w:tcW w:w="3144" w:type="dxa"/>
            <w:gridSpan w:val="5"/>
            <w:vMerge w:val="restart"/>
            <w:vAlign w:val="center"/>
          </w:tcPr>
          <w:p w14:paraId="57EFCAE9">
            <w:r>
              <w:rPr>
                <w:rFonts w:hint="eastAsia"/>
              </w:rPr>
              <w:t>允许偏差率</w:t>
            </w:r>
          </w:p>
        </w:tc>
        <w:tc>
          <w:tcPr>
            <w:tcW w:w="5493" w:type="dxa"/>
            <w:vAlign w:val="center"/>
          </w:tcPr>
          <w:p w14:paraId="7600515E">
            <w:pPr>
              <w:ind w:firstLine="210" w:firstLineChars="100"/>
            </w:pPr>
            <w:r>
              <w:t>投标总报价的偏差率计算公式</w:t>
            </w:r>
          </w:p>
          <w:p w14:paraId="1D609B77">
            <w:pPr>
              <w:ind w:firstLine="210" w:firstLineChars="100"/>
            </w:pPr>
            <w:r>
              <w:t>偏差率</w:t>
            </w:r>
            <w:r>
              <w:rPr>
                <w:sz w:val="28"/>
                <w:szCs w:val="28"/>
              </w:rPr>
              <w:t>=</w:t>
            </w:r>
            <w:r>
              <w:t>100％×（</w:t>
            </w:r>
            <w:r>
              <w:rPr>
                <w:rFonts w:hint="eastAsia"/>
              </w:rPr>
              <w:t>竞选人</w:t>
            </w:r>
            <w:r>
              <w:t>报价一评标基准价）／评标基准价</w:t>
            </w:r>
          </w:p>
          <w:p w14:paraId="4CB5CC32">
            <w:r>
              <w:t xml:space="preserve">  偏差率计算的最终结果</w:t>
            </w:r>
            <w:r>
              <w:rPr>
                <w:rFonts w:hint="eastAsia"/>
              </w:rPr>
              <w:t>取</w:t>
            </w:r>
            <w:r>
              <w:t>小数点后两位，小数点后第三位“四舍五入”。</w:t>
            </w:r>
          </w:p>
        </w:tc>
      </w:tr>
      <w:tr w14:paraId="5A14E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vAlign w:val="center"/>
          </w:tcPr>
          <w:p w14:paraId="7AAF0BAC"/>
        </w:tc>
        <w:tc>
          <w:tcPr>
            <w:tcW w:w="3144" w:type="dxa"/>
            <w:gridSpan w:val="5"/>
            <w:vMerge w:val="continue"/>
            <w:vAlign w:val="center"/>
          </w:tcPr>
          <w:p w14:paraId="62DF6AC1"/>
        </w:tc>
        <w:tc>
          <w:tcPr>
            <w:tcW w:w="5493" w:type="dxa"/>
            <w:vAlign w:val="center"/>
          </w:tcPr>
          <w:p w14:paraId="233ED6DC">
            <w:r>
              <w:rPr>
                <w:rFonts w:hint="eastAsia"/>
              </w:rPr>
              <w:t>本项目</w:t>
            </w:r>
            <w:r>
              <w:t>投标总报价</w:t>
            </w:r>
            <w:r>
              <w:rPr>
                <w:rFonts w:hint="eastAsia"/>
              </w:rPr>
              <w:t>允许偏差范围</w:t>
            </w:r>
            <w:r>
              <w:t>为：</w:t>
            </w:r>
          </w:p>
          <w:p w14:paraId="623C5EE7">
            <w:pPr>
              <w:rPr>
                <w:i/>
              </w:rPr>
            </w:pPr>
            <w:r>
              <w:rPr>
                <w:rFonts w:hint="eastAsia" w:ascii="MS Mincho" w:hAnsi="MS Mincho" w:eastAsia="MS Mincho" w:cs="MS Mincho"/>
              </w:rPr>
              <w:t>☑</w:t>
            </w:r>
            <w:r>
              <w:rPr>
                <w:rFonts w:hint="eastAsia"/>
              </w:rPr>
              <w:t>不设偏差范围。</w:t>
            </w:r>
          </w:p>
        </w:tc>
      </w:tr>
      <w:tr w14:paraId="17CC70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7F9FB26B">
            <w:r>
              <w:t>3</w:t>
            </w:r>
          </w:p>
        </w:tc>
        <w:tc>
          <w:tcPr>
            <w:tcW w:w="1135" w:type="dxa"/>
            <w:gridSpan w:val="2"/>
            <w:vAlign w:val="center"/>
          </w:tcPr>
          <w:p w14:paraId="4ABAF704">
            <w:r>
              <w:t>评标程序</w:t>
            </w:r>
          </w:p>
        </w:tc>
        <w:tc>
          <w:tcPr>
            <w:tcW w:w="7484" w:type="dxa"/>
            <w:gridSpan w:val="3"/>
          </w:tcPr>
          <w:p w14:paraId="66455B7E">
            <w:r>
              <w:rPr>
                <w:rFonts w:hint="eastAsia"/>
              </w:rPr>
              <w:t>1.按本章评标办法第3.1款进行初步评审。未通过初步评审或评审小组认定为无效的竞选文件的不再进行后续评审。</w:t>
            </w:r>
          </w:p>
          <w:p w14:paraId="334CE5D4">
            <w:r>
              <w:rPr>
                <w:rFonts w:hint="eastAsia"/>
              </w:rPr>
              <w:t>2.按本章评标办法前附表第2.2.2项及第2.2.3目的规定对服务部分、商务部分进行评审。</w:t>
            </w:r>
          </w:p>
          <w:p w14:paraId="244F6D24">
            <w:r>
              <w:rPr>
                <w:rFonts w:hint="eastAsia"/>
              </w:rPr>
              <w:t>3.因评审小组作否决投标处理导致有效竞选人不足三个的，评审小组应当否决所有投标。但是有效竞选人的经济、服务等指标仍然具有市场竞争力，能够满足招标文件要求的，评审小组可以继续评标并确定中标候选人。</w:t>
            </w:r>
          </w:p>
          <w:p w14:paraId="34F4358B">
            <w:r>
              <w:rPr>
                <w:rFonts w:hint="eastAsia"/>
              </w:rPr>
              <w:t>4.对初步评审合格的竞选人按照本章第2.2.4项计算方法计算评标基准价，并按本附表第3.2.1（2）目规定的评分方法对投标总报价进行评分。</w:t>
            </w:r>
          </w:p>
          <w:p w14:paraId="7EDEE94C">
            <w:r>
              <w:rPr>
                <w:rFonts w:hint="eastAsia"/>
              </w:rPr>
              <w:t>5.对技术部分、投标总报价得分进行汇总，确定得分由高至低前三名竞选人为中标候选人。</w:t>
            </w:r>
          </w:p>
        </w:tc>
      </w:tr>
      <w:tr w14:paraId="0FBE32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0F1A234E">
            <w:r>
              <w:rPr>
                <w:rFonts w:hint="eastAsia"/>
              </w:rPr>
              <w:t>3.2.1（1）</w:t>
            </w:r>
          </w:p>
        </w:tc>
        <w:tc>
          <w:tcPr>
            <w:tcW w:w="1135" w:type="dxa"/>
            <w:gridSpan w:val="2"/>
            <w:vAlign w:val="center"/>
          </w:tcPr>
          <w:p w14:paraId="677402E0">
            <w:r>
              <w:rPr>
                <w:rFonts w:hint="eastAsia"/>
              </w:rPr>
              <w:t>服务部分得分（A）</w:t>
            </w:r>
          </w:p>
        </w:tc>
        <w:tc>
          <w:tcPr>
            <w:tcW w:w="1991" w:type="dxa"/>
            <w:gridSpan w:val="2"/>
            <w:tcBorders>
              <w:top w:val="single" w:color="auto" w:sz="4" w:space="0"/>
            </w:tcBorders>
            <w:vAlign w:val="center"/>
          </w:tcPr>
          <w:p w14:paraId="77BB900E">
            <w:pPr>
              <w:rPr>
                <w:rFonts w:hint="eastAsia"/>
              </w:rPr>
            </w:pPr>
            <w:r>
              <w:rPr>
                <w:rFonts w:hint="eastAsia"/>
              </w:rPr>
              <w:t>服务部分</w:t>
            </w:r>
          </w:p>
          <w:p w14:paraId="0E6A88CA"/>
        </w:tc>
        <w:tc>
          <w:tcPr>
            <w:tcW w:w="5493" w:type="dxa"/>
            <w:vAlign w:val="center"/>
          </w:tcPr>
          <w:p w14:paraId="632DCB51">
            <w:pPr>
              <w:ind w:firstLine="210" w:firstLineChars="100"/>
              <w:rPr>
                <w:rFonts w:hint="eastAsia" w:eastAsia="方正仿宋_GBK"/>
                <w:szCs w:val="21"/>
              </w:rPr>
            </w:pPr>
            <w:r>
              <w:rPr>
                <w:rFonts w:hint="eastAsia"/>
              </w:rPr>
              <w:t>详2.2.2款。</w:t>
            </w:r>
          </w:p>
          <w:p w14:paraId="3DD71083">
            <w:pPr>
              <w:ind w:firstLine="210" w:firstLineChars="100"/>
            </w:pPr>
            <w:r>
              <w:rPr>
                <w:rFonts w:hint="eastAsia"/>
              </w:rPr>
              <w:t>由评审小组根据供应商编制的服务方案进行横向评审。</w:t>
            </w:r>
            <w:r>
              <w:t>取各评委赋分的平均值。</w:t>
            </w:r>
          </w:p>
          <w:p w14:paraId="4B446F0B">
            <w:pPr>
              <w:ind w:firstLine="210" w:firstLineChars="100"/>
            </w:pPr>
            <w:r>
              <w:rPr>
                <w:rFonts w:hint="eastAsia"/>
              </w:rPr>
              <w:t>服务</w:t>
            </w:r>
            <w:r>
              <w:t>方案说明详细、准确、符合要求的为优；</w:t>
            </w:r>
            <w:r>
              <w:rPr>
                <w:rFonts w:hint="eastAsia"/>
              </w:rPr>
              <w:t>服务</w:t>
            </w:r>
            <w:r>
              <w:t>方案说明较为详细、较为准确、较符合要求的为良；</w:t>
            </w:r>
            <w:r>
              <w:rPr>
                <w:rFonts w:hint="eastAsia"/>
              </w:rPr>
              <w:t>服务</w:t>
            </w:r>
            <w:r>
              <w:t>方案说明不详细、准确度不高，不符合要求的为一般。</w:t>
            </w:r>
          </w:p>
        </w:tc>
      </w:tr>
      <w:tr w14:paraId="329479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6EF8F720">
            <w:r>
              <w:rPr>
                <w:rFonts w:hint="eastAsia"/>
              </w:rPr>
              <w:t>3.2.2（2）</w:t>
            </w:r>
          </w:p>
        </w:tc>
        <w:tc>
          <w:tcPr>
            <w:tcW w:w="1135" w:type="dxa"/>
            <w:gridSpan w:val="2"/>
            <w:vAlign w:val="center"/>
          </w:tcPr>
          <w:p w14:paraId="48F94E6D">
            <w:r>
              <w:rPr>
                <w:rFonts w:hint="eastAsia"/>
              </w:rPr>
              <w:t>商务部分得分（B）</w:t>
            </w:r>
          </w:p>
        </w:tc>
        <w:tc>
          <w:tcPr>
            <w:tcW w:w="1991" w:type="dxa"/>
            <w:gridSpan w:val="2"/>
            <w:tcBorders>
              <w:top w:val="single" w:color="auto" w:sz="4" w:space="0"/>
            </w:tcBorders>
            <w:vAlign w:val="center"/>
          </w:tcPr>
          <w:p w14:paraId="710BC49F">
            <w:pPr>
              <w:rPr>
                <w:rFonts w:hint="eastAsia"/>
              </w:rPr>
            </w:pPr>
            <w:r>
              <w:rPr>
                <w:rFonts w:hint="eastAsia"/>
              </w:rPr>
              <w:t>商务部分</w:t>
            </w:r>
          </w:p>
          <w:p w14:paraId="4D5C961F"/>
        </w:tc>
        <w:tc>
          <w:tcPr>
            <w:tcW w:w="5493" w:type="dxa"/>
            <w:vAlign w:val="center"/>
          </w:tcPr>
          <w:p w14:paraId="6DF7BEE7">
            <w:pPr>
              <w:ind w:firstLine="210" w:firstLineChars="100"/>
            </w:pPr>
            <w:r>
              <w:rPr>
                <w:rFonts w:hint="eastAsia"/>
              </w:rPr>
              <w:t>详2.2.3款。</w:t>
            </w:r>
          </w:p>
        </w:tc>
      </w:tr>
      <w:tr w14:paraId="522554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7D53E9DD">
            <w:r>
              <w:t>3.2.1（</w:t>
            </w:r>
            <w:r>
              <w:rPr>
                <w:rFonts w:hint="eastAsia"/>
              </w:rPr>
              <w:t>3</w:t>
            </w:r>
            <w:r>
              <w:t>）</w:t>
            </w:r>
          </w:p>
        </w:tc>
        <w:tc>
          <w:tcPr>
            <w:tcW w:w="1135" w:type="dxa"/>
            <w:gridSpan w:val="2"/>
            <w:vAlign w:val="center"/>
          </w:tcPr>
          <w:p w14:paraId="5E23EA0A">
            <w:r>
              <w:t>投标报价得分</w:t>
            </w:r>
            <w:r>
              <w:rPr>
                <w:spacing w:val="-8"/>
              </w:rPr>
              <w:t>（</w:t>
            </w:r>
            <w:r>
              <w:rPr>
                <w:rFonts w:hint="eastAsia"/>
                <w:spacing w:val="-8"/>
              </w:rPr>
              <w:t>C</w:t>
            </w:r>
            <w:r>
              <w:rPr>
                <w:spacing w:val="-8"/>
              </w:rPr>
              <w:t>）</w:t>
            </w:r>
          </w:p>
        </w:tc>
        <w:tc>
          <w:tcPr>
            <w:tcW w:w="1991" w:type="dxa"/>
            <w:gridSpan w:val="2"/>
            <w:tcBorders>
              <w:top w:val="single" w:color="auto" w:sz="4" w:space="0"/>
            </w:tcBorders>
            <w:vAlign w:val="center"/>
          </w:tcPr>
          <w:p w14:paraId="55DCE557">
            <w:r>
              <w:t>投标总报价</w:t>
            </w:r>
          </w:p>
        </w:tc>
        <w:tc>
          <w:tcPr>
            <w:tcW w:w="5493" w:type="dxa"/>
            <w:vAlign w:val="center"/>
          </w:tcPr>
          <w:p w14:paraId="1C1CBB00">
            <w:pPr>
              <w:ind w:firstLine="210" w:firstLineChars="100"/>
            </w:pPr>
            <w:r>
              <w:rPr>
                <w:rFonts w:hint="eastAsia" w:cs="宋体"/>
              </w:rPr>
              <w:t>竞选人竞选报价与评标基准价相比，等于评标基准价，得</w:t>
            </w:r>
            <w:r>
              <w:rPr>
                <w:bCs/>
                <w:szCs w:val="28"/>
              </w:rPr>
              <w:t>满分</w:t>
            </w:r>
            <w:r>
              <w:rPr>
                <w:rFonts w:hint="eastAsia"/>
                <w:bCs/>
                <w:szCs w:val="28"/>
                <w:u w:val="single"/>
                <w:lang w:val="en-US" w:eastAsia="zh-CN"/>
              </w:rPr>
              <w:t>20</w:t>
            </w:r>
            <w:r>
              <w:t>分。在此基础上，投标总报价与评标基准价相比，每增加1%扣</w:t>
            </w:r>
            <w:r>
              <w:rPr>
                <w:rFonts w:hint="eastAsia"/>
                <w:u w:val="single"/>
              </w:rPr>
              <w:t xml:space="preserve"> 1 </w:t>
            </w:r>
            <w:r>
              <w:t>分，扣完为止。</w:t>
            </w:r>
          </w:p>
          <w:p w14:paraId="3CBE8197">
            <w:pPr>
              <w:ind w:firstLine="210" w:firstLineChars="100"/>
            </w:pPr>
            <w:r>
              <w:rPr>
                <w:rFonts w:hint="eastAsia"/>
              </w:rPr>
              <w:t>投标总报价得分最终结果</w:t>
            </w:r>
            <w:r>
              <w:t>取小数点后两位，第三位四舍五入。</w:t>
            </w:r>
          </w:p>
        </w:tc>
      </w:tr>
      <w:tr w14:paraId="4DD08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05E14106">
            <w:r>
              <w:t>3.2.3</w:t>
            </w:r>
          </w:p>
        </w:tc>
        <w:tc>
          <w:tcPr>
            <w:tcW w:w="1991" w:type="dxa"/>
            <w:gridSpan w:val="2"/>
            <w:vAlign w:val="center"/>
          </w:tcPr>
          <w:p w14:paraId="0EF1B528">
            <w:r>
              <w:rPr>
                <w:rFonts w:hint="eastAsia"/>
              </w:rPr>
              <w:t>竞选人</w:t>
            </w:r>
            <w:r>
              <w:t>得分</w:t>
            </w:r>
          </w:p>
        </w:tc>
        <w:tc>
          <w:tcPr>
            <w:tcW w:w="5493" w:type="dxa"/>
            <w:vAlign w:val="center"/>
          </w:tcPr>
          <w:p w14:paraId="387BCC3F">
            <w:r>
              <w:rPr>
                <w:rFonts w:hint="eastAsia"/>
              </w:rPr>
              <w:t>竞选人</w:t>
            </w:r>
            <w:r>
              <w:t>得分=A+B</w:t>
            </w:r>
            <w:r>
              <w:rPr>
                <w:rFonts w:hint="eastAsia"/>
              </w:rPr>
              <w:t>+C</w:t>
            </w:r>
          </w:p>
        </w:tc>
      </w:tr>
    </w:tbl>
    <w:p w14:paraId="17039BEF">
      <w:pPr>
        <w:pStyle w:val="3"/>
        <w:spacing w:before="0" w:after="0" w:line="360" w:lineRule="auto"/>
        <w:ind w:firstLine="320"/>
        <w:rPr>
          <w:rFonts w:ascii="宋体" w:hAnsi="宋体"/>
          <w:b w:val="0"/>
          <w:snapToGrid w:val="0"/>
        </w:rPr>
      </w:pPr>
    </w:p>
    <w:p w14:paraId="72A9A3FB">
      <w:pPr>
        <w:pStyle w:val="3"/>
        <w:spacing w:before="0" w:after="0" w:line="360" w:lineRule="auto"/>
        <w:ind w:firstLine="320"/>
        <w:rPr>
          <w:rFonts w:ascii="宋体" w:hAnsi="宋体"/>
          <w:b w:val="0"/>
          <w:snapToGrid w:val="0"/>
        </w:rPr>
      </w:pPr>
      <w:r>
        <w:rPr>
          <w:rFonts w:ascii="宋体" w:hAnsi="宋体"/>
          <w:b w:val="0"/>
          <w:snapToGrid w:val="0"/>
        </w:rPr>
        <w:br w:type="page"/>
      </w:r>
      <w:bookmarkStart w:id="312" w:name="_Toc23094"/>
      <w:bookmarkStart w:id="313" w:name="_Toc2957"/>
      <w:bookmarkStart w:id="314" w:name="_Toc4009"/>
      <w:r>
        <w:rPr>
          <w:rFonts w:ascii="宋体" w:hAnsi="宋体"/>
          <w:b w:val="0"/>
          <w:snapToGrid w:val="0"/>
        </w:rPr>
        <w:t>1.  评标方法</w:t>
      </w:r>
      <w:bookmarkEnd w:id="296"/>
      <w:bookmarkEnd w:id="297"/>
      <w:bookmarkEnd w:id="298"/>
      <w:bookmarkEnd w:id="299"/>
      <w:bookmarkEnd w:id="300"/>
      <w:bookmarkEnd w:id="301"/>
      <w:bookmarkEnd w:id="311"/>
      <w:bookmarkEnd w:id="312"/>
      <w:bookmarkEnd w:id="313"/>
      <w:bookmarkEnd w:id="314"/>
    </w:p>
    <w:p w14:paraId="202A58D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评审小组按照本章第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w:t>
      </w:r>
      <w:r>
        <w:rPr>
          <w:rFonts w:hint="eastAsia" w:ascii="宋体" w:hAnsi="宋体"/>
          <w:kern w:val="0"/>
          <w:szCs w:val="21"/>
        </w:rPr>
        <w:t>比选人</w:t>
      </w:r>
      <w:r>
        <w:rPr>
          <w:rFonts w:ascii="宋体" w:hAnsi="宋体"/>
          <w:kern w:val="0"/>
          <w:szCs w:val="21"/>
        </w:rPr>
        <w:t>授权直接确定中标人</w:t>
      </w:r>
      <w:r>
        <w:rPr>
          <w:rFonts w:hint="eastAsia" w:ascii="宋体" w:hAnsi="宋体"/>
          <w:kern w:val="0"/>
          <w:szCs w:val="21"/>
        </w:rPr>
        <w:t>，若出现竞选人投标报价相同的，以评标办法前附表约定的原则确定排序</w:t>
      </w:r>
      <w:r>
        <w:rPr>
          <w:rFonts w:ascii="宋体" w:hAnsi="宋体"/>
          <w:spacing w:val="-31"/>
          <w:kern w:val="0"/>
          <w:szCs w:val="21"/>
        </w:rPr>
        <w:t>。</w:t>
      </w:r>
    </w:p>
    <w:p w14:paraId="09294496">
      <w:pPr>
        <w:pStyle w:val="3"/>
        <w:spacing w:before="0" w:after="0" w:line="360" w:lineRule="auto"/>
        <w:ind w:firstLine="320"/>
        <w:rPr>
          <w:rFonts w:ascii="宋体" w:hAnsi="宋体"/>
          <w:b w:val="0"/>
          <w:snapToGrid w:val="0"/>
        </w:rPr>
      </w:pPr>
      <w:bookmarkStart w:id="315" w:name="_Toc287607813"/>
      <w:bookmarkStart w:id="316" w:name="_Toc23963"/>
      <w:bookmarkStart w:id="317" w:name="_Toc12057"/>
      <w:bookmarkStart w:id="318" w:name="_Toc277082619"/>
      <w:bookmarkStart w:id="319" w:name="_Toc430530501"/>
      <w:bookmarkStart w:id="320" w:name="_Toc287620752"/>
      <w:bookmarkStart w:id="321" w:name="_Toc224103385"/>
      <w:bookmarkStart w:id="322" w:name="_Toc509218777"/>
      <w:bookmarkStart w:id="323" w:name="_Toc200513199"/>
      <w:bookmarkStart w:id="324" w:name="_Toc28040"/>
      <w:r>
        <w:rPr>
          <w:rFonts w:ascii="宋体" w:hAnsi="宋体"/>
          <w:b w:val="0"/>
          <w:snapToGrid w:val="0"/>
        </w:rPr>
        <w:t>2.  评审标准</w:t>
      </w:r>
      <w:bookmarkEnd w:id="315"/>
      <w:bookmarkEnd w:id="316"/>
      <w:bookmarkEnd w:id="317"/>
      <w:bookmarkEnd w:id="318"/>
      <w:bookmarkEnd w:id="319"/>
      <w:bookmarkEnd w:id="320"/>
      <w:bookmarkEnd w:id="321"/>
      <w:bookmarkEnd w:id="322"/>
      <w:bookmarkEnd w:id="323"/>
      <w:bookmarkEnd w:id="324"/>
    </w:p>
    <w:p w14:paraId="2EC534D5">
      <w:pPr>
        <w:pStyle w:val="4"/>
        <w:snapToGrid w:val="0"/>
        <w:spacing w:before="0" w:after="0" w:line="360" w:lineRule="auto"/>
        <w:ind w:firstLine="240"/>
        <w:rPr>
          <w:rFonts w:ascii="宋体" w:hAnsi="宋体"/>
          <w:b w:val="0"/>
          <w:snapToGrid w:val="0"/>
          <w:sz w:val="24"/>
          <w:szCs w:val="24"/>
        </w:rPr>
      </w:pPr>
      <w:bookmarkStart w:id="325" w:name="_Toc287607814"/>
      <w:bookmarkStart w:id="326" w:name="_Toc277082620"/>
      <w:bookmarkStart w:id="327" w:name="_Toc509218778"/>
      <w:bookmarkStart w:id="328" w:name="_Toc287620753"/>
      <w:bookmarkStart w:id="329" w:name="_Toc430530502"/>
      <w:bookmarkStart w:id="330" w:name="_Toc2588"/>
      <w:bookmarkStart w:id="331" w:name="_Toc20474"/>
      <w:bookmarkStart w:id="332" w:name="_Toc200513200"/>
      <w:bookmarkStart w:id="333" w:name="_Toc224103386"/>
      <w:r>
        <w:rPr>
          <w:rFonts w:ascii="宋体" w:hAnsi="宋体"/>
          <w:b w:val="0"/>
          <w:snapToGrid w:val="0"/>
          <w:sz w:val="24"/>
          <w:szCs w:val="24"/>
        </w:rPr>
        <w:t>2.1  初步评审标准</w:t>
      </w:r>
      <w:bookmarkEnd w:id="325"/>
      <w:bookmarkEnd w:id="326"/>
      <w:bookmarkEnd w:id="327"/>
      <w:bookmarkEnd w:id="328"/>
      <w:bookmarkEnd w:id="329"/>
      <w:bookmarkEnd w:id="330"/>
      <w:bookmarkEnd w:id="331"/>
      <w:bookmarkEnd w:id="332"/>
      <w:bookmarkEnd w:id="333"/>
    </w:p>
    <w:p w14:paraId="0A17378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1A</w:t>
      </w:r>
      <w:r>
        <w:rPr>
          <w:rFonts w:ascii="宋体" w:hAnsi="宋体"/>
          <w:kern w:val="0"/>
          <w:szCs w:val="21"/>
        </w:rPr>
        <w:t xml:space="preserve">  资格评审标准：见评标办法前附表（适用于未进行资格预审的）。</w:t>
      </w:r>
    </w:p>
    <w:p w14:paraId="3A03C3A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1B</w:t>
      </w:r>
      <w:r>
        <w:rPr>
          <w:rFonts w:ascii="宋体" w:hAnsi="宋体"/>
          <w:kern w:val="0"/>
          <w:szCs w:val="21"/>
        </w:rPr>
        <w:t xml:space="preserve">  资格评审标准：见资格预审文件第三章“资格审查办法”详细审查标准（适用于已进行资格预审的）。</w:t>
      </w:r>
    </w:p>
    <w:p w14:paraId="1FE9A06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7A46BED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2.1.3  响应性评审标准：见评标办法前附表。</w:t>
      </w:r>
    </w:p>
    <w:p w14:paraId="0CB37C6D">
      <w:pPr>
        <w:pStyle w:val="4"/>
        <w:snapToGrid w:val="0"/>
        <w:spacing w:before="0" w:after="0" w:line="360" w:lineRule="auto"/>
        <w:ind w:firstLine="240"/>
        <w:rPr>
          <w:rFonts w:ascii="宋体" w:hAnsi="宋体"/>
          <w:b w:val="0"/>
          <w:snapToGrid w:val="0"/>
          <w:sz w:val="24"/>
          <w:szCs w:val="24"/>
        </w:rPr>
      </w:pPr>
      <w:bookmarkStart w:id="334" w:name="_Toc287620754"/>
      <w:bookmarkStart w:id="335" w:name="_Toc23340"/>
      <w:bookmarkStart w:id="336" w:name="_Toc287607815"/>
      <w:bookmarkStart w:id="337" w:name="_Toc509218779"/>
      <w:bookmarkStart w:id="338" w:name="_Toc200513201"/>
      <w:bookmarkStart w:id="339" w:name="_Toc17923"/>
      <w:bookmarkStart w:id="340" w:name="_Toc430530503"/>
      <w:bookmarkStart w:id="341" w:name="_Toc277082621"/>
      <w:bookmarkStart w:id="342" w:name="_Toc224103387"/>
      <w:r>
        <w:rPr>
          <w:rFonts w:ascii="宋体" w:hAnsi="宋体"/>
          <w:b w:val="0"/>
          <w:snapToGrid w:val="0"/>
          <w:sz w:val="24"/>
          <w:szCs w:val="24"/>
        </w:rPr>
        <w:t>2.2  分值构成与评分标准</w:t>
      </w:r>
      <w:bookmarkEnd w:id="334"/>
      <w:bookmarkEnd w:id="335"/>
      <w:bookmarkEnd w:id="336"/>
      <w:bookmarkEnd w:id="337"/>
      <w:bookmarkEnd w:id="338"/>
      <w:bookmarkEnd w:id="339"/>
      <w:bookmarkEnd w:id="340"/>
      <w:bookmarkEnd w:id="341"/>
      <w:bookmarkEnd w:id="342"/>
    </w:p>
    <w:p w14:paraId="1A7345F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2.2.1  分值构成</w:t>
      </w:r>
    </w:p>
    <w:p w14:paraId="290635F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）投标</w:t>
      </w:r>
      <w:r>
        <w:rPr>
          <w:rFonts w:hint="eastAsia" w:ascii="宋体" w:hAnsi="宋体"/>
          <w:kern w:val="0"/>
          <w:szCs w:val="21"/>
        </w:rPr>
        <w:t>总</w:t>
      </w:r>
      <w:r>
        <w:rPr>
          <w:rFonts w:ascii="宋体" w:hAnsi="宋体"/>
          <w:spacing w:val="-1"/>
          <w:kern w:val="0"/>
          <w:szCs w:val="21"/>
        </w:rPr>
        <w:t>报</w:t>
      </w:r>
      <w:r>
        <w:rPr>
          <w:rFonts w:ascii="宋体" w:hAnsi="宋体"/>
          <w:kern w:val="0"/>
          <w:szCs w:val="21"/>
        </w:rPr>
        <w:t>价：见评标办法前附表</w:t>
      </w:r>
      <w:r>
        <w:rPr>
          <w:rFonts w:hint="eastAsia" w:ascii="宋体" w:hAnsi="宋体"/>
          <w:kern w:val="0"/>
          <w:szCs w:val="21"/>
        </w:rPr>
        <w:t>；</w:t>
      </w:r>
    </w:p>
    <w:p w14:paraId="43804810">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（2）服务部分</w:t>
      </w:r>
      <w:r>
        <w:rPr>
          <w:rFonts w:ascii="宋体" w:hAnsi="宋体"/>
          <w:kern w:val="0"/>
          <w:szCs w:val="21"/>
        </w:rPr>
        <w:t>：见评标办法前附表</w:t>
      </w:r>
      <w:r>
        <w:rPr>
          <w:rFonts w:hint="eastAsia" w:ascii="宋体" w:hAnsi="宋体"/>
          <w:kern w:val="0"/>
          <w:szCs w:val="21"/>
        </w:rPr>
        <w:t>；</w:t>
      </w:r>
    </w:p>
    <w:p w14:paraId="15B02D0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w:t>
      </w:r>
      <w:r>
        <w:rPr>
          <w:rFonts w:hint="eastAsia" w:ascii="宋体" w:hAnsi="宋体"/>
          <w:kern w:val="0"/>
          <w:szCs w:val="21"/>
        </w:rPr>
        <w:t>商务部分</w:t>
      </w:r>
      <w:r>
        <w:rPr>
          <w:rFonts w:ascii="宋体" w:hAnsi="宋体"/>
          <w:kern w:val="0"/>
          <w:szCs w:val="21"/>
        </w:rPr>
        <w:t>：见评标办法前附表</w:t>
      </w:r>
      <w:r>
        <w:rPr>
          <w:rFonts w:hint="eastAsia" w:ascii="宋体" w:hAnsi="宋体"/>
          <w:kern w:val="0"/>
          <w:szCs w:val="21"/>
        </w:rPr>
        <w:t>。</w:t>
      </w:r>
    </w:p>
    <w:p w14:paraId="5A11750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2.2.2  </w:t>
      </w:r>
      <w:r>
        <w:rPr>
          <w:rFonts w:hint="eastAsia" w:ascii="宋体" w:hAnsi="宋体"/>
          <w:kern w:val="0"/>
          <w:szCs w:val="21"/>
        </w:rPr>
        <w:t>评分标准</w:t>
      </w:r>
    </w:p>
    <w:p w14:paraId="61D3AC6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见评标办法前附表。</w:t>
      </w:r>
    </w:p>
    <w:p w14:paraId="382B164F">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2.2.3  </w:t>
      </w:r>
      <w:r>
        <w:rPr>
          <w:rFonts w:ascii="宋体" w:hAnsi="宋体"/>
          <w:kern w:val="0"/>
          <w:szCs w:val="21"/>
        </w:rPr>
        <w:t>评标基准价计算</w:t>
      </w:r>
    </w:p>
    <w:p w14:paraId="3E35DA2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评标基准价计算方法：见评标办法前附表。</w:t>
      </w:r>
    </w:p>
    <w:p w14:paraId="551AF91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投标报价的偏差率计算</w:t>
      </w:r>
      <w:r>
        <w:rPr>
          <w:rFonts w:hint="eastAsia" w:ascii="宋体" w:hAnsi="宋体"/>
          <w:kern w:val="0"/>
          <w:szCs w:val="21"/>
        </w:rPr>
        <w:t>和允许偏差范围</w:t>
      </w:r>
    </w:p>
    <w:p w14:paraId="610E35BC">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投标报价的偏差率计算公式：见评标办法前附表</w:t>
      </w:r>
      <w:r>
        <w:rPr>
          <w:rFonts w:hint="eastAsia" w:ascii="宋体" w:hAnsi="宋体"/>
          <w:kern w:val="0"/>
          <w:szCs w:val="21"/>
        </w:rPr>
        <w:t>；</w:t>
      </w:r>
    </w:p>
    <w:p w14:paraId="497729D5">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（2）投标报价的允许偏差范围</w:t>
      </w:r>
      <w:r>
        <w:rPr>
          <w:rFonts w:ascii="宋体" w:hAnsi="宋体"/>
          <w:kern w:val="0"/>
          <w:szCs w:val="21"/>
        </w:rPr>
        <w:t>：见评标办法前附表</w:t>
      </w:r>
      <w:r>
        <w:rPr>
          <w:rFonts w:hint="eastAsia" w:ascii="宋体" w:hAnsi="宋体"/>
          <w:kern w:val="0"/>
          <w:szCs w:val="21"/>
        </w:rPr>
        <w:t>。</w:t>
      </w:r>
    </w:p>
    <w:p w14:paraId="40EEAB88">
      <w:pPr>
        <w:pStyle w:val="3"/>
        <w:spacing w:before="0" w:after="0" w:line="360" w:lineRule="auto"/>
        <w:ind w:firstLine="320"/>
        <w:rPr>
          <w:rFonts w:ascii="宋体" w:hAnsi="宋体"/>
          <w:b w:val="0"/>
          <w:snapToGrid w:val="0"/>
        </w:rPr>
      </w:pPr>
      <w:bookmarkStart w:id="343" w:name="_Toc4568"/>
      <w:bookmarkStart w:id="344" w:name="_Toc509218780"/>
      <w:bookmarkStart w:id="345" w:name="_Toc287620755"/>
      <w:bookmarkStart w:id="346" w:name="_Toc15000"/>
      <w:bookmarkStart w:id="347" w:name="_Toc200513202"/>
      <w:bookmarkStart w:id="348" w:name="_Toc287607816"/>
      <w:bookmarkStart w:id="349" w:name="_Toc19139"/>
      <w:bookmarkStart w:id="350" w:name="_Toc430530504"/>
      <w:bookmarkStart w:id="351" w:name="_Toc224103388"/>
      <w:bookmarkStart w:id="352" w:name="_Toc277082622"/>
      <w:r>
        <w:rPr>
          <w:rFonts w:ascii="宋体" w:hAnsi="宋体"/>
          <w:b w:val="0"/>
          <w:snapToGrid w:val="0"/>
        </w:rPr>
        <w:t>3.  评标程序</w:t>
      </w:r>
      <w:bookmarkEnd w:id="343"/>
      <w:bookmarkEnd w:id="344"/>
      <w:bookmarkEnd w:id="345"/>
      <w:bookmarkEnd w:id="346"/>
      <w:bookmarkEnd w:id="347"/>
      <w:bookmarkEnd w:id="348"/>
      <w:bookmarkEnd w:id="349"/>
      <w:bookmarkEnd w:id="350"/>
      <w:bookmarkEnd w:id="351"/>
      <w:bookmarkEnd w:id="352"/>
    </w:p>
    <w:p w14:paraId="6207BF46">
      <w:pPr>
        <w:pStyle w:val="4"/>
        <w:snapToGrid w:val="0"/>
        <w:spacing w:before="0" w:after="0" w:line="360" w:lineRule="auto"/>
        <w:ind w:firstLine="240"/>
        <w:rPr>
          <w:rFonts w:ascii="宋体" w:hAnsi="宋体"/>
          <w:b w:val="0"/>
          <w:snapToGrid w:val="0"/>
          <w:sz w:val="24"/>
          <w:szCs w:val="24"/>
        </w:rPr>
      </w:pPr>
      <w:bookmarkStart w:id="353" w:name="_Toc287607817"/>
      <w:bookmarkStart w:id="354" w:name="_Toc287620756"/>
      <w:bookmarkStart w:id="355" w:name="_Toc30829"/>
      <w:bookmarkStart w:id="356" w:name="_Toc224103389"/>
      <w:bookmarkStart w:id="357" w:name="_Toc277082623"/>
      <w:bookmarkStart w:id="358" w:name="_Toc21102"/>
      <w:bookmarkStart w:id="359" w:name="_Toc430530505"/>
      <w:bookmarkStart w:id="360" w:name="_Toc509218781"/>
      <w:bookmarkStart w:id="361" w:name="_Toc200513203"/>
      <w:r>
        <w:rPr>
          <w:rFonts w:ascii="宋体" w:hAnsi="宋体"/>
          <w:b w:val="0"/>
          <w:snapToGrid w:val="0"/>
          <w:sz w:val="24"/>
          <w:szCs w:val="24"/>
        </w:rPr>
        <w:t>3.1  初步评审</w:t>
      </w:r>
      <w:bookmarkEnd w:id="353"/>
      <w:bookmarkEnd w:id="354"/>
      <w:bookmarkEnd w:id="355"/>
      <w:bookmarkEnd w:id="356"/>
      <w:bookmarkEnd w:id="357"/>
      <w:bookmarkEnd w:id="358"/>
      <w:bookmarkEnd w:id="359"/>
      <w:bookmarkEnd w:id="360"/>
      <w:bookmarkEnd w:id="361"/>
    </w:p>
    <w:p w14:paraId="52EEB7F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评审小组依据本章第 2.1 款规定的标准对</w:t>
      </w:r>
      <w:r>
        <w:rPr>
          <w:rFonts w:hint="eastAsia" w:ascii="宋体" w:hAnsi="宋体"/>
          <w:kern w:val="0"/>
          <w:szCs w:val="21"/>
        </w:rPr>
        <w:t>竞选文件</w:t>
      </w:r>
      <w:r>
        <w:rPr>
          <w:rFonts w:ascii="宋体" w:hAnsi="宋体"/>
          <w:kern w:val="0"/>
          <w:szCs w:val="21"/>
        </w:rPr>
        <w:t>进行初步评审。有一项不符合评审标准的，作否决投标处理。（适用于未进行资格预审的）</w:t>
      </w:r>
    </w:p>
    <w:p w14:paraId="5D77CB7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评审小组依据本章第2.1.1项</w:t>
      </w:r>
      <w:r>
        <w:rPr>
          <w:rFonts w:hint="eastAsia" w:ascii="宋体" w:hAnsi="宋体"/>
          <w:kern w:val="0"/>
          <w:szCs w:val="21"/>
        </w:rPr>
        <w:t>至</w:t>
      </w:r>
      <w:r>
        <w:rPr>
          <w:rFonts w:ascii="宋体" w:hAnsi="宋体"/>
          <w:kern w:val="0"/>
          <w:szCs w:val="21"/>
        </w:rPr>
        <w:t>第2.1.3项规定的评审标准对</w:t>
      </w:r>
      <w:r>
        <w:rPr>
          <w:rFonts w:hint="eastAsia" w:ascii="宋体" w:hAnsi="宋体"/>
          <w:kern w:val="0"/>
          <w:szCs w:val="21"/>
        </w:rPr>
        <w:t>竞选文件</w:t>
      </w:r>
      <w:r>
        <w:rPr>
          <w:rFonts w:ascii="宋体" w:hAnsi="宋体"/>
          <w:kern w:val="0"/>
          <w:szCs w:val="21"/>
        </w:rPr>
        <w:t>进行初步评审。有一项不符合评审标准的，作否决投标处理。当</w:t>
      </w:r>
      <w:r>
        <w:rPr>
          <w:rFonts w:hint="eastAsia" w:ascii="宋体" w:hAnsi="宋体"/>
          <w:kern w:val="0"/>
          <w:szCs w:val="21"/>
        </w:rPr>
        <w:t>竞选人</w:t>
      </w:r>
      <w:r>
        <w:rPr>
          <w:rFonts w:ascii="宋体" w:hAnsi="宋体"/>
          <w:kern w:val="0"/>
          <w:szCs w:val="21"/>
        </w:rPr>
        <w:t>资格预审申请文件的内容发生重大变化时，评审小组依据本章第2.1.2项规定的标准对其更新资料进行评审</w:t>
      </w:r>
      <w:r>
        <w:rPr>
          <w:rFonts w:hint="eastAsia" w:ascii="宋体" w:hAnsi="宋体"/>
          <w:kern w:val="0"/>
          <w:szCs w:val="21"/>
        </w:rPr>
        <w:t>。</w:t>
      </w:r>
      <w:r>
        <w:rPr>
          <w:rFonts w:ascii="宋体" w:hAnsi="宋体"/>
          <w:kern w:val="0"/>
          <w:szCs w:val="21"/>
        </w:rPr>
        <w:t>（适用于已进行资格预审的）</w:t>
      </w:r>
    </w:p>
    <w:p w14:paraId="5E157D1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3.1.2  </w:t>
      </w:r>
      <w:r>
        <w:rPr>
          <w:rFonts w:hint="eastAsia" w:ascii="宋体" w:hAnsi="宋体"/>
          <w:kern w:val="0"/>
          <w:szCs w:val="21"/>
        </w:rPr>
        <w:t>竞选人</w:t>
      </w:r>
      <w:r>
        <w:rPr>
          <w:rFonts w:ascii="宋体" w:hAnsi="宋体"/>
          <w:kern w:val="0"/>
          <w:szCs w:val="21"/>
        </w:rPr>
        <w:t>有以下情形之一的，其投标作否决投标处理：</w:t>
      </w:r>
    </w:p>
    <w:p w14:paraId="40341FD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hint="eastAsia" w:ascii="宋体" w:hAnsi="宋体"/>
          <w:kern w:val="0"/>
          <w:szCs w:val="21"/>
        </w:rPr>
        <w:t>竞选人</w:t>
      </w:r>
      <w:r>
        <w:rPr>
          <w:rFonts w:ascii="宋体" w:hAnsi="宋体"/>
          <w:kern w:val="0"/>
          <w:szCs w:val="21"/>
        </w:rPr>
        <w:t>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68EC0A0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hint="eastAsia" w:ascii="宋体" w:hAnsi="宋体" w:cs="宋体"/>
          <w:szCs w:val="21"/>
        </w:rPr>
        <w:t>本次投标有串通投标、弄虚作假等其他违反招投标相关法律、法规行为的</w:t>
      </w:r>
      <w:r>
        <w:rPr>
          <w:rFonts w:ascii="宋体" w:hAnsi="宋体"/>
          <w:kern w:val="0"/>
          <w:szCs w:val="21"/>
        </w:rPr>
        <w:t>；</w:t>
      </w:r>
    </w:p>
    <w:p w14:paraId="0A09D9C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评审小组</w:t>
      </w:r>
      <w:r>
        <w:rPr>
          <w:rFonts w:ascii="宋体" w:hAnsi="宋体"/>
          <w:kern w:val="0"/>
          <w:szCs w:val="21"/>
        </w:rPr>
        <w:t>要求澄清、说明或补正的</w:t>
      </w:r>
      <w:r>
        <w:rPr>
          <w:rFonts w:hint="eastAsia" w:ascii="宋体" w:hAnsi="宋体"/>
          <w:kern w:val="0"/>
          <w:szCs w:val="21"/>
        </w:rPr>
        <w:t>。</w:t>
      </w:r>
    </w:p>
    <w:p w14:paraId="7B4F863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3.1.3  投标报价有算术错误的，评审小组按以下原则对投标报价进行修正，修正的价格经</w:t>
      </w:r>
      <w:r>
        <w:rPr>
          <w:rFonts w:hint="eastAsia" w:ascii="宋体" w:hAnsi="宋体"/>
          <w:kern w:val="0"/>
          <w:szCs w:val="21"/>
        </w:rPr>
        <w:t>竞选人</w:t>
      </w:r>
      <w:r>
        <w:rPr>
          <w:rFonts w:ascii="宋体" w:hAnsi="宋体"/>
          <w:kern w:val="0"/>
          <w:szCs w:val="21"/>
        </w:rPr>
        <w:t>书面确认后具有约束力</w:t>
      </w:r>
      <w:r>
        <w:rPr>
          <w:rFonts w:hint="eastAsia" w:ascii="宋体" w:hAnsi="宋体"/>
          <w:kern w:val="0"/>
          <w:szCs w:val="21"/>
        </w:rPr>
        <w:t>，修正原则如下：</w:t>
      </w:r>
    </w:p>
    <w:p w14:paraId="49BE6452">
      <w:pPr>
        <w:autoSpaceDE w:val="0"/>
        <w:autoSpaceDN w:val="0"/>
        <w:adjustRightInd w:val="0"/>
        <w:snapToGrid w:val="0"/>
        <w:spacing w:line="360" w:lineRule="auto"/>
        <w:ind w:firstLine="209"/>
        <w:rPr>
          <w:rFonts w:ascii="宋体" w:hAnsi="宋体"/>
          <w:kern w:val="0"/>
          <w:szCs w:val="21"/>
        </w:rPr>
      </w:pPr>
      <w:r>
        <w:rPr>
          <w:rFonts w:ascii="宋体" w:hAnsi="宋体"/>
          <w:spacing w:val="-1"/>
          <w:kern w:val="0"/>
          <w:szCs w:val="21"/>
        </w:rPr>
        <w:t>（1）</w:t>
      </w:r>
      <w:r>
        <w:rPr>
          <w:rFonts w:hint="eastAsia" w:ascii="宋体" w:hAnsi="宋体"/>
          <w:spacing w:val="-1"/>
          <w:kern w:val="0"/>
          <w:szCs w:val="21"/>
        </w:rPr>
        <w:t>竞选文件</w:t>
      </w:r>
      <w:r>
        <w:rPr>
          <w:rFonts w:ascii="宋体" w:hAnsi="宋体"/>
          <w:spacing w:val="-1"/>
          <w:kern w:val="0"/>
          <w:szCs w:val="21"/>
        </w:rPr>
        <w:t>中的大写金额与小写金额不一致的，以大写金</w:t>
      </w:r>
      <w:r>
        <w:rPr>
          <w:rFonts w:ascii="宋体" w:hAnsi="宋体"/>
          <w:kern w:val="0"/>
          <w:szCs w:val="21"/>
        </w:rPr>
        <w:t>额为准</w:t>
      </w:r>
      <w:r>
        <w:rPr>
          <w:rFonts w:hint="eastAsia" w:ascii="宋体" w:hAnsi="宋体"/>
          <w:kern w:val="0"/>
          <w:szCs w:val="21"/>
        </w:rPr>
        <w:t>；</w:t>
      </w:r>
    </w:p>
    <w:p w14:paraId="675E9A1E">
      <w:pPr>
        <w:autoSpaceDE w:val="0"/>
        <w:autoSpaceDN w:val="0"/>
        <w:adjustRightInd w:val="0"/>
        <w:snapToGrid w:val="0"/>
        <w:spacing w:line="360" w:lineRule="auto"/>
        <w:ind w:firstLine="211"/>
        <w:rPr>
          <w:rFonts w:ascii="宋体" w:hAnsi="宋体"/>
          <w:kern w:val="0"/>
          <w:szCs w:val="21"/>
        </w:rPr>
      </w:pPr>
      <w:r>
        <w:rPr>
          <w:rFonts w:hint="eastAsia" w:ascii="宋体" w:hAnsi="宋体"/>
          <w:kern w:val="0"/>
          <w:szCs w:val="21"/>
        </w:rPr>
        <w:t>（2）竞选函中的总报价与已标价工程量清单总报价不一致的，由评审小组作否决投标处理。</w:t>
      </w:r>
    </w:p>
    <w:p w14:paraId="00B011B0">
      <w:pPr>
        <w:pStyle w:val="4"/>
        <w:snapToGrid w:val="0"/>
        <w:spacing w:before="0" w:after="0" w:line="360" w:lineRule="auto"/>
        <w:ind w:firstLine="240"/>
        <w:rPr>
          <w:rFonts w:ascii="宋体" w:hAnsi="宋体"/>
          <w:b w:val="0"/>
          <w:snapToGrid w:val="0"/>
          <w:sz w:val="24"/>
          <w:szCs w:val="24"/>
        </w:rPr>
      </w:pPr>
      <w:bookmarkStart w:id="362" w:name="_Toc31837"/>
      <w:bookmarkStart w:id="363" w:name="_Toc509218782"/>
      <w:bookmarkStart w:id="364" w:name="_Toc200513204"/>
      <w:bookmarkStart w:id="365" w:name="_Toc10836"/>
      <w:bookmarkStart w:id="366" w:name="_Toc277082624"/>
      <w:bookmarkStart w:id="367" w:name="_Toc224103390"/>
      <w:bookmarkStart w:id="368" w:name="_Toc287607818"/>
      <w:bookmarkStart w:id="369" w:name="_Toc287620757"/>
      <w:bookmarkStart w:id="370" w:name="_Toc430530506"/>
      <w:r>
        <w:rPr>
          <w:rFonts w:ascii="宋体" w:hAnsi="宋体"/>
          <w:b w:val="0"/>
          <w:snapToGrid w:val="0"/>
          <w:sz w:val="24"/>
          <w:szCs w:val="24"/>
        </w:rPr>
        <w:t>3.2  详细评审</w:t>
      </w:r>
      <w:bookmarkEnd w:id="362"/>
      <w:bookmarkEnd w:id="363"/>
      <w:bookmarkEnd w:id="364"/>
      <w:bookmarkEnd w:id="365"/>
      <w:bookmarkEnd w:id="366"/>
      <w:bookmarkEnd w:id="367"/>
      <w:bookmarkEnd w:id="368"/>
      <w:bookmarkEnd w:id="369"/>
      <w:bookmarkEnd w:id="370"/>
    </w:p>
    <w:p w14:paraId="3D59811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3.2.1  评审小组按本章第2.2款规定的量化因素和分值进行</w:t>
      </w:r>
      <w:r>
        <w:rPr>
          <w:rFonts w:hint="eastAsia" w:ascii="宋体" w:hAnsi="宋体"/>
          <w:kern w:val="0"/>
          <w:szCs w:val="21"/>
        </w:rPr>
        <w:t>评分</w:t>
      </w:r>
      <w:r>
        <w:rPr>
          <w:rFonts w:ascii="宋体" w:hAnsi="宋体"/>
          <w:kern w:val="0"/>
          <w:szCs w:val="21"/>
        </w:rPr>
        <w:t>，并计算出综合评估得分。</w:t>
      </w:r>
    </w:p>
    <w:p w14:paraId="20FA53C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）按本章第3.2.1（</w:t>
      </w:r>
      <w:r>
        <w:rPr>
          <w:rFonts w:hint="eastAsia" w:ascii="宋体" w:hAnsi="宋体"/>
          <w:kern w:val="0"/>
          <w:szCs w:val="21"/>
        </w:rPr>
        <w:t>1</w:t>
      </w:r>
      <w:r>
        <w:rPr>
          <w:rFonts w:ascii="宋体" w:hAnsi="宋体"/>
          <w:kern w:val="0"/>
          <w:szCs w:val="21"/>
        </w:rPr>
        <w:t>）目规定的评审因素和分值对技术方案计算出得分</w:t>
      </w:r>
      <w:r>
        <w:rPr>
          <w:rFonts w:hint="eastAsia" w:ascii="宋体" w:hAnsi="宋体"/>
          <w:kern w:val="0"/>
          <w:szCs w:val="21"/>
        </w:rPr>
        <w:t>A；</w:t>
      </w:r>
    </w:p>
    <w:p w14:paraId="37836E5A">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w:t>
      </w:r>
      <w:r>
        <w:rPr>
          <w:rFonts w:ascii="宋体" w:hAnsi="宋体"/>
          <w:kern w:val="0"/>
          <w:szCs w:val="21"/>
        </w:rPr>
        <w:t>按本章第3.2.1（</w:t>
      </w:r>
      <w:r>
        <w:rPr>
          <w:rFonts w:hint="eastAsia" w:ascii="宋体" w:hAnsi="宋体"/>
          <w:kern w:val="0"/>
          <w:szCs w:val="21"/>
        </w:rPr>
        <w:t>2</w:t>
      </w:r>
      <w:r>
        <w:rPr>
          <w:rFonts w:ascii="宋体" w:hAnsi="宋体"/>
          <w:kern w:val="0"/>
          <w:szCs w:val="21"/>
        </w:rPr>
        <w:t>）目规定的评审因素和分值对技术方案计算出得分</w:t>
      </w:r>
      <w:r>
        <w:rPr>
          <w:rFonts w:hint="eastAsia" w:ascii="宋体" w:hAnsi="宋体"/>
          <w:kern w:val="0"/>
          <w:szCs w:val="21"/>
        </w:rPr>
        <w:t>B；</w:t>
      </w:r>
    </w:p>
    <w:p w14:paraId="10F8021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）按本章第3.2.1（</w:t>
      </w:r>
      <w:r>
        <w:rPr>
          <w:rFonts w:hint="eastAsia" w:ascii="宋体" w:hAnsi="宋体"/>
          <w:kern w:val="0"/>
          <w:szCs w:val="21"/>
        </w:rPr>
        <w:t>3</w:t>
      </w:r>
      <w:r>
        <w:rPr>
          <w:rFonts w:ascii="宋体" w:hAnsi="宋体"/>
          <w:kern w:val="0"/>
          <w:szCs w:val="21"/>
        </w:rPr>
        <w:t>）目规定的评审因素和分值对投标总报价计算出得分</w:t>
      </w:r>
      <w:r>
        <w:rPr>
          <w:rFonts w:hint="eastAsia" w:ascii="宋体" w:hAnsi="宋体"/>
          <w:kern w:val="0"/>
          <w:szCs w:val="21"/>
        </w:rPr>
        <w:t>C。</w:t>
      </w:r>
    </w:p>
    <w:p w14:paraId="235C64D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7C45C70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3.2.3  </w:t>
      </w:r>
      <w:r>
        <w:rPr>
          <w:rFonts w:hint="eastAsia" w:ascii="宋体" w:hAnsi="宋体"/>
          <w:kern w:val="0"/>
          <w:szCs w:val="21"/>
        </w:rPr>
        <w:t>竞选人</w:t>
      </w:r>
      <w:r>
        <w:rPr>
          <w:rFonts w:ascii="宋体" w:hAnsi="宋体"/>
          <w:kern w:val="0"/>
          <w:szCs w:val="21"/>
        </w:rPr>
        <w:t>得分=A+B</w:t>
      </w:r>
      <w:r>
        <w:rPr>
          <w:rFonts w:hint="eastAsia" w:ascii="宋体" w:hAnsi="宋体"/>
          <w:kern w:val="0"/>
          <w:szCs w:val="21"/>
        </w:rPr>
        <w:t>+C。</w:t>
      </w:r>
    </w:p>
    <w:p w14:paraId="71832ACA">
      <w:pPr>
        <w:pStyle w:val="4"/>
        <w:snapToGrid w:val="0"/>
        <w:spacing w:before="0" w:after="0" w:line="360" w:lineRule="auto"/>
        <w:ind w:firstLine="240"/>
        <w:rPr>
          <w:rFonts w:ascii="宋体" w:hAnsi="宋体"/>
          <w:b w:val="0"/>
          <w:snapToGrid w:val="0"/>
          <w:sz w:val="24"/>
          <w:szCs w:val="24"/>
        </w:rPr>
      </w:pPr>
      <w:bookmarkStart w:id="371" w:name="_Toc277082625"/>
      <w:bookmarkStart w:id="372" w:name="_Toc4958"/>
      <w:bookmarkStart w:id="373" w:name="_Toc29615"/>
      <w:bookmarkStart w:id="374" w:name="_Toc287607819"/>
      <w:bookmarkStart w:id="375" w:name="_Toc509218783"/>
      <w:bookmarkStart w:id="376" w:name="_Toc430530507"/>
      <w:bookmarkStart w:id="377" w:name="_Toc287620758"/>
      <w:bookmarkStart w:id="378" w:name="_Toc200513205"/>
      <w:bookmarkStart w:id="379" w:name="_Toc224103391"/>
      <w:r>
        <w:rPr>
          <w:rFonts w:ascii="宋体" w:hAnsi="宋体"/>
          <w:b w:val="0"/>
          <w:snapToGrid w:val="0"/>
          <w:sz w:val="24"/>
          <w:szCs w:val="24"/>
        </w:rPr>
        <w:t xml:space="preserve">3.3  </w:t>
      </w:r>
      <w:r>
        <w:rPr>
          <w:rFonts w:hint="eastAsia" w:ascii="宋体" w:hAnsi="宋体"/>
          <w:b w:val="0"/>
          <w:snapToGrid w:val="0"/>
          <w:sz w:val="24"/>
          <w:szCs w:val="24"/>
        </w:rPr>
        <w:t>竞选文件</w:t>
      </w:r>
      <w:r>
        <w:rPr>
          <w:rFonts w:ascii="宋体" w:hAnsi="宋体"/>
          <w:b w:val="0"/>
          <w:snapToGrid w:val="0"/>
          <w:sz w:val="24"/>
          <w:szCs w:val="24"/>
        </w:rPr>
        <w:t>的澄清和补正</w:t>
      </w:r>
      <w:bookmarkEnd w:id="371"/>
      <w:bookmarkEnd w:id="372"/>
      <w:bookmarkEnd w:id="373"/>
      <w:bookmarkEnd w:id="374"/>
      <w:bookmarkEnd w:id="375"/>
      <w:bookmarkEnd w:id="376"/>
      <w:bookmarkEnd w:id="377"/>
      <w:bookmarkEnd w:id="378"/>
      <w:bookmarkEnd w:id="379"/>
    </w:p>
    <w:p w14:paraId="6A88033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3.3.1  在评标过程中，评审小组可以书面形式要求</w:t>
      </w:r>
      <w:r>
        <w:rPr>
          <w:rFonts w:hint="eastAsia" w:ascii="宋体" w:hAnsi="宋体"/>
          <w:kern w:val="0"/>
          <w:szCs w:val="21"/>
        </w:rPr>
        <w:t>竞选人</w:t>
      </w:r>
      <w:r>
        <w:rPr>
          <w:rFonts w:ascii="宋体" w:hAnsi="宋体"/>
          <w:kern w:val="0"/>
          <w:szCs w:val="21"/>
        </w:rPr>
        <w:t>对所提交</w:t>
      </w:r>
      <w:r>
        <w:rPr>
          <w:rFonts w:hint="eastAsia" w:ascii="宋体" w:hAnsi="宋体"/>
          <w:kern w:val="0"/>
          <w:szCs w:val="21"/>
        </w:rPr>
        <w:t>竞选文件</w:t>
      </w:r>
      <w:r>
        <w:rPr>
          <w:rFonts w:ascii="宋体" w:hAnsi="宋体"/>
          <w:kern w:val="0"/>
          <w:szCs w:val="21"/>
        </w:rPr>
        <w:t>中不明确的内容进行书面澄清或说明，或者对细微偏差进行补正。评审小组不接受</w:t>
      </w:r>
      <w:r>
        <w:rPr>
          <w:rFonts w:hint="eastAsia" w:ascii="宋体" w:hAnsi="宋体"/>
          <w:kern w:val="0"/>
          <w:szCs w:val="21"/>
        </w:rPr>
        <w:t>竞选人</w:t>
      </w:r>
      <w:r>
        <w:rPr>
          <w:rFonts w:ascii="宋体" w:hAnsi="宋体"/>
          <w:kern w:val="0"/>
          <w:szCs w:val="21"/>
        </w:rPr>
        <w:t>主动提出的澄清、说明或补正。</w:t>
      </w:r>
    </w:p>
    <w:p w14:paraId="773856C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澄清、说明和补正不得改变</w:t>
      </w:r>
      <w:r>
        <w:rPr>
          <w:rFonts w:hint="eastAsia" w:ascii="宋体" w:hAnsi="宋体"/>
          <w:kern w:val="0"/>
          <w:szCs w:val="21"/>
        </w:rPr>
        <w:t>竞选文件</w:t>
      </w:r>
      <w:r>
        <w:rPr>
          <w:rFonts w:ascii="宋体" w:hAnsi="宋体"/>
          <w:kern w:val="0"/>
          <w:szCs w:val="21"/>
        </w:rPr>
        <w:t>的实质性内容（算术性错误修正的除外）。</w:t>
      </w:r>
      <w:r>
        <w:rPr>
          <w:rFonts w:hint="eastAsia" w:ascii="宋体" w:hAnsi="宋体"/>
          <w:kern w:val="0"/>
          <w:szCs w:val="21"/>
        </w:rPr>
        <w:t>竞选人</w:t>
      </w:r>
      <w:r>
        <w:rPr>
          <w:rFonts w:ascii="宋体" w:hAnsi="宋体"/>
          <w:kern w:val="0"/>
          <w:szCs w:val="21"/>
        </w:rPr>
        <w:t>的书面澄清、说明和补正属于</w:t>
      </w:r>
      <w:r>
        <w:rPr>
          <w:rFonts w:hint="eastAsia" w:ascii="宋体" w:hAnsi="宋体"/>
          <w:kern w:val="0"/>
          <w:szCs w:val="21"/>
        </w:rPr>
        <w:t>竞选文件</w:t>
      </w:r>
      <w:r>
        <w:rPr>
          <w:rFonts w:ascii="宋体" w:hAnsi="宋体"/>
          <w:kern w:val="0"/>
          <w:szCs w:val="21"/>
        </w:rPr>
        <w:t>的组成部分。</w:t>
      </w:r>
    </w:p>
    <w:p w14:paraId="1B2CFD4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评审小组对</w:t>
      </w:r>
      <w:r>
        <w:rPr>
          <w:rFonts w:hint="eastAsia" w:ascii="宋体" w:hAnsi="宋体"/>
          <w:kern w:val="0"/>
          <w:szCs w:val="21"/>
        </w:rPr>
        <w:t>竞选人</w:t>
      </w:r>
      <w:r>
        <w:rPr>
          <w:rFonts w:ascii="宋体" w:hAnsi="宋体"/>
          <w:kern w:val="0"/>
          <w:szCs w:val="21"/>
        </w:rPr>
        <w:t>提交的澄清、说明或补正有疑问的，可以要求</w:t>
      </w:r>
      <w:r>
        <w:rPr>
          <w:rFonts w:hint="eastAsia" w:ascii="宋体" w:hAnsi="宋体"/>
          <w:kern w:val="0"/>
          <w:szCs w:val="21"/>
        </w:rPr>
        <w:t>竞选人</w:t>
      </w:r>
      <w:r>
        <w:rPr>
          <w:rFonts w:ascii="宋体" w:hAnsi="宋体"/>
          <w:kern w:val="0"/>
          <w:szCs w:val="21"/>
        </w:rPr>
        <w:t>进一步澄清、说明或补正，直至满足评审小组的要求。</w:t>
      </w:r>
    </w:p>
    <w:p w14:paraId="31CB8E3B">
      <w:pPr>
        <w:pStyle w:val="4"/>
        <w:snapToGrid w:val="0"/>
        <w:spacing w:before="0" w:after="0" w:line="360" w:lineRule="auto"/>
        <w:ind w:firstLine="240"/>
        <w:rPr>
          <w:rFonts w:ascii="宋体" w:hAnsi="宋体"/>
          <w:b w:val="0"/>
          <w:snapToGrid w:val="0"/>
          <w:sz w:val="24"/>
          <w:szCs w:val="24"/>
        </w:rPr>
      </w:pPr>
      <w:bookmarkStart w:id="380" w:name="_Toc509218784"/>
      <w:bookmarkStart w:id="381" w:name="_Toc287620759"/>
      <w:bookmarkStart w:id="382" w:name="_Toc224103392"/>
      <w:bookmarkStart w:id="383" w:name="_Toc277082626"/>
      <w:bookmarkStart w:id="384" w:name="_Toc17868"/>
      <w:bookmarkStart w:id="385" w:name="_Toc430530508"/>
      <w:bookmarkStart w:id="386" w:name="_Toc287607820"/>
      <w:bookmarkStart w:id="387" w:name="_Toc3502"/>
      <w:bookmarkStart w:id="388" w:name="_Toc200513206"/>
      <w:r>
        <w:rPr>
          <w:rFonts w:ascii="宋体" w:hAnsi="宋体"/>
          <w:b w:val="0"/>
          <w:snapToGrid w:val="0"/>
          <w:sz w:val="24"/>
          <w:szCs w:val="24"/>
        </w:rPr>
        <w:t>3.4  评标结果</w:t>
      </w:r>
      <w:bookmarkEnd w:id="380"/>
      <w:bookmarkEnd w:id="381"/>
      <w:bookmarkEnd w:id="382"/>
      <w:bookmarkEnd w:id="383"/>
      <w:bookmarkEnd w:id="384"/>
      <w:bookmarkEnd w:id="385"/>
      <w:bookmarkEnd w:id="386"/>
      <w:bookmarkEnd w:id="387"/>
      <w:bookmarkEnd w:id="388"/>
    </w:p>
    <w:p w14:paraId="4BA38A2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 除第二章“</w:t>
      </w:r>
      <w:r>
        <w:rPr>
          <w:rFonts w:hint="eastAsia" w:ascii="宋体" w:hAnsi="宋体"/>
          <w:kern w:val="0"/>
          <w:szCs w:val="21"/>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外，评审小组按照</w:t>
      </w:r>
      <w:r>
        <w:rPr>
          <w:rFonts w:ascii="宋体" w:hAnsi="宋体"/>
          <w:spacing w:val="1"/>
          <w:kern w:val="0"/>
          <w:szCs w:val="21"/>
        </w:rPr>
        <w:t>得分</w:t>
      </w:r>
      <w:r>
        <w:rPr>
          <w:rFonts w:ascii="宋体" w:hAnsi="宋体"/>
          <w:kern w:val="0"/>
          <w:szCs w:val="21"/>
        </w:rPr>
        <w:t>由高到低的顺序推荐中标候选人。</w:t>
      </w:r>
    </w:p>
    <w:p w14:paraId="71EDFBC6">
      <w:pPr>
        <w:autoSpaceDE w:val="0"/>
        <w:autoSpaceDN w:val="0"/>
        <w:adjustRightInd w:val="0"/>
        <w:snapToGrid w:val="0"/>
        <w:spacing w:line="360" w:lineRule="auto"/>
        <w:ind w:firstLine="424" w:firstLineChars="200"/>
        <w:rPr>
          <w:rFonts w:ascii="宋体" w:hAnsi="宋体"/>
          <w:kern w:val="0"/>
          <w:szCs w:val="21"/>
        </w:rPr>
      </w:pPr>
      <w:r>
        <w:rPr>
          <w:rFonts w:ascii="宋体" w:hAnsi="宋体"/>
          <w:spacing w:val="1"/>
          <w:kern w:val="0"/>
          <w:szCs w:val="21"/>
        </w:rPr>
        <w:t>3</w:t>
      </w:r>
      <w:r>
        <w:rPr>
          <w:rFonts w:ascii="宋体" w:hAnsi="宋体"/>
          <w:kern w:val="0"/>
          <w:szCs w:val="21"/>
        </w:rPr>
        <w:t>.4.2  评审小组完成评标后，应当向</w:t>
      </w:r>
      <w:r>
        <w:rPr>
          <w:rFonts w:hint="eastAsia" w:ascii="宋体" w:hAnsi="宋体"/>
          <w:kern w:val="0"/>
          <w:szCs w:val="21"/>
        </w:rPr>
        <w:t>比选人</w:t>
      </w:r>
      <w:r>
        <w:rPr>
          <w:rFonts w:ascii="宋体" w:hAnsi="宋体"/>
          <w:kern w:val="0"/>
          <w:szCs w:val="21"/>
        </w:rPr>
        <w:t>提交书面评标报告。</w:t>
      </w:r>
    </w:p>
    <w:p w14:paraId="53748D7D">
      <w:pPr>
        <w:spacing w:line="360" w:lineRule="auto"/>
        <w:ind w:firstLine="201"/>
        <w:rPr>
          <w:rFonts w:ascii="宋体" w:hAnsi="宋体"/>
          <w:b/>
          <w:szCs w:val="20"/>
        </w:rPr>
      </w:pPr>
      <w:r>
        <w:rPr>
          <w:rFonts w:ascii="宋体" w:hAnsi="宋体"/>
          <w:kern w:val="0"/>
          <w:sz w:val="20"/>
          <w:szCs w:val="20"/>
        </w:rPr>
        <w:br w:type="page"/>
      </w:r>
    </w:p>
    <w:p w14:paraId="7FB2A2DD">
      <w:pPr>
        <w:pStyle w:val="33"/>
        <w:spacing w:line="360" w:lineRule="auto"/>
        <w:ind w:firstLine="281"/>
        <w:outlineLvl w:val="0"/>
        <w:rPr>
          <w:rFonts w:ascii="宋体" w:hAnsi="宋体"/>
          <w:b/>
          <w:sz w:val="28"/>
          <w:szCs w:val="28"/>
          <w:u w:val="none"/>
          <w:lang w:eastAsia="zh-CN"/>
        </w:rPr>
      </w:pPr>
      <w:bookmarkStart w:id="389" w:name="招标文件03章02评标办法综合评估法02附件02"/>
      <w:bookmarkEnd w:id="389"/>
      <w:bookmarkStart w:id="390" w:name="招标文件04章合同条款及格式"/>
      <w:bookmarkEnd w:id="390"/>
      <w:bookmarkStart w:id="391" w:name="_Toc230410480"/>
      <w:bookmarkStart w:id="392" w:name="_Toc20690"/>
      <w:bookmarkStart w:id="393" w:name="_Toc277082627"/>
      <w:r>
        <w:rPr>
          <w:rFonts w:ascii="宋体" w:hAnsi="宋体"/>
          <w:b/>
          <w:sz w:val="28"/>
          <w:szCs w:val="28"/>
          <w:u w:val="none"/>
          <w:lang w:eastAsia="zh-CN"/>
        </w:rPr>
        <w:t>附件A：综合评估法否决投标情况一览表</w:t>
      </w:r>
      <w:bookmarkEnd w:id="391"/>
      <w:bookmarkEnd w:id="392"/>
    </w:p>
    <w:bookmarkEnd w:id="393"/>
    <w:p w14:paraId="0DA99FEC">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竞选文件存在本一览表下列情形之一的，竞选文件视为重大偏差并作否决投标处理，否则，评审小组不得视为重大偏差而否决竞选人的竞选文件</w:t>
      </w:r>
      <w:r>
        <w:rPr>
          <w:rFonts w:ascii="宋体" w:hAnsi="宋体"/>
          <w:sz w:val="21"/>
          <w:szCs w:val="21"/>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53DC3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6FAF647">
            <w:pPr>
              <w:spacing w:line="400" w:lineRule="exact"/>
              <w:jc w:val="center"/>
              <w:rPr>
                <w:rFonts w:ascii="宋体" w:hAnsi="宋体"/>
                <w:b/>
                <w:szCs w:val="21"/>
              </w:rPr>
            </w:pPr>
            <w:r>
              <w:rPr>
                <w:rFonts w:ascii="宋体" w:hAnsi="宋体"/>
                <w:b/>
                <w:szCs w:val="21"/>
              </w:rPr>
              <w:t>章节号</w:t>
            </w:r>
          </w:p>
        </w:tc>
        <w:tc>
          <w:tcPr>
            <w:tcW w:w="1899" w:type="dxa"/>
            <w:vAlign w:val="center"/>
          </w:tcPr>
          <w:p w14:paraId="221B540F">
            <w:pPr>
              <w:spacing w:line="400" w:lineRule="exact"/>
              <w:jc w:val="center"/>
              <w:rPr>
                <w:rFonts w:ascii="宋体" w:hAnsi="宋体"/>
                <w:b/>
                <w:szCs w:val="21"/>
              </w:rPr>
            </w:pPr>
            <w:r>
              <w:rPr>
                <w:rFonts w:ascii="宋体" w:hAnsi="宋体"/>
                <w:b/>
                <w:szCs w:val="21"/>
              </w:rPr>
              <w:t>条款名称</w:t>
            </w:r>
          </w:p>
        </w:tc>
        <w:tc>
          <w:tcPr>
            <w:tcW w:w="6333" w:type="dxa"/>
            <w:vAlign w:val="center"/>
          </w:tcPr>
          <w:p w14:paraId="5C973420">
            <w:pPr>
              <w:spacing w:line="400" w:lineRule="exact"/>
              <w:jc w:val="center"/>
              <w:rPr>
                <w:rFonts w:ascii="宋体" w:hAnsi="宋体"/>
                <w:b/>
                <w:szCs w:val="21"/>
              </w:rPr>
            </w:pPr>
            <w:r>
              <w:rPr>
                <w:rFonts w:ascii="宋体" w:hAnsi="宋体"/>
                <w:b/>
                <w:szCs w:val="21"/>
              </w:rPr>
              <w:t>否决投标条件</w:t>
            </w:r>
          </w:p>
        </w:tc>
      </w:tr>
      <w:tr w14:paraId="240935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F118A3D">
            <w:pPr>
              <w:spacing w:line="400" w:lineRule="exact"/>
              <w:ind w:firstLine="211"/>
              <w:jc w:val="center"/>
              <w:rPr>
                <w:rFonts w:ascii="宋体" w:hAnsi="宋体"/>
                <w:szCs w:val="21"/>
              </w:rPr>
            </w:pPr>
          </w:p>
        </w:tc>
        <w:tc>
          <w:tcPr>
            <w:tcW w:w="1899" w:type="dxa"/>
            <w:vMerge w:val="restart"/>
            <w:vAlign w:val="center"/>
          </w:tcPr>
          <w:p w14:paraId="16256D5D">
            <w:pPr>
              <w:spacing w:line="400" w:lineRule="exact"/>
              <w:ind w:firstLine="211"/>
              <w:jc w:val="center"/>
              <w:rPr>
                <w:rFonts w:ascii="宋体" w:hAnsi="宋体"/>
                <w:szCs w:val="21"/>
              </w:rPr>
            </w:pPr>
            <w:r>
              <w:rPr>
                <w:rFonts w:hint="eastAsia" w:ascii="宋体" w:hAnsi="宋体"/>
                <w:szCs w:val="21"/>
              </w:rPr>
              <w:t>资格评审</w:t>
            </w:r>
          </w:p>
        </w:tc>
        <w:tc>
          <w:tcPr>
            <w:tcW w:w="6333" w:type="dxa"/>
            <w:vAlign w:val="center"/>
          </w:tcPr>
          <w:p w14:paraId="3DF5BFC1">
            <w:pPr>
              <w:spacing w:line="400" w:lineRule="exact"/>
              <w:ind w:firstLine="420" w:firstLineChars="200"/>
              <w:rPr>
                <w:rFonts w:ascii="宋体" w:hAnsi="宋体"/>
                <w:szCs w:val="21"/>
              </w:rPr>
            </w:pPr>
            <w:r>
              <w:rPr>
                <w:rFonts w:hint="eastAsia" w:ascii="宋体" w:hAnsi="宋体"/>
                <w:szCs w:val="21"/>
              </w:rPr>
              <w:t>A-1竞选人的资质条件、营业执照及安全生产条件须满足竞选人须知前附表1.4.1项的要求，否则由评审小组作否决投标处理。</w:t>
            </w:r>
          </w:p>
        </w:tc>
      </w:tr>
      <w:tr w14:paraId="403AB4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0681ED4">
            <w:pPr>
              <w:spacing w:line="400" w:lineRule="exact"/>
              <w:ind w:firstLine="211"/>
              <w:jc w:val="center"/>
              <w:rPr>
                <w:rFonts w:ascii="宋体" w:hAnsi="宋体"/>
                <w:szCs w:val="21"/>
              </w:rPr>
            </w:pPr>
          </w:p>
        </w:tc>
        <w:tc>
          <w:tcPr>
            <w:tcW w:w="1899" w:type="dxa"/>
            <w:vMerge w:val="continue"/>
            <w:vAlign w:val="center"/>
          </w:tcPr>
          <w:p w14:paraId="1020C455">
            <w:pPr>
              <w:spacing w:line="400" w:lineRule="exact"/>
              <w:ind w:firstLine="211"/>
              <w:jc w:val="center"/>
              <w:rPr>
                <w:rFonts w:ascii="宋体" w:hAnsi="宋体"/>
                <w:szCs w:val="21"/>
              </w:rPr>
            </w:pPr>
          </w:p>
        </w:tc>
        <w:tc>
          <w:tcPr>
            <w:tcW w:w="6333" w:type="dxa"/>
            <w:vAlign w:val="center"/>
          </w:tcPr>
          <w:p w14:paraId="7A195DA7">
            <w:pPr>
              <w:spacing w:line="400" w:lineRule="exact"/>
              <w:ind w:firstLine="420" w:firstLineChars="200"/>
              <w:rPr>
                <w:rFonts w:ascii="宋体" w:hAnsi="宋体"/>
                <w:szCs w:val="21"/>
              </w:rPr>
            </w:pPr>
            <w:r>
              <w:rPr>
                <w:rFonts w:hint="eastAsia" w:ascii="宋体" w:hAnsi="宋体"/>
                <w:szCs w:val="21"/>
              </w:rPr>
              <w:t>A-2竞选人的财务须满足竞选人须知前附表第1.4.1项的要求，否则由评审小组作否决投标处理（如有）。</w:t>
            </w:r>
          </w:p>
        </w:tc>
      </w:tr>
      <w:tr w14:paraId="51639E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10D84E9">
            <w:pPr>
              <w:spacing w:line="400" w:lineRule="exact"/>
              <w:ind w:firstLine="211"/>
              <w:jc w:val="center"/>
              <w:rPr>
                <w:rFonts w:ascii="宋体" w:hAnsi="宋体"/>
                <w:szCs w:val="21"/>
              </w:rPr>
            </w:pPr>
          </w:p>
        </w:tc>
        <w:tc>
          <w:tcPr>
            <w:tcW w:w="1899" w:type="dxa"/>
            <w:vMerge w:val="continue"/>
            <w:vAlign w:val="center"/>
          </w:tcPr>
          <w:p w14:paraId="25DC7617">
            <w:pPr>
              <w:spacing w:line="400" w:lineRule="exact"/>
              <w:ind w:firstLine="211"/>
              <w:jc w:val="center"/>
              <w:rPr>
                <w:rFonts w:ascii="宋体" w:hAnsi="宋体"/>
                <w:szCs w:val="21"/>
              </w:rPr>
            </w:pPr>
          </w:p>
        </w:tc>
        <w:tc>
          <w:tcPr>
            <w:tcW w:w="6333" w:type="dxa"/>
            <w:vAlign w:val="center"/>
          </w:tcPr>
          <w:p w14:paraId="04137564">
            <w:pPr>
              <w:spacing w:line="400" w:lineRule="exact"/>
              <w:ind w:firstLine="420" w:firstLineChars="200"/>
              <w:rPr>
                <w:rFonts w:ascii="宋体" w:hAnsi="宋体"/>
                <w:szCs w:val="21"/>
              </w:rPr>
            </w:pPr>
            <w:r>
              <w:rPr>
                <w:rFonts w:hint="eastAsia" w:ascii="宋体" w:hAnsi="宋体"/>
                <w:szCs w:val="21"/>
              </w:rPr>
              <w:t>A-3竞选人的业绩须满足竞选人须知前附表第1.4.1项的要求，否则由评审小组作否决投标处理（如有）。</w:t>
            </w:r>
          </w:p>
        </w:tc>
      </w:tr>
      <w:tr w14:paraId="2FC6A7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B12554D">
            <w:pPr>
              <w:spacing w:line="400" w:lineRule="exact"/>
              <w:ind w:firstLine="211"/>
              <w:jc w:val="center"/>
              <w:rPr>
                <w:rFonts w:ascii="宋体" w:hAnsi="宋体"/>
                <w:szCs w:val="21"/>
              </w:rPr>
            </w:pPr>
          </w:p>
        </w:tc>
        <w:tc>
          <w:tcPr>
            <w:tcW w:w="1899" w:type="dxa"/>
            <w:vMerge w:val="continue"/>
            <w:vAlign w:val="center"/>
          </w:tcPr>
          <w:p w14:paraId="4E573AE4">
            <w:pPr>
              <w:spacing w:line="400" w:lineRule="exact"/>
              <w:ind w:firstLine="211"/>
              <w:jc w:val="center"/>
              <w:rPr>
                <w:rFonts w:ascii="宋体" w:hAnsi="宋体"/>
                <w:szCs w:val="21"/>
              </w:rPr>
            </w:pPr>
          </w:p>
        </w:tc>
        <w:tc>
          <w:tcPr>
            <w:tcW w:w="6333" w:type="dxa"/>
            <w:vAlign w:val="center"/>
          </w:tcPr>
          <w:p w14:paraId="2A2DE264">
            <w:pPr>
              <w:spacing w:line="400" w:lineRule="exact"/>
              <w:ind w:firstLine="420" w:firstLineChars="200"/>
              <w:rPr>
                <w:rFonts w:ascii="宋体" w:hAnsi="宋体"/>
                <w:szCs w:val="21"/>
              </w:rPr>
            </w:pPr>
            <w:r>
              <w:rPr>
                <w:rFonts w:hint="eastAsia" w:ascii="宋体" w:hAnsi="宋体"/>
                <w:szCs w:val="21"/>
              </w:rPr>
              <w:t>A-4竞选人的投标截止日投标资格情况须满足竞选人须知前附表第1.4.1项的要求，否则由评审小组作否决投标处理。</w:t>
            </w:r>
          </w:p>
        </w:tc>
      </w:tr>
      <w:tr w14:paraId="0A221B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7B2E52E">
            <w:pPr>
              <w:spacing w:line="400" w:lineRule="exact"/>
              <w:ind w:firstLine="211"/>
              <w:jc w:val="center"/>
              <w:rPr>
                <w:rFonts w:ascii="宋体" w:hAnsi="宋体"/>
                <w:szCs w:val="21"/>
              </w:rPr>
            </w:pPr>
          </w:p>
        </w:tc>
        <w:tc>
          <w:tcPr>
            <w:tcW w:w="1899" w:type="dxa"/>
            <w:vMerge w:val="continue"/>
            <w:vAlign w:val="center"/>
          </w:tcPr>
          <w:p w14:paraId="5D35C789">
            <w:pPr>
              <w:spacing w:line="400" w:lineRule="exact"/>
              <w:ind w:firstLine="211"/>
              <w:jc w:val="center"/>
              <w:rPr>
                <w:rFonts w:ascii="宋体" w:hAnsi="宋体"/>
                <w:szCs w:val="21"/>
              </w:rPr>
            </w:pPr>
          </w:p>
        </w:tc>
        <w:tc>
          <w:tcPr>
            <w:tcW w:w="6333" w:type="dxa"/>
            <w:vAlign w:val="center"/>
          </w:tcPr>
          <w:p w14:paraId="4C428C83">
            <w:pPr>
              <w:spacing w:line="400" w:lineRule="exact"/>
              <w:ind w:firstLine="420" w:firstLineChars="200"/>
              <w:rPr>
                <w:rFonts w:ascii="宋体" w:hAnsi="宋体"/>
                <w:szCs w:val="21"/>
              </w:rPr>
            </w:pPr>
            <w:r>
              <w:rPr>
                <w:rFonts w:hint="eastAsia" w:ascii="宋体" w:hAnsi="宋体"/>
                <w:szCs w:val="21"/>
              </w:rPr>
              <w:t>A-5竞选人的项目经理资格须满足竞选人须知前附表第1.4.1项的要求，否则由评审小组作否决投标处理（如有）。</w:t>
            </w:r>
          </w:p>
        </w:tc>
      </w:tr>
      <w:tr w14:paraId="4BE331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78BFBD9">
            <w:pPr>
              <w:spacing w:line="400" w:lineRule="exact"/>
              <w:ind w:firstLine="211"/>
              <w:jc w:val="center"/>
              <w:rPr>
                <w:rFonts w:ascii="宋体" w:hAnsi="宋体"/>
                <w:szCs w:val="21"/>
              </w:rPr>
            </w:pPr>
          </w:p>
        </w:tc>
        <w:tc>
          <w:tcPr>
            <w:tcW w:w="1899" w:type="dxa"/>
            <w:vMerge w:val="continue"/>
            <w:vAlign w:val="center"/>
          </w:tcPr>
          <w:p w14:paraId="0EC93EE1">
            <w:pPr>
              <w:spacing w:line="400" w:lineRule="exact"/>
              <w:ind w:firstLine="211"/>
              <w:jc w:val="center"/>
              <w:rPr>
                <w:rFonts w:ascii="宋体" w:hAnsi="宋体"/>
                <w:szCs w:val="21"/>
              </w:rPr>
            </w:pPr>
          </w:p>
        </w:tc>
        <w:tc>
          <w:tcPr>
            <w:tcW w:w="6333" w:type="dxa"/>
            <w:vAlign w:val="center"/>
          </w:tcPr>
          <w:p w14:paraId="4E578B19">
            <w:pPr>
              <w:spacing w:line="400" w:lineRule="exact"/>
              <w:ind w:firstLine="420" w:firstLineChars="200"/>
              <w:rPr>
                <w:rFonts w:ascii="宋体" w:hAnsi="宋体"/>
                <w:szCs w:val="21"/>
              </w:rPr>
            </w:pPr>
            <w:r>
              <w:rPr>
                <w:rFonts w:hint="eastAsia" w:ascii="宋体" w:hAnsi="宋体"/>
                <w:szCs w:val="21"/>
              </w:rPr>
              <w:t>A-6竞选人的其他要求须满足竞选人须知前附表第1.4.1项的要求，否则由评审小组作否决投标处理。</w:t>
            </w:r>
          </w:p>
        </w:tc>
      </w:tr>
      <w:tr w14:paraId="209324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A3C9D57">
            <w:pPr>
              <w:spacing w:line="400" w:lineRule="exact"/>
              <w:ind w:firstLine="211"/>
              <w:jc w:val="center"/>
              <w:rPr>
                <w:rFonts w:ascii="宋体" w:hAnsi="宋体"/>
                <w:szCs w:val="21"/>
              </w:rPr>
            </w:pPr>
          </w:p>
        </w:tc>
        <w:tc>
          <w:tcPr>
            <w:tcW w:w="1899" w:type="dxa"/>
            <w:vMerge w:val="continue"/>
            <w:vAlign w:val="center"/>
          </w:tcPr>
          <w:p w14:paraId="4E145567">
            <w:pPr>
              <w:spacing w:line="400" w:lineRule="exact"/>
              <w:ind w:firstLine="211"/>
              <w:jc w:val="center"/>
              <w:rPr>
                <w:rFonts w:ascii="宋体" w:hAnsi="宋体"/>
                <w:szCs w:val="21"/>
              </w:rPr>
            </w:pPr>
          </w:p>
        </w:tc>
        <w:tc>
          <w:tcPr>
            <w:tcW w:w="6333" w:type="dxa"/>
            <w:vAlign w:val="center"/>
          </w:tcPr>
          <w:p w14:paraId="1465189E">
            <w:pPr>
              <w:spacing w:line="400" w:lineRule="exact"/>
              <w:ind w:firstLine="420" w:firstLineChars="200"/>
              <w:rPr>
                <w:rFonts w:ascii="宋体" w:hAnsi="宋体"/>
                <w:szCs w:val="21"/>
              </w:rPr>
            </w:pPr>
            <w:r>
              <w:rPr>
                <w:rFonts w:hint="eastAsia" w:ascii="宋体" w:hAnsi="宋体"/>
                <w:szCs w:val="21"/>
              </w:rPr>
              <w:t>A-7若有联合体竞选人，则：</w:t>
            </w:r>
          </w:p>
          <w:p w14:paraId="2A330DFD">
            <w:pPr>
              <w:spacing w:line="400" w:lineRule="exact"/>
              <w:ind w:firstLine="420" w:firstLineChars="200"/>
              <w:rPr>
                <w:rFonts w:ascii="宋体" w:hAnsi="宋体"/>
                <w:szCs w:val="21"/>
              </w:rPr>
            </w:pPr>
            <w:r>
              <w:rPr>
                <w:rFonts w:hint="eastAsia" w:ascii="宋体" w:hAnsi="宋体"/>
                <w:szCs w:val="21"/>
              </w:rPr>
              <w:t>（1）联合体各方应按照招标文件提供的格式签订联合体协议书，明确联合体牵头人和各方权利义务；</w:t>
            </w:r>
          </w:p>
          <w:p w14:paraId="4FD27CA8">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14:paraId="51E1684A">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14:paraId="6913948B">
            <w:pPr>
              <w:spacing w:line="400" w:lineRule="exact"/>
              <w:ind w:firstLine="420" w:firstLineChars="200"/>
              <w:rPr>
                <w:rFonts w:ascii="宋体" w:hAnsi="宋体"/>
                <w:szCs w:val="21"/>
              </w:rPr>
            </w:pPr>
            <w:r>
              <w:rPr>
                <w:rFonts w:hint="eastAsia" w:ascii="宋体" w:hAnsi="宋体"/>
                <w:szCs w:val="21"/>
              </w:rPr>
              <w:t>否则由评审小组作否决投标处理（如有）。</w:t>
            </w:r>
          </w:p>
        </w:tc>
      </w:tr>
      <w:tr w14:paraId="5E5BA7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85B1B9D">
            <w:pPr>
              <w:spacing w:line="400" w:lineRule="exact"/>
              <w:ind w:firstLine="211"/>
              <w:jc w:val="center"/>
              <w:rPr>
                <w:rFonts w:ascii="宋体" w:hAnsi="宋体"/>
                <w:szCs w:val="21"/>
              </w:rPr>
            </w:pPr>
          </w:p>
        </w:tc>
        <w:tc>
          <w:tcPr>
            <w:tcW w:w="1899" w:type="dxa"/>
            <w:vMerge w:val="restart"/>
            <w:vAlign w:val="center"/>
          </w:tcPr>
          <w:p w14:paraId="0A0624D2">
            <w:pPr>
              <w:spacing w:line="400" w:lineRule="exact"/>
              <w:ind w:firstLine="211"/>
              <w:jc w:val="center"/>
              <w:rPr>
                <w:rFonts w:ascii="宋体" w:hAnsi="宋体"/>
                <w:szCs w:val="21"/>
              </w:rPr>
            </w:pPr>
            <w:r>
              <w:rPr>
                <w:rFonts w:hint="eastAsia" w:ascii="宋体" w:hAnsi="宋体"/>
                <w:szCs w:val="21"/>
              </w:rPr>
              <w:t>形式评审</w:t>
            </w:r>
          </w:p>
        </w:tc>
        <w:tc>
          <w:tcPr>
            <w:tcW w:w="6333" w:type="dxa"/>
          </w:tcPr>
          <w:p w14:paraId="21CFBAF8">
            <w:pPr>
              <w:spacing w:line="400" w:lineRule="exact"/>
              <w:ind w:firstLine="420" w:firstLineChars="200"/>
              <w:rPr>
                <w:rFonts w:ascii="宋体" w:hAnsi="宋体"/>
                <w:szCs w:val="21"/>
              </w:rPr>
            </w:pPr>
            <w:r>
              <w:rPr>
                <w:rFonts w:hint="eastAsia" w:ascii="宋体" w:hAnsi="宋体"/>
                <w:szCs w:val="21"/>
              </w:rPr>
              <w:t>A-8竞选人名称必须与营业执照、资质证书、安全生产许可证一致，依法变更名称的应提交相应证明材料，</w:t>
            </w:r>
            <w:r>
              <w:rPr>
                <w:rFonts w:ascii="宋体" w:hAnsi="宋体"/>
                <w:szCs w:val="21"/>
              </w:rPr>
              <w:t>否则</w:t>
            </w:r>
            <w:r>
              <w:rPr>
                <w:rFonts w:hint="eastAsia" w:ascii="宋体" w:hAnsi="宋体"/>
                <w:szCs w:val="21"/>
              </w:rPr>
              <w:t>由评审小组</w:t>
            </w:r>
            <w:r>
              <w:rPr>
                <w:rFonts w:ascii="宋体" w:hAnsi="宋体"/>
                <w:szCs w:val="21"/>
              </w:rPr>
              <w:t>作否决投标处理。</w:t>
            </w:r>
          </w:p>
        </w:tc>
      </w:tr>
      <w:tr w14:paraId="3EE75B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E5228C">
            <w:pPr>
              <w:spacing w:line="400" w:lineRule="exact"/>
              <w:ind w:firstLine="211"/>
              <w:jc w:val="center"/>
              <w:rPr>
                <w:rFonts w:ascii="宋体" w:hAnsi="宋体"/>
                <w:szCs w:val="21"/>
              </w:rPr>
            </w:pPr>
          </w:p>
        </w:tc>
        <w:tc>
          <w:tcPr>
            <w:tcW w:w="1899" w:type="dxa"/>
            <w:vMerge w:val="continue"/>
            <w:vAlign w:val="center"/>
          </w:tcPr>
          <w:p w14:paraId="44597ABA">
            <w:pPr>
              <w:spacing w:line="400" w:lineRule="exact"/>
              <w:ind w:firstLine="211"/>
              <w:jc w:val="center"/>
              <w:rPr>
                <w:rFonts w:ascii="宋体" w:hAnsi="宋体"/>
                <w:szCs w:val="21"/>
              </w:rPr>
            </w:pPr>
          </w:p>
        </w:tc>
        <w:tc>
          <w:tcPr>
            <w:tcW w:w="6333" w:type="dxa"/>
          </w:tcPr>
          <w:p w14:paraId="520D46E6">
            <w:pPr>
              <w:spacing w:line="400" w:lineRule="exact"/>
              <w:ind w:firstLine="420" w:firstLineChars="200"/>
              <w:rPr>
                <w:rFonts w:ascii="宋体" w:hAnsi="宋体"/>
                <w:szCs w:val="21"/>
              </w:rPr>
            </w:pPr>
            <w:r>
              <w:rPr>
                <w:rFonts w:hint="eastAsia" w:ascii="宋体" w:hAnsi="宋体"/>
                <w:szCs w:val="21"/>
              </w:rPr>
              <w:t>A-9竞选函格式规定签名、盖章的位置有法定代表人或其委托代理人签名（或盖章）、加盖单位法人章，否则由评审小组作否决投标处理。</w:t>
            </w:r>
          </w:p>
        </w:tc>
      </w:tr>
      <w:tr w14:paraId="1E63A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38D4E69">
            <w:pPr>
              <w:spacing w:line="400" w:lineRule="exact"/>
              <w:ind w:firstLine="211"/>
              <w:jc w:val="center"/>
              <w:rPr>
                <w:rFonts w:ascii="宋体" w:hAnsi="宋体"/>
                <w:szCs w:val="21"/>
              </w:rPr>
            </w:pPr>
          </w:p>
        </w:tc>
        <w:tc>
          <w:tcPr>
            <w:tcW w:w="1899" w:type="dxa"/>
            <w:vMerge w:val="continue"/>
            <w:vAlign w:val="center"/>
          </w:tcPr>
          <w:p w14:paraId="2043D9E7">
            <w:pPr>
              <w:spacing w:line="400" w:lineRule="exact"/>
              <w:ind w:firstLine="211"/>
              <w:jc w:val="center"/>
              <w:rPr>
                <w:rFonts w:ascii="宋体" w:hAnsi="宋体"/>
                <w:szCs w:val="21"/>
              </w:rPr>
            </w:pPr>
          </w:p>
        </w:tc>
        <w:tc>
          <w:tcPr>
            <w:tcW w:w="6333" w:type="dxa"/>
          </w:tcPr>
          <w:p w14:paraId="4AC6FB0A">
            <w:pPr>
              <w:spacing w:line="400" w:lineRule="exact"/>
              <w:ind w:firstLine="420" w:firstLineChars="200"/>
              <w:rPr>
                <w:rFonts w:ascii="宋体" w:hAnsi="宋体"/>
                <w:szCs w:val="21"/>
              </w:rPr>
            </w:pPr>
            <w:r>
              <w:rPr>
                <w:rFonts w:hint="eastAsia" w:ascii="宋体" w:hAnsi="宋体"/>
                <w:szCs w:val="21"/>
              </w:rPr>
              <w:t>A-10竞选文件格式符合第二章“竞选人须知”第3.7款的要求，否则由评审小组作否决投标处理。</w:t>
            </w:r>
          </w:p>
          <w:p w14:paraId="5772AE13">
            <w:pPr>
              <w:spacing w:line="400" w:lineRule="exact"/>
              <w:ind w:firstLine="420" w:firstLineChars="200"/>
              <w:rPr>
                <w:rFonts w:ascii="宋体" w:hAnsi="宋体"/>
                <w:szCs w:val="21"/>
              </w:rPr>
            </w:pPr>
            <w:r>
              <w:rPr>
                <w:rFonts w:hint="eastAsia" w:ascii="宋体" w:hAnsi="宋体"/>
                <w:kern w:val="0"/>
                <w:szCs w:val="21"/>
              </w:rPr>
              <w:t>编制竞选文件时不得对</w:t>
            </w:r>
            <w:r>
              <w:rPr>
                <w:rFonts w:hint="eastAsia" w:ascii="宋体" w:hAnsi="宋体"/>
                <w:kern w:val="0"/>
                <w:szCs w:val="21"/>
                <w:lang w:eastAsia="zh-CN"/>
              </w:rPr>
              <w:t>第七章</w:t>
            </w:r>
            <w:r>
              <w:rPr>
                <w:rFonts w:hint="eastAsia" w:ascii="宋体" w:hAnsi="宋体"/>
                <w:kern w:val="0"/>
                <w:szCs w:val="21"/>
              </w:rPr>
              <w:t>“竞选文件格式”的相应要素作实质性修改，否则由评审小组作否决投标处理。</w:t>
            </w:r>
          </w:p>
        </w:tc>
      </w:tr>
      <w:tr w14:paraId="1DBB4F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6CE029">
            <w:pPr>
              <w:spacing w:line="400" w:lineRule="exact"/>
              <w:ind w:firstLine="211"/>
              <w:jc w:val="center"/>
              <w:rPr>
                <w:rFonts w:ascii="宋体" w:hAnsi="宋体"/>
                <w:szCs w:val="21"/>
              </w:rPr>
            </w:pPr>
          </w:p>
        </w:tc>
        <w:tc>
          <w:tcPr>
            <w:tcW w:w="1899" w:type="dxa"/>
            <w:vMerge w:val="continue"/>
            <w:vAlign w:val="center"/>
          </w:tcPr>
          <w:p w14:paraId="117BBBFE">
            <w:pPr>
              <w:spacing w:line="400" w:lineRule="exact"/>
              <w:ind w:firstLine="211"/>
              <w:jc w:val="center"/>
              <w:rPr>
                <w:rFonts w:ascii="宋体" w:hAnsi="宋体"/>
                <w:szCs w:val="21"/>
              </w:rPr>
            </w:pPr>
          </w:p>
        </w:tc>
        <w:tc>
          <w:tcPr>
            <w:tcW w:w="6333" w:type="dxa"/>
          </w:tcPr>
          <w:p w14:paraId="49FF322A">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A-11竞选文件份数符合第二章“竞选人须知”第3.7.4项的规定，</w:t>
            </w:r>
            <w:r>
              <w:rPr>
                <w:rFonts w:hint="eastAsia" w:ascii="宋体" w:hAnsi="宋体"/>
                <w:kern w:val="0"/>
                <w:szCs w:val="21"/>
              </w:rPr>
              <w:t>否则由评审小组作否决投标处理。</w:t>
            </w:r>
          </w:p>
        </w:tc>
      </w:tr>
      <w:tr w14:paraId="28401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2598C43">
            <w:pPr>
              <w:spacing w:line="400" w:lineRule="exact"/>
              <w:ind w:firstLine="211"/>
              <w:jc w:val="center"/>
              <w:rPr>
                <w:rFonts w:ascii="宋体" w:hAnsi="宋体"/>
                <w:szCs w:val="21"/>
              </w:rPr>
            </w:pPr>
          </w:p>
        </w:tc>
        <w:tc>
          <w:tcPr>
            <w:tcW w:w="1899" w:type="dxa"/>
            <w:vMerge w:val="continue"/>
            <w:vAlign w:val="center"/>
          </w:tcPr>
          <w:p w14:paraId="65014CE3">
            <w:pPr>
              <w:spacing w:line="400" w:lineRule="exact"/>
              <w:ind w:firstLine="211"/>
              <w:jc w:val="center"/>
              <w:rPr>
                <w:rFonts w:ascii="宋体" w:hAnsi="宋体"/>
                <w:szCs w:val="21"/>
              </w:rPr>
            </w:pPr>
          </w:p>
        </w:tc>
        <w:tc>
          <w:tcPr>
            <w:tcW w:w="6333" w:type="dxa"/>
          </w:tcPr>
          <w:p w14:paraId="2C1EA302">
            <w:pPr>
              <w:spacing w:line="400" w:lineRule="exact"/>
              <w:ind w:firstLine="420" w:firstLineChars="200"/>
              <w:rPr>
                <w:rFonts w:ascii="宋体" w:hAnsi="宋体"/>
                <w:szCs w:val="21"/>
              </w:rPr>
            </w:pPr>
            <w:r>
              <w:rPr>
                <w:rFonts w:hint="eastAsia" w:ascii="宋体" w:hAnsi="宋体"/>
                <w:szCs w:val="21"/>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审小组作否决投标处理（如有）。</w:t>
            </w:r>
          </w:p>
        </w:tc>
      </w:tr>
      <w:tr w14:paraId="0C2D22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E09BB73">
            <w:pPr>
              <w:spacing w:line="400" w:lineRule="exact"/>
              <w:ind w:firstLine="211"/>
              <w:jc w:val="center"/>
              <w:rPr>
                <w:rFonts w:ascii="宋体" w:hAnsi="宋体"/>
                <w:szCs w:val="21"/>
              </w:rPr>
            </w:pPr>
          </w:p>
        </w:tc>
        <w:tc>
          <w:tcPr>
            <w:tcW w:w="1899" w:type="dxa"/>
            <w:vMerge w:val="continue"/>
            <w:vAlign w:val="center"/>
          </w:tcPr>
          <w:p w14:paraId="77120B05">
            <w:pPr>
              <w:spacing w:line="400" w:lineRule="exact"/>
              <w:ind w:firstLine="211"/>
              <w:jc w:val="center"/>
              <w:rPr>
                <w:rFonts w:ascii="宋体" w:hAnsi="宋体"/>
                <w:szCs w:val="21"/>
              </w:rPr>
            </w:pPr>
          </w:p>
        </w:tc>
        <w:tc>
          <w:tcPr>
            <w:tcW w:w="6333" w:type="dxa"/>
          </w:tcPr>
          <w:p w14:paraId="3ABA8B02">
            <w:pPr>
              <w:spacing w:line="400" w:lineRule="exact"/>
              <w:ind w:firstLine="420" w:firstLineChars="200"/>
              <w:rPr>
                <w:rFonts w:ascii="宋体" w:hAnsi="宋体"/>
                <w:szCs w:val="21"/>
              </w:rPr>
            </w:pPr>
            <w:r>
              <w:rPr>
                <w:rFonts w:hint="eastAsia" w:ascii="宋体" w:hAnsi="宋体"/>
                <w:szCs w:val="21"/>
              </w:rPr>
              <w:t>A-13只能有一个有效报价。在招标文件没有规定的情况下，不得提交选择性报价，否则由评审小组作否决投标处理。</w:t>
            </w:r>
          </w:p>
        </w:tc>
      </w:tr>
      <w:tr w14:paraId="4F170C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96FC24">
            <w:pPr>
              <w:spacing w:line="400" w:lineRule="exact"/>
              <w:ind w:firstLine="211"/>
              <w:jc w:val="center"/>
              <w:rPr>
                <w:rFonts w:ascii="宋体" w:hAnsi="宋体"/>
                <w:szCs w:val="21"/>
              </w:rPr>
            </w:pPr>
          </w:p>
        </w:tc>
        <w:tc>
          <w:tcPr>
            <w:tcW w:w="1899" w:type="dxa"/>
            <w:vMerge w:val="continue"/>
            <w:vAlign w:val="center"/>
          </w:tcPr>
          <w:p w14:paraId="5EC4F2E9">
            <w:pPr>
              <w:spacing w:line="400" w:lineRule="exact"/>
              <w:ind w:firstLine="211"/>
              <w:jc w:val="center"/>
              <w:rPr>
                <w:rFonts w:ascii="宋体" w:hAnsi="宋体"/>
                <w:szCs w:val="21"/>
              </w:rPr>
            </w:pPr>
          </w:p>
        </w:tc>
        <w:tc>
          <w:tcPr>
            <w:tcW w:w="6333" w:type="dxa"/>
          </w:tcPr>
          <w:p w14:paraId="38FFF445">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A-14</w:t>
            </w:r>
            <w:r>
              <w:rPr>
                <w:rFonts w:hint="eastAsia" w:ascii="宋体" w:hAnsi="宋体" w:cs="宋体"/>
                <w:kern w:val="0"/>
                <w:lang w:eastAsia="zh-CN"/>
              </w:rPr>
              <w:t>第七章</w:t>
            </w:r>
            <w:r>
              <w:rPr>
                <w:rFonts w:hint="eastAsia" w:ascii="宋体" w:hAnsi="宋体" w:cs="宋体"/>
                <w:kern w:val="0"/>
              </w:rPr>
              <w:t xml:space="preserve"> 竞选文件格式要求法定代表人或其委托代理人签名（或盖章）的须齐全。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竞选文件格式中，要求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，否则由评审小组作否决投标处理。</w:t>
            </w:r>
          </w:p>
        </w:tc>
      </w:tr>
      <w:tr w14:paraId="75650A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8E9522">
            <w:pPr>
              <w:spacing w:line="400" w:lineRule="exact"/>
              <w:ind w:firstLine="211"/>
              <w:jc w:val="center"/>
              <w:rPr>
                <w:rFonts w:ascii="宋体" w:hAnsi="宋体"/>
                <w:szCs w:val="21"/>
              </w:rPr>
            </w:pPr>
          </w:p>
        </w:tc>
        <w:tc>
          <w:tcPr>
            <w:tcW w:w="1899" w:type="dxa"/>
            <w:vMerge w:val="continue"/>
            <w:vAlign w:val="center"/>
          </w:tcPr>
          <w:p w14:paraId="625F636D">
            <w:pPr>
              <w:spacing w:line="400" w:lineRule="exact"/>
              <w:ind w:firstLine="211"/>
              <w:jc w:val="center"/>
              <w:rPr>
                <w:rFonts w:ascii="宋体" w:hAnsi="宋体"/>
                <w:szCs w:val="21"/>
              </w:rPr>
            </w:pPr>
          </w:p>
        </w:tc>
        <w:tc>
          <w:tcPr>
            <w:tcW w:w="6333" w:type="dxa"/>
          </w:tcPr>
          <w:p w14:paraId="2F7AEDDF">
            <w:pPr>
              <w:spacing w:line="400" w:lineRule="exact"/>
              <w:ind w:firstLine="420" w:firstLineChars="200"/>
              <w:rPr>
                <w:rFonts w:ascii="宋体" w:hAnsi="宋体"/>
                <w:szCs w:val="21"/>
              </w:rPr>
            </w:pPr>
            <w:r>
              <w:rPr>
                <w:rFonts w:hint="eastAsia" w:ascii="宋体" w:hAnsi="宋体"/>
                <w:szCs w:val="21"/>
              </w:rPr>
              <w:t>A-15竞选人法定代表人的委托代理人有法定代表人签署的授权委托书和竞选人为其缴纳的养老保险证明材料，否则由评审小组作否决投标处理。</w:t>
            </w:r>
          </w:p>
        </w:tc>
      </w:tr>
      <w:tr w14:paraId="6CE327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09D6A92">
            <w:pPr>
              <w:spacing w:line="400" w:lineRule="exact"/>
              <w:ind w:firstLine="211"/>
              <w:jc w:val="center"/>
              <w:rPr>
                <w:rFonts w:ascii="宋体" w:hAnsi="宋体"/>
                <w:szCs w:val="21"/>
              </w:rPr>
            </w:pPr>
          </w:p>
        </w:tc>
        <w:tc>
          <w:tcPr>
            <w:tcW w:w="1899" w:type="dxa"/>
            <w:vMerge w:val="restart"/>
            <w:vAlign w:val="center"/>
          </w:tcPr>
          <w:p w14:paraId="424CA77B">
            <w:pPr>
              <w:spacing w:line="400" w:lineRule="exact"/>
              <w:ind w:firstLine="211"/>
              <w:jc w:val="center"/>
              <w:rPr>
                <w:rFonts w:ascii="宋体" w:hAnsi="宋体"/>
                <w:szCs w:val="21"/>
              </w:rPr>
            </w:pPr>
            <w:r>
              <w:rPr>
                <w:rFonts w:hint="eastAsia" w:ascii="宋体" w:hAnsi="宋体"/>
                <w:szCs w:val="21"/>
              </w:rPr>
              <w:t>响应性评审</w:t>
            </w:r>
          </w:p>
        </w:tc>
        <w:tc>
          <w:tcPr>
            <w:tcW w:w="6333" w:type="dxa"/>
            <w:vAlign w:val="center"/>
          </w:tcPr>
          <w:p w14:paraId="65B83A5B">
            <w:pPr>
              <w:spacing w:line="400" w:lineRule="exact"/>
              <w:ind w:firstLine="420" w:firstLineChars="200"/>
              <w:rPr>
                <w:rFonts w:ascii="宋体" w:hAnsi="宋体"/>
                <w:szCs w:val="21"/>
              </w:rPr>
            </w:pPr>
            <w:r>
              <w:rPr>
                <w:rFonts w:hint="eastAsia" w:ascii="宋体" w:hAnsi="宋体"/>
                <w:szCs w:val="21"/>
              </w:rPr>
              <w:t>A-16</w:t>
            </w:r>
            <w:r>
              <w:rPr>
                <w:rFonts w:hint="eastAsia" w:ascii="宋体" w:hAnsi="宋体" w:cs="宋体"/>
                <w:szCs w:val="21"/>
              </w:rPr>
              <w:t>投标总报价必须与已标价工程量清单总报价一致</w:t>
            </w:r>
            <w:r>
              <w:rPr>
                <w:rFonts w:hint="eastAsia" w:ascii="宋体" w:hAnsi="宋体"/>
                <w:szCs w:val="21"/>
              </w:rPr>
              <w:t>，否则由评审小组作否决投标处理。</w:t>
            </w:r>
          </w:p>
        </w:tc>
      </w:tr>
      <w:tr w14:paraId="0AA386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C18A6A">
            <w:pPr>
              <w:spacing w:line="400" w:lineRule="exact"/>
              <w:ind w:firstLine="211"/>
              <w:jc w:val="center"/>
              <w:rPr>
                <w:rFonts w:ascii="宋体" w:hAnsi="宋体"/>
                <w:szCs w:val="21"/>
              </w:rPr>
            </w:pPr>
          </w:p>
        </w:tc>
        <w:tc>
          <w:tcPr>
            <w:tcW w:w="1899" w:type="dxa"/>
            <w:vMerge w:val="continue"/>
            <w:vAlign w:val="center"/>
          </w:tcPr>
          <w:p w14:paraId="4013F1E6">
            <w:pPr>
              <w:spacing w:line="400" w:lineRule="exact"/>
              <w:ind w:firstLine="211"/>
              <w:jc w:val="center"/>
              <w:rPr>
                <w:rFonts w:ascii="宋体" w:hAnsi="宋体"/>
                <w:szCs w:val="21"/>
              </w:rPr>
            </w:pPr>
          </w:p>
        </w:tc>
        <w:tc>
          <w:tcPr>
            <w:tcW w:w="6333" w:type="dxa"/>
            <w:vAlign w:val="center"/>
          </w:tcPr>
          <w:p w14:paraId="5A9E7FD8">
            <w:pPr>
              <w:spacing w:line="400" w:lineRule="exact"/>
              <w:ind w:firstLine="420" w:firstLineChars="200"/>
              <w:rPr>
                <w:rFonts w:ascii="宋体" w:hAnsi="宋体"/>
                <w:szCs w:val="21"/>
              </w:rPr>
            </w:pPr>
            <w:r>
              <w:rPr>
                <w:rFonts w:hint="eastAsia" w:ascii="宋体" w:hAnsi="宋体"/>
                <w:szCs w:val="21"/>
              </w:rPr>
              <w:t>A-17投标总报价不得高于比选人公布的投标总报价最高限价，否则由评审小组作否决投标处理。</w:t>
            </w:r>
          </w:p>
        </w:tc>
      </w:tr>
      <w:tr w14:paraId="44817C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E4DE6B">
            <w:pPr>
              <w:spacing w:line="400" w:lineRule="exact"/>
              <w:ind w:firstLine="211"/>
              <w:jc w:val="center"/>
              <w:rPr>
                <w:rFonts w:ascii="宋体" w:hAnsi="宋体"/>
                <w:szCs w:val="21"/>
              </w:rPr>
            </w:pPr>
          </w:p>
        </w:tc>
        <w:tc>
          <w:tcPr>
            <w:tcW w:w="1899" w:type="dxa"/>
            <w:vMerge w:val="continue"/>
            <w:vAlign w:val="center"/>
          </w:tcPr>
          <w:p w14:paraId="28711AE0">
            <w:pPr>
              <w:spacing w:line="400" w:lineRule="exact"/>
              <w:ind w:firstLine="211"/>
              <w:jc w:val="center"/>
              <w:rPr>
                <w:rFonts w:ascii="宋体" w:hAnsi="宋体"/>
                <w:szCs w:val="21"/>
              </w:rPr>
            </w:pPr>
          </w:p>
        </w:tc>
        <w:tc>
          <w:tcPr>
            <w:tcW w:w="6333" w:type="dxa"/>
            <w:vAlign w:val="center"/>
          </w:tcPr>
          <w:p w14:paraId="66645DC8">
            <w:pPr>
              <w:spacing w:line="400" w:lineRule="exact"/>
              <w:ind w:firstLine="420" w:firstLineChars="200"/>
              <w:rPr>
                <w:rFonts w:ascii="宋体" w:hAnsi="宋体"/>
                <w:szCs w:val="21"/>
              </w:rPr>
            </w:pPr>
            <w:r>
              <w:rPr>
                <w:rFonts w:hint="eastAsia" w:ascii="宋体" w:hAnsi="宋体"/>
                <w:szCs w:val="21"/>
              </w:rPr>
              <w:t>A-18暂列金额、暂估价、安全文明施工费等暂定金额必须按照招标文件给定的金额填报，否则由评审小组作否决投标处理。</w:t>
            </w:r>
          </w:p>
        </w:tc>
      </w:tr>
      <w:tr w14:paraId="5AB14B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17C8EE">
            <w:pPr>
              <w:spacing w:line="400" w:lineRule="exact"/>
              <w:ind w:firstLine="211"/>
              <w:jc w:val="center"/>
              <w:rPr>
                <w:rFonts w:ascii="宋体" w:hAnsi="宋体"/>
                <w:szCs w:val="21"/>
              </w:rPr>
            </w:pPr>
          </w:p>
        </w:tc>
        <w:tc>
          <w:tcPr>
            <w:tcW w:w="1899" w:type="dxa"/>
            <w:vMerge w:val="continue"/>
            <w:vAlign w:val="center"/>
          </w:tcPr>
          <w:p w14:paraId="4E45F9BA">
            <w:pPr>
              <w:spacing w:line="400" w:lineRule="exact"/>
              <w:ind w:firstLine="211"/>
              <w:jc w:val="center"/>
              <w:rPr>
                <w:rFonts w:ascii="宋体" w:hAnsi="宋体"/>
                <w:szCs w:val="21"/>
              </w:rPr>
            </w:pPr>
          </w:p>
        </w:tc>
        <w:tc>
          <w:tcPr>
            <w:tcW w:w="6333" w:type="dxa"/>
            <w:vAlign w:val="center"/>
          </w:tcPr>
          <w:p w14:paraId="48FF2B07">
            <w:pPr>
              <w:spacing w:line="400" w:lineRule="exact"/>
              <w:ind w:firstLine="420" w:firstLineChars="200"/>
              <w:rPr>
                <w:rFonts w:ascii="宋体" w:hAnsi="宋体"/>
                <w:szCs w:val="21"/>
              </w:rPr>
            </w:pPr>
            <w:r>
              <w:rPr>
                <w:rFonts w:hint="eastAsia" w:ascii="宋体" w:hAnsi="宋体"/>
                <w:szCs w:val="21"/>
              </w:rPr>
              <w:t>A-19投标内容符合第二章“竞选人须知”第1.3.1项规定，否则由评审小组作否决投标处理。</w:t>
            </w:r>
          </w:p>
        </w:tc>
      </w:tr>
      <w:tr w14:paraId="1F0086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265EE2C">
            <w:pPr>
              <w:spacing w:line="400" w:lineRule="exact"/>
              <w:ind w:firstLine="211"/>
              <w:jc w:val="center"/>
              <w:rPr>
                <w:rFonts w:ascii="宋体" w:hAnsi="宋体"/>
                <w:szCs w:val="21"/>
              </w:rPr>
            </w:pPr>
          </w:p>
        </w:tc>
        <w:tc>
          <w:tcPr>
            <w:tcW w:w="1899" w:type="dxa"/>
            <w:vMerge w:val="continue"/>
            <w:vAlign w:val="center"/>
          </w:tcPr>
          <w:p w14:paraId="0E3028F9">
            <w:pPr>
              <w:spacing w:line="400" w:lineRule="exact"/>
              <w:ind w:firstLine="211"/>
              <w:jc w:val="center"/>
              <w:rPr>
                <w:rFonts w:ascii="宋体" w:hAnsi="宋体"/>
                <w:szCs w:val="21"/>
              </w:rPr>
            </w:pPr>
          </w:p>
        </w:tc>
        <w:tc>
          <w:tcPr>
            <w:tcW w:w="6333" w:type="dxa"/>
            <w:vAlign w:val="center"/>
          </w:tcPr>
          <w:p w14:paraId="2201C87D">
            <w:pPr>
              <w:spacing w:line="400" w:lineRule="exact"/>
              <w:ind w:firstLine="420" w:firstLineChars="200"/>
              <w:rPr>
                <w:rFonts w:ascii="宋体" w:hAnsi="宋体"/>
                <w:szCs w:val="21"/>
              </w:rPr>
            </w:pPr>
            <w:r>
              <w:rPr>
                <w:rFonts w:hint="eastAsia" w:ascii="宋体" w:hAnsi="宋体"/>
                <w:szCs w:val="21"/>
              </w:rPr>
              <w:t>A-20工期符合第二章“竞选人须知”第1.3.2项规定，否则由评审小组作否决投标处理。</w:t>
            </w:r>
          </w:p>
        </w:tc>
      </w:tr>
      <w:tr w14:paraId="384AED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7EA1401">
            <w:pPr>
              <w:spacing w:line="400" w:lineRule="exact"/>
              <w:ind w:firstLine="211"/>
              <w:jc w:val="center"/>
              <w:rPr>
                <w:rFonts w:ascii="宋体" w:hAnsi="宋体"/>
                <w:szCs w:val="21"/>
              </w:rPr>
            </w:pPr>
          </w:p>
        </w:tc>
        <w:tc>
          <w:tcPr>
            <w:tcW w:w="1899" w:type="dxa"/>
            <w:vMerge w:val="continue"/>
            <w:vAlign w:val="center"/>
          </w:tcPr>
          <w:p w14:paraId="4F7A5BEF">
            <w:pPr>
              <w:spacing w:line="400" w:lineRule="exact"/>
              <w:ind w:firstLine="211"/>
              <w:jc w:val="center"/>
              <w:rPr>
                <w:rFonts w:ascii="宋体" w:hAnsi="宋体"/>
                <w:szCs w:val="21"/>
              </w:rPr>
            </w:pPr>
          </w:p>
        </w:tc>
        <w:tc>
          <w:tcPr>
            <w:tcW w:w="6333" w:type="dxa"/>
            <w:vAlign w:val="center"/>
          </w:tcPr>
          <w:p w14:paraId="6EFA9E01">
            <w:pPr>
              <w:spacing w:line="400" w:lineRule="exact"/>
              <w:ind w:firstLine="420" w:firstLineChars="200"/>
              <w:rPr>
                <w:rFonts w:ascii="宋体" w:hAnsi="宋体"/>
                <w:szCs w:val="21"/>
              </w:rPr>
            </w:pPr>
            <w:r>
              <w:rPr>
                <w:rFonts w:hint="eastAsia" w:ascii="宋体" w:hAnsi="宋体"/>
                <w:szCs w:val="21"/>
              </w:rPr>
              <w:t>A-21工程质量符合第二章“竞选人须知”第1.3.3项规定，否则由评审小组作否决投标处理。</w:t>
            </w:r>
          </w:p>
        </w:tc>
      </w:tr>
      <w:tr w14:paraId="584C1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47DF26">
            <w:pPr>
              <w:spacing w:line="400" w:lineRule="exact"/>
              <w:ind w:firstLine="211"/>
              <w:jc w:val="center"/>
              <w:rPr>
                <w:rFonts w:ascii="宋体" w:hAnsi="宋体"/>
                <w:szCs w:val="21"/>
              </w:rPr>
            </w:pPr>
          </w:p>
        </w:tc>
        <w:tc>
          <w:tcPr>
            <w:tcW w:w="1899" w:type="dxa"/>
            <w:vMerge w:val="continue"/>
            <w:vAlign w:val="center"/>
          </w:tcPr>
          <w:p w14:paraId="0ADFD59A">
            <w:pPr>
              <w:spacing w:line="400" w:lineRule="exact"/>
              <w:ind w:firstLine="211"/>
              <w:jc w:val="center"/>
              <w:rPr>
                <w:rFonts w:ascii="宋体" w:hAnsi="宋体"/>
                <w:szCs w:val="21"/>
              </w:rPr>
            </w:pPr>
          </w:p>
        </w:tc>
        <w:tc>
          <w:tcPr>
            <w:tcW w:w="6333" w:type="dxa"/>
            <w:vAlign w:val="center"/>
          </w:tcPr>
          <w:p w14:paraId="6E775AE8">
            <w:pPr>
              <w:spacing w:line="400" w:lineRule="exact"/>
              <w:ind w:firstLine="420" w:firstLineChars="200"/>
              <w:rPr>
                <w:rFonts w:ascii="宋体" w:hAnsi="宋体"/>
                <w:szCs w:val="21"/>
              </w:rPr>
            </w:pPr>
            <w:r>
              <w:rPr>
                <w:rFonts w:hint="eastAsia" w:ascii="宋体" w:hAnsi="宋体"/>
                <w:szCs w:val="21"/>
              </w:rPr>
              <w:t>A-22投标有效期符合第二章“竞选人须知”第3.3.1项规定，否则由评审小组作否决投标处理。</w:t>
            </w:r>
          </w:p>
        </w:tc>
      </w:tr>
      <w:tr w14:paraId="2F948D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25FAB27">
            <w:pPr>
              <w:spacing w:line="400" w:lineRule="exact"/>
              <w:ind w:firstLine="211"/>
              <w:jc w:val="center"/>
              <w:rPr>
                <w:rFonts w:ascii="宋体" w:hAnsi="宋体"/>
                <w:szCs w:val="21"/>
              </w:rPr>
            </w:pPr>
          </w:p>
        </w:tc>
        <w:tc>
          <w:tcPr>
            <w:tcW w:w="1899" w:type="dxa"/>
            <w:vMerge w:val="continue"/>
            <w:vAlign w:val="center"/>
          </w:tcPr>
          <w:p w14:paraId="13611213">
            <w:pPr>
              <w:spacing w:line="400" w:lineRule="exact"/>
              <w:ind w:firstLine="211"/>
              <w:jc w:val="center"/>
              <w:rPr>
                <w:rFonts w:ascii="宋体" w:hAnsi="宋体"/>
                <w:szCs w:val="21"/>
              </w:rPr>
            </w:pPr>
          </w:p>
        </w:tc>
        <w:tc>
          <w:tcPr>
            <w:tcW w:w="6333" w:type="dxa"/>
            <w:vAlign w:val="center"/>
          </w:tcPr>
          <w:p w14:paraId="2ABF8BAA">
            <w:pPr>
              <w:spacing w:line="400" w:lineRule="exact"/>
              <w:ind w:firstLine="420" w:firstLineChars="200"/>
              <w:rPr>
                <w:rFonts w:ascii="宋体" w:hAnsi="宋体"/>
                <w:szCs w:val="21"/>
              </w:rPr>
            </w:pPr>
            <w:r>
              <w:rPr>
                <w:rFonts w:hint="eastAsia" w:ascii="宋体" w:hAnsi="宋体"/>
                <w:szCs w:val="21"/>
              </w:rPr>
              <w:t>A-23竞选人</w:t>
            </w:r>
            <w:r>
              <w:rPr>
                <w:rFonts w:ascii="宋体" w:hAnsi="宋体"/>
                <w:szCs w:val="21"/>
              </w:rPr>
              <w:t>应按</w:t>
            </w:r>
            <w:r>
              <w:rPr>
                <w:rFonts w:hint="eastAsia" w:ascii="宋体" w:hAnsi="宋体"/>
                <w:szCs w:val="21"/>
              </w:rPr>
              <w:t>竞选人</w:t>
            </w:r>
            <w:r>
              <w:rPr>
                <w:rFonts w:ascii="宋体" w:hAnsi="宋体"/>
                <w:szCs w:val="21"/>
              </w:rPr>
              <w:t>须知前附表</w:t>
            </w:r>
            <w:r>
              <w:rPr>
                <w:rFonts w:hint="eastAsia" w:ascii="宋体" w:hAnsi="宋体"/>
                <w:szCs w:val="21"/>
              </w:rPr>
              <w:t>第3.4款的</w:t>
            </w:r>
            <w:r>
              <w:rPr>
                <w:rFonts w:ascii="宋体" w:hAnsi="宋体"/>
                <w:szCs w:val="21"/>
              </w:rPr>
              <w:t>规定递交投标保证金，并作为其</w:t>
            </w:r>
            <w:r>
              <w:rPr>
                <w:rFonts w:hint="eastAsia" w:ascii="宋体" w:hAnsi="宋体"/>
                <w:szCs w:val="21"/>
              </w:rPr>
              <w:t>竞选文件</w:t>
            </w:r>
            <w:r>
              <w:rPr>
                <w:rFonts w:ascii="宋体" w:hAnsi="宋体"/>
                <w:szCs w:val="21"/>
              </w:rPr>
              <w:t>的组成部分</w:t>
            </w:r>
            <w:r>
              <w:rPr>
                <w:rFonts w:hint="eastAsia" w:ascii="宋体" w:hAnsi="宋体"/>
                <w:szCs w:val="21"/>
              </w:rPr>
              <w:t>，</w:t>
            </w:r>
            <w:r>
              <w:rPr>
                <w:rFonts w:ascii="宋体" w:hAnsi="宋体"/>
                <w:szCs w:val="21"/>
              </w:rPr>
              <w:t>否则</w:t>
            </w:r>
            <w:r>
              <w:rPr>
                <w:rFonts w:hint="eastAsia" w:ascii="宋体" w:hAnsi="宋体"/>
                <w:szCs w:val="21"/>
              </w:rPr>
              <w:t>由评审小组</w:t>
            </w:r>
            <w:r>
              <w:rPr>
                <w:rFonts w:ascii="宋体" w:hAnsi="宋体"/>
                <w:szCs w:val="21"/>
              </w:rPr>
              <w:t>作否决投标处理。</w:t>
            </w:r>
          </w:p>
        </w:tc>
      </w:tr>
      <w:tr w14:paraId="76E9A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D00A3CE">
            <w:pPr>
              <w:spacing w:line="400" w:lineRule="exact"/>
              <w:ind w:firstLine="211"/>
              <w:jc w:val="center"/>
              <w:rPr>
                <w:rFonts w:ascii="宋体" w:hAnsi="宋体"/>
                <w:szCs w:val="21"/>
              </w:rPr>
            </w:pPr>
          </w:p>
        </w:tc>
        <w:tc>
          <w:tcPr>
            <w:tcW w:w="1899" w:type="dxa"/>
            <w:vMerge w:val="continue"/>
            <w:vAlign w:val="center"/>
          </w:tcPr>
          <w:p w14:paraId="09A27DE3">
            <w:pPr>
              <w:spacing w:line="400" w:lineRule="exact"/>
              <w:ind w:firstLine="211"/>
              <w:jc w:val="center"/>
              <w:rPr>
                <w:rFonts w:ascii="宋体" w:hAnsi="宋体"/>
                <w:szCs w:val="21"/>
              </w:rPr>
            </w:pPr>
          </w:p>
        </w:tc>
        <w:tc>
          <w:tcPr>
            <w:tcW w:w="6333" w:type="dxa"/>
            <w:vAlign w:val="center"/>
          </w:tcPr>
          <w:p w14:paraId="724EDF1E">
            <w:pPr>
              <w:spacing w:line="400" w:lineRule="exact"/>
              <w:ind w:firstLine="420" w:firstLineChars="200"/>
              <w:rPr>
                <w:rFonts w:ascii="宋体" w:hAnsi="宋体"/>
                <w:szCs w:val="21"/>
              </w:rPr>
            </w:pPr>
            <w:r>
              <w:rPr>
                <w:rFonts w:hint="eastAsia" w:ascii="宋体" w:hAnsi="宋体"/>
                <w:szCs w:val="21"/>
              </w:rPr>
              <w:t>A-24符合第四章“合同条款及格式”规定，竞选文件不应附有比选人不能接受的条件，否则由评审小组作否决投标处理。（由竞选人承诺，承诺书格式详见</w:t>
            </w:r>
            <w:r>
              <w:rPr>
                <w:rFonts w:hint="eastAsia" w:ascii="宋体" w:hAnsi="宋体"/>
                <w:szCs w:val="21"/>
                <w:lang w:eastAsia="zh-CN"/>
              </w:rPr>
              <w:t>第七章</w:t>
            </w:r>
            <w:r>
              <w:rPr>
                <w:rFonts w:hint="eastAsia" w:ascii="宋体" w:hAnsi="宋体"/>
                <w:szCs w:val="21"/>
              </w:rPr>
              <w:t>竞选文件格式。）</w:t>
            </w:r>
          </w:p>
        </w:tc>
      </w:tr>
      <w:tr w14:paraId="72E57C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6D90115">
            <w:pPr>
              <w:spacing w:line="400" w:lineRule="exact"/>
              <w:ind w:firstLine="211"/>
              <w:jc w:val="center"/>
              <w:rPr>
                <w:rFonts w:ascii="宋体" w:hAnsi="宋体"/>
                <w:szCs w:val="21"/>
              </w:rPr>
            </w:pPr>
          </w:p>
        </w:tc>
        <w:tc>
          <w:tcPr>
            <w:tcW w:w="1899" w:type="dxa"/>
            <w:vMerge w:val="continue"/>
            <w:vAlign w:val="center"/>
          </w:tcPr>
          <w:p w14:paraId="017DF7D8">
            <w:pPr>
              <w:spacing w:line="400" w:lineRule="exact"/>
              <w:ind w:firstLine="211"/>
              <w:jc w:val="center"/>
              <w:rPr>
                <w:rFonts w:ascii="宋体" w:hAnsi="宋体"/>
                <w:szCs w:val="21"/>
              </w:rPr>
            </w:pPr>
          </w:p>
        </w:tc>
        <w:tc>
          <w:tcPr>
            <w:tcW w:w="6333" w:type="dxa"/>
            <w:vAlign w:val="center"/>
          </w:tcPr>
          <w:p w14:paraId="1D770EDB">
            <w:pPr>
              <w:spacing w:line="400" w:lineRule="exact"/>
              <w:ind w:firstLine="420" w:firstLineChars="200"/>
              <w:rPr>
                <w:rFonts w:ascii="宋体" w:hAnsi="宋体"/>
                <w:szCs w:val="21"/>
              </w:rPr>
            </w:pPr>
            <w:r>
              <w:rPr>
                <w:rFonts w:hint="eastAsia" w:ascii="宋体" w:hAnsi="宋体"/>
                <w:szCs w:val="21"/>
              </w:rPr>
              <w:t>A-25符合第五章“技术标准和要求”规定。否则由评审小组作否决投标处理（如有）。（由竞选人承诺，承诺书格式详见</w:t>
            </w:r>
            <w:r>
              <w:rPr>
                <w:rFonts w:hint="eastAsia" w:ascii="宋体" w:hAnsi="宋体"/>
                <w:szCs w:val="21"/>
                <w:lang w:eastAsia="zh-CN"/>
              </w:rPr>
              <w:t>第七章</w:t>
            </w:r>
            <w:r>
              <w:rPr>
                <w:rFonts w:hint="eastAsia" w:ascii="宋体" w:hAnsi="宋体"/>
                <w:szCs w:val="21"/>
              </w:rPr>
              <w:t>竞选文件格式。）</w:t>
            </w:r>
          </w:p>
        </w:tc>
      </w:tr>
      <w:tr w14:paraId="34AF95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545DBB">
            <w:pPr>
              <w:spacing w:line="400" w:lineRule="exact"/>
              <w:ind w:firstLine="211"/>
              <w:jc w:val="center"/>
              <w:rPr>
                <w:rFonts w:ascii="宋体" w:hAnsi="宋体"/>
                <w:szCs w:val="21"/>
              </w:rPr>
            </w:pPr>
          </w:p>
        </w:tc>
        <w:tc>
          <w:tcPr>
            <w:tcW w:w="1899" w:type="dxa"/>
            <w:vMerge w:val="continue"/>
            <w:vAlign w:val="center"/>
          </w:tcPr>
          <w:p w14:paraId="2FA640B8">
            <w:pPr>
              <w:spacing w:line="400" w:lineRule="exact"/>
              <w:ind w:firstLine="211"/>
              <w:jc w:val="center"/>
              <w:rPr>
                <w:rFonts w:ascii="宋体" w:hAnsi="宋体"/>
                <w:szCs w:val="21"/>
              </w:rPr>
            </w:pPr>
          </w:p>
        </w:tc>
        <w:tc>
          <w:tcPr>
            <w:tcW w:w="6333" w:type="dxa"/>
            <w:vAlign w:val="center"/>
          </w:tcPr>
          <w:p w14:paraId="556F3E0F">
            <w:pPr>
              <w:spacing w:line="400" w:lineRule="exact"/>
              <w:ind w:firstLine="420" w:firstLineChars="200"/>
              <w:rPr>
                <w:rFonts w:ascii="宋体" w:hAnsi="宋体"/>
                <w:szCs w:val="21"/>
              </w:rPr>
            </w:pPr>
            <w:r>
              <w:rPr>
                <w:rFonts w:hint="eastAsia" w:ascii="宋体" w:hAnsi="宋体"/>
                <w:szCs w:val="21"/>
              </w:rPr>
              <w:t>A-26竞选人提供的关于已标价工程量清单的承诺符合招标文件的要求，</w:t>
            </w:r>
            <w:r>
              <w:rPr>
                <w:rFonts w:ascii="宋体" w:hAnsi="宋体"/>
                <w:szCs w:val="21"/>
              </w:rPr>
              <w:t>否则</w:t>
            </w:r>
            <w:r>
              <w:rPr>
                <w:rFonts w:hint="eastAsia" w:ascii="宋体" w:hAnsi="宋体"/>
                <w:szCs w:val="21"/>
              </w:rPr>
              <w:t>由评审小组</w:t>
            </w:r>
            <w:r>
              <w:rPr>
                <w:rFonts w:ascii="宋体" w:hAnsi="宋体"/>
                <w:szCs w:val="21"/>
              </w:rPr>
              <w:t>作否决投标处理。</w:t>
            </w:r>
          </w:p>
        </w:tc>
      </w:tr>
      <w:tr w14:paraId="361ABE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25A016A">
            <w:pPr>
              <w:spacing w:line="400" w:lineRule="exact"/>
              <w:ind w:firstLine="211"/>
              <w:jc w:val="center"/>
              <w:rPr>
                <w:rFonts w:ascii="宋体" w:hAnsi="宋体"/>
                <w:szCs w:val="21"/>
              </w:rPr>
            </w:pPr>
          </w:p>
        </w:tc>
        <w:tc>
          <w:tcPr>
            <w:tcW w:w="1899" w:type="dxa"/>
            <w:vMerge w:val="continue"/>
            <w:vAlign w:val="center"/>
          </w:tcPr>
          <w:p w14:paraId="5CC581FE">
            <w:pPr>
              <w:spacing w:line="400" w:lineRule="exact"/>
              <w:ind w:firstLine="211"/>
              <w:jc w:val="center"/>
              <w:rPr>
                <w:rFonts w:ascii="宋体" w:hAnsi="宋体"/>
                <w:szCs w:val="21"/>
              </w:rPr>
            </w:pPr>
          </w:p>
        </w:tc>
        <w:tc>
          <w:tcPr>
            <w:tcW w:w="6333" w:type="dxa"/>
            <w:vAlign w:val="center"/>
          </w:tcPr>
          <w:p w14:paraId="60A0ABEF">
            <w:pPr>
              <w:spacing w:line="400" w:lineRule="exact"/>
              <w:ind w:firstLine="420" w:firstLineChars="200"/>
              <w:rPr>
                <w:rFonts w:ascii="宋体" w:hAnsi="宋体"/>
                <w:szCs w:val="21"/>
              </w:rPr>
            </w:pPr>
            <w:r>
              <w:rPr>
                <w:rFonts w:hint="eastAsia" w:ascii="宋体" w:hAnsi="宋体"/>
                <w:szCs w:val="21"/>
              </w:rPr>
              <w:t>A-27投标报价有算术错误的，按照第三章“评标办法”第3.1.3项规定执行，否则由评审小组作否决投标处理</w:t>
            </w:r>
            <w:r>
              <w:rPr>
                <w:rFonts w:ascii="宋体" w:hAnsi="宋体"/>
                <w:szCs w:val="21"/>
              </w:rPr>
              <w:t>。</w:t>
            </w:r>
          </w:p>
        </w:tc>
      </w:tr>
      <w:tr w14:paraId="5C69E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ABEFF3">
            <w:pPr>
              <w:spacing w:line="400" w:lineRule="exact"/>
              <w:ind w:firstLine="211"/>
              <w:jc w:val="center"/>
              <w:rPr>
                <w:rFonts w:ascii="宋体" w:hAnsi="宋体"/>
                <w:szCs w:val="21"/>
              </w:rPr>
            </w:pPr>
          </w:p>
        </w:tc>
        <w:tc>
          <w:tcPr>
            <w:tcW w:w="1899" w:type="dxa"/>
            <w:vMerge w:val="continue"/>
            <w:vAlign w:val="center"/>
          </w:tcPr>
          <w:p w14:paraId="131475C8">
            <w:pPr>
              <w:spacing w:line="400" w:lineRule="exact"/>
              <w:ind w:firstLine="211"/>
              <w:jc w:val="center"/>
              <w:rPr>
                <w:rFonts w:ascii="宋体" w:hAnsi="宋体"/>
                <w:szCs w:val="21"/>
              </w:rPr>
            </w:pPr>
          </w:p>
        </w:tc>
        <w:tc>
          <w:tcPr>
            <w:tcW w:w="6333" w:type="dxa"/>
            <w:vAlign w:val="center"/>
          </w:tcPr>
          <w:p w14:paraId="2444D4D1">
            <w:pPr>
              <w:spacing w:line="400" w:lineRule="exact"/>
              <w:ind w:firstLine="420" w:firstLineChars="200"/>
              <w:rPr>
                <w:rFonts w:ascii="宋体" w:hAnsi="宋体"/>
                <w:szCs w:val="21"/>
              </w:rPr>
            </w:pPr>
            <w:r>
              <w:rPr>
                <w:rFonts w:hint="eastAsia" w:ascii="宋体" w:hAnsi="宋体"/>
                <w:szCs w:val="21"/>
              </w:rPr>
              <w:t>A-28竞选人有以下情形之一的，其竞选文件由评审小组</w:t>
            </w:r>
            <w:r>
              <w:rPr>
                <w:rFonts w:ascii="宋体" w:hAnsi="宋体"/>
                <w:szCs w:val="21"/>
              </w:rPr>
              <w:t>作否决投标处理</w:t>
            </w:r>
            <w:r>
              <w:rPr>
                <w:rFonts w:hint="eastAsia" w:ascii="宋体" w:hAnsi="宋体"/>
                <w:szCs w:val="21"/>
              </w:rPr>
              <w:t>：</w:t>
            </w:r>
          </w:p>
          <w:p w14:paraId="48CF2557">
            <w:pPr>
              <w:spacing w:line="400" w:lineRule="exact"/>
              <w:ind w:firstLine="420" w:firstLineChars="200"/>
              <w:rPr>
                <w:rFonts w:ascii="宋体" w:hAnsi="宋体"/>
                <w:szCs w:val="21"/>
              </w:rPr>
            </w:pPr>
            <w:r>
              <w:rPr>
                <w:rFonts w:hint="eastAsia" w:ascii="宋体" w:hAnsi="宋体"/>
                <w:szCs w:val="21"/>
              </w:rPr>
              <w:t>1.第二章“竞选人须知”第1.4.3项规定的任何一种情形的；</w:t>
            </w:r>
          </w:p>
          <w:p w14:paraId="7DB444CB">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35834E5B">
            <w:pPr>
              <w:spacing w:line="400" w:lineRule="exact"/>
              <w:ind w:firstLine="420" w:firstLineChars="200"/>
              <w:rPr>
                <w:rFonts w:ascii="宋体" w:hAnsi="宋体"/>
                <w:szCs w:val="21"/>
              </w:rPr>
            </w:pPr>
            <w:r>
              <w:rPr>
                <w:rFonts w:hint="eastAsia" w:ascii="宋体" w:hAnsi="宋体"/>
                <w:szCs w:val="21"/>
              </w:rPr>
              <w:t>3.拒绝按评审小组要求澄清、说明或补正的。</w:t>
            </w:r>
          </w:p>
        </w:tc>
      </w:tr>
      <w:tr w14:paraId="53476B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204E144">
            <w:pPr>
              <w:spacing w:line="400" w:lineRule="exact"/>
              <w:ind w:firstLine="211"/>
              <w:jc w:val="center"/>
              <w:rPr>
                <w:rFonts w:ascii="宋体" w:hAnsi="宋体"/>
                <w:szCs w:val="21"/>
              </w:rPr>
            </w:pPr>
            <w:r>
              <w:rPr>
                <w:rFonts w:ascii="宋体" w:hAnsi="宋体"/>
                <w:szCs w:val="21"/>
              </w:rPr>
              <w:t>其他</w:t>
            </w:r>
          </w:p>
        </w:tc>
        <w:tc>
          <w:tcPr>
            <w:tcW w:w="1899" w:type="dxa"/>
            <w:vAlign w:val="center"/>
          </w:tcPr>
          <w:p w14:paraId="771207A8">
            <w:pPr>
              <w:spacing w:line="400" w:lineRule="exact"/>
              <w:ind w:firstLine="211"/>
              <w:jc w:val="center"/>
              <w:rPr>
                <w:rFonts w:ascii="宋体" w:hAnsi="宋体"/>
                <w:szCs w:val="21"/>
              </w:rPr>
            </w:pPr>
          </w:p>
        </w:tc>
        <w:tc>
          <w:tcPr>
            <w:tcW w:w="6333" w:type="dxa"/>
          </w:tcPr>
          <w:p w14:paraId="0E53DB6C">
            <w:pPr>
              <w:spacing w:line="400" w:lineRule="exact"/>
              <w:ind w:firstLine="420" w:firstLineChars="200"/>
              <w:rPr>
                <w:rFonts w:ascii="宋体" w:hAnsi="宋体"/>
                <w:i/>
                <w:szCs w:val="21"/>
              </w:rPr>
            </w:pPr>
            <w:r>
              <w:rPr>
                <w:rFonts w:hint="eastAsia" w:ascii="宋体" w:hAnsi="宋体"/>
                <w:i/>
                <w:szCs w:val="21"/>
              </w:rPr>
              <w:t>[提示：比选人必须将所有否决投标条款集中罗列于此表，若无其他否决投标条款则在该条写无。]</w:t>
            </w:r>
          </w:p>
        </w:tc>
      </w:tr>
    </w:tbl>
    <w:p w14:paraId="2D0C1675">
      <w:pPr>
        <w:autoSpaceDE w:val="0"/>
        <w:autoSpaceDN w:val="0"/>
        <w:adjustRightInd w:val="0"/>
        <w:snapToGrid w:val="0"/>
        <w:spacing w:line="360" w:lineRule="auto"/>
        <w:ind w:firstLine="200"/>
        <w:jc w:val="left"/>
        <w:rPr>
          <w:rFonts w:ascii="宋体" w:hAnsi="宋体"/>
          <w:b/>
          <w:kern w:val="0"/>
          <w:sz w:val="20"/>
          <w:szCs w:val="20"/>
        </w:rPr>
      </w:pPr>
    </w:p>
    <w:p w14:paraId="4E545CCB">
      <w:pPr>
        <w:autoSpaceDE w:val="0"/>
        <w:autoSpaceDN w:val="0"/>
        <w:adjustRightInd w:val="0"/>
        <w:snapToGrid w:val="0"/>
        <w:spacing w:before="340" w:after="330" w:line="360" w:lineRule="auto"/>
        <w:ind w:firstLine="211"/>
        <w:jc w:val="left"/>
        <w:rPr>
          <w:rFonts w:ascii="宋体" w:hAnsi="宋体"/>
          <w:kern w:val="0"/>
          <w:sz w:val="52"/>
          <w:szCs w:val="52"/>
        </w:rPr>
      </w:pPr>
      <w:r>
        <w:rPr>
          <w:rFonts w:ascii="宋体" w:hAnsi="宋体"/>
          <w:kern w:val="0"/>
        </w:rPr>
        <w:br w:type="page"/>
      </w:r>
    </w:p>
    <w:p w14:paraId="780BF86F">
      <w:pPr>
        <w:autoSpaceDE w:val="0"/>
        <w:autoSpaceDN w:val="0"/>
        <w:adjustRightInd w:val="0"/>
        <w:snapToGrid w:val="0"/>
        <w:spacing w:before="340" w:after="330" w:line="360" w:lineRule="auto"/>
        <w:ind w:firstLine="522"/>
        <w:jc w:val="left"/>
        <w:rPr>
          <w:rFonts w:ascii="宋体" w:hAnsi="宋体"/>
          <w:kern w:val="0"/>
          <w:sz w:val="52"/>
          <w:szCs w:val="52"/>
        </w:rPr>
      </w:pPr>
    </w:p>
    <w:p w14:paraId="227B9BA6">
      <w:pPr>
        <w:pStyle w:val="2"/>
        <w:spacing w:line="360" w:lineRule="auto"/>
        <w:ind w:firstLine="442"/>
        <w:jc w:val="center"/>
        <w:rPr>
          <w:rFonts w:ascii="宋体" w:hAnsi="宋体"/>
          <w:kern w:val="0"/>
        </w:rPr>
      </w:pPr>
      <w:bookmarkStart w:id="394" w:name="_Toc430530509"/>
      <w:bookmarkStart w:id="395" w:name="_Toc509218785"/>
      <w:bookmarkStart w:id="396" w:name="_Toc10597"/>
      <w:bookmarkStart w:id="397" w:name="_Toc8427"/>
    </w:p>
    <w:p w14:paraId="28B195AB">
      <w:pPr>
        <w:pStyle w:val="2"/>
        <w:spacing w:line="360" w:lineRule="auto"/>
        <w:ind w:firstLine="442"/>
        <w:jc w:val="center"/>
        <w:rPr>
          <w:rFonts w:hint="eastAsia" w:eastAsia="宋体"/>
          <w:color w:val="000000"/>
          <w:sz w:val="84"/>
          <w:lang w:val="en-US" w:eastAsia="zh-CN"/>
        </w:rPr>
        <w:sectPr>
          <w:headerReference r:id="rId5" w:type="default"/>
          <w:footerReference r:id="rId6" w:type="default"/>
          <w:pgSz w:w="11906" w:h="16838"/>
          <w:pgMar w:top="1304" w:right="1134" w:bottom="1304" w:left="1304" w:header="851" w:footer="992" w:gutter="0"/>
          <w:cols w:space="720" w:num="1"/>
          <w:docGrid w:type="lines" w:linePitch="312" w:charSpace="0"/>
        </w:sectPr>
      </w:pPr>
      <w:bookmarkStart w:id="398" w:name="_Toc16766"/>
      <w:r>
        <w:rPr>
          <w:rFonts w:hint="eastAsia" w:ascii="宋体" w:hAnsi="宋体"/>
          <w:kern w:val="0"/>
        </w:rPr>
        <w:t>第四章  合同条款及</w:t>
      </w:r>
      <w:bookmarkEnd w:id="394"/>
      <w:bookmarkEnd w:id="395"/>
      <w:bookmarkEnd w:id="396"/>
      <w:bookmarkEnd w:id="397"/>
      <w:r>
        <w:rPr>
          <w:rFonts w:hint="eastAsia" w:ascii="宋体" w:hAnsi="宋体"/>
          <w:kern w:val="0"/>
          <w:lang w:val="en-US" w:eastAsia="zh-CN"/>
        </w:rPr>
        <w:t>格式</w:t>
      </w:r>
      <w:bookmarkEnd w:id="398"/>
    </w:p>
    <w:p w14:paraId="465ADC4F">
      <w:pPr>
        <w:spacing w:before="120" w:beforeLines="50" w:line="240" w:lineRule="auto"/>
        <w:jc w:val="center"/>
        <w:rPr>
          <w:rFonts w:eastAsia="黑体"/>
          <w:color w:val="000000"/>
          <w:sz w:val="84"/>
        </w:rPr>
      </w:pPr>
      <w:r>
        <w:rPr>
          <w:rFonts w:hint="eastAsia" w:eastAsia="黑体"/>
          <w:color w:val="000000"/>
          <w:sz w:val="72"/>
          <w:szCs w:val="72"/>
        </w:rPr>
        <w:t>信用评级委托协议书</w:t>
      </w:r>
    </w:p>
    <w:p w14:paraId="3B072887">
      <w:pPr>
        <w:spacing w:before="120" w:beforeLines="50" w:line="240" w:lineRule="auto"/>
        <w:rPr>
          <w:b/>
          <w:color w:val="000000"/>
          <w:sz w:val="48"/>
          <w:szCs w:val="48"/>
        </w:rPr>
      </w:pPr>
      <w:r>
        <w:rPr>
          <w:color w:val="000000"/>
        </w:rPr>
        <w:t xml:space="preserve">            </w:t>
      </w:r>
    </w:p>
    <w:p w14:paraId="313D07E8">
      <w:pPr>
        <w:spacing w:before="120" w:beforeLines="50" w:line="240" w:lineRule="auto"/>
        <w:rPr>
          <w:color w:val="000000"/>
        </w:rPr>
      </w:pPr>
    </w:p>
    <w:p w14:paraId="60B54736">
      <w:pPr>
        <w:spacing w:before="120" w:beforeLines="50" w:line="240" w:lineRule="auto"/>
        <w:rPr>
          <w:color w:val="000000"/>
        </w:rPr>
      </w:pPr>
    </w:p>
    <w:p w14:paraId="79219B4D">
      <w:pPr>
        <w:spacing w:before="120" w:beforeLines="50" w:line="240" w:lineRule="auto"/>
        <w:rPr>
          <w:color w:val="000000"/>
        </w:rPr>
      </w:pPr>
    </w:p>
    <w:p w14:paraId="0EA864DF">
      <w:pPr>
        <w:spacing w:before="120" w:beforeLines="50" w:line="240" w:lineRule="auto"/>
        <w:rPr>
          <w:color w:val="000000"/>
        </w:rPr>
      </w:pPr>
    </w:p>
    <w:p w14:paraId="2F99B723">
      <w:pPr>
        <w:tabs>
          <w:tab w:val="left" w:pos="0"/>
        </w:tabs>
        <w:spacing w:before="120" w:beforeLines="50" w:line="240" w:lineRule="auto"/>
        <w:ind w:firstLine="902"/>
        <w:rPr>
          <w:rFonts w:hint="eastAsia" w:eastAsia="黑体"/>
          <w:color w:val="000000"/>
          <w:sz w:val="32"/>
        </w:rPr>
      </w:pPr>
    </w:p>
    <w:p w14:paraId="7C76E23A">
      <w:pPr>
        <w:tabs>
          <w:tab w:val="left" w:pos="0"/>
        </w:tabs>
        <w:spacing w:before="120" w:beforeLines="50" w:line="240" w:lineRule="auto"/>
        <w:ind w:firstLine="902"/>
        <w:rPr>
          <w:rFonts w:hint="eastAsia" w:ascii="黑体" w:eastAsia="黑体"/>
          <w:color w:val="000000"/>
          <w:sz w:val="32"/>
        </w:rPr>
      </w:pPr>
      <w:r>
        <w:rPr>
          <w:rFonts w:hint="eastAsia" w:eastAsia="黑体"/>
          <w:color w:val="000000"/>
          <w:sz w:val="32"/>
        </w:rPr>
        <w:t>委托项目名称：主体信用评级</w:t>
      </w:r>
    </w:p>
    <w:p w14:paraId="6422F894">
      <w:pPr>
        <w:tabs>
          <w:tab w:val="left" w:pos="0"/>
        </w:tabs>
        <w:spacing w:before="120" w:beforeLines="50" w:line="240" w:lineRule="auto"/>
        <w:ind w:firstLine="902"/>
        <w:rPr>
          <w:rFonts w:hint="eastAsia" w:eastAsia="黑体"/>
          <w:color w:val="000000"/>
          <w:sz w:val="32"/>
        </w:rPr>
      </w:pPr>
      <w:r>
        <w:rPr>
          <w:rFonts w:hint="eastAsia" w:eastAsia="黑体"/>
          <w:color w:val="000000"/>
          <w:sz w:val="32"/>
        </w:rPr>
        <w:t>委托方</w:t>
      </w:r>
      <w:r>
        <w:rPr>
          <w:rFonts w:eastAsia="黑体"/>
          <w:color w:val="000000"/>
          <w:sz w:val="32"/>
        </w:rPr>
        <w:t>(</w:t>
      </w:r>
      <w:r>
        <w:rPr>
          <w:rFonts w:hint="eastAsia" w:eastAsia="黑体"/>
          <w:color w:val="000000"/>
          <w:sz w:val="32"/>
        </w:rPr>
        <w:t>甲方</w:t>
      </w:r>
      <w:r>
        <w:rPr>
          <w:rFonts w:eastAsia="黑体"/>
          <w:color w:val="000000"/>
          <w:sz w:val="32"/>
        </w:rPr>
        <w:t>)</w:t>
      </w:r>
      <w:r>
        <w:rPr>
          <w:rFonts w:hint="eastAsia" w:eastAsia="黑体"/>
          <w:color w:val="000000"/>
          <w:sz w:val="32"/>
        </w:rPr>
        <w:t>： 重庆经开区投资集团有限公司</w:t>
      </w:r>
    </w:p>
    <w:p w14:paraId="75903598">
      <w:pPr>
        <w:tabs>
          <w:tab w:val="left" w:pos="0"/>
        </w:tabs>
        <w:spacing w:before="120" w:beforeLines="50" w:line="240" w:lineRule="auto"/>
        <w:ind w:firstLine="902"/>
        <w:rPr>
          <w:rFonts w:eastAsia="楷体_GB2312"/>
          <w:color w:val="000000"/>
          <w:sz w:val="32"/>
        </w:rPr>
      </w:pPr>
      <w:r>
        <w:rPr>
          <w:rFonts w:hint="eastAsia" w:eastAsia="黑体"/>
          <w:color w:val="000000"/>
          <w:sz w:val="32"/>
        </w:rPr>
        <w:t>受托方</w:t>
      </w:r>
      <w:r>
        <w:rPr>
          <w:rFonts w:eastAsia="黑体"/>
          <w:color w:val="000000"/>
          <w:sz w:val="32"/>
        </w:rPr>
        <w:t>(</w:t>
      </w:r>
      <w:r>
        <w:rPr>
          <w:rFonts w:hint="eastAsia" w:eastAsia="黑体"/>
          <w:color w:val="000000"/>
          <w:sz w:val="32"/>
        </w:rPr>
        <w:t>乙方</w:t>
      </w:r>
      <w:r>
        <w:rPr>
          <w:rFonts w:eastAsia="黑体"/>
          <w:color w:val="000000"/>
          <w:sz w:val="32"/>
        </w:rPr>
        <w:t>)</w:t>
      </w:r>
      <w:r>
        <w:rPr>
          <w:rFonts w:hint="eastAsia" w:eastAsia="黑体"/>
          <w:color w:val="000000"/>
          <w:sz w:val="32"/>
        </w:rPr>
        <w:t xml:space="preserve">： </w:t>
      </w:r>
    </w:p>
    <w:p w14:paraId="282C1F97">
      <w:pPr>
        <w:tabs>
          <w:tab w:val="left" w:pos="0"/>
        </w:tabs>
        <w:spacing w:before="120" w:beforeLines="50" w:line="240" w:lineRule="auto"/>
        <w:ind w:firstLine="902"/>
        <w:rPr>
          <w:rFonts w:eastAsia="楷体_GB2312"/>
          <w:b/>
          <w:color w:val="000000"/>
          <w:sz w:val="32"/>
        </w:rPr>
      </w:pPr>
    </w:p>
    <w:p w14:paraId="2018B658">
      <w:pPr>
        <w:tabs>
          <w:tab w:val="left" w:pos="0"/>
        </w:tabs>
        <w:spacing w:before="120" w:beforeLines="50" w:line="240" w:lineRule="auto"/>
        <w:rPr>
          <w:rFonts w:hint="eastAsia" w:eastAsia="黑体"/>
          <w:color w:val="000000"/>
          <w:sz w:val="32"/>
        </w:rPr>
      </w:pPr>
    </w:p>
    <w:p w14:paraId="2BB252B4">
      <w:pPr>
        <w:tabs>
          <w:tab w:val="left" w:pos="0"/>
        </w:tabs>
        <w:spacing w:before="120" w:beforeLines="50" w:line="240" w:lineRule="auto"/>
        <w:rPr>
          <w:rFonts w:hint="eastAsia" w:eastAsia="黑体"/>
          <w:color w:val="000000"/>
          <w:sz w:val="32"/>
        </w:rPr>
      </w:pPr>
    </w:p>
    <w:p w14:paraId="29A92FD4">
      <w:pPr>
        <w:tabs>
          <w:tab w:val="left" w:pos="0"/>
        </w:tabs>
        <w:spacing w:before="120" w:beforeLines="50" w:line="240" w:lineRule="auto"/>
        <w:rPr>
          <w:rFonts w:hint="eastAsia" w:eastAsia="黑体"/>
          <w:color w:val="000000"/>
          <w:sz w:val="32"/>
        </w:rPr>
      </w:pPr>
      <w:r>
        <w:rPr>
          <w:rFonts w:eastAsia="黑体"/>
          <w:color w:val="000000"/>
          <w:sz w:val="32"/>
        </w:rPr>
        <w:t xml:space="preserve">     </w:t>
      </w:r>
    </w:p>
    <w:p w14:paraId="35810C09">
      <w:pPr>
        <w:tabs>
          <w:tab w:val="left" w:pos="0"/>
        </w:tabs>
        <w:spacing w:before="120" w:beforeLines="50" w:line="240" w:lineRule="auto"/>
        <w:rPr>
          <w:rFonts w:eastAsia="黑体"/>
          <w:color w:val="000000"/>
          <w:sz w:val="32"/>
        </w:rPr>
      </w:pPr>
      <w:r>
        <w:rPr>
          <w:rFonts w:eastAsia="黑体"/>
          <w:color w:val="000000"/>
          <w:sz w:val="32"/>
        </w:rPr>
        <w:t xml:space="preserve">   </w:t>
      </w:r>
    </w:p>
    <w:p w14:paraId="71163606">
      <w:pPr>
        <w:spacing w:before="120" w:beforeLines="50" w:line="240" w:lineRule="auto"/>
        <w:ind w:firstLine="902"/>
        <w:rPr>
          <w:rFonts w:hint="eastAsia" w:eastAsia="黑体"/>
          <w:color w:val="000000"/>
          <w:sz w:val="32"/>
          <w:lang w:val="en-US" w:eastAsia="zh-CN"/>
        </w:rPr>
      </w:pPr>
      <w:r>
        <w:rPr>
          <w:color w:val="000000"/>
          <w:sz w:val="32"/>
        </w:rPr>
        <mc:AlternateContent>
          <mc:Choice Requires="wps">
            <w:drawing>
              <wp:anchor distT="0" distB="0" distL="114300" distR="114300" simplePos="0" relativeHeight="251659264" behindDoc="0" locked="0" layoutInCell="0" allowOverlap="1">
                <wp:simplePos x="0" y="0"/>
                <wp:positionH relativeFrom="column">
                  <wp:posOffset>1496695</wp:posOffset>
                </wp:positionH>
                <wp:positionV relativeFrom="paragraph">
                  <wp:posOffset>425450</wp:posOffset>
                </wp:positionV>
                <wp:extent cx="297243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97243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85pt;margin-top:33.5pt;height:0.05pt;width:234.05pt;z-index:251659264;mso-width-relative:page;mso-height-relative:page;" filled="f" stroked="t" coordsize="21600,21600" o:allowincell="f" o:gfxdata="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UYPH2AAAAAkBAAAPAAAAAAAAAAEAIAAAACIAAABkcnMvZG93bnJldi54bWxQ&#10;SwECFAAUAAAACACHTuJAh5T0O/cBAADnAwAADgAAAAAAAAABACAAAAAnAQAAZHJzL2Uyb0RvYy54&#10;bWxQSwUGAAAAAAYABgBZAQAAkAUAAAAA&#10;">
                <v:fill on="f" focussize="0,0"/>
                <v:stroke weight="1pt" color="#000000" joinstyle="round"/>
                <v:imagedata o:title=""/>
                <o:lock v:ext="edit" aspectratio="f"/>
              </v:line>
            </w:pict>
          </mc:Fallback>
        </mc:AlternateContent>
      </w:r>
      <w:r>
        <w:rPr>
          <w:rFonts w:hint="eastAsia" w:eastAsia="黑体"/>
          <w:color w:val="000000"/>
          <w:sz w:val="32"/>
        </w:rPr>
        <w:t>签订地点：        重庆</w:t>
      </w:r>
      <w:r>
        <w:rPr>
          <w:rFonts w:hint="eastAsia" w:eastAsia="黑体"/>
          <w:color w:val="000000"/>
          <w:sz w:val="32"/>
          <w:lang w:val="en-US" w:eastAsia="zh-CN"/>
        </w:rPr>
        <w:t>经开区</w:t>
      </w:r>
    </w:p>
    <w:p w14:paraId="1F2034C4">
      <w:pPr>
        <w:spacing w:before="120" w:beforeLines="50" w:line="240" w:lineRule="auto"/>
        <w:ind w:firstLine="902"/>
        <w:rPr>
          <w:rFonts w:hint="eastAsia" w:eastAsia="黑体"/>
          <w:color w:val="000000"/>
          <w:sz w:val="32"/>
        </w:rPr>
      </w:pPr>
    </w:p>
    <w:p w14:paraId="049181D6">
      <w:pPr>
        <w:spacing w:before="120" w:beforeLines="50" w:line="240" w:lineRule="auto"/>
        <w:ind w:firstLine="902"/>
        <w:rPr>
          <w:rFonts w:eastAsia="黑体"/>
          <w:color w:val="000000"/>
          <w:sz w:val="32"/>
        </w:rPr>
      </w:pPr>
      <w:r>
        <w:rPr>
          <w:color w:val="000000"/>
          <w:sz w:val="32"/>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391795</wp:posOffset>
                </wp:positionV>
                <wp:extent cx="29724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97243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pt;margin-top:30.85pt;height:0.05pt;width:234.05pt;z-index:251660288;mso-width-relative:page;mso-height-relative:page;" filled="f" stroked="t" coordsize="21600,21600" o:allowincell="f" o:gfxdata="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O9ZK3YAAAACQEAAA8AAAAAAAAAAQAgAAAAIgAAAGRycy9kb3ducmV2LnhtbFBL&#10;AQIUABQAAAAIAIdO4kCASsbq9gEAAOcDAAAOAAAAAAAAAAEAIAAAACcBAABkcnMvZTJvRG9jLnht&#10;bFBLBQYAAAAABgAGAFkBAACPBQAAAAA=&#10;">
                <v:fill on="f" focussize="0,0"/>
                <v:stroke weight="1pt" color="#000000" joinstyle="round"/>
                <v:imagedata o:title=""/>
                <o:lock v:ext="edit" aspectratio="f"/>
              </v:line>
            </w:pict>
          </mc:Fallback>
        </mc:AlternateContent>
      </w:r>
      <w:r>
        <w:rPr>
          <w:rFonts w:hint="eastAsia" w:eastAsia="黑体"/>
          <w:color w:val="000000"/>
          <w:sz w:val="32"/>
        </w:rPr>
        <w:t xml:space="preserve">签订时间：     </w:t>
      </w:r>
      <w:r>
        <w:rPr>
          <w:rFonts w:eastAsia="黑体"/>
          <w:color w:val="000000"/>
          <w:sz w:val="32"/>
        </w:rPr>
        <w:t xml:space="preserve">  </w:t>
      </w:r>
      <w:r>
        <w:rPr>
          <w:rFonts w:hint="eastAsia" w:eastAsia="黑体"/>
          <w:color w:val="000000"/>
          <w:sz w:val="32"/>
        </w:rPr>
        <w:t>2025年  月  日</w:t>
      </w:r>
    </w:p>
    <w:p w14:paraId="48963CA9">
      <w:pPr>
        <w:spacing w:before="120" w:beforeLines="50" w:line="240" w:lineRule="auto"/>
        <w:rPr>
          <w:rFonts w:hint="eastAsia" w:ascii="宋体" w:hAnsi="宋体"/>
          <w:b/>
          <w:color w:val="000000"/>
          <w:sz w:val="24"/>
          <w:szCs w:val="24"/>
        </w:rPr>
      </w:pPr>
      <w:r>
        <w:rPr>
          <w:rFonts w:eastAsia="黑体"/>
          <w:color w:val="000000"/>
          <w:sz w:val="32"/>
        </w:rPr>
        <w:br w:type="page"/>
      </w:r>
      <w:r>
        <w:rPr>
          <w:rFonts w:hint="eastAsia" w:ascii="宋体" w:hAnsi="宋体"/>
          <w:b/>
          <w:color w:val="000000"/>
          <w:sz w:val="24"/>
          <w:szCs w:val="24"/>
        </w:rPr>
        <w:t>委托方：重庆经开区投资集团有限公司 （以下简称甲方）</w:t>
      </w:r>
    </w:p>
    <w:p w14:paraId="047DEEA2">
      <w:pPr>
        <w:spacing w:before="120" w:beforeLines="50" w:line="240" w:lineRule="auto"/>
        <w:rPr>
          <w:rFonts w:hint="eastAsia" w:ascii="宋体" w:hAnsi="宋体"/>
          <w:color w:val="000000"/>
          <w:sz w:val="24"/>
          <w:szCs w:val="24"/>
        </w:rPr>
      </w:pPr>
      <w:r>
        <w:rPr>
          <w:rFonts w:hint="eastAsia" w:ascii="宋体" w:hAnsi="宋体"/>
          <w:color w:val="000000"/>
          <w:sz w:val="24"/>
          <w:szCs w:val="24"/>
        </w:rPr>
        <w:t>住所地：重庆市南岸区江桥路1号附1号</w:t>
      </w:r>
    </w:p>
    <w:p w14:paraId="2F9E6533">
      <w:pPr>
        <w:spacing w:before="120" w:beforeLines="50" w:line="240" w:lineRule="auto"/>
        <w:rPr>
          <w:rFonts w:hint="eastAsia" w:ascii="宋体" w:hAnsi="宋体"/>
          <w:color w:val="000000"/>
          <w:sz w:val="24"/>
          <w:szCs w:val="24"/>
        </w:rPr>
      </w:pPr>
      <w:r>
        <w:rPr>
          <w:rFonts w:hint="eastAsia" w:ascii="宋体" w:hAnsi="宋体"/>
          <w:color w:val="000000"/>
          <w:sz w:val="24"/>
          <w:szCs w:val="24"/>
        </w:rPr>
        <w:t>法定代表人：陈松</w:t>
      </w:r>
    </w:p>
    <w:p w14:paraId="27F5EF8E">
      <w:pPr>
        <w:spacing w:before="120" w:beforeLines="50" w:line="240" w:lineRule="auto"/>
        <w:rPr>
          <w:rFonts w:hint="eastAsia" w:ascii="宋体" w:hAnsi="宋体"/>
          <w:color w:val="000000"/>
          <w:sz w:val="24"/>
          <w:szCs w:val="24"/>
        </w:rPr>
      </w:pPr>
      <w:r>
        <w:rPr>
          <w:rFonts w:hint="eastAsia" w:ascii="宋体" w:hAnsi="宋体"/>
          <w:color w:val="000000"/>
          <w:sz w:val="24"/>
          <w:szCs w:val="24"/>
        </w:rPr>
        <w:t>联系电话：</w:t>
      </w:r>
      <w:r>
        <w:rPr>
          <w:rFonts w:ascii="宋体" w:hAnsi="宋体"/>
          <w:color w:val="000000"/>
          <w:sz w:val="24"/>
          <w:szCs w:val="24"/>
        </w:rPr>
        <w:t>02362973990</w:t>
      </w:r>
    </w:p>
    <w:p w14:paraId="0003AC8B">
      <w:pPr>
        <w:spacing w:before="120" w:beforeLines="50" w:line="240" w:lineRule="auto"/>
        <w:rPr>
          <w:rFonts w:hint="eastAsia" w:ascii="宋体" w:hAnsi="宋体"/>
          <w:color w:val="000000"/>
          <w:sz w:val="24"/>
          <w:szCs w:val="24"/>
        </w:rPr>
      </w:pPr>
    </w:p>
    <w:p w14:paraId="7810AC50">
      <w:pPr>
        <w:spacing w:before="120" w:beforeLines="50" w:line="240" w:lineRule="auto"/>
        <w:rPr>
          <w:rFonts w:hint="eastAsia" w:ascii="宋体" w:hAnsi="宋体"/>
          <w:b/>
          <w:color w:val="000000"/>
          <w:sz w:val="24"/>
          <w:szCs w:val="24"/>
        </w:rPr>
      </w:pPr>
      <w:r>
        <w:rPr>
          <w:rFonts w:hint="eastAsia" w:ascii="宋体" w:hAnsi="宋体"/>
          <w:b/>
          <w:color w:val="000000"/>
          <w:sz w:val="24"/>
          <w:szCs w:val="24"/>
        </w:rPr>
        <w:t xml:space="preserve">受托方： </w:t>
      </w:r>
      <w:r>
        <w:rPr>
          <w:rFonts w:ascii="宋体" w:hAnsi="宋体"/>
          <w:b/>
          <w:color w:val="000000"/>
          <w:sz w:val="24"/>
          <w:szCs w:val="24"/>
        </w:rPr>
        <w:t xml:space="preserve">    </w:t>
      </w:r>
      <w:r>
        <w:rPr>
          <w:rFonts w:hint="eastAsia" w:ascii="宋体" w:hAnsi="宋体"/>
          <w:b/>
          <w:color w:val="000000"/>
          <w:sz w:val="24"/>
          <w:szCs w:val="24"/>
        </w:rPr>
        <w:t>（以下简称乙方）</w:t>
      </w:r>
    </w:p>
    <w:p w14:paraId="11026D18">
      <w:pPr>
        <w:spacing w:before="120" w:beforeLines="50" w:line="240" w:lineRule="auto"/>
        <w:rPr>
          <w:rFonts w:hint="eastAsia" w:ascii="宋体" w:hAnsi="宋体"/>
          <w:color w:val="000000"/>
          <w:sz w:val="24"/>
          <w:szCs w:val="24"/>
        </w:rPr>
      </w:pPr>
      <w:r>
        <w:rPr>
          <w:rFonts w:hint="eastAsia" w:ascii="宋体" w:hAnsi="宋体"/>
          <w:color w:val="000000"/>
          <w:sz w:val="24"/>
          <w:szCs w:val="24"/>
        </w:rPr>
        <w:t xml:space="preserve">住所地： </w:t>
      </w:r>
    </w:p>
    <w:p w14:paraId="142E3E9D">
      <w:pPr>
        <w:spacing w:before="120" w:beforeLines="50" w:line="240" w:lineRule="auto"/>
        <w:rPr>
          <w:rFonts w:hint="eastAsia" w:ascii="宋体" w:hAnsi="宋体"/>
          <w:color w:val="000000"/>
          <w:sz w:val="24"/>
          <w:szCs w:val="24"/>
        </w:rPr>
      </w:pPr>
      <w:r>
        <w:rPr>
          <w:rFonts w:hint="eastAsia" w:ascii="宋体" w:hAnsi="宋体"/>
          <w:color w:val="000000"/>
          <w:sz w:val="24"/>
          <w:szCs w:val="24"/>
        </w:rPr>
        <w:t xml:space="preserve">法定代表人： </w:t>
      </w:r>
    </w:p>
    <w:p w14:paraId="6012D230">
      <w:pPr>
        <w:spacing w:before="120" w:beforeLines="50" w:line="240" w:lineRule="auto"/>
        <w:rPr>
          <w:rFonts w:hint="eastAsia" w:ascii="宋体" w:hAnsi="宋体"/>
          <w:color w:val="000000"/>
          <w:sz w:val="24"/>
          <w:szCs w:val="24"/>
        </w:rPr>
      </w:pPr>
      <w:r>
        <w:rPr>
          <w:rFonts w:hint="eastAsia" w:ascii="宋体" w:hAnsi="宋体"/>
          <w:color w:val="000000"/>
          <w:sz w:val="24"/>
          <w:szCs w:val="24"/>
        </w:rPr>
        <w:t>联系电话：</w:t>
      </w:r>
      <w:r>
        <w:rPr>
          <w:rFonts w:ascii="宋体" w:hAnsi="宋体"/>
          <w:color w:val="000000"/>
          <w:sz w:val="24"/>
          <w:szCs w:val="24"/>
        </w:rPr>
        <w:t xml:space="preserve"> </w:t>
      </w:r>
    </w:p>
    <w:p w14:paraId="256C1C45">
      <w:pPr>
        <w:spacing w:before="120" w:beforeLines="50" w:line="240" w:lineRule="auto"/>
        <w:rPr>
          <w:rFonts w:hint="eastAsia" w:ascii="宋体" w:hAnsi="宋体"/>
          <w:color w:val="000000"/>
          <w:sz w:val="24"/>
        </w:rPr>
      </w:pPr>
    </w:p>
    <w:p w14:paraId="64707F14">
      <w:pPr>
        <w:spacing w:before="120" w:beforeLines="50" w:line="240" w:lineRule="auto"/>
        <w:rPr>
          <w:rFonts w:hint="eastAsia" w:ascii="宋体" w:hAnsi="宋体"/>
          <w:color w:val="000000"/>
          <w:sz w:val="24"/>
        </w:rPr>
      </w:pPr>
      <w:r>
        <w:rPr>
          <w:rFonts w:hint="eastAsia" w:ascii="宋体" w:hAnsi="宋体"/>
          <w:color w:val="000000"/>
          <w:sz w:val="24"/>
        </w:rPr>
        <w:t>甲方和乙方</w:t>
      </w:r>
      <w:r>
        <w:rPr>
          <w:rFonts w:ascii="宋体" w:hAnsi="宋体"/>
          <w:color w:val="000000"/>
          <w:sz w:val="24"/>
        </w:rPr>
        <w:t>以下合称为“双方”或单独称为“一方”。</w:t>
      </w:r>
    </w:p>
    <w:p w14:paraId="3A93BFD4">
      <w:pPr>
        <w:spacing w:before="120" w:beforeLines="50" w:line="240" w:lineRule="auto"/>
        <w:rPr>
          <w:rFonts w:hint="eastAsia" w:ascii="宋体" w:hAnsi="宋体"/>
          <w:color w:val="000000"/>
          <w:sz w:val="24"/>
        </w:rPr>
      </w:pPr>
    </w:p>
    <w:p w14:paraId="09279A67">
      <w:pPr>
        <w:spacing w:before="120" w:beforeLines="50" w:line="360" w:lineRule="auto"/>
        <w:rPr>
          <w:rFonts w:hint="eastAsia" w:ascii="宋体" w:hAnsi="宋体"/>
          <w:b/>
          <w:color w:val="000000"/>
          <w:sz w:val="24"/>
        </w:rPr>
      </w:pPr>
      <w:r>
        <w:rPr>
          <w:rFonts w:ascii="宋体" w:hAnsi="宋体"/>
          <w:b/>
          <w:color w:val="000000"/>
          <w:sz w:val="24"/>
        </w:rPr>
        <w:t>鉴于：</w:t>
      </w:r>
    </w:p>
    <w:p w14:paraId="192F1388">
      <w:pPr>
        <w:spacing w:before="120" w:beforeLines="50" w:line="360" w:lineRule="auto"/>
        <w:ind w:left="567" w:hanging="567"/>
        <w:rPr>
          <w:rFonts w:hint="eastAsia" w:ascii="宋体" w:hAnsi="宋体"/>
          <w:color w:val="0070C0"/>
          <w:sz w:val="24"/>
        </w:rPr>
      </w:pPr>
      <w:r>
        <w:rPr>
          <w:rFonts w:ascii="宋体" w:hAnsi="宋体"/>
          <w:color w:val="000000"/>
          <w:sz w:val="24"/>
        </w:rPr>
        <w:t>(A)</w:t>
      </w:r>
      <w:r>
        <w:rPr>
          <w:rFonts w:hint="eastAsia" w:ascii="宋体" w:hAnsi="宋体"/>
          <w:sz w:val="24"/>
        </w:rPr>
        <w:t>甲方拟委托乙方进行主体信用评级；</w:t>
      </w:r>
    </w:p>
    <w:p w14:paraId="4660643B">
      <w:pPr>
        <w:widowControl/>
        <w:snapToGrid w:val="0"/>
        <w:spacing w:before="120" w:beforeLines="50" w:after="120" w:afterLines="50" w:line="360" w:lineRule="auto"/>
        <w:ind w:left="425" w:hanging="424" w:hangingChars="177"/>
        <w:rPr>
          <w:rFonts w:hint="eastAsia" w:ascii="宋体" w:hAnsi="宋体"/>
          <w:color w:val="0070C0"/>
          <w:sz w:val="24"/>
          <w:szCs w:val="24"/>
        </w:rPr>
      </w:pPr>
      <w:r>
        <w:rPr>
          <w:rFonts w:ascii="宋体" w:hAnsi="宋体"/>
          <w:color w:val="000000"/>
          <w:sz w:val="24"/>
        </w:rPr>
        <w:t>(B)</w:t>
      </w:r>
      <w:r>
        <w:rPr>
          <w:rFonts w:hint="eastAsia" w:ascii="宋体" w:hAnsi="宋体"/>
          <w:sz w:val="24"/>
          <w:szCs w:val="24"/>
        </w:rPr>
        <w:t>乙方愿意接受甲方委托对甲方进行主体信用评级。</w:t>
      </w:r>
    </w:p>
    <w:p w14:paraId="65E4885C">
      <w:pPr>
        <w:spacing w:before="120" w:beforeLines="50" w:line="360" w:lineRule="auto"/>
        <w:ind w:firstLine="540"/>
        <w:rPr>
          <w:rFonts w:hint="eastAsia" w:ascii="宋体" w:hAnsi="宋体"/>
          <w:color w:val="000000"/>
          <w:sz w:val="24"/>
        </w:rPr>
      </w:pPr>
      <w:r>
        <w:rPr>
          <w:rFonts w:hint="eastAsia" w:ascii="宋体" w:hAnsi="宋体"/>
          <w:color w:val="000000"/>
          <w:sz w:val="24"/>
        </w:rPr>
        <w:t>经友好协商，并根据适用的法律法规的规定，双方就信用评级的有关事项达成以下协议，以资共同遵守：</w:t>
      </w:r>
    </w:p>
    <w:p w14:paraId="54763526">
      <w:pPr>
        <w:spacing w:before="120" w:beforeLines="50" w:line="360" w:lineRule="auto"/>
        <w:ind w:firstLine="472" w:firstLineChars="196"/>
        <w:rPr>
          <w:rFonts w:hint="eastAsia" w:ascii="黑体" w:hAnsi="宋体" w:eastAsia="黑体"/>
          <w:b/>
          <w:color w:val="000000"/>
          <w:sz w:val="24"/>
        </w:rPr>
      </w:pPr>
      <w:r>
        <w:rPr>
          <w:rFonts w:hint="eastAsia" w:ascii="黑体" w:hAnsi="宋体" w:eastAsia="黑体"/>
          <w:b/>
          <w:color w:val="000000"/>
          <w:sz w:val="24"/>
        </w:rPr>
        <w:t>第一条  委托事项</w:t>
      </w:r>
    </w:p>
    <w:p w14:paraId="156719FB">
      <w:pPr>
        <w:spacing w:before="120" w:beforeLines="50" w:line="360" w:lineRule="auto"/>
        <w:ind w:firstLine="480" w:firstLineChars="200"/>
        <w:rPr>
          <w:rFonts w:ascii="宋体" w:hAnsi="宋体"/>
          <w:sz w:val="24"/>
        </w:rPr>
      </w:pPr>
      <w:r>
        <w:rPr>
          <w:rFonts w:hint="eastAsia" w:ascii="宋体" w:hAnsi="宋体"/>
          <w:color w:val="000000"/>
          <w:sz w:val="24"/>
        </w:rPr>
        <w:t>1.</w:t>
      </w:r>
      <w:r>
        <w:rPr>
          <w:rFonts w:ascii="宋体" w:hAnsi="宋体"/>
          <w:color w:val="000000"/>
          <w:sz w:val="24"/>
        </w:rPr>
        <w:t>1</w:t>
      </w:r>
      <w:r>
        <w:rPr>
          <w:rFonts w:hint="eastAsia" w:ascii="宋体" w:hAnsi="宋体"/>
          <w:sz w:val="24"/>
        </w:rPr>
        <w:t>甲方委托乙方承做甲方的主体</w:t>
      </w:r>
      <w:r>
        <w:rPr>
          <w:rFonts w:ascii="宋体" w:hAnsi="宋体"/>
          <w:sz w:val="24"/>
        </w:rPr>
        <w:t>信用</w:t>
      </w:r>
      <w:r>
        <w:rPr>
          <w:rFonts w:hint="eastAsia" w:ascii="宋体" w:hAnsi="宋体"/>
          <w:sz w:val="24"/>
        </w:rPr>
        <w:t>评级。乙方应向甲方或甲方指定的第三方提交主体信用评级报告，包括简化版报告和报告全文。评级报告中应载明主体信用评级结果。</w:t>
      </w:r>
    </w:p>
    <w:p w14:paraId="01CF2EC0">
      <w:pPr>
        <w:spacing w:before="120" w:beforeLines="50" w:line="360" w:lineRule="auto"/>
        <w:ind w:firstLine="480" w:firstLineChars="200"/>
        <w:rPr>
          <w:rFonts w:hint="eastAsia" w:ascii="宋体" w:hAnsi="宋体"/>
          <w:sz w:val="24"/>
        </w:rPr>
      </w:pPr>
      <w:r>
        <w:rPr>
          <w:rFonts w:hint="eastAsia" w:ascii="宋体" w:hAnsi="宋体"/>
          <w:sz w:val="24"/>
        </w:rPr>
        <w:t>主体信用评级结果有效期为一年，自主体信用评级结果首次出具日开始计算。为避免疑义，乙方根据监管要求对甲方的主体信用状况进行不定期跟踪评级，并根据不定期跟踪评级的情况对评级结果进行调整，不视为对主体信用评级结果有效期的延长。</w:t>
      </w:r>
    </w:p>
    <w:p w14:paraId="2D61AA25">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评级报告交付时间：在满足监管机构对于评级机构出具正式评级报告的最低时限要求，且甲方向乙方提供完备评级资料的前提下，从初评工作开始日到信用评级报告初稿完成日不</w:t>
      </w:r>
      <w:r>
        <w:rPr>
          <w:rFonts w:ascii="宋体" w:hAnsi="宋体"/>
          <w:color w:val="000000"/>
          <w:sz w:val="24"/>
        </w:rPr>
        <w:t>超过3</w:t>
      </w:r>
      <w:r>
        <w:rPr>
          <w:rFonts w:hint="eastAsia" w:ascii="宋体" w:hAnsi="宋体"/>
          <w:color w:val="000000"/>
          <w:sz w:val="24"/>
        </w:rPr>
        <w:t>0天。</w:t>
      </w:r>
    </w:p>
    <w:p w14:paraId="1CA5BA11">
      <w:pPr>
        <w:widowControl/>
        <w:tabs>
          <w:tab w:val="left" w:pos="709"/>
          <w:tab w:val="left" w:pos="1428"/>
          <w:tab w:val="left" w:pos="2126"/>
          <w:tab w:val="left" w:pos="2835"/>
          <w:tab w:val="left" w:pos="3544"/>
          <w:tab w:val="left" w:pos="4253"/>
          <w:tab w:val="left" w:pos="4961"/>
          <w:tab w:val="left" w:pos="5670"/>
          <w:tab w:val="right" w:pos="8363"/>
        </w:tabs>
        <w:adjustRightInd/>
        <w:spacing w:before="120" w:beforeLines="50" w:line="360" w:lineRule="auto"/>
        <w:ind w:firstLine="480" w:firstLineChars="200"/>
        <w:textAlignment w:val="auto"/>
        <w:rPr>
          <w:rFonts w:hint="eastAsia"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甲乙双方确认：乙方的评级为一种意见，而并非事实性陈述或推荐购买、持有或出售任何债券；双方均遵守评级独立性原则，甲方不应向乙方寻求任何顾问、咨询服务，乙方也无义务向甲方提供任何顾问、咨询服务。</w:t>
      </w:r>
    </w:p>
    <w:p w14:paraId="2B003037">
      <w:pPr>
        <w:spacing w:before="120" w:beforeLines="50" w:line="360" w:lineRule="auto"/>
        <w:ind w:firstLine="472" w:firstLineChars="196"/>
        <w:rPr>
          <w:rFonts w:hint="eastAsia" w:ascii="黑体" w:hAnsi="宋体" w:eastAsia="黑体"/>
          <w:b/>
          <w:color w:val="000000"/>
          <w:sz w:val="24"/>
        </w:rPr>
      </w:pPr>
      <w:r>
        <w:rPr>
          <w:rFonts w:hint="eastAsia" w:ascii="黑体" w:hAnsi="宋体" w:eastAsia="黑体"/>
          <w:b/>
          <w:color w:val="000000"/>
          <w:sz w:val="24"/>
        </w:rPr>
        <w:t>第二条  评级费用</w:t>
      </w:r>
    </w:p>
    <w:p w14:paraId="54C9328D">
      <w:pPr>
        <w:spacing w:before="120" w:beforeLines="50"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本协议项下</w:t>
      </w:r>
      <w:r>
        <w:rPr>
          <w:rFonts w:ascii="宋体" w:hAnsi="宋体"/>
          <w:color w:val="000000"/>
          <w:sz w:val="24"/>
        </w:rPr>
        <w:t>主体信用</w:t>
      </w:r>
      <w:r>
        <w:rPr>
          <w:rFonts w:hint="eastAsia" w:ascii="宋体" w:hAnsi="宋体"/>
          <w:color w:val="000000"/>
          <w:sz w:val="24"/>
        </w:rPr>
        <w:t>评级费用为</w:t>
      </w:r>
      <w:r>
        <w:rPr>
          <w:rFonts w:hint="eastAsia" w:ascii="宋体" w:hAnsi="宋体"/>
          <w:sz w:val="24"/>
        </w:rPr>
        <w:t>人民币</w:t>
      </w:r>
      <w:r>
        <w:rPr>
          <w:rFonts w:ascii="宋体" w:hAnsi="宋体"/>
          <w:sz w:val="24"/>
        </w:rPr>
        <w:t xml:space="preserve">   </w:t>
      </w:r>
      <w:r>
        <w:rPr>
          <w:rFonts w:hint="eastAsia" w:ascii="宋体" w:hAnsi="宋体"/>
          <w:sz w:val="24"/>
        </w:rPr>
        <w:t xml:space="preserve">万元（大写： </w:t>
      </w:r>
      <w:r>
        <w:rPr>
          <w:rFonts w:ascii="宋体" w:hAnsi="宋体"/>
          <w:sz w:val="24"/>
        </w:rPr>
        <w:t xml:space="preserve">  </w:t>
      </w:r>
      <w:r>
        <w:rPr>
          <w:rFonts w:hint="eastAsia" w:ascii="宋体" w:hAnsi="宋体"/>
          <w:sz w:val="24"/>
        </w:rPr>
        <w:t>），</w:t>
      </w:r>
      <w:r>
        <w:rPr>
          <w:rFonts w:hint="eastAsia" w:ascii="宋体" w:hAnsi="宋体"/>
          <w:color w:val="000000"/>
          <w:sz w:val="24"/>
        </w:rPr>
        <w:t>甲方应</w:t>
      </w:r>
      <w:r>
        <w:rPr>
          <w:rFonts w:ascii="宋体" w:hAnsi="宋体"/>
          <w:color w:val="000000"/>
          <w:sz w:val="24"/>
        </w:rPr>
        <w:t>于本协议</w:t>
      </w:r>
      <w:r>
        <w:rPr>
          <w:rFonts w:hint="eastAsia" w:ascii="宋体" w:hAnsi="宋体"/>
          <w:color w:val="000000"/>
          <w:sz w:val="24"/>
        </w:rPr>
        <w:t>生效</w:t>
      </w:r>
      <w:r>
        <w:rPr>
          <w:rFonts w:ascii="宋体" w:hAnsi="宋体"/>
          <w:color w:val="000000"/>
          <w:sz w:val="24"/>
        </w:rPr>
        <w:t>后</w:t>
      </w:r>
      <w:r>
        <w:rPr>
          <w:rFonts w:hint="eastAsia" w:ascii="宋体" w:hAnsi="宋体"/>
          <w:color w:val="000000"/>
          <w:sz w:val="24"/>
        </w:rPr>
        <w:t>5</w:t>
      </w:r>
      <w:r>
        <w:rPr>
          <w:rFonts w:ascii="宋体" w:hAnsi="宋体"/>
          <w:color w:val="000000"/>
          <w:sz w:val="24"/>
        </w:rPr>
        <w:t>日内</w:t>
      </w:r>
      <w:r>
        <w:rPr>
          <w:rFonts w:hint="eastAsia" w:ascii="宋体" w:hAnsi="宋体"/>
          <w:color w:val="000000"/>
          <w:sz w:val="24"/>
        </w:rPr>
        <w:t>并在乙方进场前将</w:t>
      </w:r>
      <w:r>
        <w:rPr>
          <w:rFonts w:hint="eastAsia" w:ascii="宋体" w:hAnsi="宋体"/>
          <w:color w:val="000000"/>
          <w:sz w:val="24"/>
          <w:lang w:val="en-US" w:eastAsia="zh-CN"/>
        </w:rPr>
        <w:t>当年</w:t>
      </w:r>
      <w:r>
        <w:rPr>
          <w:rFonts w:hint="eastAsia" w:ascii="宋体" w:hAnsi="宋体"/>
          <w:color w:val="000000"/>
          <w:sz w:val="24"/>
        </w:rPr>
        <w:t>费用一次性全额支付给乙方。</w:t>
      </w:r>
    </w:p>
    <w:p w14:paraId="0D0F0009">
      <w:pPr>
        <w:spacing w:before="120" w:beforeLines="50"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.2在</w:t>
      </w:r>
      <w:r>
        <w:rPr>
          <w:rFonts w:hint="eastAsia" w:ascii="宋体" w:hAnsi="宋体"/>
          <w:color w:val="000000"/>
          <w:sz w:val="24"/>
        </w:rPr>
        <w:t>乙方出具主体评级报告之后，若需要更新主体评级报告的财务数据或经营数据的，或者根据监管规定需进行定期跟踪评级的，甲方需另行支付费用，具体收费标准如下：</w:t>
      </w:r>
    </w:p>
    <w:p w14:paraId="3AD8A0BD">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.2.1</w:t>
      </w:r>
      <w:r>
        <w:rPr>
          <w:rFonts w:hint="eastAsia" w:ascii="宋体" w:hAnsi="宋体"/>
          <w:color w:val="000000"/>
          <w:sz w:val="24"/>
        </w:rPr>
        <w:t>若需要更新主体评级报告的财务数据或经营数据的, 更新评级费用为每一次人民币</w:t>
      </w:r>
      <w:r>
        <w:rPr>
          <w:rFonts w:ascii="宋体" w:hAnsi="宋体"/>
          <w:color w:val="000000"/>
          <w:sz w:val="24"/>
        </w:rPr>
        <w:t xml:space="preserve">   </w:t>
      </w:r>
      <w:r>
        <w:rPr>
          <w:rFonts w:hint="eastAsia" w:ascii="宋体" w:hAnsi="宋体"/>
          <w:color w:val="000000"/>
          <w:sz w:val="24"/>
        </w:rPr>
        <w:t xml:space="preserve">万元（大写： </w:t>
      </w:r>
      <w:r>
        <w:rPr>
          <w:rFonts w:ascii="宋体" w:hAnsi="宋体"/>
          <w:color w:val="000000"/>
          <w:sz w:val="24"/>
        </w:rPr>
        <w:t xml:space="preserve"> </w:t>
      </w:r>
      <w:r>
        <w:rPr>
          <w:rFonts w:hint="eastAsia" w:ascii="宋体" w:hAnsi="宋体"/>
          <w:color w:val="000000"/>
          <w:sz w:val="24"/>
        </w:rPr>
        <w:t>）, 甲方应于乙方启动当次更新评级程序之前将当次的更新评级费用全额支付给乙方。</w:t>
      </w:r>
    </w:p>
    <w:p w14:paraId="4B64191B">
      <w:pPr>
        <w:spacing w:before="120" w:beforeLines="50"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.2.2</w:t>
      </w:r>
      <w:r>
        <w:rPr>
          <w:rFonts w:hint="eastAsia" w:ascii="宋体" w:hAnsi="宋体"/>
          <w:color w:val="000000"/>
          <w:sz w:val="24"/>
        </w:rPr>
        <w:t>如根据监管规定，乙方应当对主体评级结果进行定期跟踪评级的，则甲方应为主体定期跟踪评级向乙方支付跟踪评级费用人民币</w:t>
      </w:r>
      <w:r>
        <w:rPr>
          <w:rFonts w:ascii="宋体" w:hAnsi="宋体"/>
          <w:color w:val="000000"/>
          <w:sz w:val="24"/>
        </w:rPr>
        <w:t xml:space="preserve">   </w:t>
      </w:r>
      <w:r>
        <w:rPr>
          <w:rFonts w:hint="eastAsia" w:ascii="宋体" w:hAnsi="宋体"/>
          <w:color w:val="000000"/>
          <w:sz w:val="24"/>
        </w:rPr>
        <w:t xml:space="preserve">万元（大写： </w:t>
      </w:r>
      <w:r>
        <w:rPr>
          <w:rFonts w:ascii="宋体" w:hAnsi="宋体"/>
          <w:color w:val="000000"/>
          <w:sz w:val="24"/>
        </w:rPr>
        <w:t xml:space="preserve"> </w:t>
      </w:r>
      <w:r>
        <w:rPr>
          <w:rFonts w:hint="eastAsia" w:ascii="宋体" w:hAnsi="宋体"/>
          <w:color w:val="000000"/>
          <w:sz w:val="24"/>
        </w:rPr>
        <w:t>）。甲方应于收到乙方《跟踪评级资料清单》后的5日内，全额支付乙方跟踪评级费用。</w:t>
      </w:r>
    </w:p>
    <w:p w14:paraId="687547DE">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.2.3尽管有上述约定，第</w:t>
      </w:r>
      <w:r>
        <w:rPr>
          <w:rFonts w:hint="eastAsia" w:ascii="宋体" w:hAnsi="宋体"/>
          <w:color w:val="000000"/>
          <w:sz w:val="24"/>
        </w:rPr>
        <w:t>2</w:t>
      </w:r>
      <w:r>
        <w:rPr>
          <w:rFonts w:ascii="宋体" w:hAnsi="宋体"/>
          <w:color w:val="000000"/>
          <w:sz w:val="24"/>
        </w:rPr>
        <w:t>.2.1条和第</w:t>
      </w:r>
      <w:r>
        <w:rPr>
          <w:rFonts w:hint="eastAsia" w:ascii="宋体" w:hAnsi="宋体"/>
          <w:color w:val="000000"/>
          <w:sz w:val="24"/>
        </w:rPr>
        <w:t>2</w:t>
      </w:r>
      <w:r>
        <w:rPr>
          <w:rFonts w:ascii="宋体" w:hAnsi="宋体"/>
          <w:color w:val="000000"/>
          <w:sz w:val="24"/>
        </w:rPr>
        <w:t>.2.2条项下的收费</w:t>
      </w:r>
      <w:r>
        <w:rPr>
          <w:rFonts w:hint="eastAsia" w:ascii="宋体" w:hAnsi="宋体"/>
          <w:color w:val="000000"/>
          <w:sz w:val="24"/>
        </w:rPr>
        <w:t>每年度合计不超过人民币</w:t>
      </w:r>
      <w:r>
        <w:rPr>
          <w:rFonts w:ascii="宋体" w:hAnsi="宋体"/>
          <w:color w:val="000000"/>
          <w:sz w:val="24"/>
        </w:rPr>
        <w:t xml:space="preserve">  万元（大写：</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w:t>
      </w:r>
    </w:p>
    <w:p w14:paraId="7B670389">
      <w:pPr>
        <w:spacing w:before="120" w:beforeLines="50" w:line="360" w:lineRule="auto"/>
        <w:ind w:firstLine="480" w:firstLineChars="200"/>
        <w:rPr>
          <w:rFonts w:hint="eastAsia" w:ascii="宋体" w:hAnsi="宋体"/>
          <w:color w:val="000000"/>
          <w:sz w:val="24"/>
          <w:szCs w:val="24"/>
        </w:rPr>
      </w:pPr>
      <w:r>
        <w:rPr>
          <w:rFonts w:hint="eastAsia" w:ascii="宋体" w:hAnsi="宋体"/>
          <w:color w:val="000000"/>
          <w:sz w:val="24"/>
        </w:rPr>
        <w:t>2</w:t>
      </w:r>
      <w:r>
        <w:rPr>
          <w:rFonts w:ascii="宋体" w:hAnsi="宋体"/>
          <w:color w:val="000000"/>
          <w:sz w:val="24"/>
        </w:rPr>
        <w:t>.3</w:t>
      </w:r>
      <w:r>
        <w:rPr>
          <w:rFonts w:hint="eastAsia" w:ascii="宋体" w:hAnsi="宋体"/>
          <w:sz w:val="24"/>
        </w:rPr>
        <w:t>乙方账户：</w:t>
      </w:r>
    </w:p>
    <w:p w14:paraId="649D71CC">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 xml:space="preserve">乙方开户银行： </w:t>
      </w:r>
    </w:p>
    <w:p w14:paraId="377767C0">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开户账号：</w:t>
      </w:r>
      <w:r>
        <w:rPr>
          <w:rFonts w:ascii="宋体" w:hAnsi="宋体"/>
          <w:color w:val="000000"/>
          <w:sz w:val="24"/>
        </w:rPr>
        <w:t xml:space="preserve"> </w:t>
      </w:r>
    </w:p>
    <w:p w14:paraId="0695C252">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 xml:space="preserve">开户全称： </w:t>
      </w:r>
    </w:p>
    <w:p w14:paraId="16FF75AC">
      <w:pPr>
        <w:spacing w:before="120" w:beforeLines="50" w:line="360" w:lineRule="auto"/>
        <w:ind w:firstLine="472" w:firstLineChars="196"/>
        <w:rPr>
          <w:rFonts w:hint="eastAsia" w:ascii="黑体" w:hAnsi="宋体" w:eastAsia="黑体"/>
          <w:b/>
          <w:color w:val="000000"/>
          <w:sz w:val="24"/>
        </w:rPr>
      </w:pPr>
      <w:r>
        <w:rPr>
          <w:rFonts w:hint="eastAsia" w:ascii="黑体" w:hAnsi="宋体" w:eastAsia="黑体"/>
          <w:b/>
          <w:color w:val="000000"/>
          <w:sz w:val="24"/>
        </w:rPr>
        <w:t>第三条  甲方的权利与义务</w:t>
      </w:r>
    </w:p>
    <w:p w14:paraId="5332BADB">
      <w:pPr>
        <w:spacing w:before="120" w:beforeLines="50" w:line="360" w:lineRule="auto"/>
        <w:ind w:firstLine="480" w:firstLineChars="200"/>
        <w:rPr>
          <w:rFonts w:hint="eastAsia" w:ascii="宋体" w:hAnsi="宋体"/>
          <w:sz w:val="24"/>
        </w:rPr>
      </w:pPr>
      <w:r>
        <w:rPr>
          <w:rFonts w:hint="eastAsia" w:ascii="宋体" w:hAnsi="宋体"/>
          <w:sz w:val="24"/>
        </w:rPr>
        <w:t>3.</w:t>
      </w:r>
      <w:r>
        <w:rPr>
          <w:rFonts w:ascii="宋体" w:hAnsi="宋体"/>
          <w:sz w:val="24"/>
        </w:rPr>
        <w:t>1</w:t>
      </w:r>
      <w:r>
        <w:rPr>
          <w:rFonts w:hint="eastAsia" w:ascii="宋体" w:hAnsi="宋体"/>
          <w:sz w:val="24"/>
        </w:rPr>
        <w:t>在乙方提交正式评级报告之前，甲方可以要求取得并了解评级报告征求意见稿。</w:t>
      </w:r>
    </w:p>
    <w:p w14:paraId="5DF67A8C">
      <w:pPr>
        <w:spacing w:before="120" w:beforeLines="50" w:line="360" w:lineRule="auto"/>
        <w:ind w:firstLine="480" w:firstLineChars="200"/>
        <w:rPr>
          <w:rFonts w:hint="eastAsia" w:ascii="宋体" w:hAnsi="宋体"/>
          <w:sz w:val="24"/>
        </w:rPr>
      </w:pPr>
      <w:r>
        <w:rPr>
          <w:rFonts w:hint="eastAsia" w:ascii="宋体" w:hAnsi="宋体"/>
          <w:sz w:val="24"/>
        </w:rPr>
        <w:t>3</w:t>
      </w:r>
      <w:r>
        <w:rPr>
          <w:rFonts w:ascii="宋体" w:hAnsi="宋体"/>
          <w:sz w:val="24"/>
        </w:rPr>
        <w:t>.2</w:t>
      </w:r>
      <w:r>
        <w:rPr>
          <w:rFonts w:hint="eastAsia" w:ascii="宋体" w:hAnsi="宋体"/>
          <w:sz w:val="24"/>
        </w:rPr>
        <w:t>甲方享有对乙方市场人员在合同洽谈阶段及评级人员在评级分析阶段的商业贿赂、不尽职履责等情况的投诉权和申诉权。</w:t>
      </w:r>
    </w:p>
    <w:p w14:paraId="7F4CC4E1">
      <w:pPr>
        <w:spacing w:before="120" w:beforeLines="50" w:line="360" w:lineRule="auto"/>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.3</w:t>
      </w:r>
      <w:r>
        <w:rPr>
          <w:rFonts w:hint="eastAsia" w:ascii="宋体" w:hAnsi="宋体"/>
          <w:color w:val="000000"/>
          <w:sz w:val="24"/>
        </w:rPr>
        <w:t>甲方同意向乙方提供评级所需的文件资料，包括</w:t>
      </w:r>
      <w:r>
        <w:rPr>
          <w:rFonts w:ascii="宋体" w:hAnsi="宋体"/>
          <w:color w:val="000000"/>
          <w:sz w:val="24"/>
        </w:rPr>
        <w:t>但不限于财务数据、征信报告等，</w:t>
      </w:r>
      <w:r>
        <w:rPr>
          <w:rFonts w:hint="eastAsia" w:ascii="宋体" w:hAnsi="宋体"/>
          <w:color w:val="000000"/>
          <w:sz w:val="24"/>
        </w:rPr>
        <w:t>并保证所提供文件资料的真实性、准确性和完整性。该等文件资料</w:t>
      </w:r>
      <w:r>
        <w:rPr>
          <w:rFonts w:ascii="宋体" w:hAnsi="宋体"/>
          <w:color w:val="000000"/>
          <w:sz w:val="24"/>
        </w:rPr>
        <w:t>应于</w:t>
      </w:r>
      <w:r>
        <w:rPr>
          <w:rFonts w:hint="eastAsia" w:ascii="宋体" w:hAnsi="宋体"/>
          <w:color w:val="000000"/>
          <w:sz w:val="24"/>
        </w:rPr>
        <w:t>甲方</w:t>
      </w:r>
      <w:r>
        <w:rPr>
          <w:rFonts w:ascii="宋体" w:hAnsi="宋体"/>
          <w:color w:val="000000"/>
          <w:sz w:val="24"/>
        </w:rPr>
        <w:t>收到</w:t>
      </w:r>
      <w:r>
        <w:rPr>
          <w:rFonts w:hint="eastAsia" w:ascii="宋体" w:hAnsi="宋体"/>
          <w:color w:val="000000"/>
          <w:sz w:val="24"/>
        </w:rPr>
        <w:t>乙方的评级资料清单后七日内提供。</w:t>
      </w:r>
    </w:p>
    <w:p w14:paraId="2E0DABA3">
      <w:pPr>
        <w:spacing w:before="120" w:beforeLines="50" w:line="360" w:lineRule="auto"/>
        <w:ind w:firstLine="480" w:firstLineChars="200"/>
        <w:rPr>
          <w:rFonts w:ascii="宋体" w:hAnsi="宋体"/>
          <w:color w:val="000000"/>
          <w:sz w:val="24"/>
        </w:rPr>
      </w:pPr>
      <w:r>
        <w:rPr>
          <w:rFonts w:hint="eastAsia" w:ascii="宋体" w:hAnsi="宋体"/>
          <w:color w:val="000000"/>
          <w:sz w:val="24"/>
        </w:rPr>
        <w:t>在符合国家</w:t>
      </w:r>
      <w:r>
        <w:rPr>
          <w:rFonts w:ascii="宋体" w:hAnsi="宋体"/>
          <w:color w:val="000000"/>
          <w:sz w:val="24"/>
        </w:rPr>
        <w:t>政策</w:t>
      </w:r>
      <w:r>
        <w:rPr>
          <w:rFonts w:hint="eastAsia" w:ascii="宋体" w:hAnsi="宋体"/>
          <w:color w:val="000000"/>
          <w:sz w:val="24"/>
        </w:rPr>
        <w:t>的</w:t>
      </w:r>
      <w:r>
        <w:rPr>
          <w:rFonts w:ascii="宋体" w:hAnsi="宋体"/>
          <w:color w:val="000000"/>
          <w:sz w:val="24"/>
        </w:rPr>
        <w:t>前提下，甲方授权乙方通过相关</w:t>
      </w:r>
      <w:r>
        <w:rPr>
          <w:rFonts w:hint="eastAsia" w:ascii="宋体" w:hAnsi="宋体"/>
          <w:color w:val="000000"/>
          <w:sz w:val="24"/>
        </w:rPr>
        <w:t>合法</w:t>
      </w:r>
      <w:r>
        <w:rPr>
          <w:rFonts w:ascii="宋体" w:hAnsi="宋体"/>
          <w:color w:val="000000"/>
          <w:sz w:val="24"/>
        </w:rPr>
        <w:t>渠道查询甲方的征信报告和相关征信记录。</w:t>
      </w:r>
    </w:p>
    <w:p w14:paraId="5CD26771">
      <w:pPr>
        <w:spacing w:before="120" w:beforeLines="50" w:line="360" w:lineRule="auto"/>
        <w:ind w:firstLine="480" w:firstLineChars="200"/>
        <w:rPr>
          <w:rFonts w:hint="eastAsia" w:ascii="宋体" w:hAnsi="宋体"/>
          <w:sz w:val="24"/>
        </w:rPr>
      </w:pPr>
      <w:r>
        <w:rPr>
          <w:rFonts w:hint="eastAsia" w:ascii="宋体" w:hAnsi="宋体"/>
          <w:sz w:val="24"/>
        </w:rPr>
        <w:t>3</w:t>
      </w:r>
      <w:r>
        <w:rPr>
          <w:rFonts w:ascii="宋体" w:hAnsi="宋体"/>
          <w:sz w:val="24"/>
        </w:rPr>
        <w:t>.4</w:t>
      </w:r>
      <w:r>
        <w:rPr>
          <w:rFonts w:hint="eastAsia" w:ascii="宋体" w:hAnsi="宋体"/>
          <w:sz w:val="24"/>
        </w:rPr>
        <w:t>对于乙方所提交</w:t>
      </w:r>
      <w:r>
        <w:rPr>
          <w:rFonts w:ascii="宋体" w:hAnsi="宋体"/>
          <w:sz w:val="24"/>
        </w:rPr>
        <w:t>的主体信用</w:t>
      </w:r>
      <w:r>
        <w:rPr>
          <w:rFonts w:hint="eastAsia" w:ascii="宋体" w:hAnsi="宋体"/>
          <w:sz w:val="24"/>
        </w:rPr>
        <w:t>评级报告征求</w:t>
      </w:r>
      <w:r>
        <w:rPr>
          <w:rFonts w:ascii="宋体" w:hAnsi="宋体"/>
          <w:sz w:val="24"/>
        </w:rPr>
        <w:t>意见稿中</w:t>
      </w:r>
      <w:r>
        <w:rPr>
          <w:rFonts w:hint="eastAsia" w:ascii="宋体" w:hAnsi="宋体"/>
          <w:sz w:val="24"/>
        </w:rPr>
        <w:t>所引用的甲方信息，甲方应当在收到乙方要求确认的书面文件后2个工作日内对于该等信息作出书面确认；逾期未提出异议的，视同甲方已确认；如果甲方提出异议，应向乙方书面告知异议内容；涉及甲方未公开信息的，甲方应书面告知乙方不能披露的内容。</w:t>
      </w:r>
    </w:p>
    <w:p w14:paraId="0CF94D87">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5</w:t>
      </w:r>
      <w:r>
        <w:rPr>
          <w:rFonts w:hint="eastAsia" w:ascii="宋体" w:hAnsi="宋体"/>
          <w:color w:val="000000"/>
          <w:sz w:val="24"/>
        </w:rPr>
        <w:t>甲方有义务配合乙方进场，配合开展与评级工作有关的调查、访问、座谈及其他必要的活动，并为此提供便利。甲方保证不以任何方式影响乙方评级人员正常开展工作。</w:t>
      </w:r>
    </w:p>
    <w:p w14:paraId="71C6540C">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.6</w:t>
      </w:r>
      <w:r>
        <w:rPr>
          <w:rFonts w:hint="eastAsia" w:ascii="宋体" w:hAnsi="宋体"/>
          <w:color w:val="000000"/>
          <w:sz w:val="24"/>
        </w:rPr>
        <w:t>在甲方主体信用评级结果有效期内，如甲方发生包括但不限于涉及自身经营、资产规模、资产价值变动、股权结构变更或其他足以影响甲方</w:t>
      </w:r>
      <w:r>
        <w:rPr>
          <w:rFonts w:ascii="宋体" w:hAnsi="宋体"/>
          <w:color w:val="000000"/>
          <w:sz w:val="24"/>
        </w:rPr>
        <w:t>主体</w:t>
      </w:r>
      <w:r>
        <w:rPr>
          <w:rFonts w:hint="eastAsia" w:ascii="宋体" w:hAnsi="宋体"/>
          <w:color w:val="000000"/>
          <w:sz w:val="24"/>
        </w:rPr>
        <w:t>信用状况的重大事件，应及时书面通知乙方，并提供相关资料，</w:t>
      </w:r>
      <w:r>
        <w:rPr>
          <w:rFonts w:ascii="宋体" w:hAnsi="宋体"/>
          <w:color w:val="000000"/>
          <w:sz w:val="24"/>
        </w:rPr>
        <w:t>包括但不限于</w:t>
      </w:r>
      <w:r>
        <w:rPr>
          <w:rFonts w:hint="eastAsia" w:ascii="宋体" w:hAnsi="宋体"/>
          <w:color w:val="000000"/>
          <w:sz w:val="24"/>
        </w:rPr>
        <w:t>季度报告（如有）、年度报告、</w:t>
      </w:r>
      <w:r>
        <w:rPr>
          <w:rFonts w:ascii="宋体" w:hAnsi="宋体"/>
          <w:color w:val="000000"/>
          <w:sz w:val="24"/>
        </w:rPr>
        <w:t>征信报告</w:t>
      </w:r>
      <w:r>
        <w:rPr>
          <w:rFonts w:hint="eastAsia" w:ascii="宋体" w:hAnsi="宋体"/>
          <w:color w:val="000000"/>
          <w:sz w:val="24"/>
        </w:rPr>
        <w:t>及相关信息等</w:t>
      </w:r>
      <w:r>
        <w:rPr>
          <w:rFonts w:ascii="宋体" w:hAnsi="宋体"/>
          <w:color w:val="000000"/>
          <w:sz w:val="24"/>
        </w:rPr>
        <w:t>，配合</w:t>
      </w:r>
      <w:r>
        <w:rPr>
          <w:rFonts w:hint="eastAsia" w:ascii="宋体" w:hAnsi="宋体"/>
          <w:color w:val="000000"/>
          <w:sz w:val="24"/>
        </w:rPr>
        <w:t>乙方</w:t>
      </w:r>
      <w:r>
        <w:rPr>
          <w:rFonts w:ascii="宋体" w:hAnsi="宋体"/>
          <w:color w:val="000000"/>
          <w:sz w:val="24"/>
        </w:rPr>
        <w:t>进行对主体信用的不定期跟踪评级工作</w:t>
      </w:r>
      <w:r>
        <w:rPr>
          <w:rFonts w:hint="eastAsia" w:ascii="宋体" w:hAnsi="宋体"/>
          <w:color w:val="000000"/>
          <w:sz w:val="24"/>
        </w:rPr>
        <w:t>。</w:t>
      </w:r>
    </w:p>
    <w:p w14:paraId="600AC1B1">
      <w:pPr>
        <w:spacing w:before="120" w:beforeLines="50" w:line="360" w:lineRule="auto"/>
        <w:ind w:firstLine="480" w:firstLineChars="200"/>
        <w:rPr>
          <w:rFonts w:hint="eastAsia" w:ascii="宋体" w:hAnsi="宋体"/>
          <w:sz w:val="24"/>
        </w:rPr>
      </w:pPr>
      <w:r>
        <w:rPr>
          <w:rFonts w:hint="eastAsia" w:ascii="宋体" w:hAnsi="宋体"/>
          <w:sz w:val="24"/>
        </w:rPr>
        <w:t>3</w:t>
      </w:r>
      <w:r>
        <w:rPr>
          <w:rFonts w:ascii="宋体" w:hAnsi="宋体"/>
          <w:sz w:val="24"/>
        </w:rPr>
        <w:t>.7</w:t>
      </w:r>
      <w:r>
        <w:rPr>
          <w:rFonts w:hint="eastAsia" w:ascii="宋体" w:hAnsi="宋体"/>
          <w:color w:val="000000"/>
          <w:sz w:val="24"/>
        </w:rPr>
        <w:t>甲方知悉并确认，乙方所出具的主体信用评级报告及</w:t>
      </w:r>
      <w:r>
        <w:rPr>
          <w:rFonts w:ascii="宋体" w:hAnsi="宋体"/>
          <w:color w:val="000000"/>
          <w:sz w:val="24"/>
        </w:rPr>
        <w:t>主体信用评级结果</w:t>
      </w:r>
      <w:r>
        <w:rPr>
          <w:rFonts w:hint="eastAsia" w:ascii="宋体" w:hAnsi="宋体"/>
          <w:color w:val="000000"/>
          <w:sz w:val="24"/>
        </w:rPr>
        <w:t>是乙方对甲方主体信用状况所发表的客观意见；乙方所出具的主体信用评级结果不等同于甲方发行的任何债券的信用评级结果。</w:t>
      </w:r>
    </w:p>
    <w:p w14:paraId="3F816159">
      <w:pPr>
        <w:widowControl/>
        <w:tabs>
          <w:tab w:val="left" w:pos="709"/>
          <w:tab w:val="left" w:pos="1418"/>
          <w:tab w:val="left" w:pos="2126"/>
          <w:tab w:val="left" w:pos="2835"/>
          <w:tab w:val="left" w:pos="3544"/>
          <w:tab w:val="left" w:pos="4253"/>
          <w:tab w:val="left" w:pos="4961"/>
          <w:tab w:val="left" w:pos="5670"/>
          <w:tab w:val="right" w:pos="8363"/>
        </w:tabs>
        <w:adjustRightInd/>
        <w:spacing w:before="120" w:beforeLines="50" w:line="360" w:lineRule="auto"/>
        <w:ind w:firstLine="480" w:firstLineChars="200"/>
        <w:textAlignment w:val="auto"/>
        <w:rPr>
          <w:rFonts w:hint="eastAsia" w:ascii="宋体" w:hAnsi="宋体"/>
          <w:color w:val="000000"/>
          <w:sz w:val="24"/>
        </w:rPr>
      </w:pPr>
      <w:r>
        <w:rPr>
          <w:rFonts w:hint="eastAsia" w:ascii="宋体" w:hAnsi="宋体"/>
          <w:color w:val="000000"/>
          <w:sz w:val="24"/>
        </w:rPr>
        <w:t>3</w:t>
      </w:r>
      <w:r>
        <w:rPr>
          <w:rFonts w:ascii="宋体" w:hAnsi="宋体"/>
          <w:color w:val="000000"/>
          <w:sz w:val="24"/>
        </w:rPr>
        <w:t>.8如果甲方引用乙方所出具的主体信用评级结果和主体信用评级报告发行任何债</w:t>
      </w:r>
      <w:r>
        <w:rPr>
          <w:rFonts w:hint="eastAsia" w:ascii="宋体" w:hAnsi="宋体"/>
          <w:color w:val="000000"/>
          <w:sz w:val="24"/>
        </w:rPr>
        <w:t>券</w:t>
      </w:r>
      <w:r>
        <w:rPr>
          <w:rFonts w:ascii="宋体" w:hAnsi="宋体"/>
          <w:color w:val="000000"/>
          <w:sz w:val="24"/>
        </w:rPr>
        <w:t>的</w:t>
      </w:r>
      <w:r>
        <w:rPr>
          <w:rFonts w:hint="eastAsia" w:ascii="宋体" w:hAnsi="宋体"/>
          <w:color w:val="000000"/>
          <w:sz w:val="24"/>
        </w:rPr>
        <w:t>，应当经过乙方事先书面确认。</w:t>
      </w:r>
      <w:r>
        <w:rPr>
          <w:rFonts w:ascii="宋体" w:hAnsi="宋体"/>
          <w:color w:val="000000"/>
          <w:sz w:val="24"/>
        </w:rPr>
        <w:t>甲方应将该债</w:t>
      </w:r>
      <w:r>
        <w:rPr>
          <w:rFonts w:hint="eastAsia" w:ascii="宋体" w:hAnsi="宋体"/>
          <w:color w:val="000000"/>
          <w:sz w:val="24"/>
        </w:rPr>
        <w:t>券</w:t>
      </w:r>
      <w:r>
        <w:rPr>
          <w:rFonts w:ascii="宋体" w:hAnsi="宋体"/>
          <w:color w:val="000000"/>
          <w:sz w:val="24"/>
        </w:rPr>
        <w:t>的发行文件提交给乙方，由乙方对发行文件中的评级信息进行审阅确认。</w:t>
      </w:r>
      <w:r>
        <w:rPr>
          <w:rFonts w:hint="eastAsia" w:ascii="宋体" w:hAnsi="宋体"/>
          <w:color w:val="000000"/>
          <w:sz w:val="24"/>
        </w:rPr>
        <w:t>未经乙方事先书面确认，</w:t>
      </w:r>
      <w:r>
        <w:rPr>
          <w:rFonts w:ascii="宋体" w:hAnsi="宋体"/>
          <w:color w:val="000000"/>
          <w:sz w:val="24"/>
        </w:rPr>
        <w:t>甲方不得引用乙方所出具的主体信用评级结果和主体信用评级报告发行任何债</w:t>
      </w:r>
      <w:r>
        <w:rPr>
          <w:rFonts w:hint="eastAsia" w:ascii="宋体" w:hAnsi="宋体"/>
          <w:color w:val="000000"/>
          <w:sz w:val="24"/>
        </w:rPr>
        <w:t>券。</w:t>
      </w:r>
    </w:p>
    <w:p w14:paraId="6A619E3F">
      <w:pPr>
        <w:widowControl/>
        <w:tabs>
          <w:tab w:val="left" w:pos="709"/>
          <w:tab w:val="left" w:pos="1418"/>
          <w:tab w:val="left" w:pos="2126"/>
          <w:tab w:val="left" w:pos="2835"/>
          <w:tab w:val="left" w:pos="3544"/>
          <w:tab w:val="left" w:pos="4253"/>
          <w:tab w:val="left" w:pos="4961"/>
          <w:tab w:val="left" w:pos="5670"/>
          <w:tab w:val="right" w:pos="8363"/>
        </w:tabs>
        <w:adjustRightInd/>
        <w:spacing w:before="120" w:beforeLines="50" w:line="360" w:lineRule="auto"/>
        <w:ind w:firstLine="480" w:firstLineChars="200"/>
        <w:textAlignment w:val="auto"/>
        <w:rPr>
          <w:rFonts w:ascii="宋体" w:hAnsi="宋体"/>
          <w:color w:val="000000"/>
          <w:sz w:val="24"/>
        </w:rPr>
      </w:pPr>
      <w:r>
        <w:rPr>
          <w:rFonts w:ascii="宋体" w:hAnsi="宋体"/>
          <w:color w:val="000000"/>
          <w:sz w:val="24"/>
        </w:rPr>
        <w:t>3.9</w:t>
      </w:r>
      <w:r>
        <w:rPr>
          <w:rFonts w:hint="eastAsia" w:ascii="宋体" w:hAnsi="宋体"/>
          <w:color w:val="000000"/>
          <w:sz w:val="24"/>
        </w:rPr>
        <w:t>为债券发行之目的，甲方有权将简化版报告进行披露，以满足监管部门对债券发行信息披露的要求；甲方应确保披露的内容和信息完整、准确、真实。未经乙方事先书面同意，甲方不得自行披露乙方正式出具的报告全文。甲方披露的简化版报告应与乙方正式出具的一致。</w:t>
      </w:r>
    </w:p>
    <w:p w14:paraId="67E00042">
      <w:pPr>
        <w:widowControl/>
        <w:tabs>
          <w:tab w:val="left" w:pos="709"/>
          <w:tab w:val="left" w:pos="1418"/>
          <w:tab w:val="left" w:pos="2126"/>
          <w:tab w:val="left" w:pos="2835"/>
          <w:tab w:val="left" w:pos="3544"/>
          <w:tab w:val="left" w:pos="4253"/>
          <w:tab w:val="left" w:pos="4961"/>
          <w:tab w:val="left" w:pos="5670"/>
          <w:tab w:val="right" w:pos="8363"/>
        </w:tabs>
        <w:adjustRightInd/>
        <w:spacing w:before="120" w:beforeLines="50" w:line="360" w:lineRule="auto"/>
        <w:ind w:firstLine="480" w:firstLineChars="200"/>
        <w:textAlignment w:val="auto"/>
        <w:rPr>
          <w:rFonts w:hint="eastAsia" w:ascii="宋体" w:hAnsi="宋体"/>
          <w:color w:val="000000"/>
          <w:sz w:val="24"/>
        </w:rPr>
      </w:pPr>
      <w:r>
        <w:rPr>
          <w:rFonts w:hint="eastAsia" w:ascii="宋体" w:hAnsi="宋体"/>
          <w:color w:val="000000"/>
          <w:sz w:val="24"/>
        </w:rPr>
        <w:t>3</w:t>
      </w:r>
      <w:r>
        <w:rPr>
          <w:rFonts w:ascii="宋体" w:hAnsi="宋体"/>
          <w:color w:val="000000"/>
          <w:sz w:val="24"/>
        </w:rPr>
        <w:t>.10</w:t>
      </w:r>
      <w:r>
        <w:rPr>
          <w:rFonts w:hint="eastAsia" w:ascii="宋体" w:hAnsi="宋体"/>
          <w:color w:val="000000"/>
          <w:sz w:val="24"/>
        </w:rPr>
        <w:t>在甲方主体信用等级有效期内，如遇监管机构、自律性组织等相关有权机构政策调整和变化，甲方有义务配合乙方工作保证本</w:t>
      </w:r>
      <w:r>
        <w:rPr>
          <w:rFonts w:ascii="宋体" w:hAnsi="宋体"/>
          <w:color w:val="000000"/>
          <w:sz w:val="24"/>
        </w:rPr>
        <w:t>协议项下的主体信用评级工作符合监管要求</w:t>
      </w:r>
      <w:r>
        <w:rPr>
          <w:rFonts w:hint="eastAsia" w:ascii="宋体" w:hAnsi="宋体"/>
          <w:color w:val="000000"/>
          <w:sz w:val="24"/>
        </w:rPr>
        <w:t>并顺利进行。</w:t>
      </w:r>
    </w:p>
    <w:p w14:paraId="0F1ED5AC">
      <w:pPr>
        <w:spacing w:before="120" w:beforeLines="50" w:line="360" w:lineRule="auto"/>
        <w:ind w:firstLine="472" w:firstLineChars="196"/>
        <w:rPr>
          <w:rFonts w:hint="eastAsia" w:ascii="黑体" w:hAnsi="宋体" w:eastAsia="黑体"/>
          <w:b/>
          <w:color w:val="000000"/>
          <w:sz w:val="24"/>
        </w:rPr>
      </w:pPr>
      <w:r>
        <w:rPr>
          <w:rFonts w:hint="eastAsia" w:ascii="黑体" w:hAnsi="宋体" w:eastAsia="黑体"/>
          <w:b/>
          <w:color w:val="000000"/>
          <w:sz w:val="24"/>
        </w:rPr>
        <w:t>第四条  乙方的权利与义务</w:t>
      </w:r>
    </w:p>
    <w:p w14:paraId="3301F64F">
      <w:pPr>
        <w:spacing w:before="120" w:beforeLines="50" w:line="360" w:lineRule="auto"/>
        <w:ind w:firstLine="470" w:firstLineChars="196"/>
        <w:rPr>
          <w:rFonts w:hint="eastAsia"/>
          <w:sz w:val="24"/>
          <w:szCs w:val="24"/>
        </w:rPr>
      </w:pPr>
      <w:r>
        <w:rPr>
          <w:rFonts w:hint="eastAsia"/>
          <w:sz w:val="24"/>
          <w:szCs w:val="24"/>
        </w:rPr>
        <w:t>4.</w:t>
      </w:r>
      <w:r>
        <w:rPr>
          <w:sz w:val="24"/>
          <w:szCs w:val="24"/>
        </w:rPr>
        <w:t>1</w:t>
      </w:r>
      <w:r>
        <w:rPr>
          <w:rFonts w:hint="eastAsia"/>
          <w:sz w:val="24"/>
          <w:szCs w:val="24"/>
        </w:rPr>
        <w:t>乙方在评级过程中应遵循监管机构、自律性组织及乙方</w:t>
      </w:r>
      <w:r>
        <w:rPr>
          <w:sz w:val="24"/>
          <w:szCs w:val="24"/>
        </w:rPr>
        <w:t>内部</w:t>
      </w:r>
      <w:r>
        <w:rPr>
          <w:rFonts w:hint="eastAsia"/>
          <w:sz w:val="24"/>
          <w:szCs w:val="24"/>
        </w:rPr>
        <w:t>规定的业务流程、方法开展评级工作、</w:t>
      </w:r>
      <w:r>
        <w:rPr>
          <w:sz w:val="24"/>
          <w:szCs w:val="24"/>
        </w:rPr>
        <w:t>出具</w:t>
      </w:r>
      <w:r>
        <w:rPr>
          <w:rFonts w:hint="eastAsia"/>
          <w:sz w:val="24"/>
          <w:szCs w:val="24"/>
        </w:rPr>
        <w:t>信用</w:t>
      </w:r>
      <w:r>
        <w:rPr>
          <w:sz w:val="24"/>
          <w:szCs w:val="24"/>
        </w:rPr>
        <w:t>评级</w:t>
      </w:r>
      <w:r>
        <w:rPr>
          <w:rFonts w:hint="eastAsia"/>
          <w:sz w:val="24"/>
          <w:szCs w:val="24"/>
        </w:rPr>
        <w:t>结果及信用评级报告。</w:t>
      </w:r>
    </w:p>
    <w:p w14:paraId="5D4470E6">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2</w:t>
      </w:r>
      <w:r>
        <w:rPr>
          <w:rFonts w:hint="eastAsia" w:ascii="宋体" w:hAnsi="宋体"/>
          <w:color w:val="000000"/>
          <w:sz w:val="24"/>
        </w:rPr>
        <w:t>在主体信用评级结果有效期内，如甲方发生足以影响自身</w:t>
      </w:r>
      <w:r>
        <w:rPr>
          <w:rFonts w:ascii="宋体" w:hAnsi="宋体"/>
          <w:color w:val="000000"/>
          <w:sz w:val="24"/>
        </w:rPr>
        <w:t>主体</w:t>
      </w:r>
      <w:r>
        <w:rPr>
          <w:rFonts w:hint="eastAsia" w:ascii="宋体" w:hAnsi="宋体"/>
          <w:color w:val="000000"/>
          <w:sz w:val="24"/>
        </w:rPr>
        <w:t>信用状况的重大事件，</w:t>
      </w:r>
      <w:r>
        <w:rPr>
          <w:rFonts w:hint="eastAsia" w:ascii="宋体" w:hAnsi="宋体"/>
          <w:sz w:val="24"/>
        </w:rPr>
        <w:t>在乙方已知悉的前提下，乙方应及时对该事件进行分析，确认或调整甲方信用等级，并通知甲方；</w:t>
      </w:r>
      <w:r>
        <w:rPr>
          <w:rFonts w:hint="eastAsia" w:ascii="宋体" w:hAnsi="宋体"/>
          <w:color w:val="000000"/>
          <w:sz w:val="24"/>
        </w:rPr>
        <w:t>乙方对甲方提供的尚未公开的涉及甲方信用状况的重大事件的相关资料有保密义务。</w:t>
      </w:r>
    </w:p>
    <w:p w14:paraId="16CEEDE2">
      <w:pPr>
        <w:spacing w:before="120" w:beforeLines="50" w:line="360" w:lineRule="auto"/>
        <w:ind w:firstLine="480"/>
        <w:rPr>
          <w:rFonts w:ascii="宋体" w:hAnsi="宋体"/>
          <w:sz w:val="24"/>
        </w:rPr>
      </w:pPr>
      <w:r>
        <w:rPr>
          <w:rFonts w:hint="eastAsia" w:ascii="宋体" w:hAnsi="宋体"/>
          <w:sz w:val="24"/>
        </w:rPr>
        <w:t>4.</w:t>
      </w:r>
      <w:r>
        <w:rPr>
          <w:rFonts w:ascii="宋体" w:hAnsi="宋体"/>
          <w:sz w:val="24"/>
        </w:rPr>
        <w:t>3</w:t>
      </w:r>
      <w:r>
        <w:rPr>
          <w:rFonts w:hint="eastAsia" w:ascii="宋体" w:hAnsi="宋体"/>
          <w:sz w:val="24"/>
        </w:rPr>
        <w:t>在主体信用评级</w:t>
      </w:r>
      <w:r>
        <w:rPr>
          <w:rFonts w:ascii="宋体" w:hAnsi="宋体"/>
          <w:sz w:val="24"/>
        </w:rPr>
        <w:t>结果</w:t>
      </w:r>
      <w:r>
        <w:rPr>
          <w:rFonts w:hint="eastAsia" w:ascii="宋体" w:hAnsi="宋体"/>
          <w:sz w:val="24"/>
        </w:rPr>
        <w:t>有效期内，如乙方发现甲方出现</w:t>
      </w:r>
      <w:r>
        <w:rPr>
          <w:rFonts w:ascii="宋体" w:hAnsi="宋体"/>
          <w:sz w:val="24"/>
        </w:rPr>
        <w:t>足以影响评级结果的</w:t>
      </w:r>
      <w:r>
        <w:rPr>
          <w:rFonts w:hint="eastAsia" w:ascii="宋体" w:hAnsi="宋体"/>
          <w:sz w:val="24"/>
        </w:rPr>
        <w:t>实际情况变化，在</w:t>
      </w:r>
      <w:r>
        <w:rPr>
          <w:rFonts w:ascii="宋体" w:hAnsi="宋体"/>
          <w:sz w:val="24"/>
        </w:rPr>
        <w:t>符合法律和监管机构要求的前提下，</w:t>
      </w:r>
      <w:r>
        <w:rPr>
          <w:rFonts w:hint="eastAsia" w:ascii="宋体" w:hAnsi="宋体"/>
          <w:sz w:val="24"/>
        </w:rPr>
        <w:t>乙方有权对甲方</w:t>
      </w:r>
      <w:r>
        <w:rPr>
          <w:rFonts w:ascii="宋体" w:hAnsi="宋体"/>
          <w:sz w:val="24"/>
        </w:rPr>
        <w:t>主体评级</w:t>
      </w:r>
      <w:r>
        <w:rPr>
          <w:rFonts w:hint="eastAsia" w:ascii="宋体" w:hAnsi="宋体"/>
          <w:sz w:val="24"/>
        </w:rPr>
        <w:t>采取级别或展望调整、暂停评级、终止评级等评级行动，</w:t>
      </w:r>
      <w:r>
        <w:rPr>
          <w:rFonts w:ascii="宋体" w:hAnsi="宋体"/>
          <w:sz w:val="24"/>
        </w:rPr>
        <w:t>并可以采取适当的方式将评级行动及评级结果进行公开</w:t>
      </w:r>
      <w:r>
        <w:rPr>
          <w:rFonts w:hint="eastAsia" w:ascii="宋体" w:hAnsi="宋体"/>
          <w:sz w:val="24"/>
        </w:rPr>
        <w:t>。</w:t>
      </w:r>
    </w:p>
    <w:p w14:paraId="755BBC8F">
      <w:pPr>
        <w:spacing w:before="120" w:beforeLines="50" w:line="360" w:lineRule="auto"/>
        <w:ind w:firstLine="480" w:firstLineChars="200"/>
        <w:rPr>
          <w:rFonts w:hint="eastAsia" w:ascii="宋体" w:hAnsi="宋体"/>
          <w:sz w:val="24"/>
        </w:rPr>
      </w:pPr>
      <w:r>
        <w:rPr>
          <w:rFonts w:ascii="宋体" w:hAnsi="宋体"/>
          <w:sz w:val="24"/>
        </w:rPr>
        <w:t>4.4</w:t>
      </w:r>
      <w:r>
        <w:rPr>
          <w:rFonts w:hint="eastAsia" w:ascii="宋体" w:hAnsi="宋体"/>
          <w:sz w:val="24"/>
        </w:rPr>
        <w:t>若</w:t>
      </w:r>
      <w:r>
        <w:rPr>
          <w:rFonts w:ascii="宋体" w:hAnsi="宋体"/>
          <w:sz w:val="24"/>
        </w:rPr>
        <w:t>甲方引用乙方出具的尚在有效期内的主体信用评级结果或评级报告发行债</w:t>
      </w:r>
      <w:r>
        <w:rPr>
          <w:rFonts w:hint="eastAsia" w:ascii="宋体" w:hAnsi="宋体"/>
          <w:sz w:val="24"/>
        </w:rPr>
        <w:t>券，</w:t>
      </w:r>
      <w:r>
        <w:rPr>
          <w:rFonts w:ascii="宋体" w:hAnsi="宋体"/>
          <w:sz w:val="24"/>
        </w:rPr>
        <w:t>乙方无需对该债</w:t>
      </w:r>
      <w:r>
        <w:rPr>
          <w:rFonts w:hint="eastAsia" w:ascii="宋体" w:hAnsi="宋体"/>
          <w:sz w:val="24"/>
        </w:rPr>
        <w:t>券</w:t>
      </w:r>
      <w:r>
        <w:rPr>
          <w:rFonts w:ascii="宋体" w:hAnsi="宋体"/>
          <w:sz w:val="24"/>
        </w:rPr>
        <w:t>进行跟踪评级</w:t>
      </w:r>
      <w:r>
        <w:rPr>
          <w:rFonts w:hint="eastAsia" w:ascii="宋体" w:hAnsi="宋体"/>
          <w:sz w:val="24"/>
        </w:rPr>
        <w:t>；同时，如甲方发行文件所载明的评级情况与实际不符，则乙方有权通过乙方网站或监管机构指定的网站将该债项未经评级或者与实际不符的情况进行披露，且乙方对于该债券所发生的任何风险，不承担任何法律责任。</w:t>
      </w:r>
    </w:p>
    <w:p w14:paraId="6E980FB6">
      <w:pPr>
        <w:spacing w:before="120" w:beforeLines="50" w:line="360" w:lineRule="auto"/>
        <w:ind w:firstLine="480" w:firstLineChars="200"/>
        <w:rPr>
          <w:rFonts w:ascii="宋体" w:hAnsi="宋体"/>
          <w:sz w:val="24"/>
        </w:rPr>
      </w:pPr>
      <w:r>
        <w:rPr>
          <w:rFonts w:hint="eastAsia" w:ascii="宋体" w:hAnsi="宋体"/>
          <w:sz w:val="24"/>
        </w:rPr>
        <w:t>4</w:t>
      </w:r>
      <w:r>
        <w:rPr>
          <w:rFonts w:ascii="宋体" w:hAnsi="宋体"/>
          <w:sz w:val="24"/>
        </w:rPr>
        <w:t>.5在主体信用评级结果有效期内</w:t>
      </w:r>
      <w:r>
        <w:rPr>
          <w:rFonts w:hint="eastAsia" w:ascii="宋体" w:hAnsi="宋体"/>
          <w:sz w:val="24"/>
        </w:rPr>
        <w:t>，</w:t>
      </w:r>
      <w:r>
        <w:rPr>
          <w:rFonts w:ascii="宋体" w:hAnsi="宋体"/>
          <w:sz w:val="24"/>
        </w:rPr>
        <w:t>如甲方发行债</w:t>
      </w:r>
      <w:r>
        <w:rPr>
          <w:rFonts w:hint="eastAsia" w:ascii="宋体" w:hAnsi="宋体"/>
          <w:sz w:val="24"/>
        </w:rPr>
        <w:t>券，且已委托乙方进行债项评级的，</w:t>
      </w:r>
      <w:r>
        <w:rPr>
          <w:rFonts w:ascii="宋体" w:hAnsi="宋体"/>
          <w:sz w:val="24"/>
        </w:rPr>
        <w:t>则在该债</w:t>
      </w:r>
      <w:r>
        <w:rPr>
          <w:rFonts w:hint="eastAsia" w:ascii="宋体" w:hAnsi="宋体"/>
          <w:sz w:val="24"/>
        </w:rPr>
        <w:t>券</w:t>
      </w:r>
      <w:r>
        <w:rPr>
          <w:rFonts w:ascii="宋体" w:hAnsi="宋体"/>
          <w:sz w:val="24"/>
        </w:rPr>
        <w:t>存续期内</w:t>
      </w:r>
      <w:r>
        <w:rPr>
          <w:rFonts w:hint="eastAsia" w:ascii="宋体" w:hAnsi="宋体"/>
          <w:sz w:val="24"/>
        </w:rPr>
        <w:t>，</w:t>
      </w:r>
      <w:r>
        <w:rPr>
          <w:rFonts w:ascii="宋体" w:hAnsi="宋体"/>
          <w:sz w:val="24"/>
        </w:rPr>
        <w:t>甲方应持续委托乙方进行主体信用评级</w:t>
      </w:r>
      <w:r>
        <w:rPr>
          <w:rFonts w:hint="eastAsia" w:ascii="宋体" w:hAnsi="宋体"/>
          <w:sz w:val="24"/>
        </w:rPr>
        <w:t>。在本协议项下的</w:t>
      </w:r>
      <w:r>
        <w:rPr>
          <w:rFonts w:ascii="宋体" w:hAnsi="宋体"/>
          <w:sz w:val="24"/>
        </w:rPr>
        <w:t>甲方主体</w:t>
      </w:r>
      <w:r>
        <w:rPr>
          <w:rFonts w:hint="eastAsia" w:ascii="宋体" w:hAnsi="宋体"/>
          <w:sz w:val="24"/>
        </w:rPr>
        <w:t>信用</w:t>
      </w:r>
      <w:r>
        <w:rPr>
          <w:rFonts w:ascii="宋体" w:hAnsi="宋体"/>
          <w:sz w:val="24"/>
        </w:rPr>
        <w:t>评级结果有效期届满之后，若甲方未委托乙方</w:t>
      </w:r>
      <w:r>
        <w:rPr>
          <w:rFonts w:hint="eastAsia" w:ascii="宋体" w:hAnsi="宋体"/>
          <w:sz w:val="24"/>
        </w:rPr>
        <w:t>进行</w:t>
      </w:r>
      <w:r>
        <w:rPr>
          <w:rFonts w:ascii="宋体" w:hAnsi="宋体"/>
          <w:sz w:val="24"/>
        </w:rPr>
        <w:t>新的主体信用评级的，乙方有权</w:t>
      </w:r>
      <w:r>
        <w:rPr>
          <w:rFonts w:hint="eastAsia" w:ascii="宋体" w:hAnsi="宋体"/>
          <w:sz w:val="24"/>
        </w:rPr>
        <w:t>书面</w:t>
      </w:r>
      <w:r>
        <w:rPr>
          <w:rFonts w:ascii="宋体" w:hAnsi="宋体"/>
          <w:sz w:val="24"/>
        </w:rPr>
        <w:t>通知甲方并</w:t>
      </w:r>
      <w:r>
        <w:rPr>
          <w:rFonts w:hint="eastAsia" w:ascii="宋体" w:hAnsi="宋体"/>
          <w:sz w:val="24"/>
        </w:rPr>
        <w:t>通过</w:t>
      </w:r>
      <w:r>
        <w:rPr>
          <w:rFonts w:ascii="宋体" w:hAnsi="宋体"/>
          <w:sz w:val="24"/>
        </w:rPr>
        <w:t>乙方的网站</w:t>
      </w:r>
      <w:r>
        <w:rPr>
          <w:rFonts w:hint="eastAsia" w:ascii="宋体" w:hAnsi="宋体"/>
          <w:sz w:val="24"/>
        </w:rPr>
        <w:t>对</w:t>
      </w:r>
      <w:r>
        <w:rPr>
          <w:rFonts w:ascii="宋体" w:hAnsi="宋体"/>
          <w:sz w:val="24"/>
        </w:rPr>
        <w:t>甲方主体</w:t>
      </w:r>
      <w:r>
        <w:rPr>
          <w:rFonts w:hint="eastAsia" w:ascii="宋体" w:hAnsi="宋体"/>
          <w:sz w:val="24"/>
        </w:rPr>
        <w:t>信用</w:t>
      </w:r>
      <w:r>
        <w:rPr>
          <w:rFonts w:ascii="宋体" w:hAnsi="宋体"/>
          <w:sz w:val="24"/>
        </w:rPr>
        <w:t>评级结果有效期届满的事宜进行公告。</w:t>
      </w:r>
      <w:r>
        <w:rPr>
          <w:rFonts w:hint="eastAsia" w:ascii="宋体" w:hAnsi="宋体"/>
          <w:sz w:val="24"/>
        </w:rPr>
        <w:t>如因此对甲方尚在存续期内的债券产生影响的，乙方不承担法律责任。</w:t>
      </w:r>
    </w:p>
    <w:p w14:paraId="6A798E34">
      <w:pPr>
        <w:spacing w:before="120" w:beforeLines="50" w:line="360" w:lineRule="auto"/>
        <w:ind w:firstLine="480"/>
        <w:rPr>
          <w:rFonts w:ascii="宋体" w:hAnsi="宋体"/>
          <w:sz w:val="24"/>
        </w:rPr>
      </w:pPr>
      <w:r>
        <w:rPr>
          <w:rFonts w:hint="eastAsia" w:ascii="宋体" w:hAnsi="宋体"/>
          <w:sz w:val="24"/>
        </w:rPr>
        <w:t>4</w:t>
      </w:r>
      <w:r>
        <w:rPr>
          <w:rFonts w:ascii="宋体" w:hAnsi="宋体"/>
          <w:sz w:val="24"/>
        </w:rPr>
        <w:t>.6</w:t>
      </w:r>
      <w:r>
        <w:rPr>
          <w:rFonts w:hint="eastAsia" w:ascii="宋体" w:hAnsi="宋体"/>
          <w:sz w:val="24"/>
        </w:rPr>
        <w:t>如甲方在乙方承做的其他信用评级项目中作为相关方，且该项目评级工作需要使用甲方信息、数据、资料的，甲方授权乙方在提供评级服务过程中使用已经提供给乙方的信息、数据、资料。</w:t>
      </w:r>
    </w:p>
    <w:p w14:paraId="757FB383">
      <w:pPr>
        <w:spacing w:before="120" w:beforeLines="50" w:line="360" w:lineRule="auto"/>
        <w:ind w:firstLine="480"/>
        <w:rPr>
          <w:rFonts w:hint="eastAsia" w:ascii="宋体" w:hAnsi="宋体"/>
          <w:sz w:val="24"/>
        </w:rPr>
      </w:pPr>
      <w:r>
        <w:rPr>
          <w:rFonts w:hint="eastAsia" w:ascii="宋体" w:hAnsi="宋体"/>
          <w:sz w:val="24"/>
        </w:rPr>
        <w:t>4</w:t>
      </w:r>
      <w:r>
        <w:rPr>
          <w:rFonts w:ascii="宋体" w:hAnsi="宋体"/>
          <w:sz w:val="24"/>
        </w:rPr>
        <w:t>.7</w:t>
      </w:r>
      <w:r>
        <w:rPr>
          <w:rFonts w:hint="eastAsia" w:ascii="宋体" w:hAnsi="宋体"/>
          <w:sz w:val="24"/>
        </w:rPr>
        <w:t>若甲方经乙方书面确认，引用乙方出具的主体评级结果发行债券，则乙方有权将评级报告及评级信息用于日常业务活动，包括但不限于将报告全文提供给甲方债券的潜在投资人；将评级信息进行汇总或改编，使该等信息不与具体企业相关联，并发布、分发或使用汇总或改编后的评级信息。</w:t>
      </w:r>
    </w:p>
    <w:p w14:paraId="32463D20">
      <w:pPr>
        <w:spacing w:before="120" w:beforeLines="50" w:line="360" w:lineRule="auto"/>
        <w:ind w:firstLine="540"/>
        <w:rPr>
          <w:rFonts w:hint="eastAsia" w:ascii="黑体" w:hAnsi="宋体" w:eastAsia="黑体"/>
          <w:b/>
          <w:color w:val="000000"/>
          <w:sz w:val="24"/>
        </w:rPr>
      </w:pPr>
      <w:r>
        <w:rPr>
          <w:rFonts w:hint="eastAsia" w:ascii="黑体" w:hAnsi="宋体" w:eastAsia="黑体"/>
          <w:b/>
          <w:color w:val="000000"/>
          <w:sz w:val="24"/>
        </w:rPr>
        <w:t>第五条  信用评级复评</w:t>
      </w:r>
    </w:p>
    <w:p w14:paraId="72DBB6A7">
      <w:pPr>
        <w:spacing w:before="120" w:beforeLines="50"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1</w:t>
      </w:r>
      <w:r>
        <w:rPr>
          <w:rFonts w:hint="eastAsia" w:ascii="宋体" w:hAnsi="宋体"/>
          <w:color w:val="000000"/>
          <w:sz w:val="24"/>
        </w:rPr>
        <w:t>甲方自收到评级结果之日起2个工作日内，若对《信用评级报告》所使用的信息或评级结果有异议的，可以书面形式提出一次复评申请，并在收到评级结果之日起5个工作日内提交乙方认可的复评补充资料。甲方未按本协议规定提交书面复评申请和/或补充资料的，将视为甲方对评级结果无异议。</w:t>
      </w:r>
    </w:p>
    <w:p w14:paraId="7DE586F6">
      <w:pPr>
        <w:spacing w:before="120" w:beforeLines="50"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2</w:t>
      </w:r>
      <w:r>
        <w:rPr>
          <w:rFonts w:hint="eastAsia" w:ascii="宋体" w:hAnsi="宋体"/>
          <w:color w:val="000000"/>
          <w:sz w:val="24"/>
        </w:rPr>
        <w:t>乙方在收到甲方复评申请及相应材料后应立即进行复评工作，复评期限原则上不应超过1</w:t>
      </w:r>
      <w:r>
        <w:rPr>
          <w:rFonts w:ascii="宋体" w:hAnsi="宋体"/>
          <w:color w:val="000000"/>
          <w:sz w:val="24"/>
        </w:rPr>
        <w:t>5天</w:t>
      </w:r>
      <w:r>
        <w:rPr>
          <w:rFonts w:hint="eastAsia" w:ascii="宋体" w:hAnsi="宋体"/>
          <w:color w:val="000000"/>
          <w:sz w:val="24"/>
        </w:rPr>
        <w:t>。</w:t>
      </w:r>
    </w:p>
    <w:p w14:paraId="32994246">
      <w:pPr>
        <w:widowControl/>
        <w:snapToGrid w:val="0"/>
        <w:spacing w:before="120" w:beforeLines="50" w:after="120" w:afterLines="50" w:line="360" w:lineRule="auto"/>
        <w:ind w:firstLine="480" w:firstLineChars="200"/>
        <w:rPr>
          <w:rFonts w:hint="eastAsia" w:ascii="ˎ̥" w:hAnsi="ˎ̥" w:cs="宋体"/>
          <w:color w:val="FF0000"/>
          <w:sz w:val="24"/>
          <w:szCs w:val="24"/>
        </w:rPr>
      </w:pPr>
      <w:r>
        <w:rPr>
          <w:rFonts w:hint="eastAsia" w:ascii="宋体" w:hAnsi="宋体"/>
          <w:color w:val="000000"/>
          <w:sz w:val="24"/>
        </w:rPr>
        <w:t>5.</w:t>
      </w:r>
      <w:r>
        <w:rPr>
          <w:rFonts w:ascii="宋体" w:hAnsi="宋体"/>
          <w:color w:val="000000"/>
          <w:sz w:val="24"/>
        </w:rPr>
        <w:t>3</w:t>
      </w:r>
      <w:r>
        <w:rPr>
          <w:rFonts w:hint="eastAsia" w:ascii="宋体" w:hAnsi="宋体"/>
          <w:color w:val="000000"/>
          <w:sz w:val="24"/>
        </w:rPr>
        <w:t>复评结束后</w:t>
      </w:r>
      <w:r>
        <w:rPr>
          <w:rFonts w:ascii="宋体" w:hAnsi="宋体"/>
          <w:color w:val="000000"/>
          <w:sz w:val="24"/>
        </w:rPr>
        <w:t>,</w:t>
      </w:r>
      <w:r>
        <w:rPr>
          <w:rFonts w:hint="eastAsia" w:ascii="宋体" w:hAnsi="宋体"/>
          <w:color w:val="000000"/>
          <w:sz w:val="24"/>
        </w:rPr>
        <w:t>乙方通知甲方复评结果。</w:t>
      </w:r>
      <w:r>
        <w:rPr>
          <w:rFonts w:hint="eastAsia" w:ascii="宋体" w:hAnsi="宋体"/>
          <w:sz w:val="24"/>
        </w:rPr>
        <w:t>复评结果为最终结果，结果一旦产生，乙方不再进行复评。</w:t>
      </w:r>
    </w:p>
    <w:p w14:paraId="395C7E90">
      <w:pPr>
        <w:spacing w:before="120" w:beforeLines="50" w:line="360" w:lineRule="auto"/>
        <w:ind w:firstLine="540"/>
        <w:rPr>
          <w:rFonts w:hint="eastAsia" w:ascii="黑体" w:hAnsi="宋体" w:eastAsia="黑体"/>
          <w:b/>
          <w:color w:val="000000"/>
          <w:sz w:val="24"/>
        </w:rPr>
      </w:pPr>
      <w:r>
        <w:rPr>
          <w:rFonts w:hint="eastAsia" w:ascii="黑体" w:hAnsi="宋体" w:eastAsia="黑体"/>
          <w:b/>
          <w:color w:val="000000"/>
          <w:sz w:val="24"/>
        </w:rPr>
        <w:t>第六条  信息披露及保密</w:t>
      </w:r>
    </w:p>
    <w:p w14:paraId="12F4A3D2">
      <w:pPr>
        <w:pStyle w:val="15"/>
        <w:spacing w:before="120" w:beforeLines="50" w:line="360" w:lineRule="auto"/>
        <w:ind w:firstLine="480" w:firstLineChars="200"/>
        <w:jc w:val="both"/>
        <w:rPr>
          <w:rFonts w:hint="eastAsia" w:ascii="宋体" w:hAnsi="宋体"/>
          <w:color w:val="000000"/>
          <w:sz w:val="24"/>
        </w:rPr>
      </w:pPr>
      <w:r>
        <w:rPr>
          <w:rFonts w:hint="eastAsia" w:ascii="宋体" w:hAnsi="宋体"/>
          <w:color w:val="000000"/>
          <w:sz w:val="24"/>
        </w:rPr>
        <w:t>6.</w:t>
      </w:r>
      <w:r>
        <w:rPr>
          <w:rFonts w:ascii="宋体" w:hAnsi="宋体"/>
          <w:color w:val="000000"/>
          <w:sz w:val="24"/>
        </w:rPr>
        <w:t>1</w:t>
      </w:r>
      <w:r>
        <w:rPr>
          <w:rFonts w:hint="eastAsia" w:ascii="宋体" w:hAnsi="宋体"/>
          <w:color w:val="000000"/>
          <w:sz w:val="24"/>
        </w:rPr>
        <w:t>乙方正式出具的信用评级报告及主体信用等级有效期内的相关公告或评级意见在向甲方提交并听取甲方相应意见之后，由乙方最终确定评级报告等文件的内容。如监管机构有信息披露要求的，则乙方有权通过乙方网站和监管机构规定的其他网站及媒体将简化版报告向社会公布。</w:t>
      </w:r>
    </w:p>
    <w:p w14:paraId="51827597">
      <w:pPr>
        <w:pStyle w:val="15"/>
        <w:spacing w:before="120" w:beforeLines="50" w:line="360" w:lineRule="auto"/>
        <w:ind w:firstLine="480" w:firstLineChars="200"/>
        <w:jc w:val="both"/>
        <w:rPr>
          <w:rFonts w:hint="eastAsia" w:ascii="宋体" w:hAnsi="宋体"/>
          <w:color w:val="000000"/>
          <w:sz w:val="24"/>
        </w:rPr>
      </w:pPr>
      <w:r>
        <w:rPr>
          <w:rFonts w:hint="eastAsia" w:ascii="宋体" w:hAnsi="宋体"/>
          <w:color w:val="000000"/>
          <w:sz w:val="24"/>
        </w:rPr>
        <w:t>6.</w:t>
      </w:r>
      <w:r>
        <w:rPr>
          <w:rFonts w:ascii="宋体" w:hAnsi="宋体"/>
          <w:color w:val="000000"/>
          <w:sz w:val="24"/>
        </w:rPr>
        <w:t>2</w:t>
      </w:r>
      <w:r>
        <w:rPr>
          <w:rFonts w:hint="eastAsia" w:ascii="宋体" w:hAnsi="宋体"/>
          <w:color w:val="000000"/>
          <w:sz w:val="24"/>
        </w:rPr>
        <w:t>若甲方自行公告简化版报告或评级意见，须至少提前2个工作日通知乙方，并经乙方确认后方可公告。</w:t>
      </w:r>
    </w:p>
    <w:p w14:paraId="47B0317A">
      <w:pPr>
        <w:pStyle w:val="15"/>
        <w:spacing w:before="120" w:beforeLines="50" w:line="360" w:lineRule="auto"/>
        <w:ind w:firstLine="480" w:firstLineChars="200"/>
        <w:jc w:val="both"/>
        <w:rPr>
          <w:rFonts w:hint="eastAsia" w:ascii="宋体" w:hAnsi="宋体"/>
          <w:sz w:val="24"/>
        </w:rPr>
      </w:pPr>
      <w:r>
        <w:rPr>
          <w:rFonts w:hint="eastAsia" w:ascii="宋体" w:hAnsi="宋体"/>
          <w:sz w:val="24"/>
        </w:rPr>
        <w:t>6.</w:t>
      </w:r>
      <w:r>
        <w:rPr>
          <w:rFonts w:ascii="宋体" w:hAnsi="宋体"/>
          <w:sz w:val="24"/>
        </w:rPr>
        <w:t>3</w:t>
      </w:r>
      <w:r>
        <w:rPr>
          <w:rFonts w:hint="eastAsia" w:ascii="宋体" w:hAnsi="宋体"/>
          <w:sz w:val="24"/>
        </w:rPr>
        <w:t>乙方已按照本协议约定出具简化版报告，甲方更换评级机构的，乙方应按照监管要求的方式披露简化版报告。</w:t>
      </w:r>
    </w:p>
    <w:p w14:paraId="4CAF164B">
      <w:pPr>
        <w:pStyle w:val="15"/>
        <w:spacing w:before="120" w:beforeLines="50" w:line="360" w:lineRule="auto"/>
        <w:ind w:firstLine="480" w:firstLineChars="200"/>
        <w:jc w:val="both"/>
        <w:rPr>
          <w:rFonts w:hint="eastAsia" w:ascii="宋体" w:hAnsi="宋体"/>
          <w:sz w:val="24"/>
        </w:rPr>
      </w:pPr>
      <w:r>
        <w:rPr>
          <w:rFonts w:ascii="宋体" w:hAnsi="宋体"/>
          <w:sz w:val="24"/>
        </w:rPr>
        <w:t>6.4</w:t>
      </w:r>
      <w:r>
        <w:rPr>
          <w:rFonts w:hint="eastAsia" w:ascii="宋体" w:hAnsi="宋体"/>
          <w:sz w:val="24"/>
        </w:rPr>
        <w:t>保密信息是指甲方就本次</w:t>
      </w:r>
      <w:r>
        <w:rPr>
          <w:rFonts w:ascii="宋体" w:hAnsi="宋体"/>
          <w:sz w:val="24"/>
        </w:rPr>
        <w:t>主体信用评级</w:t>
      </w:r>
      <w:r>
        <w:rPr>
          <w:rFonts w:hint="eastAsia" w:ascii="宋体" w:hAnsi="宋体"/>
          <w:sz w:val="24"/>
        </w:rPr>
        <w:t>以书面、电子通讯或互联网等形式提供给乙方的尚未公开的数据或信息，但不包括如下信息：</w:t>
      </w:r>
    </w:p>
    <w:p w14:paraId="47F2F2A1">
      <w:pPr>
        <w:pStyle w:val="15"/>
        <w:numPr>
          <w:ilvl w:val="1"/>
          <w:numId w:val="4"/>
        </w:numPr>
        <w:spacing w:before="120" w:beforeLines="50" w:line="360" w:lineRule="auto"/>
        <w:jc w:val="both"/>
        <w:rPr>
          <w:rFonts w:hint="eastAsia" w:ascii="宋体" w:hAnsi="宋体"/>
          <w:sz w:val="24"/>
        </w:rPr>
      </w:pPr>
      <w:r>
        <w:rPr>
          <w:rFonts w:hint="eastAsia" w:ascii="宋体" w:hAnsi="宋体"/>
          <w:sz w:val="24"/>
        </w:rPr>
        <w:t>已处于公有领域，公众一般可以获得的信息；</w:t>
      </w:r>
    </w:p>
    <w:p w14:paraId="32B646C1">
      <w:pPr>
        <w:pStyle w:val="15"/>
        <w:numPr>
          <w:ilvl w:val="1"/>
          <w:numId w:val="4"/>
        </w:numPr>
        <w:spacing w:before="120" w:beforeLines="50" w:line="360" w:lineRule="auto"/>
        <w:jc w:val="both"/>
        <w:rPr>
          <w:rFonts w:hint="eastAsia" w:ascii="宋体" w:hAnsi="宋体"/>
          <w:sz w:val="24"/>
        </w:rPr>
      </w:pPr>
      <w:r>
        <w:rPr>
          <w:rFonts w:hint="eastAsia" w:ascii="宋体" w:hAnsi="宋体"/>
          <w:sz w:val="24"/>
        </w:rPr>
        <w:t>乙方在保密信息披露时通过合法途径已经获悉的信息，但乙方合理应知悉第三方违反保密义务而造成乙方知晓该保密信息的除外；</w:t>
      </w:r>
    </w:p>
    <w:p w14:paraId="43210725">
      <w:pPr>
        <w:pStyle w:val="15"/>
        <w:numPr>
          <w:ilvl w:val="1"/>
          <w:numId w:val="4"/>
        </w:numPr>
        <w:spacing w:before="120" w:beforeLines="50" w:line="360" w:lineRule="auto"/>
        <w:jc w:val="both"/>
        <w:rPr>
          <w:rFonts w:ascii="宋体" w:hAnsi="宋体"/>
          <w:sz w:val="24"/>
        </w:rPr>
      </w:pPr>
      <w:r>
        <w:rPr>
          <w:rFonts w:hint="eastAsia" w:ascii="宋体" w:hAnsi="宋体"/>
          <w:sz w:val="24"/>
        </w:rPr>
        <w:t>乙方在没有依赖保密信息之情况下所独立开发的信息；</w:t>
      </w:r>
    </w:p>
    <w:p w14:paraId="2F7A104D">
      <w:pPr>
        <w:pStyle w:val="15"/>
        <w:numPr>
          <w:ilvl w:val="1"/>
          <w:numId w:val="4"/>
        </w:numPr>
        <w:spacing w:before="120" w:beforeLines="50" w:line="360" w:lineRule="auto"/>
        <w:jc w:val="both"/>
        <w:rPr>
          <w:rFonts w:ascii="宋体" w:hAnsi="宋体"/>
          <w:sz w:val="24"/>
        </w:rPr>
      </w:pPr>
      <w:r>
        <w:rPr>
          <w:rFonts w:hint="eastAsia" w:ascii="宋体" w:hAnsi="宋体"/>
          <w:sz w:val="24"/>
        </w:rPr>
        <w:t>经甲方授权披露的信息。</w:t>
      </w:r>
    </w:p>
    <w:p w14:paraId="4B89AACE">
      <w:pPr>
        <w:spacing w:before="120" w:beforeLines="50" w:line="360" w:lineRule="auto"/>
        <w:ind w:firstLine="480" w:firstLineChars="200"/>
        <w:rPr>
          <w:rFonts w:hint="eastAsia" w:ascii="宋体" w:hAnsi="宋体"/>
          <w:sz w:val="24"/>
        </w:rPr>
      </w:pPr>
      <w:r>
        <w:rPr>
          <w:rFonts w:hint="eastAsia" w:ascii="宋体" w:hAnsi="宋体"/>
          <w:sz w:val="24"/>
        </w:rPr>
        <w:t>6</w:t>
      </w:r>
      <w:r>
        <w:rPr>
          <w:rFonts w:ascii="宋体" w:hAnsi="宋体"/>
          <w:sz w:val="24"/>
        </w:rPr>
        <w:t>.5</w:t>
      </w:r>
      <w:r>
        <w:rPr>
          <w:rFonts w:hint="eastAsia" w:ascii="宋体" w:hAnsi="宋体"/>
          <w:sz w:val="24"/>
        </w:rPr>
        <w:t>本协议一方可以按照法律规定或监管机构（行政监管机构和自律监管机构）的要求对本条</w:t>
      </w:r>
      <w:r>
        <w:rPr>
          <w:rFonts w:ascii="宋体" w:hAnsi="宋体"/>
          <w:sz w:val="24"/>
        </w:rPr>
        <w:t>约定</w:t>
      </w:r>
      <w:r>
        <w:rPr>
          <w:rFonts w:hint="eastAsia" w:ascii="宋体" w:hAnsi="宋体"/>
          <w:sz w:val="24"/>
        </w:rPr>
        <w:t>的保密信息进行相应的披露，但是披露范围应当仅限于法律规定或监管机构（行政监管机构和自律监管机构）要求必须披露的信息。</w:t>
      </w:r>
    </w:p>
    <w:p w14:paraId="4EE9EFF7">
      <w:pPr>
        <w:numPr>
          <w:ilvl w:val="1"/>
          <w:numId w:val="5"/>
        </w:numPr>
        <w:spacing w:before="120" w:beforeLines="50" w:line="360" w:lineRule="auto"/>
        <w:rPr>
          <w:rFonts w:hint="eastAsia" w:ascii="宋体" w:hAnsi="宋体"/>
          <w:sz w:val="24"/>
        </w:rPr>
      </w:pPr>
      <w:r>
        <w:rPr>
          <w:rFonts w:hint="eastAsia" w:ascii="宋体" w:hAnsi="宋体"/>
          <w:sz w:val="24"/>
        </w:rPr>
        <w:t>如果法律规定或监管机构（行政监管机构和自律监管机构）要求必须公开披露的，披露前在法律许可的条件下应当通知另一方。</w:t>
      </w:r>
    </w:p>
    <w:p w14:paraId="07F27DE4">
      <w:pPr>
        <w:numPr>
          <w:ilvl w:val="1"/>
          <w:numId w:val="5"/>
        </w:numPr>
        <w:spacing w:before="120" w:beforeLines="50" w:line="360" w:lineRule="auto"/>
        <w:rPr>
          <w:rFonts w:hint="eastAsia" w:ascii="宋体" w:hAnsi="宋体"/>
          <w:sz w:val="24"/>
        </w:rPr>
      </w:pPr>
      <w:r>
        <w:rPr>
          <w:rFonts w:hint="eastAsia" w:ascii="宋体" w:hAnsi="宋体"/>
          <w:sz w:val="24"/>
        </w:rPr>
        <w:t>如果一方只是按监管机构（行政监管机构和自律监管机构）要求向其报送评级报告、评级公告等信息，无须告知另一方。</w:t>
      </w:r>
    </w:p>
    <w:p w14:paraId="32CE0647">
      <w:pPr>
        <w:spacing w:before="120" w:beforeLines="50" w:line="360" w:lineRule="auto"/>
        <w:ind w:firstLine="540"/>
        <w:rPr>
          <w:rFonts w:ascii="黑体" w:hAnsi="宋体" w:eastAsia="黑体"/>
          <w:b/>
          <w:color w:val="000000"/>
          <w:sz w:val="24"/>
        </w:rPr>
      </w:pPr>
      <w:r>
        <w:rPr>
          <w:rFonts w:hint="eastAsia" w:ascii="黑体" w:hAnsi="宋体" w:eastAsia="黑体"/>
          <w:b/>
          <w:color w:val="000000"/>
          <w:sz w:val="24"/>
        </w:rPr>
        <w:t xml:space="preserve">第七条  </w:t>
      </w:r>
      <w:r>
        <w:rPr>
          <w:rFonts w:ascii="黑体" w:hAnsi="宋体" w:eastAsia="黑体"/>
          <w:b/>
          <w:color w:val="000000"/>
          <w:sz w:val="24"/>
        </w:rPr>
        <w:t>责任限制</w:t>
      </w:r>
    </w:p>
    <w:p w14:paraId="5BF2BDAF">
      <w:pPr>
        <w:spacing w:before="120" w:beforeLines="50" w:after="120" w:afterLines="50" w:line="360" w:lineRule="auto"/>
        <w:ind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1乙方对</w:t>
      </w:r>
      <w:r>
        <w:rPr>
          <w:rFonts w:hint="eastAsia" w:ascii="宋体" w:hAnsi="宋体"/>
          <w:color w:val="000000"/>
          <w:sz w:val="24"/>
        </w:rPr>
        <w:t>由甲方或其他相关第三方提供给</w:t>
      </w:r>
      <w:r>
        <w:rPr>
          <w:rFonts w:ascii="宋体" w:hAnsi="宋体"/>
          <w:color w:val="000000"/>
          <w:sz w:val="24"/>
        </w:rPr>
        <w:t>乙方的信息或</w:t>
      </w:r>
      <w:r>
        <w:rPr>
          <w:rFonts w:hint="eastAsia" w:ascii="宋体" w:hAnsi="宋体"/>
          <w:color w:val="000000"/>
          <w:sz w:val="24"/>
        </w:rPr>
        <w:t>资料</w:t>
      </w:r>
      <w:r>
        <w:rPr>
          <w:rFonts w:ascii="宋体" w:hAnsi="宋体"/>
          <w:color w:val="000000"/>
          <w:sz w:val="24"/>
        </w:rPr>
        <w:t>的</w:t>
      </w:r>
      <w:r>
        <w:rPr>
          <w:rFonts w:hint="eastAsia" w:ascii="宋体" w:hAnsi="宋体"/>
          <w:color w:val="000000"/>
          <w:sz w:val="24"/>
        </w:rPr>
        <w:t>真实性、准</w:t>
      </w:r>
      <w:r>
        <w:rPr>
          <w:rFonts w:ascii="宋体" w:hAnsi="宋体"/>
          <w:color w:val="000000"/>
          <w:sz w:val="24"/>
        </w:rPr>
        <w:t>确性</w:t>
      </w:r>
      <w:r>
        <w:rPr>
          <w:rFonts w:hint="eastAsia" w:ascii="宋体" w:hAnsi="宋体"/>
          <w:color w:val="000000"/>
          <w:sz w:val="24"/>
        </w:rPr>
        <w:t>、完整性和及时性</w:t>
      </w:r>
      <w:r>
        <w:rPr>
          <w:rFonts w:ascii="宋体" w:hAnsi="宋体"/>
          <w:color w:val="000000"/>
          <w:sz w:val="24"/>
        </w:rPr>
        <w:t>不作任何保证或给予任何其他担保(无论是对甲方或任何第三方)。</w:t>
      </w:r>
    </w:p>
    <w:p w14:paraId="1416A774">
      <w:pPr>
        <w:pStyle w:val="15"/>
        <w:spacing w:before="120" w:beforeLines="50" w:after="120" w:afterLines="50" w:line="360" w:lineRule="auto"/>
        <w:ind w:firstLine="480" w:firstLineChars="200"/>
        <w:jc w:val="both"/>
        <w:rPr>
          <w:rFonts w:hint="eastAsia" w:ascii="宋体" w:hAnsi="宋体"/>
          <w:color w:val="000000"/>
          <w:sz w:val="24"/>
        </w:rPr>
      </w:pPr>
      <w:r>
        <w:rPr>
          <w:rFonts w:hint="eastAsia" w:ascii="宋体" w:hAnsi="宋体"/>
          <w:color w:val="000000"/>
          <w:sz w:val="24"/>
        </w:rPr>
        <w:t>7.</w:t>
      </w:r>
      <w:r>
        <w:rPr>
          <w:rFonts w:ascii="宋体" w:hAnsi="宋体"/>
          <w:color w:val="000000"/>
          <w:sz w:val="24"/>
        </w:rPr>
        <w:t>2</w:t>
      </w:r>
      <w:r>
        <w:rPr>
          <w:rFonts w:hint="eastAsia" w:ascii="宋体" w:hAnsi="宋体"/>
          <w:color w:val="000000"/>
          <w:sz w:val="24"/>
        </w:rPr>
        <w:t>在任何情况下，乙方均不应因依法</w:t>
      </w:r>
      <w:r>
        <w:rPr>
          <w:rFonts w:ascii="宋体" w:hAnsi="宋体"/>
          <w:color w:val="000000"/>
          <w:sz w:val="24"/>
        </w:rPr>
        <w:t>合规地</w:t>
      </w:r>
      <w:r>
        <w:rPr>
          <w:rFonts w:hint="eastAsia" w:ascii="宋体" w:hAnsi="宋体"/>
          <w:color w:val="000000"/>
          <w:sz w:val="24"/>
        </w:rPr>
        <w:t>履行本协议、出具评级结果及信用评级报告及发生本协议第9.2条情形而对甲方或其他任何第三方承担任何赔偿责任。由于甲方向乙方提供的信息或资料存在瑕疵（如不真实、不准确、不完整或不及时）而导致乙方的评级结果或信用评级报告不准确或发生任何其它问题，乙方对此不承担任何责任</w:t>
      </w:r>
      <w:r>
        <w:rPr>
          <w:rFonts w:ascii="宋体" w:hAnsi="宋体"/>
          <w:color w:val="000000"/>
          <w:sz w:val="24"/>
        </w:rPr>
        <w:t>(无论是对甲方或任何第三方)</w:t>
      </w:r>
      <w:r>
        <w:rPr>
          <w:rFonts w:hint="eastAsia" w:ascii="宋体" w:hAnsi="宋体"/>
          <w:color w:val="000000"/>
          <w:sz w:val="24"/>
        </w:rPr>
        <w:t>。</w:t>
      </w:r>
      <w:r>
        <w:rPr>
          <w:rFonts w:ascii="宋体" w:hAnsi="宋体"/>
          <w:color w:val="000000"/>
          <w:sz w:val="24"/>
        </w:rPr>
        <w:t>但是本</w:t>
      </w:r>
      <w:r>
        <w:rPr>
          <w:rFonts w:hint="eastAsia" w:ascii="宋体" w:hAnsi="宋体"/>
          <w:color w:val="000000"/>
          <w:sz w:val="24"/>
        </w:rPr>
        <w:t>协议</w:t>
      </w:r>
      <w:r>
        <w:rPr>
          <w:rFonts w:ascii="宋体" w:hAnsi="宋体"/>
          <w:color w:val="000000"/>
          <w:sz w:val="24"/>
        </w:rPr>
        <w:t>第</w:t>
      </w:r>
      <w:r>
        <w:rPr>
          <w:rFonts w:hint="eastAsia" w:ascii="宋体" w:hAnsi="宋体"/>
          <w:color w:val="000000"/>
          <w:sz w:val="24"/>
        </w:rPr>
        <w:t>7</w:t>
      </w:r>
      <w:r>
        <w:rPr>
          <w:rFonts w:ascii="宋体" w:hAnsi="宋体"/>
          <w:color w:val="000000"/>
          <w:sz w:val="24"/>
        </w:rPr>
        <w:t>.</w:t>
      </w:r>
      <w:r>
        <w:rPr>
          <w:rFonts w:hint="eastAsia" w:ascii="宋体" w:hAnsi="宋体"/>
          <w:color w:val="000000"/>
          <w:sz w:val="24"/>
        </w:rPr>
        <w:t>2条</w:t>
      </w:r>
      <w:r>
        <w:rPr>
          <w:rFonts w:ascii="宋体" w:hAnsi="宋体"/>
          <w:color w:val="000000"/>
          <w:sz w:val="24"/>
        </w:rPr>
        <w:t>的</w:t>
      </w:r>
      <w:r>
        <w:rPr>
          <w:rFonts w:hint="eastAsia" w:ascii="宋体" w:hAnsi="宋体"/>
          <w:color w:val="000000"/>
          <w:sz w:val="24"/>
        </w:rPr>
        <w:t>上述</w:t>
      </w:r>
      <w:r>
        <w:rPr>
          <w:rFonts w:ascii="宋体" w:hAnsi="宋体"/>
          <w:color w:val="000000"/>
          <w:sz w:val="24"/>
        </w:rPr>
        <w:t>规定不</w:t>
      </w:r>
      <w:r>
        <w:rPr>
          <w:rFonts w:hint="eastAsia" w:ascii="宋体" w:hAnsi="宋体"/>
          <w:color w:val="000000"/>
          <w:sz w:val="24"/>
        </w:rPr>
        <w:t>适用于</w:t>
      </w:r>
      <w:r>
        <w:rPr>
          <w:rFonts w:ascii="宋体" w:hAnsi="宋体"/>
          <w:color w:val="000000"/>
          <w:sz w:val="24"/>
        </w:rPr>
        <w:t>由于乙方或其雇员的任何欺诈、不诚实或有意的不法行为所导致的任何索赔。</w:t>
      </w:r>
    </w:p>
    <w:p w14:paraId="34D350A8">
      <w:pPr>
        <w:spacing w:before="120" w:beforeLines="50" w:line="360" w:lineRule="auto"/>
        <w:ind w:firstLine="472" w:firstLineChars="196"/>
        <w:rPr>
          <w:rFonts w:hint="eastAsia" w:ascii="黑体" w:hAnsi="宋体" w:eastAsia="黑体"/>
          <w:b/>
          <w:color w:val="000000"/>
          <w:sz w:val="24"/>
        </w:rPr>
      </w:pPr>
      <w:r>
        <w:rPr>
          <w:rFonts w:hint="eastAsia" w:ascii="黑体" w:hAnsi="宋体" w:eastAsia="黑体"/>
          <w:b/>
          <w:color w:val="000000"/>
          <w:sz w:val="24"/>
        </w:rPr>
        <w:t>第八条  违约责任</w:t>
      </w:r>
    </w:p>
    <w:p w14:paraId="4695AD84">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8.</w:t>
      </w:r>
      <w:r>
        <w:rPr>
          <w:rFonts w:ascii="宋体" w:hAnsi="宋体"/>
          <w:color w:val="000000"/>
          <w:sz w:val="24"/>
        </w:rPr>
        <w:t>1</w:t>
      </w:r>
      <w:r>
        <w:rPr>
          <w:rFonts w:hint="eastAsia" w:ascii="宋体" w:hAnsi="宋体"/>
          <w:color w:val="000000"/>
          <w:sz w:val="24"/>
        </w:rPr>
        <w:t>如果乙方未能按本协议约定及时向甲方提交主体信用评级报告，乙方应向甲方支付主体</w:t>
      </w:r>
      <w:r>
        <w:rPr>
          <w:rFonts w:ascii="宋体" w:hAnsi="宋体"/>
          <w:color w:val="000000"/>
          <w:sz w:val="24"/>
        </w:rPr>
        <w:t>信用</w:t>
      </w:r>
      <w:r>
        <w:rPr>
          <w:rFonts w:hint="eastAsia" w:ascii="宋体" w:hAnsi="宋体"/>
          <w:color w:val="000000"/>
          <w:sz w:val="24"/>
        </w:rPr>
        <w:t>评级费用总额的</w:t>
      </w:r>
      <w:r>
        <w:rPr>
          <w:rFonts w:ascii="宋体" w:hAnsi="宋体"/>
          <w:color w:val="000000"/>
          <w:sz w:val="24"/>
        </w:rPr>
        <w:t>5%</w:t>
      </w:r>
      <w:r>
        <w:rPr>
          <w:rFonts w:hint="eastAsia" w:ascii="宋体" w:hAnsi="宋体"/>
          <w:color w:val="000000"/>
          <w:sz w:val="24"/>
        </w:rPr>
        <w:t>作为违约金。</w:t>
      </w:r>
    </w:p>
    <w:p w14:paraId="66DB3D68">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8.</w:t>
      </w:r>
      <w:r>
        <w:rPr>
          <w:rFonts w:ascii="宋体" w:hAnsi="宋体"/>
          <w:color w:val="000000"/>
          <w:sz w:val="24"/>
        </w:rPr>
        <w:t>2</w:t>
      </w:r>
      <w:r>
        <w:rPr>
          <w:rFonts w:hint="eastAsia" w:ascii="宋体" w:hAnsi="宋体"/>
          <w:color w:val="000000"/>
          <w:sz w:val="24"/>
        </w:rPr>
        <w:t>如</w:t>
      </w:r>
      <w:r>
        <w:rPr>
          <w:rFonts w:hint="eastAsia" w:ascii="宋体" w:hAnsi="宋体"/>
          <w:sz w:val="24"/>
        </w:rPr>
        <w:t>非因乙方过错</w:t>
      </w:r>
      <w:r>
        <w:rPr>
          <w:rFonts w:hint="eastAsia" w:ascii="宋体" w:hAnsi="宋体"/>
          <w:color w:val="000000"/>
          <w:sz w:val="24"/>
        </w:rPr>
        <w:t>致使乙方未能按本协议约定完成评级工作（含不定期跟踪评级），乙方不承担违约责任。</w:t>
      </w:r>
    </w:p>
    <w:p w14:paraId="04FFA488">
      <w:pPr>
        <w:spacing w:before="120" w:beforeLines="50" w:line="360" w:lineRule="auto"/>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3</w:t>
      </w:r>
      <w:r>
        <w:rPr>
          <w:rFonts w:hint="eastAsia" w:ascii="宋体" w:hAnsi="宋体"/>
          <w:color w:val="000000"/>
          <w:sz w:val="24"/>
        </w:rPr>
        <w:t>如甲方未能按本协议约定及时向乙方支付评级费用，甲方应向乙方支付该项未付评级费用总额的5%作为违约金。</w:t>
      </w:r>
    </w:p>
    <w:p w14:paraId="6A3311EA">
      <w:pPr>
        <w:spacing w:before="120" w:beforeLines="50" w:line="360" w:lineRule="auto"/>
        <w:ind w:firstLine="480" w:firstLineChars="200"/>
        <w:rPr>
          <w:rFonts w:ascii="宋体" w:hAnsi="宋体"/>
          <w:sz w:val="24"/>
        </w:rPr>
      </w:pPr>
      <w:r>
        <w:rPr>
          <w:rFonts w:hint="eastAsia" w:ascii="宋体" w:hAnsi="宋体"/>
          <w:color w:val="000000"/>
          <w:sz w:val="24"/>
        </w:rPr>
        <w:t>8</w:t>
      </w:r>
      <w:r>
        <w:rPr>
          <w:rFonts w:ascii="宋体" w:hAnsi="宋体"/>
          <w:color w:val="000000"/>
          <w:sz w:val="24"/>
        </w:rPr>
        <w:t>.4</w:t>
      </w:r>
      <w:r>
        <w:rPr>
          <w:rFonts w:hint="eastAsia" w:ascii="宋体" w:hAnsi="宋体"/>
          <w:sz w:val="24"/>
        </w:rPr>
        <w:t>若</w:t>
      </w:r>
      <w:r>
        <w:rPr>
          <w:rFonts w:ascii="宋体" w:hAnsi="宋体"/>
          <w:sz w:val="24"/>
        </w:rPr>
        <w:t>甲方违反本协议第</w:t>
      </w:r>
      <w:r>
        <w:rPr>
          <w:rFonts w:hint="eastAsia" w:ascii="宋体" w:hAnsi="宋体"/>
          <w:sz w:val="24"/>
        </w:rPr>
        <w:t>3</w:t>
      </w:r>
      <w:r>
        <w:rPr>
          <w:rFonts w:ascii="宋体" w:hAnsi="宋体"/>
          <w:sz w:val="24"/>
        </w:rPr>
        <w:t>.8条的约定</w:t>
      </w:r>
      <w:r>
        <w:rPr>
          <w:rFonts w:hint="eastAsia" w:ascii="宋体" w:hAnsi="宋体"/>
          <w:sz w:val="24"/>
        </w:rPr>
        <w:t>，未经乙方事先书面确认，</w:t>
      </w:r>
      <w:r>
        <w:rPr>
          <w:rFonts w:ascii="宋体" w:hAnsi="宋体"/>
          <w:sz w:val="24"/>
        </w:rPr>
        <w:t>引用乙方出具的主体信用评级结果或评级报告发行债</w:t>
      </w:r>
      <w:r>
        <w:rPr>
          <w:rFonts w:hint="eastAsia" w:ascii="宋体" w:hAnsi="宋体"/>
          <w:sz w:val="24"/>
        </w:rPr>
        <w:t>券，</w:t>
      </w:r>
      <w:r>
        <w:rPr>
          <w:rFonts w:ascii="宋体" w:hAnsi="宋体"/>
          <w:sz w:val="24"/>
        </w:rPr>
        <w:t>乙方有权终止甲方的主体信用评级结果</w:t>
      </w:r>
      <w:r>
        <w:rPr>
          <w:rFonts w:hint="eastAsia" w:ascii="宋体" w:hAnsi="宋体"/>
          <w:sz w:val="24"/>
        </w:rPr>
        <w:t>，</w:t>
      </w:r>
      <w:r>
        <w:rPr>
          <w:rFonts w:ascii="宋体" w:hAnsi="宋体"/>
          <w:sz w:val="24"/>
        </w:rPr>
        <w:t>且甲方应向乙方支付本次主体评级费用的两倍作为违约金</w:t>
      </w:r>
      <w:r>
        <w:rPr>
          <w:rFonts w:hint="eastAsia" w:ascii="宋体" w:hAnsi="宋体"/>
          <w:sz w:val="24"/>
        </w:rPr>
        <w:t>。</w:t>
      </w:r>
    </w:p>
    <w:p w14:paraId="3564185B">
      <w:pPr>
        <w:spacing w:before="120" w:beforeLines="50" w:line="360" w:lineRule="auto"/>
        <w:ind w:firstLine="480" w:firstLineChars="200"/>
        <w:rPr>
          <w:rFonts w:hint="eastAsia" w:ascii="宋体" w:hAnsi="宋体"/>
          <w:sz w:val="24"/>
        </w:rPr>
      </w:pPr>
      <w:r>
        <w:rPr>
          <w:rFonts w:hint="eastAsia" w:ascii="宋体" w:hAnsi="宋体"/>
          <w:sz w:val="24"/>
        </w:rPr>
        <w:t>8</w:t>
      </w:r>
      <w:r>
        <w:rPr>
          <w:rFonts w:ascii="宋体" w:hAnsi="宋体"/>
          <w:sz w:val="24"/>
        </w:rPr>
        <w:t>.5除本协议有明确约定外</w:t>
      </w:r>
      <w:r>
        <w:rPr>
          <w:rFonts w:hint="eastAsia" w:ascii="宋体" w:hAnsi="宋体"/>
          <w:sz w:val="24"/>
        </w:rPr>
        <w:t>，任何一方违反本协议项下陈述、保证、承诺及其他义务，均须依据有关法律及本协议承担违约责任，并赔偿另一方的全部损失及因此而发生的一切费用（包括律师费、差旅费、诉讼费等）。</w:t>
      </w:r>
    </w:p>
    <w:p w14:paraId="538DBEC5">
      <w:pPr>
        <w:spacing w:before="120" w:beforeLines="50" w:line="360" w:lineRule="auto"/>
        <w:ind w:firstLine="472" w:firstLineChars="196"/>
        <w:rPr>
          <w:rFonts w:ascii="黑体" w:hAnsi="宋体" w:eastAsia="黑体"/>
          <w:b/>
          <w:color w:val="000000"/>
          <w:sz w:val="24"/>
        </w:rPr>
      </w:pPr>
      <w:r>
        <w:rPr>
          <w:rFonts w:hint="eastAsia" w:ascii="黑体" w:hAnsi="宋体" w:eastAsia="黑体"/>
          <w:b/>
          <w:color w:val="000000"/>
          <w:sz w:val="24"/>
        </w:rPr>
        <w:t>第九条  变更或</w:t>
      </w:r>
      <w:r>
        <w:rPr>
          <w:rFonts w:ascii="黑体" w:hAnsi="宋体" w:eastAsia="黑体"/>
          <w:b/>
          <w:color w:val="000000"/>
          <w:sz w:val="24"/>
        </w:rPr>
        <w:t>终止</w:t>
      </w:r>
    </w:p>
    <w:p w14:paraId="09A1A8FC">
      <w:pPr>
        <w:spacing w:before="120" w:beforeLines="50" w:after="120" w:afterLines="50" w:line="360" w:lineRule="auto"/>
        <w:ind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1</w:t>
      </w:r>
      <w:r>
        <w:rPr>
          <w:rFonts w:hint="eastAsia" w:ascii="宋体" w:hAnsi="宋体"/>
          <w:color w:val="000000"/>
          <w:sz w:val="24"/>
        </w:rPr>
        <w:t>本协议于主体信用评级</w:t>
      </w:r>
      <w:r>
        <w:rPr>
          <w:rFonts w:ascii="宋体" w:hAnsi="宋体"/>
          <w:color w:val="000000"/>
          <w:sz w:val="24"/>
        </w:rPr>
        <w:t>结果</w:t>
      </w:r>
      <w:r>
        <w:rPr>
          <w:rFonts w:hint="eastAsia" w:ascii="宋体" w:hAnsi="宋体"/>
          <w:color w:val="000000"/>
          <w:sz w:val="24"/>
        </w:rPr>
        <w:t>有效期到期时自动终止。在主体信用评级</w:t>
      </w:r>
      <w:r>
        <w:rPr>
          <w:rFonts w:ascii="宋体" w:hAnsi="宋体"/>
          <w:color w:val="000000"/>
          <w:sz w:val="24"/>
        </w:rPr>
        <w:t>结果</w:t>
      </w:r>
      <w:r>
        <w:rPr>
          <w:rFonts w:hint="eastAsia" w:ascii="宋体" w:hAnsi="宋体"/>
          <w:color w:val="000000"/>
          <w:sz w:val="24"/>
        </w:rPr>
        <w:t>有效期到期之前，双方也可协商一致终止本协议。</w:t>
      </w:r>
    </w:p>
    <w:p w14:paraId="765096C9">
      <w:pPr>
        <w:spacing w:before="120" w:beforeLines="50" w:after="120" w:afterLines="50" w:line="360" w:lineRule="auto"/>
        <w:ind w:firstLine="480" w:firstLineChars="200"/>
        <w:rPr>
          <w:rFonts w:hint="eastAsia" w:ascii="宋体" w:hAnsi="宋体"/>
          <w:sz w:val="24"/>
        </w:rPr>
      </w:pPr>
      <w:r>
        <w:rPr>
          <w:rFonts w:ascii="宋体" w:hAnsi="宋体"/>
          <w:sz w:val="24"/>
        </w:rPr>
        <w:t>9.2</w:t>
      </w:r>
      <w:r>
        <w:rPr>
          <w:rFonts w:hint="eastAsia" w:ascii="宋体" w:hAnsi="宋体"/>
          <w:sz w:val="24"/>
        </w:rPr>
        <w:t>出现以下情形之一，乙方可终止甲方的信用评级结果和报告，并公告原因：</w:t>
      </w:r>
    </w:p>
    <w:p w14:paraId="03FFB481">
      <w:pPr>
        <w:numPr>
          <w:ilvl w:val="1"/>
          <w:numId w:val="6"/>
        </w:numPr>
        <w:spacing w:before="120" w:beforeLines="50" w:after="120" w:afterLines="50" w:line="360" w:lineRule="auto"/>
        <w:rPr>
          <w:rFonts w:ascii="宋体" w:hAnsi="宋体"/>
          <w:sz w:val="24"/>
        </w:rPr>
      </w:pPr>
      <w:r>
        <w:rPr>
          <w:rFonts w:hint="eastAsia" w:ascii="宋体" w:hAnsi="宋体"/>
          <w:sz w:val="24"/>
        </w:rPr>
        <w:t>双方协商一致不再评级的；</w:t>
      </w:r>
    </w:p>
    <w:p w14:paraId="0B3531F6">
      <w:pPr>
        <w:numPr>
          <w:ilvl w:val="1"/>
          <w:numId w:val="6"/>
        </w:numPr>
        <w:spacing w:before="120" w:beforeLines="50" w:after="120" w:afterLines="50" w:line="360" w:lineRule="auto"/>
        <w:rPr>
          <w:rFonts w:hint="eastAsia" w:ascii="宋体" w:hAnsi="宋体"/>
          <w:sz w:val="24"/>
        </w:rPr>
      </w:pPr>
      <w:r>
        <w:rPr>
          <w:rFonts w:hint="eastAsia" w:ascii="宋体" w:hAnsi="宋体"/>
          <w:sz w:val="24"/>
        </w:rPr>
        <w:t>甲方不按约定支付评级费用的；</w:t>
      </w:r>
    </w:p>
    <w:p w14:paraId="43619991">
      <w:pPr>
        <w:numPr>
          <w:ilvl w:val="1"/>
          <w:numId w:val="6"/>
        </w:numPr>
        <w:spacing w:before="120" w:beforeLines="50" w:after="120" w:afterLines="50" w:line="360" w:lineRule="auto"/>
        <w:ind w:left="1701" w:hanging="801"/>
        <w:rPr>
          <w:rFonts w:ascii="宋体" w:hAnsi="宋体"/>
          <w:sz w:val="24"/>
        </w:rPr>
      </w:pPr>
      <w:r>
        <w:rPr>
          <w:rFonts w:hint="eastAsia" w:ascii="宋体" w:hAnsi="宋体"/>
          <w:sz w:val="24"/>
        </w:rPr>
        <w:t>甲方未按照本协议约定使用评级报告的；</w:t>
      </w:r>
    </w:p>
    <w:p w14:paraId="52518D8B">
      <w:pPr>
        <w:numPr>
          <w:ilvl w:val="1"/>
          <w:numId w:val="6"/>
        </w:numPr>
        <w:spacing w:before="120" w:beforeLines="50" w:after="120" w:afterLines="50" w:line="360" w:lineRule="auto"/>
        <w:ind w:left="1701" w:hanging="801"/>
        <w:rPr>
          <w:rFonts w:hint="eastAsia" w:ascii="宋体" w:hAnsi="宋体"/>
          <w:sz w:val="24"/>
        </w:rPr>
      </w:pPr>
      <w:r>
        <w:rPr>
          <w:rFonts w:hint="eastAsia" w:ascii="宋体" w:hAnsi="宋体"/>
          <w:sz w:val="24"/>
        </w:rPr>
        <w:t>甲方拒不提供信用评级所需关键材料或提供的材料存在虚假记载、误导性陈述或重大遗漏的；</w:t>
      </w:r>
    </w:p>
    <w:p w14:paraId="3C113674">
      <w:pPr>
        <w:numPr>
          <w:ilvl w:val="1"/>
          <w:numId w:val="6"/>
        </w:numPr>
        <w:spacing w:before="120" w:beforeLines="50" w:after="120" w:afterLines="50" w:line="360" w:lineRule="auto"/>
        <w:rPr>
          <w:rFonts w:ascii="宋体" w:hAnsi="宋体"/>
          <w:sz w:val="24"/>
        </w:rPr>
      </w:pPr>
      <w:r>
        <w:rPr>
          <w:rFonts w:hint="eastAsia" w:ascii="宋体" w:hAnsi="宋体"/>
          <w:sz w:val="24"/>
        </w:rPr>
        <w:t>甲方解散或被依法宣告破产的；</w:t>
      </w:r>
    </w:p>
    <w:p w14:paraId="75F8CC40">
      <w:pPr>
        <w:numPr>
          <w:ilvl w:val="1"/>
          <w:numId w:val="6"/>
        </w:numPr>
        <w:spacing w:before="120" w:beforeLines="50" w:after="120" w:afterLines="50" w:line="360" w:lineRule="auto"/>
        <w:rPr>
          <w:rFonts w:hint="eastAsia" w:ascii="宋体" w:hAnsi="宋体"/>
          <w:sz w:val="24"/>
        </w:rPr>
      </w:pPr>
      <w:r>
        <w:rPr>
          <w:rFonts w:hint="eastAsia" w:ascii="宋体" w:hAnsi="宋体"/>
          <w:sz w:val="24"/>
        </w:rPr>
        <w:t>评级工作不能正常开展的其他情形。</w:t>
      </w:r>
    </w:p>
    <w:p w14:paraId="01E0C9D4">
      <w:pPr>
        <w:spacing w:before="120" w:beforeLines="50" w:after="120" w:afterLines="50" w:line="360" w:lineRule="auto"/>
        <w:ind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3本协议</w:t>
      </w:r>
      <w:r>
        <w:rPr>
          <w:rFonts w:hint="eastAsia" w:ascii="宋体" w:hAnsi="宋体"/>
          <w:color w:val="000000"/>
          <w:sz w:val="24"/>
        </w:rPr>
        <w:t>终止后</w:t>
      </w:r>
      <w:r>
        <w:rPr>
          <w:rFonts w:ascii="宋体" w:hAnsi="宋体"/>
          <w:color w:val="000000"/>
          <w:sz w:val="24"/>
        </w:rPr>
        <w:t>，本协议第</w:t>
      </w:r>
      <w:r>
        <w:rPr>
          <w:rFonts w:hint="eastAsia" w:ascii="宋体" w:hAnsi="宋体"/>
          <w:color w:val="000000"/>
          <w:sz w:val="24"/>
        </w:rPr>
        <w:t>六</w:t>
      </w:r>
      <w:r>
        <w:rPr>
          <w:rFonts w:ascii="宋体" w:hAnsi="宋体"/>
          <w:color w:val="000000"/>
          <w:sz w:val="24"/>
        </w:rPr>
        <w:t>条和第</w:t>
      </w:r>
      <w:r>
        <w:rPr>
          <w:rFonts w:hint="eastAsia" w:ascii="宋体" w:hAnsi="宋体"/>
          <w:color w:val="000000"/>
          <w:sz w:val="24"/>
        </w:rPr>
        <w:t>七</w:t>
      </w:r>
      <w:r>
        <w:rPr>
          <w:rFonts w:ascii="宋体" w:hAnsi="宋体"/>
          <w:color w:val="000000"/>
          <w:sz w:val="24"/>
        </w:rPr>
        <w:t>条继续有效</w:t>
      </w:r>
      <w:r>
        <w:rPr>
          <w:rFonts w:hint="eastAsia" w:ascii="宋体" w:hAnsi="宋体"/>
          <w:color w:val="000000"/>
          <w:sz w:val="24"/>
        </w:rPr>
        <w:t>，直至本协议终止之日起两年自动失效</w:t>
      </w:r>
      <w:r>
        <w:rPr>
          <w:rFonts w:ascii="宋体" w:hAnsi="宋体"/>
          <w:color w:val="000000"/>
          <w:sz w:val="24"/>
        </w:rPr>
        <w:t>。</w:t>
      </w:r>
    </w:p>
    <w:p w14:paraId="140B9F59">
      <w:pPr>
        <w:spacing w:before="120" w:beforeLines="50" w:line="360" w:lineRule="auto"/>
        <w:rPr>
          <w:rFonts w:hint="eastAsia" w:ascii="黑体" w:hAnsi="宋体" w:eastAsia="黑体"/>
          <w:b/>
          <w:color w:val="000000"/>
          <w:sz w:val="24"/>
        </w:rPr>
      </w:pPr>
      <w:r>
        <w:rPr>
          <w:rFonts w:hint="eastAsia" w:ascii="宋体" w:hAnsi="宋体"/>
          <w:b/>
          <w:color w:val="000000"/>
          <w:sz w:val="24"/>
        </w:rPr>
        <w:t xml:space="preserve">  </w:t>
      </w:r>
      <w:r>
        <w:rPr>
          <w:rFonts w:hint="eastAsia" w:ascii="黑体" w:hAnsi="宋体" w:eastAsia="黑体"/>
          <w:b/>
          <w:color w:val="000000"/>
          <w:sz w:val="24"/>
        </w:rPr>
        <w:t xml:space="preserve">  第十条  争议的解决</w:t>
      </w:r>
    </w:p>
    <w:p w14:paraId="4E354CBE">
      <w:pPr>
        <w:pStyle w:val="322"/>
        <w:numPr>
          <w:ilvl w:val="1"/>
          <w:numId w:val="0"/>
        </w:numPr>
        <w:spacing w:before="120" w:beforeLines="50"/>
        <w:ind w:left="2" w:leftChars="1" w:firstLine="504" w:firstLineChars="200"/>
        <w:rPr>
          <w:rFonts w:ascii="宋体" w:hAnsi="宋体"/>
          <w:color w:val="000000"/>
          <w:lang w:eastAsia="zh-CN"/>
        </w:rPr>
      </w:pPr>
      <w:bookmarkStart w:id="399" w:name="_Toc25757"/>
      <w:r>
        <w:rPr>
          <w:rFonts w:hint="eastAsia" w:ascii="宋体" w:hAnsi="宋体"/>
          <w:color w:val="000000"/>
          <w:lang w:eastAsia="zh-CN"/>
        </w:rPr>
        <w:t>10.1</w:t>
      </w:r>
      <w:r>
        <w:rPr>
          <w:rFonts w:ascii="宋体" w:hAnsi="宋体"/>
          <w:color w:val="000000"/>
          <w:lang w:eastAsia="zh-CN"/>
        </w:rPr>
        <w:t>双方之间因本协议而发生的或与本协议有关的任何争议，包括与本协议的违约、终止或有效性有关的争议，双方应当首先努力通过友好协商解决。</w:t>
      </w:r>
      <w:bookmarkEnd w:id="399"/>
    </w:p>
    <w:p w14:paraId="445614A9">
      <w:pPr>
        <w:pStyle w:val="322"/>
        <w:numPr>
          <w:ilvl w:val="1"/>
          <w:numId w:val="0"/>
        </w:numPr>
        <w:spacing w:before="120" w:beforeLines="50"/>
        <w:ind w:left="2" w:leftChars="1" w:firstLine="504" w:firstLineChars="200"/>
        <w:rPr>
          <w:rFonts w:ascii="宋体" w:hAnsi="宋体"/>
          <w:color w:val="000000"/>
          <w:lang w:eastAsia="zh-CN"/>
        </w:rPr>
      </w:pPr>
      <w:bookmarkStart w:id="400" w:name="_Toc11852"/>
      <w:r>
        <w:rPr>
          <w:rFonts w:hint="eastAsia" w:ascii="宋体" w:hAnsi="宋体"/>
          <w:color w:val="000000"/>
          <w:lang w:eastAsia="zh-CN"/>
        </w:rPr>
        <w:t>10.2</w:t>
      </w:r>
      <w:r>
        <w:rPr>
          <w:rFonts w:ascii="宋体" w:hAnsi="宋体"/>
          <w:color w:val="000000"/>
          <w:lang w:eastAsia="zh-CN"/>
        </w:rPr>
        <w:t>如果在一方向另一方递送了要求开始协商的书面通知后六十（60）天内，争议仍未通过友好协商解决，则任何一方可要求按照</w:t>
      </w:r>
      <w:r>
        <w:rPr>
          <w:rFonts w:hint="eastAsia" w:ascii="宋体" w:hAnsi="宋体"/>
          <w:color w:val="000000"/>
          <w:lang w:eastAsia="zh-CN"/>
        </w:rPr>
        <w:t>本</w:t>
      </w:r>
      <w:r>
        <w:rPr>
          <w:rFonts w:ascii="宋体" w:hAnsi="宋体"/>
          <w:color w:val="000000"/>
          <w:lang w:eastAsia="zh-CN"/>
        </w:rPr>
        <w:t>条的</w:t>
      </w:r>
      <w:r>
        <w:rPr>
          <w:rFonts w:hint="eastAsia" w:ascii="宋体" w:hAnsi="宋体"/>
          <w:color w:val="000000"/>
          <w:lang w:eastAsia="zh-CN"/>
        </w:rPr>
        <w:t>约</w:t>
      </w:r>
      <w:r>
        <w:rPr>
          <w:rFonts w:ascii="宋体" w:hAnsi="宋体"/>
          <w:color w:val="000000"/>
          <w:lang w:eastAsia="zh-CN"/>
        </w:rPr>
        <w:t>定通过仲裁最终解决该争议。</w:t>
      </w:r>
      <w:bookmarkEnd w:id="400"/>
    </w:p>
    <w:p w14:paraId="1EB32B33">
      <w:pPr>
        <w:pStyle w:val="322"/>
        <w:numPr>
          <w:ilvl w:val="1"/>
          <w:numId w:val="0"/>
        </w:numPr>
        <w:spacing w:before="120" w:beforeLines="50"/>
        <w:ind w:left="2" w:leftChars="1" w:firstLine="504" w:firstLineChars="200"/>
        <w:rPr>
          <w:rFonts w:hint="eastAsia" w:ascii="宋体" w:hAnsi="宋体"/>
          <w:color w:val="000000"/>
          <w:lang w:eastAsia="zh-CN"/>
        </w:rPr>
      </w:pPr>
      <w:bookmarkStart w:id="401" w:name="_Toc16592"/>
      <w:r>
        <w:rPr>
          <w:rFonts w:hint="eastAsia" w:ascii="宋体" w:hAnsi="宋体"/>
          <w:color w:val="000000"/>
          <w:lang w:eastAsia="zh-CN"/>
        </w:rPr>
        <w:t>10.3</w:t>
      </w:r>
      <w:r>
        <w:rPr>
          <w:rFonts w:ascii="宋体" w:hAnsi="宋体"/>
          <w:color w:val="000000"/>
          <w:lang w:eastAsia="zh-CN"/>
        </w:rPr>
        <w:t>仲裁应由中国国际经济贸易仲裁委员会</w:t>
      </w:r>
      <w:r>
        <w:rPr>
          <w:rFonts w:hint="eastAsia" w:ascii="宋体" w:hAnsi="宋体"/>
          <w:color w:val="000000"/>
          <w:lang w:eastAsia="zh-CN"/>
        </w:rPr>
        <w:t>西南分会</w:t>
      </w:r>
      <w:r>
        <w:rPr>
          <w:rFonts w:ascii="宋体" w:hAnsi="宋体"/>
          <w:color w:val="000000"/>
          <w:lang w:eastAsia="zh-CN"/>
        </w:rPr>
        <w:t>遵循其当时有效的仲裁规则</w:t>
      </w:r>
      <w:r>
        <w:rPr>
          <w:rFonts w:hint="eastAsia" w:ascii="宋体" w:hAnsi="宋体"/>
          <w:color w:val="000000"/>
          <w:lang w:eastAsia="zh-CN"/>
        </w:rPr>
        <w:t>在重庆</w:t>
      </w:r>
      <w:r>
        <w:rPr>
          <w:rFonts w:ascii="宋体" w:hAnsi="宋体"/>
          <w:color w:val="000000"/>
          <w:lang w:eastAsia="zh-CN"/>
        </w:rPr>
        <w:t>进行。</w:t>
      </w:r>
      <w:bookmarkEnd w:id="401"/>
    </w:p>
    <w:p w14:paraId="4F0828C7">
      <w:pPr>
        <w:pStyle w:val="322"/>
        <w:numPr>
          <w:ilvl w:val="1"/>
          <w:numId w:val="0"/>
        </w:numPr>
        <w:spacing w:before="120" w:beforeLines="50"/>
        <w:ind w:left="2" w:leftChars="1" w:firstLine="504" w:firstLineChars="200"/>
        <w:rPr>
          <w:rFonts w:ascii="宋体" w:hAnsi="宋体"/>
          <w:color w:val="000000"/>
          <w:lang w:eastAsia="zh-CN"/>
        </w:rPr>
      </w:pPr>
      <w:bookmarkStart w:id="402" w:name="_Toc24705"/>
      <w:r>
        <w:rPr>
          <w:rFonts w:hint="eastAsia" w:ascii="宋体" w:hAnsi="宋体"/>
          <w:color w:val="000000"/>
          <w:lang w:eastAsia="zh-CN"/>
        </w:rPr>
        <w:t>10.4该仲裁裁决应当是终局的，本协议双方特此同意不可撤销地服从该仲裁委员会的管辖与裁决结果。</w:t>
      </w:r>
      <w:r>
        <w:rPr>
          <w:rFonts w:ascii="宋体" w:hAnsi="宋体"/>
          <w:color w:val="000000"/>
          <w:lang w:eastAsia="zh-CN"/>
        </w:rPr>
        <w:t>仲裁费用和双方费用应由败诉方承担。</w:t>
      </w:r>
      <w:bookmarkEnd w:id="402"/>
    </w:p>
    <w:p w14:paraId="03D93279">
      <w:pPr>
        <w:pStyle w:val="322"/>
        <w:numPr>
          <w:ilvl w:val="1"/>
          <w:numId w:val="0"/>
        </w:numPr>
        <w:spacing w:before="120" w:beforeLines="50"/>
        <w:ind w:left="2" w:leftChars="1" w:firstLine="504" w:firstLineChars="200"/>
        <w:rPr>
          <w:rFonts w:hint="eastAsia" w:ascii="宋体" w:hAnsi="宋体"/>
          <w:color w:val="000000"/>
          <w:lang w:eastAsia="zh-CN"/>
        </w:rPr>
      </w:pPr>
      <w:bookmarkStart w:id="403" w:name="_Toc18916"/>
      <w:r>
        <w:rPr>
          <w:rFonts w:hint="eastAsia" w:ascii="宋体" w:hAnsi="宋体"/>
          <w:color w:val="000000"/>
          <w:lang w:eastAsia="zh-CN"/>
        </w:rPr>
        <w:t>10.5</w:t>
      </w:r>
      <w:r>
        <w:rPr>
          <w:rFonts w:ascii="宋体" w:hAnsi="宋体"/>
          <w:color w:val="000000"/>
          <w:lang w:eastAsia="zh-CN"/>
        </w:rPr>
        <w:t>争议提交仲裁之时及之后，双方应继续行使和履行其在本协议项下的其它权利和义务，但与争议事项直接相关的除外。</w:t>
      </w:r>
      <w:bookmarkEnd w:id="403"/>
    </w:p>
    <w:p w14:paraId="220F8244">
      <w:pPr>
        <w:spacing w:before="120" w:beforeLines="50" w:line="360" w:lineRule="auto"/>
        <w:ind w:firstLine="472" w:firstLineChars="196"/>
        <w:rPr>
          <w:rFonts w:hint="eastAsia" w:ascii="黑体" w:hAnsi="宋体" w:eastAsia="黑体"/>
          <w:b/>
          <w:color w:val="000000"/>
          <w:sz w:val="24"/>
        </w:rPr>
      </w:pPr>
      <w:r>
        <w:rPr>
          <w:rFonts w:hint="eastAsia" w:ascii="黑体" w:hAnsi="宋体" w:eastAsia="黑体"/>
          <w:b/>
          <w:color w:val="000000"/>
          <w:sz w:val="24"/>
        </w:rPr>
        <w:t>第十一条  不可抗力</w:t>
      </w:r>
    </w:p>
    <w:p w14:paraId="29356D78">
      <w:pPr>
        <w:pStyle w:val="323"/>
        <w:numPr>
          <w:ilvl w:val="3"/>
          <w:numId w:val="0"/>
        </w:numPr>
        <w:spacing w:before="120" w:beforeLines="50" w:after="0" w:line="360" w:lineRule="auto"/>
        <w:ind w:firstLine="539"/>
        <w:rPr>
          <w:rFonts w:hint="eastAsia"/>
          <w:color w:val="000000"/>
          <w:w w:val="105"/>
          <w:kern w:val="20"/>
          <w:lang w:eastAsia="zh-CN"/>
        </w:rPr>
      </w:pPr>
      <w:r>
        <w:rPr>
          <w:rFonts w:hint="eastAsia" w:ascii="宋体" w:hAnsi="宋体"/>
          <w:color w:val="000000"/>
          <w:w w:val="105"/>
          <w:kern w:val="20"/>
          <w:lang w:eastAsia="zh-CN"/>
        </w:rPr>
        <w:t>11.1</w:t>
      </w:r>
      <w:r>
        <w:rPr>
          <w:rFonts w:ascii="宋体" w:hAnsi="宋体"/>
          <w:color w:val="000000"/>
          <w:w w:val="105"/>
          <w:kern w:val="20"/>
          <w:lang w:eastAsia="zh-CN"/>
        </w:rPr>
        <w:t>“不可抗力”是指本协议双方不能控制、不可预见或即使预见亦无法避免的事件</w:t>
      </w:r>
      <w:r>
        <w:rPr>
          <w:rFonts w:hint="eastAsia" w:ascii="宋体" w:hAnsi="宋体"/>
          <w:color w:val="000000"/>
          <w:w w:val="105"/>
          <w:kern w:val="20"/>
          <w:lang w:eastAsia="zh-CN"/>
        </w:rPr>
        <w:t>。</w:t>
      </w:r>
      <w:r>
        <w:rPr>
          <w:rFonts w:ascii="宋体" w:hAnsi="宋体"/>
          <w:color w:val="000000"/>
          <w:w w:val="105"/>
          <w:kern w:val="20"/>
          <w:lang w:eastAsia="zh-CN"/>
        </w:rPr>
        <w:t>该事件妨碍、影响或延误任何一方根据本协议履行其全部或部分义务。该事件包括但不限于地震、台风、洪水、火灾、瘟疫、其他天灾、战争、政变、骚乱、罢工或</w:t>
      </w:r>
      <w:r>
        <w:rPr>
          <w:rFonts w:hint="eastAsia" w:ascii="宋体" w:hAnsi="宋体"/>
          <w:color w:val="000000"/>
          <w:w w:val="105"/>
          <w:kern w:val="20"/>
          <w:lang w:eastAsia="zh-CN"/>
        </w:rPr>
        <w:t>任何</w:t>
      </w:r>
      <w:r>
        <w:rPr>
          <w:rFonts w:ascii="宋体" w:hAnsi="宋体"/>
          <w:color w:val="000000"/>
          <w:w w:val="105"/>
          <w:kern w:val="20"/>
          <w:lang w:eastAsia="zh-CN"/>
        </w:rPr>
        <w:t>其他类似事件，以及新法规</w:t>
      </w:r>
      <w:r>
        <w:rPr>
          <w:rFonts w:hint="eastAsia" w:ascii="宋体" w:hAnsi="宋体"/>
          <w:color w:val="000000"/>
          <w:w w:val="105"/>
          <w:kern w:val="20"/>
          <w:lang w:eastAsia="zh-CN"/>
        </w:rPr>
        <w:t>、</w:t>
      </w:r>
      <w:r>
        <w:rPr>
          <w:rFonts w:ascii="宋体" w:hAnsi="宋体"/>
          <w:color w:val="000000"/>
          <w:w w:val="105"/>
          <w:kern w:val="20"/>
          <w:lang w:eastAsia="zh-CN"/>
        </w:rPr>
        <w:t>国家政策颁布</w:t>
      </w:r>
      <w:r>
        <w:rPr>
          <w:rFonts w:hint="eastAsia" w:ascii="宋体" w:hAnsi="宋体"/>
          <w:color w:val="000000"/>
          <w:w w:val="105"/>
          <w:kern w:val="20"/>
          <w:lang w:eastAsia="zh-CN"/>
        </w:rPr>
        <w:t>、监管规定、自律组织规章</w:t>
      </w:r>
      <w:r>
        <w:rPr>
          <w:rFonts w:ascii="宋体" w:hAnsi="宋体"/>
          <w:color w:val="000000"/>
          <w:w w:val="105"/>
          <w:kern w:val="20"/>
          <w:lang w:eastAsia="zh-CN"/>
        </w:rPr>
        <w:t>或对原法规</w:t>
      </w:r>
      <w:r>
        <w:rPr>
          <w:rFonts w:hint="eastAsia" w:ascii="宋体" w:hAnsi="宋体"/>
          <w:color w:val="000000"/>
          <w:w w:val="105"/>
          <w:kern w:val="20"/>
          <w:lang w:eastAsia="zh-CN"/>
        </w:rPr>
        <w:t>、</w:t>
      </w:r>
      <w:r>
        <w:rPr>
          <w:rFonts w:ascii="宋体" w:hAnsi="宋体"/>
          <w:color w:val="000000"/>
          <w:w w:val="105"/>
          <w:kern w:val="20"/>
          <w:lang w:eastAsia="zh-CN"/>
        </w:rPr>
        <w:t>国家政策</w:t>
      </w:r>
      <w:r>
        <w:rPr>
          <w:rFonts w:hint="eastAsia" w:ascii="宋体" w:hAnsi="宋体"/>
          <w:color w:val="000000"/>
          <w:w w:val="105"/>
          <w:kern w:val="20"/>
          <w:lang w:eastAsia="zh-CN"/>
        </w:rPr>
        <w:t>、监管规定、自律组织规章</w:t>
      </w:r>
      <w:r>
        <w:rPr>
          <w:rFonts w:ascii="宋体" w:hAnsi="宋体"/>
          <w:color w:val="000000"/>
          <w:w w:val="105"/>
          <w:kern w:val="20"/>
          <w:lang w:eastAsia="zh-CN"/>
        </w:rPr>
        <w:t>的修改等因素。</w:t>
      </w:r>
    </w:p>
    <w:p w14:paraId="3B753584">
      <w:pPr>
        <w:pStyle w:val="323"/>
        <w:numPr>
          <w:ilvl w:val="3"/>
          <w:numId w:val="0"/>
        </w:numPr>
        <w:spacing w:before="120" w:beforeLines="50" w:after="0" w:line="360" w:lineRule="auto"/>
        <w:ind w:firstLine="539"/>
        <w:rPr>
          <w:rFonts w:hint="eastAsia"/>
          <w:color w:val="000000"/>
          <w:w w:val="105"/>
          <w:kern w:val="20"/>
          <w:lang w:eastAsia="zh-CN"/>
        </w:rPr>
      </w:pPr>
      <w:r>
        <w:rPr>
          <w:rFonts w:hint="eastAsia"/>
          <w:color w:val="000000"/>
          <w:w w:val="105"/>
          <w:kern w:val="20"/>
          <w:lang w:eastAsia="zh-CN"/>
        </w:rPr>
        <w:t>11.2如发生上述不可抗力事件，则双方对无法履行或迟延履行其在本协议项下的义务不承担任何责任，但任何一方迟延履行后发生不可抗力的，该方的责任不能免除。同时，</w:t>
      </w:r>
      <w:r>
        <w:rPr>
          <w:color w:val="000000"/>
          <w:w w:val="105"/>
          <w:kern w:val="20"/>
          <w:lang w:eastAsia="zh-CN"/>
        </w:rPr>
        <w:t>遭受该事件的一方应立即用可能的快捷方式通知对方，并在十五日内提供证明文件说明有关事件的细节和不能履行或部分不能履行或需</w:t>
      </w:r>
      <w:r>
        <w:rPr>
          <w:rFonts w:hint="eastAsia"/>
          <w:color w:val="000000"/>
          <w:w w:val="105"/>
          <w:kern w:val="20"/>
          <w:lang w:eastAsia="zh-CN"/>
        </w:rPr>
        <w:t>迟延</w:t>
      </w:r>
      <w:r>
        <w:rPr>
          <w:color w:val="000000"/>
          <w:w w:val="105"/>
          <w:kern w:val="20"/>
          <w:lang w:eastAsia="zh-CN"/>
        </w:rPr>
        <w:t>履行本协议的原因。双方应在协商一致的基础上</w:t>
      </w:r>
      <w:r>
        <w:rPr>
          <w:rFonts w:hint="eastAsia"/>
          <w:color w:val="000000"/>
          <w:w w:val="105"/>
          <w:kern w:val="20"/>
          <w:lang w:eastAsia="zh-CN"/>
        </w:rPr>
        <w:t>就是</w:t>
      </w:r>
      <w:r>
        <w:rPr>
          <w:color w:val="000000"/>
          <w:w w:val="105"/>
          <w:kern w:val="20"/>
          <w:lang w:eastAsia="zh-CN"/>
        </w:rPr>
        <w:t>否延期履行本协议或终止本协议达成书面协议。</w:t>
      </w:r>
    </w:p>
    <w:p w14:paraId="68FA62AD">
      <w:pPr>
        <w:pStyle w:val="323"/>
        <w:numPr>
          <w:ilvl w:val="3"/>
          <w:numId w:val="0"/>
        </w:numPr>
        <w:spacing w:before="120" w:beforeLines="50" w:after="0" w:line="360" w:lineRule="auto"/>
        <w:ind w:firstLine="539"/>
        <w:rPr>
          <w:rFonts w:hint="eastAsia" w:ascii="黑体" w:hAnsi="宋体" w:eastAsia="黑体"/>
          <w:b/>
          <w:color w:val="000000"/>
          <w:lang w:eastAsia="zh-CN"/>
        </w:rPr>
      </w:pPr>
      <w:r>
        <w:rPr>
          <w:rFonts w:hint="eastAsia" w:ascii="黑体" w:hAnsi="宋体" w:eastAsia="黑体"/>
          <w:b/>
          <w:color w:val="000000"/>
          <w:lang w:eastAsia="zh-CN"/>
        </w:rPr>
        <w:t>第十二条  反商业贿赂条款</w:t>
      </w:r>
    </w:p>
    <w:p w14:paraId="47C8D0B8">
      <w:pPr>
        <w:pStyle w:val="323"/>
        <w:numPr>
          <w:ilvl w:val="3"/>
          <w:numId w:val="0"/>
        </w:numPr>
        <w:spacing w:before="120" w:beforeLines="50" w:after="120" w:afterLines="50" w:line="360" w:lineRule="auto"/>
        <w:ind w:firstLine="539"/>
        <w:rPr>
          <w:rFonts w:hint="eastAsia"/>
          <w:color w:val="000000"/>
          <w:w w:val="105"/>
          <w:kern w:val="20"/>
          <w:lang w:eastAsia="zh-CN"/>
        </w:rPr>
      </w:pPr>
      <w:r>
        <w:rPr>
          <w:rFonts w:hint="eastAsia"/>
          <w:color w:val="000000"/>
          <w:w w:val="105"/>
          <w:kern w:val="20"/>
          <w:lang w:eastAsia="zh-CN"/>
        </w:rPr>
        <w:t>12.1甲乙双方都清楚并愿意严格遵守中华人民共和国反商业贿赂的法律规定，双方都清楚任何形式的贿赂和贪渎行为都将触犯法律，并将受到法律的严惩。</w:t>
      </w:r>
    </w:p>
    <w:p w14:paraId="60774056">
      <w:pPr>
        <w:pStyle w:val="323"/>
        <w:numPr>
          <w:ilvl w:val="3"/>
          <w:numId w:val="0"/>
        </w:numPr>
        <w:spacing w:before="120" w:beforeLines="50" w:after="120" w:afterLines="50" w:line="360" w:lineRule="auto"/>
        <w:ind w:firstLine="539"/>
        <w:rPr>
          <w:rFonts w:hint="eastAsia"/>
          <w:color w:val="000000"/>
          <w:w w:val="105"/>
          <w:kern w:val="20"/>
          <w:lang w:eastAsia="zh-CN"/>
        </w:rPr>
      </w:pPr>
      <w:r>
        <w:rPr>
          <w:rFonts w:hint="eastAsia"/>
          <w:color w:val="000000"/>
          <w:w w:val="105"/>
          <w:kern w:val="20"/>
          <w:lang w:eastAsia="zh-CN"/>
        </w:rPr>
        <w:t>12.2甲方或乙方不得向对方或对方经办人或其他相关人员索要、收受、提供、给予合同约定外的任何利益，包括但不限于明扣、暗扣、现金、购物卡、实物、有价证券、旅游或其他非物质利益等。</w:t>
      </w:r>
    </w:p>
    <w:p w14:paraId="54F1CD46">
      <w:pPr>
        <w:pStyle w:val="323"/>
        <w:numPr>
          <w:ilvl w:val="3"/>
          <w:numId w:val="0"/>
        </w:numPr>
        <w:spacing w:before="120" w:beforeLines="50" w:after="120" w:afterLines="50" w:line="360" w:lineRule="auto"/>
        <w:ind w:firstLine="539"/>
        <w:rPr>
          <w:rFonts w:hint="eastAsia"/>
          <w:color w:val="000000"/>
          <w:w w:val="105"/>
          <w:kern w:val="20"/>
          <w:lang w:eastAsia="zh-CN"/>
        </w:rPr>
      </w:pPr>
      <w:r>
        <w:rPr>
          <w:rFonts w:hint="eastAsia"/>
          <w:color w:val="000000"/>
          <w:w w:val="105"/>
          <w:kern w:val="20"/>
          <w:lang w:eastAsia="zh-CN"/>
        </w:rPr>
        <w:t>12.3甲方反对乙方或乙方经办人员为了本协议之目的与本协议以外的任何第三方发生第12.2条所列示的任何一种行为。</w:t>
      </w:r>
    </w:p>
    <w:p w14:paraId="3D1C72EA">
      <w:pPr>
        <w:pStyle w:val="323"/>
        <w:numPr>
          <w:ilvl w:val="3"/>
          <w:numId w:val="0"/>
        </w:numPr>
        <w:spacing w:before="120" w:beforeLines="50" w:after="120" w:afterLines="50" w:line="360" w:lineRule="auto"/>
        <w:ind w:firstLine="539"/>
        <w:rPr>
          <w:rFonts w:hint="eastAsia"/>
          <w:color w:val="000000"/>
          <w:w w:val="105"/>
          <w:kern w:val="20"/>
          <w:lang w:eastAsia="zh-CN"/>
        </w:rPr>
      </w:pPr>
      <w:r>
        <w:rPr>
          <w:rFonts w:hint="eastAsia"/>
          <w:color w:val="000000"/>
          <w:w w:val="105"/>
          <w:kern w:val="20"/>
          <w:lang w:eastAsia="zh-CN"/>
        </w:rPr>
        <w:t>12.4如因一方或一方经办人违反本协议第12.2条、第12.3条之规定，给对方造成损失的，应承担赔偿责任。</w:t>
      </w:r>
    </w:p>
    <w:p w14:paraId="1EFCEA9F">
      <w:pPr>
        <w:spacing w:before="120" w:beforeLines="50" w:line="360" w:lineRule="auto"/>
        <w:rPr>
          <w:rFonts w:hint="eastAsia" w:ascii="黑体" w:hAnsi="宋体" w:eastAsia="黑体"/>
          <w:b/>
          <w:color w:val="000000"/>
          <w:sz w:val="24"/>
        </w:rPr>
      </w:pPr>
      <w:r>
        <w:rPr>
          <w:rFonts w:hint="eastAsia" w:ascii="宋体" w:hAnsi="宋体"/>
          <w:b/>
          <w:color w:val="000000"/>
          <w:sz w:val="24"/>
        </w:rPr>
        <w:t xml:space="preserve">    </w:t>
      </w:r>
      <w:r>
        <w:rPr>
          <w:rFonts w:hint="eastAsia" w:ascii="黑体" w:hAnsi="宋体" w:eastAsia="黑体"/>
          <w:b/>
          <w:color w:val="000000"/>
          <w:sz w:val="24"/>
        </w:rPr>
        <w:t>第十三条  其它规定</w:t>
      </w:r>
    </w:p>
    <w:p w14:paraId="129C9DE5">
      <w:pPr>
        <w:pStyle w:val="323"/>
        <w:numPr>
          <w:ilvl w:val="3"/>
          <w:numId w:val="0"/>
        </w:numPr>
        <w:tabs>
          <w:tab w:val="clear" w:pos="360"/>
        </w:tabs>
        <w:spacing w:before="120" w:beforeLines="50" w:after="0" w:line="360" w:lineRule="auto"/>
        <w:ind w:firstLine="420" w:firstLineChars="167"/>
        <w:rPr>
          <w:rFonts w:hint="eastAsia"/>
          <w:color w:val="000000"/>
          <w:w w:val="105"/>
          <w:kern w:val="20"/>
          <w:lang w:eastAsia="zh-CN"/>
        </w:rPr>
      </w:pPr>
      <w:r>
        <w:rPr>
          <w:rFonts w:hint="eastAsia"/>
          <w:color w:val="000000"/>
          <w:w w:val="105"/>
          <w:kern w:val="20"/>
          <w:lang w:eastAsia="zh-CN"/>
        </w:rPr>
        <w:t>13.1</w:t>
      </w:r>
      <w:r>
        <w:rPr>
          <w:color w:val="000000"/>
          <w:w w:val="105"/>
          <w:kern w:val="20"/>
          <w:lang w:eastAsia="zh-CN"/>
        </w:rPr>
        <w:t>本协议应</w:t>
      </w:r>
      <w:r>
        <w:rPr>
          <w:rFonts w:hint="eastAsia"/>
          <w:color w:val="000000"/>
          <w:w w:val="105"/>
          <w:kern w:val="20"/>
          <w:lang w:eastAsia="zh-CN"/>
        </w:rPr>
        <w:t>适用</w:t>
      </w:r>
      <w:r>
        <w:rPr>
          <w:color w:val="000000"/>
          <w:w w:val="105"/>
          <w:kern w:val="20"/>
          <w:lang w:eastAsia="zh-CN"/>
        </w:rPr>
        <w:t>中华人民共和国法律。</w:t>
      </w:r>
    </w:p>
    <w:p w14:paraId="5B8E27F0">
      <w:pPr>
        <w:pStyle w:val="323"/>
        <w:numPr>
          <w:ilvl w:val="3"/>
          <w:numId w:val="0"/>
        </w:numPr>
        <w:spacing w:before="120" w:beforeLines="50" w:after="0" w:line="360" w:lineRule="auto"/>
        <w:ind w:firstLine="440"/>
        <w:rPr>
          <w:rFonts w:hint="eastAsia"/>
          <w:color w:val="000000"/>
          <w:w w:val="105"/>
          <w:kern w:val="20"/>
          <w:lang w:eastAsia="zh-CN"/>
        </w:rPr>
      </w:pPr>
      <w:r>
        <w:rPr>
          <w:rFonts w:hint="eastAsia"/>
          <w:color w:val="000000"/>
          <w:w w:val="105"/>
          <w:kern w:val="20"/>
          <w:lang w:eastAsia="zh-CN"/>
        </w:rPr>
        <w:t>13.2本协议未尽事宜或</w:t>
      </w:r>
      <w:r>
        <w:rPr>
          <w:color w:val="000000"/>
          <w:w w:val="105"/>
          <w:kern w:val="20"/>
          <w:lang w:eastAsia="zh-CN"/>
        </w:rPr>
        <w:t>对本协议的任何变更</w:t>
      </w:r>
      <w:r>
        <w:rPr>
          <w:rFonts w:hint="eastAsia"/>
          <w:color w:val="000000"/>
          <w:w w:val="105"/>
          <w:kern w:val="20"/>
          <w:lang w:eastAsia="zh-CN"/>
        </w:rPr>
        <w:t>，双方协商另行签订补充协议。</w:t>
      </w:r>
    </w:p>
    <w:p w14:paraId="329EB507">
      <w:pPr>
        <w:pStyle w:val="323"/>
        <w:numPr>
          <w:ilvl w:val="3"/>
          <w:numId w:val="0"/>
        </w:numPr>
        <w:spacing w:before="120" w:beforeLines="50" w:after="0" w:line="360" w:lineRule="auto"/>
        <w:ind w:firstLine="440"/>
        <w:rPr>
          <w:rFonts w:hint="eastAsia"/>
          <w:color w:val="000000"/>
          <w:w w:val="105"/>
          <w:kern w:val="20"/>
          <w:lang w:eastAsia="zh-CN"/>
        </w:rPr>
      </w:pPr>
      <w:r>
        <w:rPr>
          <w:rFonts w:hint="eastAsia"/>
          <w:color w:val="000000"/>
          <w:w w:val="105"/>
          <w:kern w:val="20"/>
          <w:lang w:eastAsia="zh-CN"/>
        </w:rPr>
        <w:t>13</w:t>
      </w:r>
      <w:r>
        <w:rPr>
          <w:color w:val="000000"/>
          <w:w w:val="105"/>
          <w:kern w:val="20"/>
          <w:lang w:eastAsia="zh-CN"/>
        </w:rPr>
        <w:t>.</w:t>
      </w:r>
      <w:r>
        <w:rPr>
          <w:rFonts w:hint="eastAsia"/>
          <w:color w:val="000000"/>
          <w:w w:val="105"/>
          <w:kern w:val="20"/>
          <w:lang w:eastAsia="zh-CN"/>
        </w:rPr>
        <w:t>3本协议经双方法定代表人</w:t>
      </w:r>
      <w:r>
        <w:rPr>
          <w:color w:val="000000"/>
          <w:w w:val="105"/>
          <w:kern w:val="20"/>
          <w:lang w:eastAsia="zh-CN"/>
        </w:rPr>
        <w:t>或者授权代表</w:t>
      </w:r>
      <w:r>
        <w:rPr>
          <w:rFonts w:hint="eastAsia"/>
          <w:color w:val="000000"/>
          <w:w w:val="105"/>
          <w:kern w:val="20"/>
          <w:lang w:eastAsia="zh-CN"/>
        </w:rPr>
        <w:t>签字（或</w:t>
      </w:r>
      <w:r>
        <w:rPr>
          <w:color w:val="000000"/>
          <w:w w:val="105"/>
          <w:kern w:val="20"/>
          <w:lang w:eastAsia="zh-CN"/>
        </w:rPr>
        <w:t>加盖人名章</w:t>
      </w:r>
      <w:r>
        <w:rPr>
          <w:rFonts w:hint="eastAsia"/>
          <w:color w:val="000000"/>
          <w:w w:val="105"/>
          <w:kern w:val="20"/>
          <w:lang w:eastAsia="zh-CN"/>
        </w:rPr>
        <w:t>）并加盖公章</w:t>
      </w:r>
      <w:r>
        <w:rPr>
          <w:rFonts w:hint="eastAsia"/>
          <w:w w:val="105"/>
          <w:kern w:val="20"/>
          <w:lang w:eastAsia="zh-CN"/>
        </w:rPr>
        <w:t>或合同专用章</w:t>
      </w:r>
      <w:r>
        <w:rPr>
          <w:rFonts w:hint="eastAsia"/>
          <w:color w:val="000000"/>
          <w:w w:val="105"/>
          <w:kern w:val="20"/>
          <w:lang w:eastAsia="zh-CN"/>
        </w:rPr>
        <w:t>后生效。本协议一式肆份，双方各执贰份，具有同等法律效力。</w:t>
      </w:r>
      <w:r>
        <w:rPr>
          <w:rFonts w:hint="eastAsia" w:ascii="宋体" w:hAnsi="宋体"/>
          <w:color w:val="000000"/>
          <w:lang w:eastAsia="zh-CN"/>
        </w:rPr>
        <w:t>（以下</w:t>
      </w:r>
      <w:r>
        <w:rPr>
          <w:rFonts w:ascii="宋体" w:hAnsi="宋体"/>
          <w:color w:val="000000"/>
          <w:lang w:eastAsia="zh-CN"/>
        </w:rPr>
        <w:t>无正文</w:t>
      </w:r>
      <w:r>
        <w:rPr>
          <w:rFonts w:hint="eastAsia" w:ascii="宋体" w:hAnsi="宋体"/>
          <w:color w:val="000000"/>
          <w:lang w:eastAsia="zh-CN"/>
        </w:rPr>
        <w:t>）</w:t>
      </w:r>
    </w:p>
    <w:p w14:paraId="5824401D">
      <w:pPr>
        <w:spacing w:before="120" w:beforeLines="50" w:line="360" w:lineRule="auto"/>
        <w:rPr>
          <w:rFonts w:hint="eastAsia" w:ascii="宋体" w:hAnsi="宋体"/>
          <w:color w:val="000000"/>
          <w:sz w:val="24"/>
        </w:rPr>
      </w:pPr>
      <w:r>
        <w:rPr>
          <w:rFonts w:ascii="宋体" w:hAnsi="宋体"/>
          <w:color w:val="000000"/>
          <w:sz w:val="24"/>
        </w:rPr>
        <w:br w:type="page"/>
      </w:r>
      <w:r>
        <w:rPr>
          <w:rFonts w:hint="eastAsia" w:ascii="宋体" w:hAnsi="宋体"/>
          <w:color w:val="000000"/>
          <w:sz w:val="24"/>
        </w:rPr>
        <w:t xml:space="preserve">（本页为【重庆经开区投资集团有限公司 】与【 </w:t>
      </w:r>
      <w:r>
        <w:rPr>
          <w:rFonts w:ascii="宋体" w:hAnsi="宋体"/>
          <w:color w:val="000000"/>
          <w:sz w:val="24"/>
        </w:rPr>
        <w:t xml:space="preserve">           </w:t>
      </w:r>
      <w:r>
        <w:rPr>
          <w:rFonts w:hint="eastAsia" w:ascii="宋体" w:hAnsi="宋体"/>
          <w:color w:val="000000"/>
          <w:sz w:val="24"/>
        </w:rPr>
        <w:t>】主体信用评级项目《信用评级委托协议书》签字页，无正文）</w:t>
      </w:r>
    </w:p>
    <w:p w14:paraId="25E9F586">
      <w:pPr>
        <w:spacing w:before="120" w:beforeLines="50" w:line="360" w:lineRule="auto"/>
        <w:rPr>
          <w:rFonts w:ascii="宋体" w:hAnsi="宋体"/>
          <w:color w:val="000000"/>
          <w:sz w:val="24"/>
        </w:rPr>
      </w:pPr>
    </w:p>
    <w:p w14:paraId="2829F533">
      <w:pPr>
        <w:spacing w:before="120" w:beforeLines="50" w:line="360" w:lineRule="auto"/>
        <w:rPr>
          <w:rFonts w:hint="eastAsia" w:ascii="宋体" w:hAnsi="宋体"/>
          <w:color w:val="000000"/>
          <w:sz w:val="24"/>
        </w:rPr>
      </w:pPr>
    </w:p>
    <w:p w14:paraId="3ACD2E83">
      <w:pPr>
        <w:spacing w:before="120" w:beforeLines="50" w:line="360" w:lineRule="auto"/>
        <w:rPr>
          <w:rFonts w:hint="eastAsia" w:ascii="宋体" w:hAnsi="宋体"/>
          <w:color w:val="000000"/>
          <w:sz w:val="24"/>
        </w:rPr>
      </w:pPr>
      <w:r>
        <w:rPr>
          <w:rFonts w:hint="eastAsia" w:ascii="宋体" w:hAnsi="宋体"/>
          <w:color w:val="000000"/>
          <w:sz w:val="24"/>
        </w:rPr>
        <w:t xml:space="preserve">甲方（盖章）：                            </w:t>
      </w:r>
    </w:p>
    <w:p w14:paraId="79C58B5C">
      <w:pPr>
        <w:spacing w:before="120" w:beforeLines="50" w:line="360" w:lineRule="auto"/>
        <w:rPr>
          <w:rFonts w:ascii="宋体" w:hAnsi="宋体"/>
          <w:color w:val="000000"/>
          <w:sz w:val="24"/>
        </w:rPr>
      </w:pPr>
      <w:r>
        <w:rPr>
          <w:rFonts w:hint="eastAsia" w:ascii="宋体" w:hAnsi="宋体"/>
          <w:color w:val="000000"/>
          <w:sz w:val="24"/>
        </w:rPr>
        <w:t>法定代表人（授权代表）：</w:t>
      </w:r>
      <w:r>
        <w:rPr>
          <w:rFonts w:ascii="宋体" w:hAnsi="宋体"/>
          <w:color w:val="000000"/>
          <w:sz w:val="24"/>
        </w:rPr>
        <w:t xml:space="preserve">  </w:t>
      </w:r>
      <w:r>
        <w:rPr>
          <w:rFonts w:hint="eastAsia" w:ascii="宋体" w:hAnsi="宋体"/>
          <w:color w:val="000000"/>
          <w:sz w:val="24"/>
        </w:rPr>
        <w:t xml:space="preserve">                </w:t>
      </w:r>
    </w:p>
    <w:p w14:paraId="08EE0FD8">
      <w:pPr>
        <w:spacing w:before="120" w:beforeLines="50" w:line="360" w:lineRule="auto"/>
        <w:ind w:firstLine="480" w:firstLineChars="200"/>
        <w:rPr>
          <w:rFonts w:hint="eastAsia" w:ascii="宋体" w:hAnsi="宋体"/>
          <w:color w:val="000000"/>
          <w:sz w:val="24"/>
        </w:rPr>
      </w:pPr>
      <w:r>
        <w:rPr>
          <w:rFonts w:hint="eastAsia" w:ascii="宋体" w:hAnsi="宋体"/>
          <w:color w:val="000000"/>
          <w:sz w:val="24"/>
        </w:rPr>
        <w:t xml:space="preserve">年   月  日                                </w:t>
      </w:r>
    </w:p>
    <w:p w14:paraId="7491F0ED">
      <w:pPr>
        <w:spacing w:before="120" w:beforeLines="50" w:line="360" w:lineRule="auto"/>
        <w:rPr>
          <w:rFonts w:hint="eastAsia"/>
          <w:color w:val="000000"/>
        </w:rPr>
      </w:pPr>
    </w:p>
    <w:p w14:paraId="22017982">
      <w:pPr>
        <w:spacing w:before="120" w:beforeLines="50" w:line="360" w:lineRule="auto"/>
        <w:rPr>
          <w:rFonts w:hint="eastAsia"/>
          <w:color w:val="000000"/>
        </w:rPr>
      </w:pPr>
    </w:p>
    <w:p w14:paraId="1408348C">
      <w:pPr>
        <w:spacing w:before="120" w:beforeLines="50" w:line="360" w:lineRule="auto"/>
        <w:rPr>
          <w:color w:val="000000"/>
        </w:rPr>
      </w:pPr>
    </w:p>
    <w:p w14:paraId="635D7FC5">
      <w:pPr>
        <w:spacing w:before="120" w:beforeLines="50" w:line="360" w:lineRule="auto"/>
        <w:rPr>
          <w:color w:val="000000"/>
        </w:rPr>
      </w:pPr>
    </w:p>
    <w:p w14:paraId="7C7CBEB7">
      <w:pPr>
        <w:spacing w:before="120" w:beforeLines="50" w:line="360" w:lineRule="auto"/>
        <w:rPr>
          <w:rFonts w:hint="eastAsia"/>
          <w:color w:val="000000"/>
        </w:rPr>
      </w:pPr>
    </w:p>
    <w:p w14:paraId="6F7592D9">
      <w:pPr>
        <w:spacing w:before="120" w:beforeLines="50" w:line="360" w:lineRule="auto"/>
        <w:rPr>
          <w:rFonts w:hint="eastAsia" w:ascii="宋体" w:hAnsi="宋体"/>
          <w:color w:val="000000"/>
          <w:sz w:val="24"/>
        </w:rPr>
      </w:pPr>
      <w:r>
        <w:rPr>
          <w:rFonts w:hint="eastAsia" w:ascii="宋体" w:hAnsi="宋体"/>
          <w:color w:val="000000"/>
          <w:sz w:val="24"/>
        </w:rPr>
        <w:t xml:space="preserve">乙方（盖章）：                             </w:t>
      </w:r>
    </w:p>
    <w:p w14:paraId="39C62EF1">
      <w:pPr>
        <w:spacing w:before="120" w:beforeLines="50" w:line="360" w:lineRule="auto"/>
        <w:rPr>
          <w:rFonts w:hint="eastAsia" w:ascii="宋体" w:hAnsi="宋体"/>
          <w:color w:val="000000"/>
          <w:sz w:val="24"/>
        </w:rPr>
      </w:pPr>
      <w:r>
        <w:rPr>
          <w:rFonts w:hint="eastAsia" w:ascii="宋体" w:hAnsi="宋体"/>
          <w:color w:val="000000"/>
          <w:sz w:val="24"/>
        </w:rPr>
        <w:t>法定代表人（授权代表）：</w:t>
      </w:r>
      <w:r>
        <w:rPr>
          <w:rFonts w:ascii="宋体" w:hAnsi="宋体"/>
          <w:color w:val="000000"/>
          <w:sz w:val="24"/>
        </w:rPr>
        <w:t xml:space="preserve"> </w:t>
      </w:r>
      <w:r>
        <w:rPr>
          <w:rFonts w:hint="eastAsia" w:ascii="宋体" w:hAnsi="宋体"/>
          <w:color w:val="000000"/>
          <w:sz w:val="24"/>
        </w:rPr>
        <w:t xml:space="preserve">               </w:t>
      </w:r>
    </w:p>
    <w:p w14:paraId="4B4FAEFE">
      <w:pPr>
        <w:spacing w:before="120" w:beforeLines="50" w:line="360" w:lineRule="auto"/>
        <w:ind w:firstLine="480" w:firstLineChars="200"/>
        <w:rPr>
          <w:rFonts w:hint="eastAsia"/>
          <w:color w:val="000000"/>
        </w:rPr>
      </w:pPr>
      <w:r>
        <w:rPr>
          <w:rFonts w:hint="eastAsia" w:ascii="宋体" w:hAnsi="宋体"/>
          <w:color w:val="000000"/>
          <w:sz w:val="24"/>
        </w:rPr>
        <w:t>年   月  日</w:t>
      </w:r>
    </w:p>
    <w:p w14:paraId="2D5F5F1E">
      <w:pPr>
        <w:pStyle w:val="2"/>
        <w:spacing w:before="0" w:after="0" w:line="360" w:lineRule="auto"/>
        <w:ind w:firstLine="442"/>
        <w:jc w:val="center"/>
        <w:rPr>
          <w:rFonts w:ascii="宋体" w:hAnsi="宋体"/>
        </w:rPr>
      </w:pPr>
      <w:r>
        <w:rPr>
          <w:rFonts w:ascii="宋体" w:hAnsi="宋体"/>
        </w:rPr>
        <w:br w:type="page"/>
      </w:r>
      <w:bookmarkStart w:id="404" w:name="_Toc287607855"/>
      <w:bookmarkStart w:id="405" w:name="_Toc509218843"/>
      <w:bookmarkStart w:id="406" w:name="_Toc16194"/>
      <w:bookmarkStart w:id="407" w:name="_Toc22982"/>
      <w:bookmarkStart w:id="408" w:name="_Toc534185822"/>
      <w:bookmarkStart w:id="409" w:name="_Toc430530513"/>
      <w:bookmarkStart w:id="410" w:name="_Toc287620797"/>
      <w:bookmarkStart w:id="411" w:name="_Toc296503025"/>
      <w:bookmarkStart w:id="412" w:name="_Toc296890982"/>
      <w:bookmarkStart w:id="413" w:name="_Toc351203480"/>
    </w:p>
    <w:bookmarkEnd w:id="404"/>
    <w:bookmarkEnd w:id="405"/>
    <w:bookmarkEnd w:id="406"/>
    <w:bookmarkEnd w:id="407"/>
    <w:bookmarkEnd w:id="408"/>
    <w:bookmarkEnd w:id="409"/>
    <w:bookmarkEnd w:id="410"/>
    <w:p w14:paraId="2338BF8C">
      <w:pPr>
        <w:pStyle w:val="2"/>
        <w:spacing w:line="360" w:lineRule="auto"/>
        <w:jc w:val="center"/>
        <w:rPr>
          <w:rFonts w:ascii="宋体" w:hAnsi="宋体"/>
        </w:rPr>
      </w:pPr>
      <w:bookmarkStart w:id="414" w:name="_Toc534185829"/>
      <w:bookmarkStart w:id="415" w:name="_Toc23843"/>
      <w:bookmarkStart w:id="416" w:name="_Toc430530528"/>
      <w:bookmarkStart w:id="417" w:name="_Toc287620812"/>
      <w:bookmarkStart w:id="418" w:name="_Toc2502"/>
      <w:bookmarkStart w:id="419" w:name="_Toc287607865"/>
      <w:bookmarkStart w:id="420" w:name="_Toc509218852"/>
      <w:bookmarkStart w:id="421" w:name="_Toc24390"/>
      <w:r>
        <w:rPr>
          <w:rFonts w:hint="eastAsia" w:ascii="宋体" w:hAnsi="宋体"/>
        </w:rPr>
        <w:t>第</w:t>
      </w:r>
      <w:r>
        <w:rPr>
          <w:rFonts w:hint="eastAsia" w:ascii="宋体" w:hAnsi="宋体"/>
          <w:lang w:val="en-US" w:eastAsia="zh-CN"/>
        </w:rPr>
        <w:t>五</w:t>
      </w:r>
      <w:r>
        <w:rPr>
          <w:rFonts w:hint="eastAsia" w:ascii="宋体" w:hAnsi="宋体"/>
        </w:rPr>
        <w:t>章  竞选文件格式</w:t>
      </w:r>
      <w:bookmarkEnd w:id="414"/>
      <w:bookmarkEnd w:id="415"/>
      <w:bookmarkEnd w:id="416"/>
      <w:bookmarkEnd w:id="417"/>
      <w:bookmarkEnd w:id="418"/>
      <w:bookmarkEnd w:id="419"/>
      <w:bookmarkEnd w:id="420"/>
      <w:bookmarkEnd w:id="421"/>
    </w:p>
    <w:p w14:paraId="1D31DB5C">
      <w:pPr>
        <w:spacing w:line="360" w:lineRule="auto"/>
        <w:ind w:firstLine="321"/>
        <w:rPr>
          <w:rFonts w:ascii="宋体" w:hAnsi="宋体"/>
          <w:sz w:val="32"/>
          <w:szCs w:val="32"/>
        </w:rPr>
      </w:pPr>
    </w:p>
    <w:p w14:paraId="32B8D27C">
      <w:pPr>
        <w:spacing w:line="360" w:lineRule="auto"/>
        <w:ind w:firstLine="361"/>
        <w:jc w:val="center"/>
        <w:rPr>
          <w:rFonts w:ascii="宋体" w:hAnsi="宋体"/>
          <w:sz w:val="36"/>
          <w:szCs w:val="36"/>
        </w:rPr>
      </w:pPr>
      <w:bookmarkStart w:id="422" w:name="_Toc224103493"/>
      <w:r>
        <w:rPr>
          <w:rFonts w:hint="eastAsia" w:ascii="宋体" w:hAnsi="宋体"/>
          <w:sz w:val="36"/>
          <w:szCs w:val="36"/>
        </w:rPr>
        <w:t>目  录</w:t>
      </w:r>
      <w:bookmarkEnd w:id="422"/>
    </w:p>
    <w:p w14:paraId="48B7E80B">
      <w:pPr>
        <w:spacing w:line="360" w:lineRule="auto"/>
        <w:ind w:firstLine="211"/>
        <w:jc w:val="center"/>
        <w:rPr>
          <w:rFonts w:ascii="宋体" w:hAnsi="宋体"/>
          <w:szCs w:val="20"/>
        </w:rPr>
      </w:pPr>
    </w:p>
    <w:p w14:paraId="32CC808F">
      <w:pPr>
        <w:spacing w:line="360" w:lineRule="auto"/>
        <w:outlineLvl w:val="1"/>
        <w:rPr>
          <w:rFonts w:ascii="宋体" w:hAnsi="宋体"/>
          <w:b/>
        </w:rPr>
      </w:pPr>
      <w:bookmarkStart w:id="423" w:name="_Toc5548"/>
      <w:r>
        <w:rPr>
          <w:rFonts w:hint="eastAsia" w:ascii="宋体" w:hAnsi="宋体"/>
          <w:b/>
        </w:rPr>
        <w:t>一</w:t>
      </w:r>
      <w:r>
        <w:rPr>
          <w:rFonts w:ascii="宋体" w:hAnsi="宋体"/>
          <w:b/>
        </w:rPr>
        <w:t>、</w:t>
      </w:r>
      <w:r>
        <w:rPr>
          <w:rFonts w:hint="eastAsia" w:ascii="宋体" w:hAnsi="宋体"/>
          <w:b/>
        </w:rPr>
        <w:t>竞选函</w:t>
      </w:r>
      <w:r>
        <w:rPr>
          <w:rFonts w:ascii="宋体" w:hAnsi="宋体"/>
          <w:b/>
        </w:rPr>
        <w:t>部分</w:t>
      </w:r>
      <w:bookmarkEnd w:id="423"/>
    </w:p>
    <w:p w14:paraId="6F78FF53">
      <w:pPr>
        <w:spacing w:line="360" w:lineRule="auto"/>
        <w:ind w:firstLine="420" w:firstLineChars="200"/>
        <w:rPr>
          <w:rFonts w:ascii="宋体" w:hAnsi="宋体"/>
        </w:rPr>
      </w:pPr>
      <w:r>
        <w:rPr>
          <w:rFonts w:ascii="宋体" w:hAnsi="宋体"/>
        </w:rPr>
        <w:t>（一）</w:t>
      </w:r>
      <w:r>
        <w:rPr>
          <w:rFonts w:hint="eastAsia" w:ascii="宋体" w:hAnsi="宋体"/>
        </w:rPr>
        <w:t>竞选函</w:t>
      </w:r>
    </w:p>
    <w:p w14:paraId="7A30DCE7">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法定代表人身份证明或附有法定代表人身份证明的授权委托书</w:t>
      </w:r>
    </w:p>
    <w:p w14:paraId="01C37F84">
      <w:pPr>
        <w:spacing w:line="360" w:lineRule="auto"/>
        <w:outlineLvl w:val="1"/>
        <w:rPr>
          <w:rFonts w:ascii="宋体" w:hAnsi="宋体"/>
          <w:b/>
        </w:rPr>
      </w:pPr>
      <w:bookmarkStart w:id="424" w:name="_Toc4169"/>
      <w:r>
        <w:rPr>
          <w:rFonts w:hint="eastAsia" w:ascii="宋体" w:hAnsi="宋体"/>
          <w:b/>
        </w:rPr>
        <w:t>二</w:t>
      </w:r>
      <w:r>
        <w:rPr>
          <w:rFonts w:ascii="宋体" w:hAnsi="宋体"/>
          <w:b/>
        </w:rPr>
        <w:t>、</w:t>
      </w:r>
      <w:r>
        <w:rPr>
          <w:rFonts w:hint="eastAsia" w:ascii="宋体" w:hAnsi="宋体"/>
          <w:b/>
        </w:rPr>
        <w:t>资格审查部分</w:t>
      </w:r>
      <w:bookmarkEnd w:id="424"/>
    </w:p>
    <w:p w14:paraId="2D11C37B">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6B49E344">
      <w:pPr>
        <w:spacing w:line="360" w:lineRule="auto"/>
        <w:ind w:firstLine="420" w:firstLineChars="200"/>
        <w:rPr>
          <w:rFonts w:ascii="宋体" w:hAnsi="宋体"/>
        </w:rPr>
      </w:pPr>
      <w:r>
        <w:rPr>
          <w:rFonts w:ascii="宋体" w:hAnsi="宋体"/>
        </w:rPr>
        <w:t>（二）</w:t>
      </w:r>
      <w:r>
        <w:rPr>
          <w:rFonts w:hint="eastAsia" w:ascii="宋体" w:hAnsi="宋体"/>
        </w:rPr>
        <w:t>竞选人</w:t>
      </w:r>
      <w:r>
        <w:rPr>
          <w:rFonts w:ascii="宋体" w:hAnsi="宋体"/>
        </w:rPr>
        <w:t>基本情况表</w:t>
      </w:r>
    </w:p>
    <w:p w14:paraId="349FC502">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）其他资料</w:t>
      </w:r>
    </w:p>
    <w:p w14:paraId="79168170">
      <w:pPr>
        <w:spacing w:line="360" w:lineRule="auto"/>
        <w:ind w:firstLine="211"/>
        <w:rPr>
          <w:rFonts w:ascii="宋体" w:hAnsi="宋体"/>
        </w:rPr>
      </w:pPr>
    </w:p>
    <w:p w14:paraId="1062C1B9">
      <w:pPr>
        <w:autoSpaceDE w:val="0"/>
        <w:autoSpaceDN w:val="0"/>
        <w:adjustRightInd w:val="0"/>
        <w:spacing w:line="276" w:lineRule="auto"/>
        <w:ind w:right="-23" w:firstLine="241"/>
        <w:jc w:val="left"/>
        <w:rPr>
          <w:rFonts w:ascii="宋体" w:hAnsi="宋体"/>
          <w:b/>
          <w:kern w:val="0"/>
          <w:sz w:val="24"/>
        </w:rPr>
      </w:pPr>
      <w:r>
        <w:rPr>
          <w:rFonts w:ascii="宋体" w:hAnsi="宋体"/>
          <w:b/>
          <w:kern w:val="0"/>
          <w:sz w:val="24"/>
        </w:rPr>
        <w:br w:type="page"/>
      </w:r>
      <w:bookmarkStart w:id="425" w:name="_Toc430530529"/>
      <w:bookmarkStart w:id="426" w:name="_Toc287607866"/>
      <w:bookmarkStart w:id="427" w:name="_Toc224103494"/>
      <w:bookmarkStart w:id="428" w:name="_Toc287620813"/>
      <w:bookmarkStart w:id="429" w:name="_Toc277082642"/>
    </w:p>
    <w:p w14:paraId="2EAFE7FC">
      <w:pPr>
        <w:pStyle w:val="3"/>
        <w:spacing w:line="360" w:lineRule="auto"/>
        <w:ind w:firstLine="440"/>
        <w:jc w:val="center"/>
        <w:rPr>
          <w:rFonts w:ascii="宋体" w:hAnsi="宋体"/>
          <w:b w:val="0"/>
          <w:bCs w:val="0"/>
          <w:sz w:val="44"/>
          <w:szCs w:val="44"/>
        </w:rPr>
      </w:pPr>
      <w:bookmarkStart w:id="430" w:name="_Toc695"/>
      <w:bookmarkStart w:id="431" w:name="_Toc27035"/>
      <w:bookmarkStart w:id="432" w:name="_Toc19476"/>
      <w:r>
        <w:rPr>
          <w:rFonts w:hint="eastAsia" w:ascii="宋体" w:hAnsi="宋体"/>
          <w:b w:val="0"/>
          <w:bCs w:val="0"/>
          <w:sz w:val="44"/>
          <w:szCs w:val="44"/>
        </w:rPr>
        <w:t>一、竞选函部分</w:t>
      </w:r>
      <w:bookmarkEnd w:id="425"/>
      <w:bookmarkEnd w:id="426"/>
      <w:bookmarkEnd w:id="427"/>
      <w:bookmarkEnd w:id="428"/>
      <w:bookmarkEnd w:id="429"/>
      <w:bookmarkEnd w:id="430"/>
      <w:bookmarkEnd w:id="431"/>
      <w:bookmarkEnd w:id="432"/>
    </w:p>
    <w:p w14:paraId="7E3167A1">
      <w:pPr>
        <w:tabs>
          <w:tab w:val="left" w:pos="2580"/>
          <w:tab w:val="left" w:pos="5940"/>
        </w:tabs>
        <w:autoSpaceDE w:val="0"/>
        <w:autoSpaceDN w:val="0"/>
        <w:adjustRightInd w:val="0"/>
        <w:snapToGrid w:val="0"/>
        <w:spacing w:line="360" w:lineRule="auto"/>
        <w:ind w:firstLine="281"/>
        <w:jc w:val="left"/>
        <w:rPr>
          <w:rFonts w:ascii="宋体" w:hAnsi="宋体"/>
          <w:kern w:val="0"/>
          <w:sz w:val="28"/>
          <w:szCs w:val="28"/>
        </w:rPr>
      </w:pPr>
    </w:p>
    <w:p w14:paraId="6154ACB0">
      <w:pPr>
        <w:tabs>
          <w:tab w:val="left" w:pos="2580"/>
          <w:tab w:val="left" w:pos="5940"/>
        </w:tabs>
        <w:autoSpaceDE w:val="0"/>
        <w:autoSpaceDN w:val="0"/>
        <w:adjustRightInd w:val="0"/>
        <w:snapToGrid w:val="0"/>
        <w:spacing w:line="360" w:lineRule="auto"/>
        <w:ind w:firstLine="321"/>
        <w:jc w:val="center"/>
        <w:rPr>
          <w:rFonts w:ascii="宋体" w:hAnsi="宋体"/>
          <w:kern w:val="0"/>
          <w:sz w:val="32"/>
          <w:szCs w:val="32"/>
        </w:rPr>
      </w:pPr>
      <w:r>
        <w:rPr>
          <w:rFonts w:hint="eastAsia" w:ascii="宋体" w:hAnsi="宋体"/>
          <w:kern w:val="0"/>
          <w:sz w:val="32"/>
          <w:szCs w:val="32"/>
          <w:u w:val="single"/>
        </w:rPr>
        <w:t>（项目名称）</w:t>
      </w:r>
    </w:p>
    <w:p w14:paraId="51B451F2">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7DFF1049">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7945AD95">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59EFDCB9">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7A5420E3">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08FE5BB0">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rPr>
      </w:pPr>
      <w:r>
        <w:rPr>
          <w:rFonts w:hint="eastAsia" w:ascii="宋体" w:hAnsi="宋体"/>
          <w:kern w:val="0"/>
          <w:sz w:val="72"/>
          <w:szCs w:val="72"/>
        </w:rPr>
        <w:t>投 标 文 件</w:t>
      </w:r>
    </w:p>
    <w:p w14:paraId="2A9A8B56">
      <w:pPr>
        <w:autoSpaceDE w:val="0"/>
        <w:autoSpaceDN w:val="0"/>
        <w:adjustRightInd w:val="0"/>
        <w:snapToGrid w:val="0"/>
        <w:spacing w:line="360" w:lineRule="auto"/>
        <w:ind w:firstLine="161"/>
        <w:jc w:val="left"/>
        <w:rPr>
          <w:rFonts w:ascii="宋体" w:hAnsi="宋体"/>
          <w:kern w:val="0"/>
          <w:sz w:val="16"/>
          <w:szCs w:val="16"/>
        </w:rPr>
      </w:pPr>
    </w:p>
    <w:p w14:paraId="131BBEE4">
      <w:pPr>
        <w:autoSpaceDE w:val="0"/>
        <w:autoSpaceDN w:val="0"/>
        <w:adjustRightInd w:val="0"/>
        <w:snapToGrid w:val="0"/>
        <w:spacing w:line="360" w:lineRule="auto"/>
        <w:ind w:firstLine="361"/>
        <w:jc w:val="center"/>
        <w:rPr>
          <w:rFonts w:ascii="宋体" w:hAnsi="宋体"/>
          <w:kern w:val="0"/>
          <w:sz w:val="36"/>
          <w:szCs w:val="36"/>
        </w:rPr>
      </w:pPr>
      <w:r>
        <w:rPr>
          <w:rFonts w:hint="eastAsia" w:ascii="宋体" w:hAnsi="宋体"/>
          <w:kern w:val="0"/>
          <w:sz w:val="36"/>
          <w:szCs w:val="36"/>
        </w:rPr>
        <w:t>竞选函部分</w:t>
      </w:r>
    </w:p>
    <w:p w14:paraId="3E7E92E0">
      <w:pPr>
        <w:autoSpaceDE w:val="0"/>
        <w:autoSpaceDN w:val="0"/>
        <w:adjustRightInd w:val="0"/>
        <w:snapToGrid w:val="0"/>
        <w:spacing w:line="360" w:lineRule="auto"/>
        <w:ind w:firstLine="200"/>
        <w:jc w:val="left"/>
        <w:rPr>
          <w:rFonts w:ascii="宋体" w:hAnsi="宋体"/>
          <w:b/>
          <w:kern w:val="0"/>
          <w:sz w:val="20"/>
          <w:szCs w:val="20"/>
        </w:rPr>
      </w:pPr>
    </w:p>
    <w:p w14:paraId="16E0F6CB">
      <w:pPr>
        <w:autoSpaceDE w:val="0"/>
        <w:autoSpaceDN w:val="0"/>
        <w:adjustRightInd w:val="0"/>
        <w:snapToGrid w:val="0"/>
        <w:spacing w:line="360" w:lineRule="auto"/>
        <w:ind w:firstLine="200"/>
        <w:jc w:val="left"/>
        <w:rPr>
          <w:rFonts w:ascii="宋体" w:hAnsi="宋体"/>
          <w:b/>
          <w:kern w:val="0"/>
          <w:sz w:val="20"/>
          <w:szCs w:val="20"/>
        </w:rPr>
      </w:pPr>
    </w:p>
    <w:p w14:paraId="47FADA0A">
      <w:pPr>
        <w:autoSpaceDE w:val="0"/>
        <w:autoSpaceDN w:val="0"/>
        <w:adjustRightInd w:val="0"/>
        <w:snapToGrid w:val="0"/>
        <w:spacing w:line="360" w:lineRule="auto"/>
        <w:ind w:firstLine="200"/>
        <w:jc w:val="left"/>
        <w:rPr>
          <w:rFonts w:ascii="宋体" w:hAnsi="宋体"/>
          <w:b/>
          <w:kern w:val="0"/>
          <w:sz w:val="20"/>
          <w:szCs w:val="20"/>
        </w:rPr>
      </w:pPr>
    </w:p>
    <w:p w14:paraId="47AF1A4D">
      <w:pPr>
        <w:autoSpaceDE w:val="0"/>
        <w:autoSpaceDN w:val="0"/>
        <w:adjustRightInd w:val="0"/>
        <w:snapToGrid w:val="0"/>
        <w:spacing w:line="360" w:lineRule="auto"/>
        <w:ind w:firstLine="200"/>
        <w:jc w:val="left"/>
        <w:rPr>
          <w:rFonts w:ascii="宋体" w:hAnsi="宋体"/>
          <w:b/>
          <w:kern w:val="0"/>
          <w:sz w:val="20"/>
          <w:szCs w:val="20"/>
        </w:rPr>
      </w:pPr>
    </w:p>
    <w:p w14:paraId="5F2021A0">
      <w:pPr>
        <w:autoSpaceDE w:val="0"/>
        <w:autoSpaceDN w:val="0"/>
        <w:adjustRightInd w:val="0"/>
        <w:snapToGrid w:val="0"/>
        <w:spacing w:line="360" w:lineRule="auto"/>
        <w:ind w:firstLine="200"/>
        <w:jc w:val="left"/>
        <w:rPr>
          <w:rFonts w:ascii="宋体" w:hAnsi="宋体"/>
          <w:b/>
          <w:kern w:val="0"/>
          <w:sz w:val="20"/>
          <w:szCs w:val="20"/>
        </w:rPr>
      </w:pPr>
    </w:p>
    <w:p w14:paraId="36FEF54D">
      <w:pPr>
        <w:autoSpaceDE w:val="0"/>
        <w:autoSpaceDN w:val="0"/>
        <w:adjustRightInd w:val="0"/>
        <w:snapToGrid w:val="0"/>
        <w:spacing w:line="360" w:lineRule="auto"/>
        <w:ind w:firstLine="200"/>
        <w:jc w:val="left"/>
        <w:rPr>
          <w:rFonts w:ascii="宋体" w:hAnsi="宋体"/>
          <w:b/>
          <w:kern w:val="0"/>
          <w:sz w:val="20"/>
          <w:szCs w:val="20"/>
        </w:rPr>
      </w:pPr>
    </w:p>
    <w:p w14:paraId="4E9822A8">
      <w:pPr>
        <w:autoSpaceDE w:val="0"/>
        <w:autoSpaceDN w:val="0"/>
        <w:adjustRightInd w:val="0"/>
        <w:snapToGrid w:val="0"/>
        <w:spacing w:line="360" w:lineRule="auto"/>
        <w:ind w:firstLine="200"/>
        <w:jc w:val="left"/>
        <w:rPr>
          <w:rFonts w:ascii="宋体" w:hAnsi="宋体"/>
          <w:b/>
          <w:kern w:val="0"/>
          <w:sz w:val="20"/>
          <w:szCs w:val="20"/>
        </w:rPr>
      </w:pPr>
    </w:p>
    <w:p w14:paraId="0069FDFC">
      <w:pPr>
        <w:autoSpaceDE w:val="0"/>
        <w:autoSpaceDN w:val="0"/>
        <w:adjustRightInd w:val="0"/>
        <w:snapToGrid w:val="0"/>
        <w:spacing w:line="360" w:lineRule="auto"/>
        <w:ind w:firstLine="200"/>
        <w:jc w:val="left"/>
        <w:rPr>
          <w:rFonts w:ascii="宋体" w:hAnsi="宋体"/>
          <w:b/>
          <w:kern w:val="0"/>
          <w:sz w:val="20"/>
          <w:szCs w:val="20"/>
        </w:rPr>
      </w:pPr>
    </w:p>
    <w:p w14:paraId="2269CBD1">
      <w:pPr>
        <w:autoSpaceDE w:val="0"/>
        <w:autoSpaceDN w:val="0"/>
        <w:adjustRightInd w:val="0"/>
        <w:snapToGrid w:val="0"/>
        <w:spacing w:line="360" w:lineRule="auto"/>
        <w:ind w:firstLine="200"/>
        <w:jc w:val="left"/>
        <w:rPr>
          <w:rFonts w:ascii="宋体" w:hAnsi="宋体"/>
          <w:b/>
          <w:kern w:val="0"/>
          <w:sz w:val="20"/>
          <w:szCs w:val="20"/>
        </w:rPr>
      </w:pPr>
    </w:p>
    <w:p w14:paraId="78003B90">
      <w:pPr>
        <w:tabs>
          <w:tab w:val="left" w:pos="6080"/>
          <w:tab w:val="left" w:pos="6640"/>
        </w:tabs>
        <w:autoSpaceDE w:val="0"/>
        <w:autoSpaceDN w:val="0"/>
        <w:adjustRightInd w:val="0"/>
        <w:snapToGrid w:val="0"/>
        <w:spacing w:afterLines="50" w:line="360" w:lineRule="auto"/>
        <w:ind w:firstLine="279"/>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3FE58E6F">
      <w:pPr>
        <w:tabs>
          <w:tab w:val="left" w:pos="6080"/>
          <w:tab w:val="left" w:pos="6640"/>
        </w:tabs>
        <w:autoSpaceDE w:val="0"/>
        <w:autoSpaceDN w:val="0"/>
        <w:adjustRightInd w:val="0"/>
        <w:snapToGrid w:val="0"/>
        <w:spacing w:afterLines="50" w:line="360" w:lineRule="auto"/>
        <w:ind w:firstLine="279"/>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17521612">
      <w:pPr>
        <w:autoSpaceDE w:val="0"/>
        <w:autoSpaceDN w:val="0"/>
        <w:adjustRightInd w:val="0"/>
        <w:snapToGrid w:val="0"/>
        <w:spacing w:line="360" w:lineRule="auto"/>
        <w:ind w:firstLine="279"/>
        <w:jc w:val="center"/>
        <w:rPr>
          <w:rFonts w:ascii="宋体" w:hAnsi="宋体"/>
          <w:kern w:val="0"/>
          <w:sz w:val="24"/>
          <w:szCs w:val="21"/>
        </w:rPr>
      </w:pPr>
      <w:r>
        <w:rPr>
          <w:rFonts w:hint="eastAsia" w:ascii="宋体" w:hAnsi="宋体"/>
          <w:w w:val="99"/>
          <w:kern w:val="0"/>
          <w:sz w:val="28"/>
          <w:szCs w:val="28"/>
        </w:rPr>
        <w:t>年月日</w:t>
      </w:r>
      <w:r>
        <w:rPr>
          <w:rFonts w:ascii="宋体" w:hAnsi="宋体"/>
          <w:kern w:val="0"/>
          <w:sz w:val="24"/>
          <w:szCs w:val="21"/>
        </w:rPr>
        <w:br w:type="page"/>
      </w:r>
    </w:p>
    <w:p w14:paraId="43393C4B">
      <w:pPr>
        <w:autoSpaceDE w:val="0"/>
        <w:autoSpaceDN w:val="0"/>
        <w:adjustRightInd w:val="0"/>
        <w:snapToGrid w:val="0"/>
        <w:spacing w:line="360" w:lineRule="auto"/>
        <w:ind w:firstLine="361"/>
        <w:jc w:val="center"/>
        <w:rPr>
          <w:rFonts w:ascii="宋体" w:hAnsi="宋体"/>
          <w:kern w:val="0"/>
          <w:sz w:val="36"/>
          <w:szCs w:val="36"/>
        </w:rPr>
      </w:pPr>
      <w:r>
        <w:rPr>
          <w:rFonts w:hint="eastAsia" w:ascii="宋体" w:hAnsi="宋体"/>
          <w:kern w:val="0"/>
          <w:sz w:val="36"/>
          <w:szCs w:val="36"/>
        </w:rPr>
        <w:t>目  录</w:t>
      </w:r>
    </w:p>
    <w:p w14:paraId="31F6E639">
      <w:pPr>
        <w:autoSpaceDE w:val="0"/>
        <w:autoSpaceDN w:val="0"/>
        <w:adjustRightInd w:val="0"/>
        <w:snapToGrid w:val="0"/>
        <w:spacing w:line="360" w:lineRule="auto"/>
        <w:ind w:firstLine="241"/>
        <w:jc w:val="left"/>
        <w:rPr>
          <w:rFonts w:ascii="宋体" w:hAnsi="宋体"/>
          <w:kern w:val="0"/>
          <w:sz w:val="24"/>
          <w:szCs w:val="21"/>
        </w:rPr>
      </w:pPr>
    </w:p>
    <w:p w14:paraId="3CCFF9C8">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w:t>
      </w:r>
      <w:r>
        <w:rPr>
          <w:rFonts w:hint="eastAsia" w:ascii="宋体" w:hAnsi="宋体"/>
          <w:kern w:val="0"/>
          <w:sz w:val="24"/>
        </w:rPr>
        <w:t>竞选函</w:t>
      </w:r>
    </w:p>
    <w:p w14:paraId="516A79DA">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w:t>
      </w:r>
      <w:r>
        <w:rPr>
          <w:rFonts w:hint="eastAsia" w:ascii="宋体" w:hAnsi="宋体"/>
          <w:kern w:val="0"/>
          <w:sz w:val="24"/>
        </w:rPr>
        <w:t>竞选函</w:t>
      </w:r>
      <w:r>
        <w:rPr>
          <w:rFonts w:ascii="宋体" w:hAnsi="宋体"/>
          <w:kern w:val="0"/>
          <w:sz w:val="24"/>
        </w:rPr>
        <w:t>附录</w:t>
      </w:r>
    </w:p>
    <w:p w14:paraId="11C9CC83">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14:paraId="396D41CB">
      <w:pPr>
        <w:autoSpaceDE w:val="0"/>
        <w:autoSpaceDN w:val="0"/>
        <w:adjustRightInd w:val="0"/>
        <w:snapToGrid w:val="0"/>
        <w:spacing w:line="360" w:lineRule="auto"/>
        <w:ind w:firstLine="279"/>
        <w:jc w:val="left"/>
        <w:rPr>
          <w:rFonts w:ascii="宋体" w:hAnsi="宋体"/>
          <w:w w:val="99"/>
          <w:kern w:val="0"/>
          <w:sz w:val="28"/>
          <w:szCs w:val="28"/>
        </w:rPr>
      </w:pPr>
    </w:p>
    <w:p w14:paraId="43ED39F3">
      <w:pPr>
        <w:pStyle w:val="4"/>
        <w:spacing w:before="0" w:after="0" w:line="400" w:lineRule="exact"/>
        <w:ind w:firstLine="321"/>
        <w:jc w:val="center"/>
        <w:rPr>
          <w:rFonts w:ascii="宋体" w:hAnsi="宋体"/>
          <w:b w:val="0"/>
        </w:rPr>
      </w:pPr>
      <w:bookmarkStart w:id="433" w:name="_Toc287607867"/>
      <w:bookmarkStart w:id="434" w:name="_Toc430530530"/>
      <w:bookmarkStart w:id="435" w:name="_Toc277082643"/>
      <w:bookmarkStart w:id="436" w:name="_Toc224103495"/>
      <w:bookmarkStart w:id="437" w:name="_Toc509218854"/>
      <w:bookmarkStart w:id="438" w:name="_Toc287620814"/>
      <w:bookmarkStart w:id="439" w:name="_Toc534185831"/>
      <w:r>
        <w:rPr>
          <w:rFonts w:ascii="宋体" w:hAnsi="宋体"/>
        </w:rPr>
        <w:br w:type="page"/>
      </w:r>
      <w:bookmarkStart w:id="440" w:name="_Toc26071"/>
      <w:bookmarkStart w:id="441" w:name="_Toc882"/>
      <w:r>
        <w:rPr>
          <w:rFonts w:hint="eastAsia"/>
        </w:rPr>
        <w:t>（一）</w:t>
      </w:r>
      <w:bookmarkEnd w:id="433"/>
      <w:bookmarkEnd w:id="434"/>
      <w:bookmarkEnd w:id="435"/>
      <w:bookmarkEnd w:id="436"/>
      <w:bookmarkEnd w:id="437"/>
      <w:bookmarkEnd w:id="438"/>
      <w:bookmarkEnd w:id="439"/>
      <w:bookmarkEnd w:id="440"/>
      <w:r>
        <w:rPr>
          <w:rFonts w:hint="eastAsia"/>
        </w:rPr>
        <w:t>竞选函</w:t>
      </w:r>
      <w:bookmarkEnd w:id="441"/>
    </w:p>
    <w:p w14:paraId="186AC385">
      <w:pPr>
        <w:tabs>
          <w:tab w:val="left" w:pos="2640"/>
        </w:tabs>
        <w:autoSpaceDE w:val="0"/>
        <w:autoSpaceDN w:val="0"/>
        <w:adjustRightInd w:val="0"/>
        <w:spacing w:line="400" w:lineRule="exact"/>
        <w:ind w:firstLine="211"/>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6857847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lang w:val="en-US" w:eastAsia="zh-CN"/>
        </w:rPr>
        <w:t>比选</w:t>
      </w:r>
      <w:r>
        <w:rPr>
          <w:rFonts w:ascii="宋体" w:hAnsi="宋体"/>
          <w:snapToGrid w:val="0"/>
          <w:kern w:val="0"/>
          <w:szCs w:val="21"/>
        </w:rPr>
        <w:t>文件的全部内容，</w:t>
      </w:r>
      <w:r>
        <w:rPr>
          <w:snapToGrid w:val="0"/>
        </w:rPr>
        <w:t>愿意以</w:t>
      </w:r>
      <w:r>
        <w:rPr>
          <w:rFonts w:hint="eastAsia"/>
          <w:snapToGrid w:val="0"/>
          <w:lang w:val="en-US" w:eastAsia="zh-CN"/>
        </w:rPr>
        <w:t>总报价</w:t>
      </w:r>
      <w:r>
        <w:rPr>
          <w:rFonts w:hint="eastAsia"/>
          <w:snapToGrid w:val="0"/>
        </w:rPr>
        <w:t xml:space="preserve"> </w:t>
      </w:r>
      <w:r>
        <w:rPr>
          <w:snapToGrid w:val="0"/>
          <w:u w:val="single"/>
        </w:rPr>
        <w:tab/>
      </w:r>
      <w:r>
        <w:rPr>
          <w:rFonts w:hint="eastAsia"/>
          <w:snapToGrid w:val="0"/>
          <w:u w:val="single"/>
        </w:rPr>
        <w:t xml:space="preserve">   </w:t>
      </w:r>
      <w:r>
        <w:rPr>
          <w:rFonts w:hint="eastAsia"/>
          <w:snapToGrid w:val="0"/>
          <w:u w:val="single"/>
          <w:lang w:val="en-US" w:eastAsia="zh-CN"/>
        </w:rPr>
        <w:t>元/三年</w:t>
      </w:r>
      <w:r>
        <w:rPr>
          <w:snapToGrid w:val="0"/>
        </w:rPr>
        <w:t>进行</w:t>
      </w:r>
      <w:r>
        <w:rPr>
          <w:rFonts w:hint="eastAsia"/>
          <w:snapToGrid w:val="0"/>
          <w:lang w:val="en-US" w:eastAsia="zh-CN"/>
        </w:rPr>
        <w:t>包干</w:t>
      </w:r>
      <w:r>
        <w:rPr>
          <w:snapToGrid w:val="0"/>
        </w:rPr>
        <w:t>报价</w:t>
      </w:r>
      <w:r>
        <w:rPr>
          <w:rFonts w:hint="eastAsia" w:ascii="宋体" w:hAnsi="宋体"/>
          <w:snapToGrid w:val="0"/>
          <w:kern w:val="0"/>
          <w:szCs w:val="21"/>
        </w:rPr>
        <w:t>；委托代理人为：</w:t>
      </w:r>
      <w:r>
        <w:rPr>
          <w:rFonts w:hint="eastAsia" w:ascii="宋体" w:hAnsi="宋体"/>
          <w:snapToGrid w:val="0"/>
          <w:kern w:val="0"/>
          <w:szCs w:val="21"/>
          <w:u w:val="single"/>
          <w:lang w:val="en-US" w:eastAsia="zh-CN"/>
        </w:rPr>
        <w:t xml:space="preserve">          </w:t>
      </w:r>
      <w:r>
        <w:rPr>
          <w:rFonts w:ascii="宋体" w:hAnsi="宋体"/>
          <w:snapToGrid w:val="0"/>
          <w:kern w:val="0"/>
          <w:szCs w:val="21"/>
        </w:rPr>
        <w:t>。</w:t>
      </w:r>
      <w:r>
        <w:rPr>
          <w:rFonts w:hint="eastAsia" w:ascii="宋体" w:hAnsi="宋体"/>
          <w:snapToGrid w:val="0"/>
          <w:kern w:val="0"/>
          <w:szCs w:val="21"/>
        </w:rPr>
        <w:t>服务期</w:t>
      </w:r>
      <w:r>
        <w:rPr>
          <w:rFonts w:hint="eastAsia" w:ascii="宋体" w:hAnsi="宋体"/>
          <w:snapToGrid w:val="0"/>
          <w:kern w:val="0"/>
          <w:szCs w:val="21"/>
          <w:u w:val="single"/>
          <w:lang w:val="en-US" w:eastAsia="zh-CN"/>
        </w:rPr>
        <w:t xml:space="preserve">         </w:t>
      </w:r>
      <w:r>
        <w:rPr>
          <w:rFonts w:hint="eastAsia" w:ascii="宋体" w:hAnsi="宋体"/>
          <w:snapToGrid w:val="0"/>
          <w:kern w:val="0"/>
          <w:szCs w:val="21"/>
        </w:rPr>
        <w:t>，</w:t>
      </w:r>
      <w:r>
        <w:rPr>
          <w:rFonts w:ascii="宋体" w:hAnsi="宋体"/>
          <w:snapToGrid w:val="0"/>
          <w:kern w:val="0"/>
          <w:szCs w:val="21"/>
        </w:rPr>
        <w:t>按合同约定</w:t>
      </w:r>
      <w:r>
        <w:rPr>
          <w:rFonts w:hint="eastAsia" w:ascii="宋体" w:hAnsi="宋体"/>
          <w:snapToGrid w:val="0"/>
          <w:kern w:val="0"/>
          <w:szCs w:val="21"/>
          <w:lang w:val="en-US" w:eastAsia="zh-CN"/>
        </w:rPr>
        <w:t>提供服务</w:t>
      </w:r>
      <w:r>
        <w:rPr>
          <w:rFonts w:ascii="宋体" w:hAnsi="宋体"/>
          <w:snapToGrid w:val="0"/>
          <w:kern w:val="0"/>
          <w:szCs w:val="21"/>
        </w:rPr>
        <w:t>，质量达到</w:t>
      </w:r>
      <w:r>
        <w:rPr>
          <w:rFonts w:hint="eastAsia" w:ascii="宋体" w:hAnsi="宋体"/>
          <w:snapToGrid w:val="0"/>
          <w:kern w:val="0"/>
          <w:szCs w:val="21"/>
        </w:rPr>
        <w:t>比选文件的要求</w:t>
      </w:r>
      <w:r>
        <w:rPr>
          <w:rFonts w:ascii="宋体" w:hAnsi="宋体"/>
          <w:snapToGrid w:val="0"/>
          <w:kern w:val="0"/>
          <w:szCs w:val="21"/>
        </w:rPr>
        <w:t>。</w:t>
      </w:r>
    </w:p>
    <w:p w14:paraId="003BFA98">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w:t>
      </w:r>
      <w:r>
        <w:rPr>
          <w:rFonts w:hint="eastAsia" w:ascii="宋体" w:hAnsi="宋体"/>
          <w:snapToGrid w:val="0"/>
          <w:kern w:val="0"/>
          <w:szCs w:val="21"/>
        </w:rPr>
        <w:t>竞选文件</w:t>
      </w:r>
      <w:r>
        <w:rPr>
          <w:rFonts w:ascii="宋体" w:hAnsi="宋体"/>
          <w:snapToGrid w:val="0"/>
          <w:kern w:val="0"/>
          <w:szCs w:val="21"/>
        </w:rPr>
        <w:t>。</w:t>
      </w:r>
    </w:p>
    <w:p w14:paraId="49863EB7">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如我方中标：</w:t>
      </w:r>
    </w:p>
    <w:p w14:paraId="11320C9D">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4432A447">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竞选函</w:t>
      </w:r>
      <w:r>
        <w:rPr>
          <w:rFonts w:ascii="宋体" w:hAnsi="宋体"/>
          <w:snapToGrid w:val="0"/>
          <w:kern w:val="0"/>
          <w:szCs w:val="21"/>
        </w:rPr>
        <w:t>递交的</w:t>
      </w:r>
      <w:r>
        <w:rPr>
          <w:rFonts w:hint="eastAsia" w:ascii="宋体" w:hAnsi="宋体"/>
          <w:snapToGrid w:val="0"/>
          <w:kern w:val="0"/>
          <w:szCs w:val="21"/>
        </w:rPr>
        <w:t>竞选函</w:t>
      </w:r>
      <w:r>
        <w:rPr>
          <w:rFonts w:ascii="宋体" w:hAnsi="宋体"/>
          <w:snapToGrid w:val="0"/>
          <w:kern w:val="0"/>
          <w:szCs w:val="21"/>
        </w:rPr>
        <w:t>附录属于合同文件的组成部分。</w:t>
      </w:r>
    </w:p>
    <w:p w14:paraId="710A19DA">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w:t>
      </w:r>
      <w:r>
        <w:rPr>
          <w:rFonts w:hint="eastAsia" w:ascii="宋体" w:hAnsi="宋体"/>
          <w:snapToGrid w:val="0"/>
          <w:kern w:val="0"/>
          <w:szCs w:val="21"/>
          <w:lang w:val="en-US" w:eastAsia="zh-CN"/>
        </w:rPr>
        <w:t>3</w:t>
      </w:r>
      <w:r>
        <w:rPr>
          <w:rFonts w:ascii="宋体" w:hAnsi="宋体"/>
          <w:snapToGrid w:val="0"/>
          <w:kern w:val="0"/>
          <w:szCs w:val="21"/>
        </w:rPr>
        <w:t>）我方承诺在合同约定的期限内完成并移交全部合同</w:t>
      </w:r>
      <w:r>
        <w:rPr>
          <w:rFonts w:hint="eastAsia" w:ascii="宋体" w:hAnsi="宋体"/>
          <w:snapToGrid w:val="0"/>
          <w:kern w:val="0"/>
          <w:szCs w:val="21"/>
          <w:lang w:val="en-US" w:eastAsia="zh-CN"/>
        </w:rPr>
        <w:t>内容</w:t>
      </w:r>
      <w:r>
        <w:rPr>
          <w:rFonts w:ascii="宋体" w:hAnsi="宋体"/>
          <w:snapToGrid w:val="0"/>
          <w:kern w:val="0"/>
          <w:szCs w:val="21"/>
        </w:rPr>
        <w:t>。</w:t>
      </w:r>
    </w:p>
    <w:p w14:paraId="01075685">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4.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竞选人</w:t>
      </w:r>
      <w:r>
        <w:rPr>
          <w:rFonts w:ascii="宋体" w:hAnsi="宋体"/>
          <w:snapToGrid w:val="0"/>
          <w:kern w:val="0"/>
          <w:szCs w:val="21"/>
        </w:rPr>
        <w:t>须知”第 1.4.3 项规定的任何一种情形。同时我方承诺接受招标文件及附件、澄清及</w:t>
      </w:r>
      <w:r>
        <w:rPr>
          <w:rFonts w:hint="eastAsia" w:ascii="宋体" w:hAnsi="宋体"/>
          <w:snapToGrid w:val="0"/>
          <w:kern w:val="0"/>
          <w:szCs w:val="21"/>
        </w:rPr>
        <w:t>修改</w:t>
      </w:r>
      <w:r>
        <w:rPr>
          <w:rFonts w:ascii="宋体" w:hAnsi="宋体"/>
          <w:snapToGrid w:val="0"/>
          <w:kern w:val="0"/>
          <w:szCs w:val="21"/>
        </w:rPr>
        <w:t>通知中所有的内容。</w:t>
      </w:r>
    </w:p>
    <w:p w14:paraId="11665F04">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5.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2C4114F3">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p>
    <w:p w14:paraId="253351E4">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竞 选</w:t>
      </w:r>
      <w:r>
        <w:rPr>
          <w:rFonts w:ascii="宋体" w:hAnsi="宋体"/>
          <w:snapToGrid w:val="0"/>
          <w:kern w:val="0"/>
          <w:szCs w:val="21"/>
        </w:rPr>
        <w:t xml:space="preserve"> 人：</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471DA463">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52B3F517">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地址：</w:t>
      </w:r>
    </w:p>
    <w:p w14:paraId="12AAF0F2">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网址：</w:t>
      </w:r>
    </w:p>
    <w:p w14:paraId="4CE3117D">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hint="eastAsia" w:ascii="宋体" w:hAnsi="宋体"/>
          <w:snapToGrid w:val="0"/>
          <w:kern w:val="0"/>
          <w:szCs w:val="21"/>
        </w:rPr>
        <w:t>单位电话（座机）：委托代理人电话（手机）：</w:t>
      </w:r>
    </w:p>
    <w:p w14:paraId="6AD37E9A">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传真：</w:t>
      </w:r>
    </w:p>
    <w:p w14:paraId="7C1DD684">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p>
    <w:p w14:paraId="60D12388">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6748B5DC">
      <w:pPr>
        <w:tabs>
          <w:tab w:val="left" w:pos="8300"/>
        </w:tabs>
        <w:autoSpaceDE w:val="0"/>
        <w:autoSpaceDN w:val="0"/>
        <w:adjustRightInd w:val="0"/>
        <w:spacing w:line="400" w:lineRule="exact"/>
        <w:ind w:firstLine="420" w:firstLineChars="200"/>
        <w:jc w:val="right"/>
        <w:rPr>
          <w:rFonts w:ascii="宋体" w:hAnsi="宋体"/>
          <w:kern w:val="0"/>
          <w:szCs w:val="21"/>
        </w:rPr>
      </w:pPr>
      <w:r>
        <w:rPr>
          <w:rFonts w:ascii="宋体" w:hAnsi="宋体"/>
          <w:kern w:val="0"/>
          <w:szCs w:val="21"/>
        </w:rPr>
        <w:t>年</w:t>
      </w:r>
      <w:r>
        <w:rPr>
          <w:rFonts w:hint="eastAsia" w:ascii="宋体" w:hAnsi="宋体"/>
          <w:kern w:val="0"/>
          <w:szCs w:val="21"/>
          <w:lang w:val="en-US" w:eastAsia="zh-CN"/>
        </w:rPr>
        <w:t xml:space="preserve">   </w:t>
      </w:r>
      <w:r>
        <w:rPr>
          <w:rFonts w:ascii="宋体" w:hAnsi="宋体"/>
          <w:kern w:val="0"/>
          <w:szCs w:val="21"/>
        </w:rPr>
        <w:t>月</w:t>
      </w:r>
      <w:r>
        <w:rPr>
          <w:rFonts w:hint="eastAsia" w:ascii="宋体" w:hAnsi="宋体"/>
          <w:kern w:val="0"/>
          <w:szCs w:val="21"/>
          <w:lang w:val="en-US" w:eastAsia="zh-CN"/>
        </w:rPr>
        <w:t xml:space="preserve">   </w:t>
      </w:r>
      <w:r>
        <w:rPr>
          <w:rFonts w:ascii="宋体" w:hAnsi="宋体"/>
          <w:kern w:val="0"/>
          <w:szCs w:val="21"/>
        </w:rPr>
        <w:t>日</w:t>
      </w:r>
    </w:p>
    <w:p w14:paraId="6F3B9FA5">
      <w:pPr>
        <w:tabs>
          <w:tab w:val="left" w:pos="8300"/>
        </w:tabs>
        <w:autoSpaceDE w:val="0"/>
        <w:autoSpaceDN w:val="0"/>
        <w:adjustRightInd w:val="0"/>
        <w:spacing w:line="400" w:lineRule="exact"/>
        <w:ind w:firstLine="420" w:firstLineChars="200"/>
        <w:jc w:val="right"/>
        <w:rPr>
          <w:rFonts w:ascii="宋体" w:hAnsi="宋体"/>
          <w:kern w:val="0"/>
          <w:szCs w:val="21"/>
        </w:rPr>
      </w:pPr>
    </w:p>
    <w:p w14:paraId="703AE0D5">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rPr>
      </w:pPr>
    </w:p>
    <w:p w14:paraId="5B2C70CA">
      <w:pPr>
        <w:pStyle w:val="4"/>
        <w:ind w:firstLine="281"/>
        <w:jc w:val="center"/>
        <w:rPr>
          <w:rFonts w:ascii="宋体" w:hAnsi="宋体"/>
          <w:snapToGrid w:val="0"/>
        </w:rPr>
      </w:pPr>
      <w:bookmarkStart w:id="442" w:name="_Toc430530531"/>
      <w:bookmarkStart w:id="443" w:name="_Toc224103496"/>
      <w:bookmarkStart w:id="444" w:name="_Toc287620815"/>
      <w:bookmarkStart w:id="445" w:name="_Toc287607868"/>
      <w:bookmarkStart w:id="446" w:name="_Toc277082644"/>
      <w:r>
        <w:rPr>
          <w:rFonts w:ascii="宋体" w:hAnsi="宋体"/>
          <w:sz w:val="28"/>
        </w:rPr>
        <w:br w:type="page"/>
      </w:r>
      <w:bookmarkEnd w:id="442"/>
      <w:bookmarkEnd w:id="443"/>
      <w:bookmarkEnd w:id="444"/>
      <w:bookmarkEnd w:id="445"/>
      <w:bookmarkEnd w:id="446"/>
    </w:p>
    <w:p w14:paraId="33336BF5">
      <w:pPr>
        <w:pStyle w:val="4"/>
        <w:ind w:firstLine="301"/>
        <w:rPr>
          <w:rFonts w:ascii="宋体" w:hAnsi="宋体"/>
          <w:b w:val="0"/>
          <w:snapToGrid w:val="0"/>
          <w:kern w:val="0"/>
          <w:sz w:val="30"/>
          <w:szCs w:val="30"/>
        </w:rPr>
      </w:pPr>
      <w:bookmarkStart w:id="447" w:name="_Toc20860"/>
      <w:bookmarkStart w:id="448" w:name="_Toc224103497"/>
      <w:bookmarkStart w:id="449" w:name="_Toc430530532"/>
      <w:bookmarkStart w:id="450" w:name="_Toc287607869"/>
      <w:bookmarkStart w:id="451" w:name="_Toc277082645"/>
      <w:bookmarkStart w:id="452" w:name="_Toc8650"/>
      <w:bookmarkStart w:id="453" w:name="_Toc287620816"/>
      <w:r>
        <w:rPr>
          <w:sz w:val="30"/>
          <w:szCs w:val="30"/>
        </w:rPr>
        <w:t>（</w:t>
      </w:r>
      <w:r>
        <w:rPr>
          <w:rFonts w:hint="eastAsia"/>
          <w:sz w:val="30"/>
          <w:szCs w:val="30"/>
        </w:rPr>
        <w:t>二</w:t>
      </w:r>
      <w:r>
        <w:rPr>
          <w:sz w:val="30"/>
          <w:szCs w:val="30"/>
        </w:rPr>
        <w:t>）</w:t>
      </w:r>
      <w:r>
        <w:rPr>
          <w:rFonts w:hint="eastAsia"/>
          <w:sz w:val="30"/>
          <w:szCs w:val="30"/>
        </w:rPr>
        <w:t>法定代表人身份证明或附有法定代表人身份证明的授权委托书</w:t>
      </w:r>
      <w:bookmarkEnd w:id="447"/>
      <w:bookmarkEnd w:id="448"/>
      <w:bookmarkEnd w:id="449"/>
      <w:bookmarkEnd w:id="450"/>
      <w:bookmarkEnd w:id="451"/>
      <w:bookmarkEnd w:id="452"/>
      <w:bookmarkEnd w:id="453"/>
    </w:p>
    <w:p w14:paraId="3714CF85">
      <w:pPr>
        <w:spacing w:line="480" w:lineRule="auto"/>
        <w:ind w:firstLine="281"/>
        <w:jc w:val="center"/>
        <w:rPr>
          <w:rFonts w:ascii="宋体" w:hAnsi="宋体"/>
          <w:sz w:val="28"/>
        </w:rPr>
      </w:pPr>
      <w:r>
        <w:rPr>
          <w:rFonts w:hint="eastAsia" w:ascii="宋体" w:hAnsi="宋体"/>
          <w:sz w:val="28"/>
        </w:rPr>
        <w:t>法定代表人身份证明</w:t>
      </w:r>
    </w:p>
    <w:p w14:paraId="3059AA9D">
      <w:pPr>
        <w:spacing w:line="480" w:lineRule="auto"/>
        <w:ind w:firstLine="211"/>
        <w:jc w:val="center"/>
        <w:rPr>
          <w:rFonts w:ascii="宋体" w:hAnsi="宋体"/>
        </w:rPr>
      </w:pPr>
    </w:p>
    <w:p w14:paraId="4738FA7F">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竞选人</w:t>
      </w:r>
      <w:r>
        <w:rPr>
          <w:rFonts w:ascii="宋体" w:hAnsi="宋体"/>
          <w:kern w:val="0"/>
          <w:szCs w:val="21"/>
        </w:rPr>
        <w:t>名称：</w:t>
      </w:r>
    </w:p>
    <w:p w14:paraId="67EAFBB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p>
    <w:p w14:paraId="0966D320">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地址：</w:t>
      </w:r>
    </w:p>
    <w:p w14:paraId="3BF91CCB">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hint="eastAsia" w:ascii="宋体" w:hAnsi="宋体"/>
          <w:kern w:val="0"/>
          <w:szCs w:val="21"/>
          <w:lang w:val="en-US" w:eastAsia="zh-CN"/>
        </w:rPr>
        <w:t xml:space="preserve">   </w:t>
      </w:r>
      <w:r>
        <w:rPr>
          <w:rFonts w:ascii="宋体" w:hAnsi="宋体"/>
          <w:kern w:val="0"/>
          <w:szCs w:val="21"/>
        </w:rPr>
        <w:t>年</w:t>
      </w:r>
      <w:r>
        <w:rPr>
          <w:rFonts w:hint="eastAsia" w:ascii="宋体" w:hAnsi="宋体"/>
          <w:kern w:val="0"/>
          <w:szCs w:val="21"/>
          <w:lang w:val="en-US" w:eastAsia="zh-CN"/>
        </w:rPr>
        <w:t xml:space="preserve">   </w:t>
      </w:r>
      <w:r>
        <w:rPr>
          <w:rFonts w:ascii="宋体" w:hAnsi="宋体"/>
          <w:kern w:val="0"/>
          <w:szCs w:val="21"/>
        </w:rPr>
        <w:t>月</w:t>
      </w:r>
      <w:r>
        <w:rPr>
          <w:rFonts w:hint="eastAsia" w:ascii="宋体" w:hAnsi="宋体"/>
          <w:kern w:val="0"/>
          <w:szCs w:val="21"/>
          <w:lang w:val="en-US" w:eastAsia="zh-CN"/>
        </w:rPr>
        <w:t xml:space="preserve">   </w:t>
      </w:r>
      <w:r>
        <w:rPr>
          <w:rFonts w:ascii="宋体" w:hAnsi="宋体"/>
          <w:kern w:val="0"/>
          <w:szCs w:val="21"/>
        </w:rPr>
        <w:t>日</w:t>
      </w:r>
    </w:p>
    <w:p w14:paraId="75986B6A">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p>
    <w:p w14:paraId="4162390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姓名：性别</w:t>
      </w:r>
      <w:r>
        <w:rPr>
          <w:rFonts w:ascii="宋体" w:hAnsi="宋体"/>
          <w:spacing w:val="-1"/>
          <w:kern w:val="0"/>
          <w:szCs w:val="21"/>
        </w:rPr>
        <w:t>：年</w:t>
      </w:r>
      <w:r>
        <w:rPr>
          <w:rFonts w:ascii="宋体" w:hAnsi="宋体"/>
          <w:kern w:val="0"/>
          <w:szCs w:val="21"/>
        </w:rPr>
        <w:t>龄：职务：</w:t>
      </w:r>
    </w:p>
    <w:p w14:paraId="1BA974BF">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3C2E2100">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6C4B0510">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14C36C41">
      <w:pPr>
        <w:pStyle w:val="17"/>
        <w:spacing w:after="0" w:line="360" w:lineRule="auto"/>
        <w:rPr>
          <w:rFonts w:ascii="宋体" w:hAnsi="宋体"/>
          <w:szCs w:val="21"/>
        </w:rPr>
      </w:pPr>
    </w:p>
    <w:p w14:paraId="46300048">
      <w:pPr>
        <w:pStyle w:val="17"/>
        <w:spacing w:after="0" w:line="360" w:lineRule="auto"/>
        <w:rPr>
          <w:rFonts w:ascii="宋体" w:hAnsi="宋体"/>
          <w:szCs w:val="21"/>
        </w:rPr>
      </w:pPr>
    </w:p>
    <w:p w14:paraId="0D7AFFA8">
      <w:pPr>
        <w:pStyle w:val="17"/>
        <w:spacing w:after="0" w:line="360" w:lineRule="auto"/>
        <w:rPr>
          <w:rFonts w:ascii="宋体" w:hAnsi="宋体"/>
          <w:szCs w:val="21"/>
        </w:rPr>
      </w:pPr>
    </w:p>
    <w:p w14:paraId="41F5E82B">
      <w:pPr>
        <w:pStyle w:val="17"/>
        <w:spacing w:after="0" w:line="360" w:lineRule="auto"/>
        <w:rPr>
          <w:rFonts w:ascii="宋体" w:hAnsi="宋体"/>
          <w:szCs w:val="21"/>
        </w:rPr>
      </w:pPr>
    </w:p>
    <w:p w14:paraId="18729EB5">
      <w:pPr>
        <w:pStyle w:val="17"/>
        <w:spacing w:after="0" w:line="360" w:lineRule="auto"/>
        <w:rPr>
          <w:rFonts w:ascii="宋体" w:hAnsi="宋体"/>
          <w:szCs w:val="21"/>
        </w:rPr>
      </w:pPr>
    </w:p>
    <w:p w14:paraId="5439D183">
      <w:pPr>
        <w:pStyle w:val="17"/>
        <w:spacing w:after="0" w:line="360" w:lineRule="auto"/>
        <w:rPr>
          <w:rFonts w:ascii="宋体" w:hAnsi="宋体"/>
          <w:szCs w:val="21"/>
        </w:rPr>
      </w:pPr>
    </w:p>
    <w:p w14:paraId="112C9690">
      <w:pPr>
        <w:autoSpaceDE w:val="0"/>
        <w:autoSpaceDN w:val="0"/>
        <w:adjustRightInd w:val="0"/>
        <w:snapToGrid w:val="0"/>
        <w:spacing w:line="480" w:lineRule="auto"/>
        <w:ind w:firstLine="420" w:firstLineChars="200"/>
        <w:jc w:val="righ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kern w:val="0"/>
          <w:szCs w:val="21"/>
          <w:u w:val="single"/>
        </w:rPr>
        <w:tab/>
      </w:r>
      <w:r>
        <w:rPr>
          <w:rFonts w:hint="eastAsia" w:ascii="宋体" w:hAnsi="宋体"/>
          <w:kern w:val="0"/>
          <w:szCs w:val="21"/>
          <w:u w:val="single"/>
          <w:lang w:val="en-US" w:eastAsia="zh-CN"/>
        </w:rPr>
        <w:t xml:space="preserve">              </w:t>
      </w:r>
      <w:r>
        <w:rPr>
          <w:rFonts w:ascii="宋体" w:hAnsi="宋体"/>
          <w:spacing w:val="-1"/>
          <w:kern w:val="0"/>
          <w:szCs w:val="21"/>
        </w:rPr>
        <w:t>（</w:t>
      </w:r>
      <w:r>
        <w:rPr>
          <w:rFonts w:ascii="宋体" w:hAnsi="宋体"/>
          <w:kern w:val="0"/>
          <w:szCs w:val="21"/>
        </w:rPr>
        <w:t>盖单位法人章）</w:t>
      </w:r>
    </w:p>
    <w:p w14:paraId="334D1390">
      <w:pPr>
        <w:autoSpaceDE w:val="0"/>
        <w:autoSpaceDN w:val="0"/>
        <w:adjustRightInd w:val="0"/>
        <w:snapToGrid w:val="0"/>
        <w:spacing w:line="480" w:lineRule="auto"/>
        <w:ind w:firstLine="201"/>
        <w:jc w:val="left"/>
        <w:rPr>
          <w:rFonts w:ascii="宋体" w:hAnsi="宋体"/>
          <w:kern w:val="0"/>
          <w:sz w:val="20"/>
          <w:szCs w:val="20"/>
        </w:rPr>
      </w:pPr>
    </w:p>
    <w:p w14:paraId="58A64237">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rPr>
      </w:pPr>
      <w:r>
        <w:rPr>
          <w:rFonts w:ascii="宋体" w:hAnsi="宋体"/>
          <w:kern w:val="0"/>
          <w:szCs w:val="21"/>
        </w:rPr>
        <w:t>年</w:t>
      </w:r>
      <w:r>
        <w:rPr>
          <w:rFonts w:hint="eastAsia" w:ascii="宋体" w:hAnsi="宋体"/>
          <w:kern w:val="0"/>
          <w:szCs w:val="21"/>
          <w:lang w:val="en-US" w:eastAsia="zh-CN"/>
        </w:rPr>
        <w:t xml:space="preserve">   </w:t>
      </w:r>
      <w:r>
        <w:rPr>
          <w:rFonts w:ascii="宋体" w:hAnsi="宋体"/>
          <w:kern w:val="0"/>
          <w:szCs w:val="21"/>
        </w:rPr>
        <w:t>月</w:t>
      </w:r>
      <w:r>
        <w:rPr>
          <w:rFonts w:hint="eastAsia" w:ascii="宋体" w:hAnsi="宋体"/>
          <w:kern w:val="0"/>
          <w:szCs w:val="21"/>
          <w:lang w:val="en-US" w:eastAsia="zh-CN"/>
        </w:rPr>
        <w:t xml:space="preserve">   </w:t>
      </w:r>
      <w:r>
        <w:rPr>
          <w:rFonts w:ascii="宋体" w:hAnsi="宋体"/>
          <w:kern w:val="0"/>
          <w:szCs w:val="21"/>
        </w:rPr>
        <w:t>日</w:t>
      </w:r>
    </w:p>
    <w:p w14:paraId="0D771E4E">
      <w:pPr>
        <w:autoSpaceDE w:val="0"/>
        <w:autoSpaceDN w:val="0"/>
        <w:adjustRightInd w:val="0"/>
        <w:snapToGrid w:val="0"/>
        <w:spacing w:line="360" w:lineRule="auto"/>
        <w:ind w:firstLine="211"/>
        <w:jc w:val="left"/>
        <w:rPr>
          <w:rFonts w:ascii="宋体" w:hAnsi="宋体"/>
          <w:kern w:val="0"/>
        </w:rPr>
      </w:pPr>
    </w:p>
    <w:p w14:paraId="53C14E69">
      <w:pPr>
        <w:autoSpaceDE w:val="0"/>
        <w:autoSpaceDN w:val="0"/>
        <w:adjustRightInd w:val="0"/>
        <w:snapToGrid w:val="0"/>
        <w:spacing w:line="360" w:lineRule="auto"/>
        <w:ind w:firstLine="211"/>
        <w:jc w:val="left"/>
        <w:rPr>
          <w:rFonts w:ascii="宋体" w:hAnsi="宋体"/>
          <w:kern w:val="0"/>
        </w:rPr>
      </w:pPr>
    </w:p>
    <w:p w14:paraId="13517664">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5AF5E0F0">
      <w:pPr>
        <w:autoSpaceDE w:val="0"/>
        <w:autoSpaceDN w:val="0"/>
        <w:adjustRightInd w:val="0"/>
        <w:snapToGrid w:val="0"/>
        <w:spacing w:line="360" w:lineRule="auto"/>
        <w:ind w:firstLine="211"/>
        <w:jc w:val="left"/>
        <w:rPr>
          <w:rFonts w:ascii="宋体" w:hAnsi="宋体"/>
          <w:kern w:val="0"/>
        </w:rPr>
      </w:pPr>
    </w:p>
    <w:p w14:paraId="44921E97">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69EB3EC6">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1EBA1498">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 xml:space="preserve">限：。 </w:t>
      </w:r>
    </w:p>
    <w:p w14:paraId="7F37AEC4">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代理人无转委托权。</w:t>
      </w:r>
    </w:p>
    <w:p w14:paraId="43B889D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p>
    <w:p w14:paraId="057B9F38">
      <w:pPr>
        <w:tabs>
          <w:tab w:val="left" w:pos="1680"/>
          <w:tab w:val="left" w:pos="4200"/>
          <w:tab w:val="left" w:pos="4305"/>
          <w:tab w:val="left" w:pos="8000"/>
        </w:tabs>
        <w:autoSpaceDE w:val="0"/>
        <w:autoSpaceDN w:val="0"/>
        <w:adjustRightInd w:val="0"/>
        <w:snapToGrid w:val="0"/>
        <w:spacing w:line="480" w:lineRule="auto"/>
        <w:ind w:firstLine="420" w:firstLineChars="200"/>
        <w:rPr>
          <w:rFonts w:ascii="宋体" w:hAnsi="宋体"/>
          <w:kern w:val="0"/>
          <w:szCs w:val="21"/>
        </w:rPr>
      </w:pPr>
      <w:r>
        <w:rPr>
          <w:rFonts w:hint="eastAsia" w:ascii="宋体" w:hAnsi="宋体"/>
          <w:kern w:val="0"/>
          <w:szCs w:val="21"/>
        </w:rPr>
        <w:t>竞  选</w:t>
      </w:r>
      <w:r>
        <w:rPr>
          <w:rFonts w:ascii="宋体" w:hAnsi="宋体"/>
          <w:kern w:val="0"/>
          <w:szCs w:val="21"/>
        </w:rPr>
        <w:t xml:space="preserve">  人：（</w:t>
      </w:r>
      <w:r>
        <w:rPr>
          <w:rFonts w:ascii="宋体" w:hAnsi="宋体"/>
          <w:spacing w:val="-1"/>
          <w:kern w:val="0"/>
          <w:szCs w:val="21"/>
        </w:rPr>
        <w:t>盖单位法人章</w:t>
      </w:r>
      <w:r>
        <w:rPr>
          <w:rFonts w:ascii="宋体" w:hAnsi="宋体"/>
          <w:kern w:val="0"/>
          <w:szCs w:val="21"/>
        </w:rPr>
        <w:t>）</w:t>
      </w:r>
    </w:p>
    <w:p w14:paraId="0FE42B3B">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hint="eastAsia" w:ascii="宋体" w:hAnsi="宋体"/>
          <w:kern w:val="0"/>
          <w:szCs w:val="21"/>
        </w:rPr>
        <w:t>签名</w:t>
      </w:r>
      <w:r>
        <w:rPr>
          <w:rFonts w:ascii="宋体" w:hAnsi="宋体"/>
          <w:kern w:val="0"/>
          <w:szCs w:val="21"/>
        </w:rPr>
        <w:t>或盖章）</w:t>
      </w:r>
    </w:p>
    <w:p w14:paraId="53D6A934">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p>
    <w:p w14:paraId="4FD19C3B">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hint="eastAsia" w:ascii="宋体" w:hAnsi="宋体"/>
          <w:kern w:val="0"/>
          <w:szCs w:val="21"/>
        </w:rPr>
        <w:t>签名</w:t>
      </w:r>
      <w:r>
        <w:rPr>
          <w:rFonts w:ascii="宋体" w:hAnsi="宋体"/>
          <w:kern w:val="0"/>
          <w:szCs w:val="21"/>
        </w:rPr>
        <w:t>）</w:t>
      </w:r>
    </w:p>
    <w:p w14:paraId="481AF71F">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p>
    <w:p w14:paraId="3A12F146">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137A2C8">
      <w:pPr>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10739C3E">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50EA00B9">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u w:val="single"/>
        </w:rPr>
      </w:pPr>
    </w:p>
    <w:p w14:paraId="18EC10F2">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61200AB2">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7DF9C83D">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55C8F0F3">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B0B782A">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7B64310">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853A195">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rPr>
      </w:pPr>
      <w:r>
        <w:rPr>
          <w:rFonts w:hint="eastAsia" w:ascii="宋体" w:hAnsi="宋体"/>
          <w:kern w:val="0"/>
          <w:szCs w:val="21"/>
          <w:lang w:val="en-US" w:eastAsia="zh-CN"/>
        </w:rPr>
        <w:t xml:space="preserve">   </w:t>
      </w:r>
      <w:r>
        <w:rPr>
          <w:rFonts w:ascii="宋体" w:hAnsi="宋体"/>
          <w:kern w:val="0"/>
          <w:szCs w:val="21"/>
        </w:rPr>
        <w:t>年</w:t>
      </w:r>
      <w:r>
        <w:rPr>
          <w:rFonts w:hint="eastAsia" w:ascii="宋体" w:hAnsi="宋体"/>
          <w:kern w:val="0"/>
          <w:szCs w:val="21"/>
          <w:lang w:val="en-US" w:eastAsia="zh-CN"/>
        </w:rPr>
        <w:t xml:space="preserve">   </w:t>
      </w:r>
      <w:r>
        <w:rPr>
          <w:rFonts w:ascii="宋体" w:hAnsi="宋体"/>
          <w:kern w:val="0"/>
          <w:szCs w:val="21"/>
        </w:rPr>
        <w:t>月</w:t>
      </w:r>
      <w:r>
        <w:rPr>
          <w:rFonts w:hint="eastAsia" w:ascii="宋体" w:hAnsi="宋体"/>
          <w:kern w:val="0"/>
          <w:szCs w:val="21"/>
          <w:lang w:val="en-US" w:eastAsia="zh-CN"/>
        </w:rPr>
        <w:t xml:space="preserve">   </w:t>
      </w:r>
      <w:r>
        <w:rPr>
          <w:rFonts w:ascii="宋体" w:hAnsi="宋体"/>
          <w:kern w:val="0"/>
          <w:szCs w:val="21"/>
        </w:rPr>
        <w:t>日</w:t>
      </w:r>
    </w:p>
    <w:p w14:paraId="049BC85C">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rPr>
      </w:pPr>
    </w:p>
    <w:p w14:paraId="2D75CA5F">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5A4DBDE">
      <w:pPr>
        <w:tabs>
          <w:tab w:val="left" w:pos="5760"/>
        </w:tabs>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一并递交。另外须准备一份授权委托书原件在开标现场出具。</w:t>
      </w:r>
    </w:p>
    <w:p w14:paraId="01094735">
      <w:pPr>
        <w:spacing w:line="360" w:lineRule="auto"/>
        <w:ind w:firstLine="420" w:firstLineChars="200"/>
        <w:jc w:val="left"/>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743D03A5">
      <w:pPr>
        <w:spacing w:line="360" w:lineRule="auto"/>
        <w:ind w:firstLine="420" w:firstLineChars="200"/>
        <w:rPr>
          <w:rFonts w:ascii="宋体" w:hAnsi="宋体"/>
        </w:rPr>
      </w:pPr>
      <w:r>
        <w:rPr>
          <w:rFonts w:ascii="宋体" w:hAnsi="宋体"/>
        </w:rPr>
        <w:br w:type="page"/>
      </w:r>
      <w:bookmarkStart w:id="454" w:name="_Toc224103500"/>
      <w:bookmarkStart w:id="455" w:name="_Toc287620819"/>
      <w:bookmarkStart w:id="456" w:name="_Toc287607872"/>
      <w:bookmarkStart w:id="457" w:name="_Toc430530534"/>
    </w:p>
    <w:bookmarkEnd w:id="454"/>
    <w:bookmarkEnd w:id="455"/>
    <w:bookmarkEnd w:id="456"/>
    <w:bookmarkEnd w:id="457"/>
    <w:p w14:paraId="70ACD0A4">
      <w:pPr>
        <w:pStyle w:val="3"/>
        <w:spacing w:line="360" w:lineRule="auto"/>
        <w:ind w:firstLine="440"/>
        <w:jc w:val="center"/>
        <w:rPr>
          <w:rFonts w:ascii="宋体" w:hAnsi="宋体"/>
          <w:b w:val="0"/>
          <w:bCs w:val="0"/>
          <w:sz w:val="44"/>
          <w:szCs w:val="44"/>
        </w:rPr>
      </w:pPr>
      <w:bookmarkStart w:id="458" w:name="_Toc224103510"/>
      <w:bookmarkStart w:id="459" w:name="_Toc430530545"/>
      <w:bookmarkStart w:id="460" w:name="_Toc277082656"/>
      <w:bookmarkStart w:id="461" w:name="_Toc287607882"/>
      <w:bookmarkStart w:id="462" w:name="_Toc287620829"/>
      <w:bookmarkStart w:id="463" w:name="_Toc3335"/>
      <w:bookmarkStart w:id="464" w:name="_Toc19372"/>
      <w:bookmarkStart w:id="465" w:name="_Toc27141"/>
      <w:r>
        <w:rPr>
          <w:rFonts w:hint="eastAsia" w:ascii="宋体" w:hAnsi="宋体"/>
          <w:b w:val="0"/>
          <w:bCs w:val="0"/>
          <w:sz w:val="44"/>
          <w:szCs w:val="44"/>
        </w:rPr>
        <w:t>二、</w:t>
      </w:r>
      <w:bookmarkEnd w:id="458"/>
      <w:bookmarkEnd w:id="459"/>
      <w:bookmarkEnd w:id="460"/>
      <w:bookmarkEnd w:id="461"/>
      <w:bookmarkEnd w:id="462"/>
      <w:r>
        <w:rPr>
          <w:rFonts w:hint="eastAsia" w:ascii="宋体" w:hAnsi="宋体"/>
          <w:b w:val="0"/>
          <w:bCs w:val="0"/>
          <w:sz w:val="44"/>
          <w:szCs w:val="44"/>
        </w:rPr>
        <w:t>资格审查部分</w:t>
      </w:r>
      <w:bookmarkEnd w:id="463"/>
      <w:bookmarkEnd w:id="464"/>
      <w:bookmarkEnd w:id="465"/>
    </w:p>
    <w:p w14:paraId="2753764D">
      <w:pPr>
        <w:spacing w:line="360" w:lineRule="auto"/>
        <w:ind w:firstLine="321"/>
        <w:rPr>
          <w:rFonts w:ascii="宋体" w:hAnsi="宋体"/>
          <w:sz w:val="32"/>
          <w:szCs w:val="32"/>
        </w:rPr>
      </w:pPr>
    </w:p>
    <w:p w14:paraId="5A8DEEDA">
      <w:pPr>
        <w:spacing w:line="360" w:lineRule="auto"/>
        <w:ind w:firstLine="2560" w:firstLineChars="800"/>
        <w:rPr>
          <w:rFonts w:ascii="宋体" w:hAnsi="宋体"/>
          <w:kern w:val="0"/>
          <w:sz w:val="32"/>
          <w:szCs w:val="32"/>
        </w:rPr>
      </w:pPr>
      <w:r>
        <w:rPr>
          <w:rFonts w:hint="eastAsia" w:ascii="宋体" w:hAnsi="宋体"/>
          <w:kern w:val="0"/>
          <w:sz w:val="32"/>
          <w:szCs w:val="32"/>
          <w:u w:val="single"/>
        </w:rPr>
        <w:t xml:space="preserve">                   （项目名称）</w:t>
      </w:r>
    </w:p>
    <w:p w14:paraId="09AC1B32">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14:paraId="763B35DA">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14:paraId="48693762">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14:paraId="28293040">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rPr>
      </w:pPr>
      <w:r>
        <w:rPr>
          <w:rFonts w:hint="eastAsia" w:ascii="宋体" w:hAnsi="宋体"/>
          <w:kern w:val="0"/>
          <w:sz w:val="72"/>
          <w:szCs w:val="72"/>
        </w:rPr>
        <w:t>投 标 文 件</w:t>
      </w:r>
    </w:p>
    <w:p w14:paraId="4FC9C60F">
      <w:pPr>
        <w:autoSpaceDE w:val="0"/>
        <w:autoSpaceDN w:val="0"/>
        <w:adjustRightInd w:val="0"/>
        <w:snapToGrid w:val="0"/>
        <w:spacing w:line="360" w:lineRule="auto"/>
        <w:ind w:firstLine="161"/>
        <w:jc w:val="left"/>
        <w:rPr>
          <w:rFonts w:ascii="宋体" w:hAnsi="宋体"/>
          <w:kern w:val="0"/>
          <w:sz w:val="16"/>
          <w:szCs w:val="16"/>
        </w:rPr>
      </w:pPr>
    </w:p>
    <w:p w14:paraId="0DAAADA2">
      <w:pPr>
        <w:autoSpaceDE w:val="0"/>
        <w:autoSpaceDN w:val="0"/>
        <w:adjustRightInd w:val="0"/>
        <w:snapToGrid w:val="0"/>
        <w:spacing w:line="360" w:lineRule="auto"/>
        <w:ind w:firstLine="361"/>
        <w:jc w:val="center"/>
        <w:rPr>
          <w:rFonts w:ascii="宋体" w:hAnsi="宋体"/>
          <w:kern w:val="0"/>
          <w:sz w:val="36"/>
          <w:szCs w:val="36"/>
        </w:rPr>
      </w:pPr>
      <w:r>
        <w:rPr>
          <w:rFonts w:hint="eastAsia" w:ascii="宋体" w:hAnsi="宋体"/>
          <w:kern w:val="0"/>
          <w:sz w:val="36"/>
          <w:szCs w:val="36"/>
        </w:rPr>
        <w:t>资格审查部分</w:t>
      </w:r>
    </w:p>
    <w:p w14:paraId="5300E55E">
      <w:pPr>
        <w:autoSpaceDE w:val="0"/>
        <w:autoSpaceDN w:val="0"/>
        <w:adjustRightInd w:val="0"/>
        <w:snapToGrid w:val="0"/>
        <w:spacing w:line="360" w:lineRule="auto"/>
        <w:ind w:firstLine="201"/>
        <w:jc w:val="left"/>
        <w:rPr>
          <w:rFonts w:ascii="宋体" w:hAnsi="宋体" w:cs="MingLiU"/>
          <w:kern w:val="0"/>
          <w:sz w:val="20"/>
          <w:szCs w:val="20"/>
        </w:rPr>
      </w:pPr>
    </w:p>
    <w:p w14:paraId="6FA00584">
      <w:pPr>
        <w:adjustRightInd w:val="0"/>
        <w:snapToGrid w:val="0"/>
        <w:spacing w:line="264" w:lineRule="auto"/>
        <w:ind w:firstLine="211"/>
        <w:rPr>
          <w:rFonts w:ascii="宋体" w:hAnsi="宋体"/>
          <w:szCs w:val="21"/>
        </w:rPr>
      </w:pPr>
    </w:p>
    <w:p w14:paraId="17ADF8B4">
      <w:pPr>
        <w:autoSpaceDE w:val="0"/>
        <w:autoSpaceDN w:val="0"/>
        <w:adjustRightInd w:val="0"/>
        <w:snapToGrid w:val="0"/>
        <w:spacing w:line="360" w:lineRule="auto"/>
        <w:ind w:firstLine="201"/>
        <w:jc w:val="left"/>
        <w:rPr>
          <w:rFonts w:ascii="宋体" w:hAnsi="宋体" w:cs="MingLiU"/>
          <w:kern w:val="0"/>
          <w:sz w:val="20"/>
          <w:szCs w:val="20"/>
        </w:rPr>
      </w:pPr>
    </w:p>
    <w:p w14:paraId="519095F3">
      <w:pPr>
        <w:autoSpaceDE w:val="0"/>
        <w:autoSpaceDN w:val="0"/>
        <w:adjustRightInd w:val="0"/>
        <w:snapToGrid w:val="0"/>
        <w:spacing w:line="360" w:lineRule="auto"/>
        <w:ind w:firstLine="201"/>
        <w:jc w:val="left"/>
        <w:rPr>
          <w:rFonts w:ascii="宋体" w:hAnsi="宋体" w:cs="MingLiU"/>
          <w:kern w:val="0"/>
          <w:sz w:val="20"/>
          <w:szCs w:val="20"/>
        </w:rPr>
      </w:pPr>
    </w:p>
    <w:p w14:paraId="25F0E79B">
      <w:pPr>
        <w:autoSpaceDE w:val="0"/>
        <w:autoSpaceDN w:val="0"/>
        <w:adjustRightInd w:val="0"/>
        <w:snapToGrid w:val="0"/>
        <w:spacing w:line="360" w:lineRule="auto"/>
        <w:ind w:firstLine="201"/>
        <w:jc w:val="left"/>
        <w:rPr>
          <w:rFonts w:ascii="宋体" w:hAnsi="宋体" w:cs="MingLiU"/>
          <w:kern w:val="0"/>
          <w:sz w:val="20"/>
          <w:szCs w:val="20"/>
        </w:rPr>
      </w:pPr>
    </w:p>
    <w:p w14:paraId="34F4B5D5">
      <w:pPr>
        <w:autoSpaceDE w:val="0"/>
        <w:autoSpaceDN w:val="0"/>
        <w:adjustRightInd w:val="0"/>
        <w:snapToGrid w:val="0"/>
        <w:spacing w:line="360" w:lineRule="auto"/>
        <w:ind w:firstLine="201"/>
        <w:jc w:val="left"/>
        <w:rPr>
          <w:rFonts w:ascii="宋体" w:hAnsi="宋体" w:cs="MingLiU"/>
          <w:kern w:val="0"/>
          <w:sz w:val="20"/>
          <w:szCs w:val="20"/>
        </w:rPr>
      </w:pPr>
    </w:p>
    <w:p w14:paraId="206AD819">
      <w:pPr>
        <w:autoSpaceDE w:val="0"/>
        <w:autoSpaceDN w:val="0"/>
        <w:adjustRightInd w:val="0"/>
        <w:snapToGrid w:val="0"/>
        <w:spacing w:line="360" w:lineRule="auto"/>
        <w:ind w:firstLine="201"/>
        <w:jc w:val="left"/>
        <w:rPr>
          <w:rFonts w:ascii="宋体" w:hAnsi="宋体" w:cs="MingLiU"/>
          <w:kern w:val="0"/>
          <w:sz w:val="20"/>
          <w:szCs w:val="20"/>
        </w:rPr>
      </w:pPr>
    </w:p>
    <w:p w14:paraId="237213B5">
      <w:pPr>
        <w:autoSpaceDE w:val="0"/>
        <w:autoSpaceDN w:val="0"/>
        <w:adjustRightInd w:val="0"/>
        <w:snapToGrid w:val="0"/>
        <w:spacing w:line="360" w:lineRule="auto"/>
        <w:ind w:firstLine="201"/>
        <w:jc w:val="left"/>
        <w:rPr>
          <w:rFonts w:ascii="宋体" w:hAnsi="宋体" w:cs="MingLiU"/>
          <w:kern w:val="0"/>
          <w:sz w:val="20"/>
          <w:szCs w:val="20"/>
        </w:rPr>
      </w:pPr>
    </w:p>
    <w:p w14:paraId="5BB4335D">
      <w:pPr>
        <w:autoSpaceDE w:val="0"/>
        <w:autoSpaceDN w:val="0"/>
        <w:adjustRightInd w:val="0"/>
        <w:snapToGrid w:val="0"/>
        <w:spacing w:line="360" w:lineRule="auto"/>
        <w:ind w:firstLine="201"/>
        <w:jc w:val="left"/>
        <w:rPr>
          <w:rFonts w:ascii="宋体" w:hAnsi="宋体" w:cs="MingLiU"/>
          <w:kern w:val="0"/>
          <w:sz w:val="20"/>
          <w:szCs w:val="20"/>
        </w:rPr>
      </w:pPr>
    </w:p>
    <w:p w14:paraId="4820B2F7">
      <w:pPr>
        <w:autoSpaceDE w:val="0"/>
        <w:autoSpaceDN w:val="0"/>
        <w:adjustRightInd w:val="0"/>
        <w:snapToGrid w:val="0"/>
        <w:spacing w:line="360" w:lineRule="auto"/>
        <w:ind w:firstLine="201"/>
        <w:jc w:val="left"/>
        <w:rPr>
          <w:rFonts w:ascii="宋体" w:hAnsi="宋体" w:cs="MingLiU"/>
          <w:kern w:val="0"/>
          <w:sz w:val="20"/>
          <w:szCs w:val="20"/>
        </w:rPr>
      </w:pPr>
    </w:p>
    <w:p w14:paraId="5FF8C8D0">
      <w:pPr>
        <w:autoSpaceDE w:val="0"/>
        <w:autoSpaceDN w:val="0"/>
        <w:adjustRightInd w:val="0"/>
        <w:snapToGrid w:val="0"/>
        <w:spacing w:line="360" w:lineRule="auto"/>
        <w:ind w:firstLine="201"/>
        <w:jc w:val="left"/>
        <w:rPr>
          <w:rFonts w:ascii="宋体" w:hAnsi="宋体" w:cs="MingLiU"/>
          <w:kern w:val="0"/>
          <w:sz w:val="20"/>
          <w:szCs w:val="20"/>
        </w:rPr>
      </w:pPr>
    </w:p>
    <w:p w14:paraId="38653179">
      <w:pPr>
        <w:autoSpaceDE w:val="0"/>
        <w:autoSpaceDN w:val="0"/>
        <w:adjustRightInd w:val="0"/>
        <w:snapToGrid w:val="0"/>
        <w:spacing w:line="360" w:lineRule="auto"/>
        <w:ind w:firstLine="201"/>
        <w:jc w:val="left"/>
        <w:rPr>
          <w:rFonts w:ascii="宋体" w:hAnsi="宋体" w:cs="MingLiU"/>
          <w:kern w:val="0"/>
          <w:sz w:val="20"/>
          <w:szCs w:val="20"/>
        </w:rPr>
      </w:pPr>
    </w:p>
    <w:p w14:paraId="431BD1E8">
      <w:pPr>
        <w:tabs>
          <w:tab w:val="left" w:pos="6080"/>
          <w:tab w:val="left" w:pos="6640"/>
        </w:tabs>
        <w:autoSpaceDE w:val="0"/>
        <w:autoSpaceDN w:val="0"/>
        <w:adjustRightInd w:val="0"/>
        <w:snapToGrid w:val="0"/>
        <w:spacing w:line="480" w:lineRule="auto"/>
        <w:ind w:firstLine="279"/>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61A37DE">
      <w:pPr>
        <w:tabs>
          <w:tab w:val="left" w:pos="6080"/>
          <w:tab w:val="left" w:pos="6640"/>
        </w:tabs>
        <w:autoSpaceDE w:val="0"/>
        <w:autoSpaceDN w:val="0"/>
        <w:adjustRightInd w:val="0"/>
        <w:snapToGrid w:val="0"/>
        <w:spacing w:line="480" w:lineRule="auto"/>
        <w:ind w:firstLine="279"/>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C774FB9">
      <w:pPr>
        <w:tabs>
          <w:tab w:val="left" w:pos="3280"/>
          <w:tab w:val="left" w:pos="4680"/>
          <w:tab w:val="left" w:pos="6080"/>
        </w:tabs>
        <w:autoSpaceDE w:val="0"/>
        <w:autoSpaceDN w:val="0"/>
        <w:adjustRightInd w:val="0"/>
        <w:snapToGrid w:val="0"/>
        <w:spacing w:line="480" w:lineRule="auto"/>
        <w:ind w:firstLine="279"/>
        <w:jc w:val="center"/>
        <w:rPr>
          <w:rFonts w:ascii="宋体" w:hAnsi="宋体"/>
          <w:b/>
          <w:kern w:val="0"/>
          <w:sz w:val="28"/>
          <w:szCs w:val="28"/>
        </w:rPr>
      </w:pPr>
      <w:r>
        <w:rPr>
          <w:rFonts w:ascii="宋体" w:hAnsi="宋体"/>
          <w:w w:val="99"/>
          <w:kern w:val="0"/>
          <w:sz w:val="28"/>
          <w:szCs w:val="28"/>
        </w:rPr>
        <w:t>年月日</w:t>
      </w:r>
    </w:p>
    <w:p w14:paraId="78D7F23D">
      <w:pPr>
        <w:autoSpaceDE w:val="0"/>
        <w:autoSpaceDN w:val="0"/>
        <w:adjustRightInd w:val="0"/>
        <w:snapToGrid w:val="0"/>
        <w:ind w:firstLine="361"/>
        <w:jc w:val="center"/>
        <w:rPr>
          <w:rFonts w:ascii="宋体" w:hAnsi="宋体"/>
          <w:kern w:val="0"/>
          <w:sz w:val="36"/>
          <w:szCs w:val="36"/>
        </w:rPr>
      </w:pPr>
    </w:p>
    <w:p w14:paraId="7BC59163">
      <w:pPr>
        <w:autoSpaceDE w:val="0"/>
        <w:autoSpaceDN w:val="0"/>
        <w:adjustRightInd w:val="0"/>
        <w:snapToGrid w:val="0"/>
        <w:ind w:firstLine="361"/>
        <w:jc w:val="center"/>
        <w:rPr>
          <w:rFonts w:ascii="宋体" w:hAnsi="宋体"/>
          <w:kern w:val="0"/>
          <w:sz w:val="36"/>
          <w:szCs w:val="36"/>
        </w:rPr>
      </w:pPr>
      <w:r>
        <w:rPr>
          <w:rFonts w:hint="eastAsia" w:ascii="宋体" w:hAnsi="宋体"/>
          <w:kern w:val="0"/>
          <w:sz w:val="36"/>
          <w:szCs w:val="36"/>
        </w:rPr>
        <w:t>目  录</w:t>
      </w:r>
    </w:p>
    <w:p w14:paraId="0240039E">
      <w:pPr>
        <w:spacing w:line="360" w:lineRule="auto"/>
        <w:ind w:firstLine="320"/>
        <w:jc w:val="center"/>
        <w:rPr>
          <w:rFonts w:ascii="宋体" w:hAnsi="宋体"/>
          <w:b/>
          <w:kern w:val="0"/>
          <w:sz w:val="32"/>
          <w:szCs w:val="32"/>
        </w:rPr>
      </w:pPr>
    </w:p>
    <w:p w14:paraId="1048A418">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4C881B6D">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）其他资料</w:t>
      </w:r>
    </w:p>
    <w:p w14:paraId="1E6FBEE6">
      <w:pPr>
        <w:spacing w:line="360" w:lineRule="auto"/>
        <w:ind w:firstLine="320"/>
        <w:jc w:val="center"/>
        <w:rPr>
          <w:rFonts w:ascii="宋体" w:hAnsi="宋体"/>
          <w:b/>
          <w:kern w:val="0"/>
          <w:sz w:val="32"/>
          <w:szCs w:val="32"/>
        </w:rPr>
      </w:pPr>
    </w:p>
    <w:p w14:paraId="68700336">
      <w:pPr>
        <w:spacing w:line="360" w:lineRule="auto"/>
        <w:ind w:firstLine="320"/>
        <w:jc w:val="center"/>
        <w:rPr>
          <w:rFonts w:ascii="宋体" w:hAnsi="宋体"/>
          <w:b/>
          <w:kern w:val="0"/>
          <w:sz w:val="32"/>
          <w:szCs w:val="32"/>
        </w:rPr>
      </w:pPr>
    </w:p>
    <w:p w14:paraId="260A8F08">
      <w:pPr>
        <w:pStyle w:val="4"/>
        <w:ind w:firstLine="321"/>
        <w:jc w:val="center"/>
        <w:rPr>
          <w:rFonts w:ascii="宋体" w:hAnsi="宋体"/>
          <w:snapToGrid w:val="0"/>
          <w:kern w:val="0"/>
          <w:sz w:val="30"/>
          <w:szCs w:val="30"/>
        </w:rPr>
      </w:pPr>
      <w:r>
        <w:rPr>
          <w:rFonts w:ascii="宋体" w:hAnsi="宋体"/>
        </w:rPr>
        <w:br w:type="page"/>
      </w:r>
      <w:bookmarkStart w:id="466" w:name="_Toc26444"/>
      <w:bookmarkStart w:id="467" w:name="_Toc5633"/>
      <w:bookmarkStart w:id="468" w:name="_Toc277082657"/>
      <w:bookmarkStart w:id="469" w:name="_Toc224103511"/>
      <w:bookmarkStart w:id="470" w:name="_Toc430530546"/>
      <w:bookmarkStart w:id="471" w:name="_Toc287620830"/>
      <w:bookmarkStart w:id="472" w:name="_Toc287607883"/>
      <w:r>
        <w:rPr>
          <w:sz w:val="30"/>
          <w:szCs w:val="30"/>
        </w:rPr>
        <w:t>（一）</w:t>
      </w:r>
      <w:r>
        <w:rPr>
          <w:rFonts w:hint="eastAsia"/>
          <w:sz w:val="30"/>
          <w:szCs w:val="30"/>
        </w:rPr>
        <w:t>法定代表人身份证明或附有法定代表人身份证明的授权委托书</w:t>
      </w:r>
      <w:bookmarkEnd w:id="466"/>
      <w:bookmarkEnd w:id="467"/>
    </w:p>
    <w:p w14:paraId="298F070C">
      <w:pPr>
        <w:spacing w:line="480" w:lineRule="auto"/>
        <w:ind w:firstLine="281"/>
        <w:jc w:val="center"/>
        <w:rPr>
          <w:rFonts w:ascii="宋体" w:hAnsi="宋体"/>
          <w:sz w:val="28"/>
        </w:rPr>
      </w:pPr>
      <w:r>
        <w:rPr>
          <w:rFonts w:hint="eastAsia" w:ascii="宋体" w:hAnsi="宋体"/>
          <w:sz w:val="28"/>
        </w:rPr>
        <w:t>法定代表人身份证明</w:t>
      </w:r>
    </w:p>
    <w:p w14:paraId="7C038FED">
      <w:pPr>
        <w:spacing w:line="480" w:lineRule="auto"/>
        <w:ind w:firstLine="211"/>
        <w:jc w:val="center"/>
        <w:rPr>
          <w:rFonts w:ascii="宋体" w:hAnsi="宋体"/>
        </w:rPr>
      </w:pPr>
    </w:p>
    <w:p w14:paraId="121BA9EB">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竞选人</w:t>
      </w:r>
      <w:r>
        <w:rPr>
          <w:rFonts w:ascii="宋体" w:hAnsi="宋体"/>
          <w:kern w:val="0"/>
          <w:szCs w:val="21"/>
        </w:rPr>
        <w:t>名称：</w:t>
      </w:r>
    </w:p>
    <w:p w14:paraId="5E5A6B2A">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p>
    <w:p w14:paraId="389345D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地址：</w:t>
      </w:r>
    </w:p>
    <w:p w14:paraId="297BFF60">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hint="eastAsia" w:ascii="宋体" w:hAnsi="宋体"/>
          <w:kern w:val="0"/>
          <w:szCs w:val="21"/>
          <w:lang w:val="en-US" w:eastAsia="zh-CN"/>
        </w:rPr>
        <w:t xml:space="preserve">   </w:t>
      </w:r>
      <w:r>
        <w:rPr>
          <w:rFonts w:ascii="宋体" w:hAnsi="宋体"/>
          <w:kern w:val="0"/>
          <w:szCs w:val="21"/>
        </w:rPr>
        <w:t>年</w:t>
      </w:r>
      <w:r>
        <w:rPr>
          <w:rFonts w:hint="eastAsia" w:ascii="宋体" w:hAnsi="宋体"/>
          <w:kern w:val="0"/>
          <w:szCs w:val="21"/>
          <w:lang w:val="en-US" w:eastAsia="zh-CN"/>
        </w:rPr>
        <w:t xml:space="preserve">   </w:t>
      </w:r>
      <w:r>
        <w:rPr>
          <w:rFonts w:ascii="宋体" w:hAnsi="宋体"/>
          <w:kern w:val="0"/>
          <w:szCs w:val="21"/>
        </w:rPr>
        <w:t>月</w:t>
      </w:r>
      <w:r>
        <w:rPr>
          <w:rFonts w:hint="eastAsia" w:ascii="宋体" w:hAnsi="宋体"/>
          <w:kern w:val="0"/>
          <w:szCs w:val="21"/>
          <w:lang w:val="en-US" w:eastAsia="zh-CN"/>
        </w:rPr>
        <w:t xml:space="preserve">   </w:t>
      </w:r>
      <w:r>
        <w:rPr>
          <w:rFonts w:ascii="宋体" w:hAnsi="宋体"/>
          <w:kern w:val="0"/>
          <w:szCs w:val="21"/>
        </w:rPr>
        <w:t>日</w:t>
      </w:r>
    </w:p>
    <w:p w14:paraId="50398A56">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p>
    <w:p w14:paraId="332A07A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姓名：性别</w:t>
      </w:r>
      <w:r>
        <w:rPr>
          <w:rFonts w:ascii="宋体" w:hAnsi="宋体"/>
          <w:spacing w:val="-1"/>
          <w:kern w:val="0"/>
          <w:szCs w:val="21"/>
        </w:rPr>
        <w:t>：年</w:t>
      </w:r>
      <w:r>
        <w:rPr>
          <w:rFonts w:ascii="宋体" w:hAnsi="宋体"/>
          <w:kern w:val="0"/>
          <w:szCs w:val="21"/>
        </w:rPr>
        <w:t>龄：职务：</w:t>
      </w:r>
    </w:p>
    <w:p w14:paraId="30332A4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707010A8">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43A91958">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6C0BCFF7">
      <w:pPr>
        <w:autoSpaceDE w:val="0"/>
        <w:autoSpaceDN w:val="0"/>
        <w:adjustRightInd w:val="0"/>
        <w:snapToGrid w:val="0"/>
        <w:spacing w:line="360" w:lineRule="auto"/>
        <w:ind w:firstLine="211"/>
        <w:jc w:val="left"/>
        <w:rPr>
          <w:rFonts w:ascii="宋体" w:hAnsi="宋体"/>
          <w:szCs w:val="21"/>
        </w:rPr>
      </w:pPr>
    </w:p>
    <w:p w14:paraId="2ECE86DD">
      <w:pPr>
        <w:pStyle w:val="17"/>
        <w:spacing w:after="0" w:line="360" w:lineRule="auto"/>
        <w:rPr>
          <w:rFonts w:ascii="宋体" w:hAnsi="宋体"/>
          <w:szCs w:val="21"/>
        </w:rPr>
      </w:pPr>
    </w:p>
    <w:p w14:paraId="29CD428C">
      <w:pPr>
        <w:pStyle w:val="17"/>
        <w:spacing w:after="0" w:line="360" w:lineRule="auto"/>
        <w:rPr>
          <w:rFonts w:ascii="宋体" w:hAnsi="宋体"/>
          <w:szCs w:val="21"/>
        </w:rPr>
      </w:pPr>
    </w:p>
    <w:p w14:paraId="66659E44">
      <w:pPr>
        <w:pStyle w:val="17"/>
        <w:spacing w:after="0" w:line="360" w:lineRule="auto"/>
        <w:rPr>
          <w:rFonts w:ascii="宋体" w:hAnsi="宋体"/>
          <w:szCs w:val="21"/>
        </w:rPr>
      </w:pPr>
    </w:p>
    <w:p w14:paraId="685A7B46">
      <w:pPr>
        <w:pStyle w:val="17"/>
        <w:spacing w:after="0" w:line="360" w:lineRule="auto"/>
        <w:rPr>
          <w:rFonts w:ascii="宋体" w:hAnsi="宋体"/>
          <w:szCs w:val="21"/>
        </w:rPr>
      </w:pPr>
    </w:p>
    <w:p w14:paraId="0AF5CFE7">
      <w:pPr>
        <w:pStyle w:val="17"/>
        <w:spacing w:after="0" w:line="360" w:lineRule="auto"/>
        <w:rPr>
          <w:rFonts w:ascii="宋体" w:hAnsi="宋体"/>
          <w:szCs w:val="21"/>
        </w:rPr>
      </w:pPr>
    </w:p>
    <w:p w14:paraId="0C360E50">
      <w:pPr>
        <w:autoSpaceDE w:val="0"/>
        <w:autoSpaceDN w:val="0"/>
        <w:adjustRightInd w:val="0"/>
        <w:snapToGrid w:val="0"/>
        <w:spacing w:line="480" w:lineRule="auto"/>
        <w:ind w:firstLine="810" w:firstLineChars="386"/>
        <w:jc w:val="right"/>
        <w:rPr>
          <w:rFonts w:ascii="宋体" w:hAnsi="宋体"/>
          <w:kern w:val="0"/>
          <w:szCs w:val="21"/>
        </w:rPr>
      </w:pPr>
      <w:r>
        <w:rPr>
          <w:rFonts w:hint="eastAsia" w:ascii="宋体" w:hAnsi="宋体"/>
          <w:kern w:val="0"/>
          <w:szCs w:val="21"/>
        </w:rPr>
        <w:t>竞选人</w:t>
      </w:r>
      <w:r>
        <w:rPr>
          <w:rFonts w:ascii="宋体" w:hAnsi="宋体"/>
          <w:kern w:val="0"/>
          <w:szCs w:val="21"/>
        </w:rPr>
        <w:t>：</w:t>
      </w:r>
      <w:r>
        <w:rPr>
          <w:rFonts w:hint="eastAsia" w:ascii="宋体" w:hAnsi="宋体"/>
          <w:kern w:val="0"/>
          <w:szCs w:val="21"/>
          <w:lang w:val="en-US" w:eastAsia="zh-CN"/>
        </w:rPr>
        <w:t xml:space="preserve"> </w:t>
      </w:r>
      <w:r>
        <w:rPr>
          <w:rFonts w:hint="eastAsia" w:ascii="宋体" w:hAnsi="宋体"/>
          <w:kern w:val="0"/>
          <w:szCs w:val="21"/>
          <w:u w:val="single"/>
          <w:lang w:val="en-US" w:eastAsia="zh-CN"/>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2622DB86">
      <w:pPr>
        <w:autoSpaceDE w:val="0"/>
        <w:autoSpaceDN w:val="0"/>
        <w:adjustRightInd w:val="0"/>
        <w:snapToGrid w:val="0"/>
        <w:spacing w:line="480" w:lineRule="auto"/>
        <w:ind w:firstLine="201"/>
        <w:jc w:val="left"/>
        <w:rPr>
          <w:rFonts w:ascii="宋体" w:hAnsi="宋体"/>
          <w:kern w:val="0"/>
          <w:sz w:val="20"/>
          <w:szCs w:val="20"/>
        </w:rPr>
      </w:pPr>
    </w:p>
    <w:p w14:paraId="26A6741C">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rPr>
      </w:pPr>
      <w:r>
        <w:rPr>
          <w:rFonts w:ascii="宋体" w:hAnsi="宋体"/>
          <w:kern w:val="0"/>
          <w:szCs w:val="21"/>
        </w:rPr>
        <w:t>年</w:t>
      </w:r>
      <w:r>
        <w:rPr>
          <w:rFonts w:hint="eastAsia" w:ascii="宋体" w:hAnsi="宋体"/>
          <w:kern w:val="0"/>
          <w:szCs w:val="21"/>
          <w:lang w:val="en-US" w:eastAsia="zh-CN"/>
        </w:rPr>
        <w:t xml:space="preserve">   </w:t>
      </w:r>
      <w:r>
        <w:rPr>
          <w:rFonts w:ascii="宋体" w:hAnsi="宋体"/>
          <w:kern w:val="0"/>
          <w:szCs w:val="21"/>
        </w:rPr>
        <w:t>月</w:t>
      </w:r>
      <w:r>
        <w:rPr>
          <w:rFonts w:hint="eastAsia" w:ascii="宋体" w:hAnsi="宋体"/>
          <w:kern w:val="0"/>
          <w:szCs w:val="21"/>
          <w:lang w:val="en-US" w:eastAsia="zh-CN"/>
        </w:rPr>
        <w:t xml:space="preserve">   </w:t>
      </w:r>
      <w:r>
        <w:rPr>
          <w:rFonts w:ascii="宋体" w:hAnsi="宋体"/>
          <w:kern w:val="0"/>
          <w:szCs w:val="21"/>
        </w:rPr>
        <w:t>日</w:t>
      </w:r>
    </w:p>
    <w:p w14:paraId="6163DC3F">
      <w:pPr>
        <w:autoSpaceDE w:val="0"/>
        <w:autoSpaceDN w:val="0"/>
        <w:adjustRightInd w:val="0"/>
        <w:snapToGrid w:val="0"/>
        <w:spacing w:line="360" w:lineRule="auto"/>
        <w:ind w:firstLine="211"/>
        <w:jc w:val="left"/>
        <w:rPr>
          <w:rFonts w:ascii="宋体" w:hAnsi="宋体"/>
          <w:kern w:val="0"/>
        </w:rPr>
      </w:pPr>
    </w:p>
    <w:p w14:paraId="406666F1">
      <w:pPr>
        <w:autoSpaceDE w:val="0"/>
        <w:autoSpaceDN w:val="0"/>
        <w:adjustRightInd w:val="0"/>
        <w:snapToGrid w:val="0"/>
        <w:spacing w:line="360" w:lineRule="auto"/>
        <w:ind w:firstLine="211"/>
        <w:jc w:val="left"/>
        <w:rPr>
          <w:rFonts w:ascii="宋体" w:hAnsi="宋体"/>
          <w:kern w:val="0"/>
        </w:rPr>
      </w:pPr>
    </w:p>
    <w:p w14:paraId="79BA616D">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t>注：法定代表人身份证明需按上述格式填写完整，不可缺少内容。在此基础上增加内容的不影响其有效性</w:t>
      </w:r>
      <w:bookmarkEnd w:id="468"/>
      <w:bookmarkEnd w:id="469"/>
      <w:bookmarkEnd w:id="470"/>
      <w:bookmarkEnd w:id="471"/>
      <w:bookmarkEnd w:id="472"/>
      <w:r>
        <w:rPr>
          <w:rFonts w:hint="eastAsia" w:ascii="宋体" w:hAnsi="宋体"/>
          <w:kern w:val="0"/>
          <w:szCs w:val="21"/>
        </w:rPr>
        <w:t>。</w:t>
      </w:r>
    </w:p>
    <w:p w14:paraId="13EDA158">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6A1E51D6">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5F721A42">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 xml:space="preserve">限：。 </w:t>
      </w:r>
    </w:p>
    <w:p w14:paraId="557FD4B0">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代理人无转委托权。</w:t>
      </w:r>
    </w:p>
    <w:p w14:paraId="786F082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p>
    <w:p w14:paraId="1ACC532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hint="eastAsia" w:ascii="宋体" w:hAnsi="宋体"/>
          <w:kern w:val="0"/>
          <w:szCs w:val="21"/>
        </w:rPr>
        <w:t>竞选</w:t>
      </w:r>
      <w:r>
        <w:rPr>
          <w:rFonts w:ascii="宋体" w:hAnsi="宋体"/>
          <w:kern w:val="0"/>
          <w:szCs w:val="21"/>
        </w:rPr>
        <w:t>人：（</w:t>
      </w:r>
      <w:r>
        <w:rPr>
          <w:rFonts w:ascii="宋体" w:hAnsi="宋体"/>
          <w:spacing w:val="-1"/>
          <w:kern w:val="0"/>
          <w:szCs w:val="21"/>
        </w:rPr>
        <w:t>盖单位法人章</w:t>
      </w:r>
      <w:r>
        <w:rPr>
          <w:rFonts w:ascii="宋体" w:hAnsi="宋体"/>
          <w:kern w:val="0"/>
          <w:szCs w:val="21"/>
        </w:rPr>
        <w:t>）</w:t>
      </w:r>
    </w:p>
    <w:p w14:paraId="16D8AF3F">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hint="eastAsia" w:ascii="宋体" w:hAnsi="宋体"/>
          <w:kern w:val="0"/>
          <w:szCs w:val="21"/>
        </w:rPr>
        <w:t>签名</w:t>
      </w:r>
      <w:r>
        <w:rPr>
          <w:rFonts w:ascii="宋体" w:hAnsi="宋体"/>
          <w:kern w:val="0"/>
          <w:szCs w:val="21"/>
        </w:rPr>
        <w:t>或盖章）</w:t>
      </w:r>
    </w:p>
    <w:p w14:paraId="50752D9F">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p>
    <w:p w14:paraId="1ABDCDA1">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hint="eastAsia" w:ascii="宋体" w:hAnsi="宋体"/>
          <w:kern w:val="0"/>
          <w:szCs w:val="21"/>
        </w:rPr>
        <w:t>签名</w:t>
      </w:r>
      <w:r>
        <w:rPr>
          <w:rFonts w:ascii="宋体" w:hAnsi="宋体"/>
          <w:kern w:val="0"/>
          <w:szCs w:val="21"/>
        </w:rPr>
        <w:t>）</w:t>
      </w:r>
    </w:p>
    <w:p w14:paraId="08D69B6E">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p>
    <w:p w14:paraId="7DEE49EE">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195F291">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72D76702">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0B06B9A5">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u w:val="single"/>
        </w:rPr>
      </w:pPr>
    </w:p>
    <w:p w14:paraId="6619B240">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33CA7932">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CFA2C8E">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6EC722EE">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0F70C421">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71495B65">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rPr>
      </w:pPr>
      <w:r>
        <w:rPr>
          <w:rFonts w:ascii="宋体" w:hAnsi="宋体"/>
          <w:kern w:val="0"/>
          <w:szCs w:val="21"/>
        </w:rPr>
        <w:t>年</w:t>
      </w:r>
      <w:r>
        <w:rPr>
          <w:rFonts w:hint="eastAsia" w:ascii="宋体" w:hAnsi="宋体"/>
          <w:kern w:val="0"/>
          <w:szCs w:val="21"/>
          <w:lang w:val="en-US" w:eastAsia="zh-CN"/>
        </w:rPr>
        <w:t xml:space="preserve">   </w:t>
      </w:r>
      <w:r>
        <w:rPr>
          <w:rFonts w:ascii="宋体" w:hAnsi="宋体"/>
          <w:kern w:val="0"/>
          <w:szCs w:val="21"/>
        </w:rPr>
        <w:t>月</w:t>
      </w:r>
      <w:r>
        <w:rPr>
          <w:rFonts w:hint="eastAsia" w:ascii="宋体" w:hAnsi="宋体"/>
          <w:kern w:val="0"/>
          <w:szCs w:val="21"/>
          <w:lang w:val="en-US" w:eastAsia="zh-CN"/>
        </w:rPr>
        <w:t xml:space="preserve">   </w:t>
      </w:r>
      <w:r>
        <w:rPr>
          <w:rFonts w:ascii="宋体" w:hAnsi="宋体"/>
          <w:kern w:val="0"/>
          <w:szCs w:val="21"/>
        </w:rPr>
        <w:t>日</w:t>
      </w:r>
    </w:p>
    <w:p w14:paraId="65FEAB94">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rPr>
      </w:pPr>
    </w:p>
    <w:p w14:paraId="3721E2B9">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67E4CEE">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一并递交。另外须准备一份授权委托书原件在开标现场出具。</w:t>
      </w:r>
    </w:p>
    <w:p w14:paraId="39113564">
      <w:pPr>
        <w:spacing w:line="360" w:lineRule="auto"/>
        <w:ind w:firstLine="420" w:firstLineChars="200"/>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5C1D35F7">
      <w:pPr>
        <w:pStyle w:val="4"/>
        <w:spacing w:before="0" w:line="360" w:lineRule="auto"/>
        <w:ind w:firstLine="320"/>
        <w:jc w:val="center"/>
        <w:rPr>
          <w:rFonts w:ascii="宋体" w:hAnsi="宋体"/>
          <w:b w:val="0"/>
        </w:rPr>
      </w:pPr>
      <w:bookmarkStart w:id="473" w:name="_Toc25182"/>
      <w:r>
        <w:rPr>
          <w:rFonts w:hint="eastAsia" w:ascii="宋体" w:hAnsi="宋体"/>
          <w:b w:val="0"/>
        </w:rPr>
        <w:t>（二）其他资料</w:t>
      </w:r>
      <w:bookmarkEnd w:id="473"/>
    </w:p>
    <w:bookmarkEnd w:id="411"/>
    <w:bookmarkEnd w:id="412"/>
    <w:bookmarkEnd w:id="413"/>
    <w:p w14:paraId="1871C21C">
      <w:pPr>
        <w:ind w:firstLine="211"/>
        <w:sectPr>
          <w:pgSz w:w="11906" w:h="16838"/>
          <w:pgMar w:top="1304" w:right="1134" w:bottom="1304" w:left="1304" w:header="851" w:footer="992" w:gutter="0"/>
          <w:cols w:space="720" w:num="1"/>
          <w:docGrid w:type="lines" w:linePitch="312" w:charSpace="0"/>
        </w:sectPr>
      </w:pPr>
    </w:p>
    <w:p w14:paraId="2457920F">
      <w:pPr>
        <w:pStyle w:val="3"/>
        <w:spacing w:line="360" w:lineRule="auto"/>
        <w:ind w:firstLine="440"/>
        <w:jc w:val="center"/>
        <w:rPr>
          <w:rFonts w:ascii="宋体" w:hAnsi="宋体"/>
          <w:b w:val="0"/>
          <w:bCs w:val="0"/>
          <w:sz w:val="44"/>
          <w:szCs w:val="44"/>
        </w:rPr>
      </w:pPr>
      <w:bookmarkStart w:id="474" w:name="_Toc28665"/>
      <w:r>
        <w:rPr>
          <w:rFonts w:hint="eastAsia" w:ascii="宋体" w:hAnsi="宋体"/>
          <w:b w:val="0"/>
          <w:bCs w:val="0"/>
          <w:sz w:val="44"/>
          <w:szCs w:val="44"/>
        </w:rPr>
        <w:t>三、服务部分</w:t>
      </w:r>
      <w:bookmarkEnd w:id="474"/>
    </w:p>
    <w:p w14:paraId="0503CD0A">
      <w:pPr>
        <w:pStyle w:val="3"/>
        <w:adjustRightInd w:val="0"/>
        <w:snapToGrid w:val="0"/>
        <w:spacing w:before="0" w:after="0" w:line="400" w:lineRule="exact"/>
        <w:ind w:left="502" w:firstLine="241"/>
        <w:jc w:val="center"/>
        <w:rPr>
          <w:rFonts w:asciiTheme="minorEastAsia" w:hAnsiTheme="minorEastAsia" w:eastAsiaTheme="minorEastAsia" w:cstheme="minorEastAsia"/>
          <w:sz w:val="24"/>
        </w:rPr>
      </w:pPr>
      <w:bookmarkStart w:id="475" w:name="_Toc3438"/>
      <w:r>
        <w:rPr>
          <w:rFonts w:hint="eastAsia" w:asciiTheme="minorEastAsia" w:hAnsiTheme="minorEastAsia" w:eastAsiaTheme="minorEastAsia" w:cstheme="minorEastAsia"/>
          <w:sz w:val="24"/>
        </w:rPr>
        <w:t>（一）服务方案</w:t>
      </w:r>
      <w:bookmarkEnd w:id="475"/>
    </w:p>
    <w:p w14:paraId="64026000">
      <w:pPr>
        <w:pStyle w:val="3"/>
        <w:adjustRightInd w:val="0"/>
        <w:snapToGrid w:val="0"/>
        <w:spacing w:before="0" w:after="0" w:line="400" w:lineRule="exact"/>
        <w:ind w:left="502" w:firstLine="240"/>
        <w:jc w:val="center"/>
        <w:rPr>
          <w:rFonts w:asciiTheme="minorEastAsia" w:hAnsiTheme="minorEastAsia" w:eastAsiaTheme="minorEastAsia" w:cstheme="minorEastAsia"/>
          <w:b w:val="0"/>
          <w:sz w:val="24"/>
        </w:rPr>
      </w:pPr>
      <w:bookmarkStart w:id="476" w:name="_Toc15972"/>
      <w:r>
        <w:rPr>
          <w:rFonts w:hint="eastAsia" w:asciiTheme="minorEastAsia" w:hAnsiTheme="minorEastAsia" w:eastAsiaTheme="minorEastAsia" w:cstheme="minorEastAsia"/>
          <w:b w:val="0"/>
          <w:sz w:val="24"/>
        </w:rPr>
        <w:t>格式自拟</w:t>
      </w:r>
      <w:bookmarkEnd w:id="476"/>
    </w:p>
    <w:p w14:paraId="7C9FC88D">
      <w:pPr>
        <w:pStyle w:val="3"/>
        <w:adjustRightInd w:val="0"/>
        <w:snapToGrid w:val="0"/>
        <w:spacing w:before="0" w:after="0" w:line="400" w:lineRule="exact"/>
        <w:ind w:left="420" w:leftChars="200" w:firstLine="241"/>
        <w:rPr>
          <w:rFonts w:ascii="Times New Roman" w:hAnsi="Times New Roman" w:eastAsia="仿宋"/>
          <w:sz w:val="24"/>
          <w:szCs w:val="24"/>
        </w:rPr>
      </w:pPr>
    </w:p>
    <w:p w14:paraId="1B7CF9B0">
      <w:pPr>
        <w:pStyle w:val="3"/>
        <w:adjustRightInd w:val="0"/>
        <w:snapToGrid w:val="0"/>
        <w:spacing w:before="0" w:after="0" w:line="400" w:lineRule="exact"/>
        <w:ind w:left="420" w:leftChars="200" w:firstLine="241"/>
        <w:rPr>
          <w:rFonts w:ascii="Times New Roman" w:hAnsi="Times New Roman" w:eastAsia="仿宋"/>
          <w:sz w:val="24"/>
          <w:szCs w:val="24"/>
        </w:rPr>
      </w:pPr>
    </w:p>
    <w:p w14:paraId="3F5AAAAE">
      <w:pPr>
        <w:pStyle w:val="3"/>
        <w:adjustRightInd w:val="0"/>
        <w:snapToGrid w:val="0"/>
        <w:spacing w:before="0" w:after="0" w:line="400" w:lineRule="exact"/>
        <w:ind w:left="420" w:leftChars="200" w:firstLine="241"/>
        <w:rPr>
          <w:rFonts w:ascii="Times New Roman" w:hAnsi="Times New Roman" w:eastAsia="仿宋"/>
          <w:sz w:val="24"/>
          <w:szCs w:val="24"/>
        </w:rPr>
      </w:pPr>
    </w:p>
    <w:p w14:paraId="5E11468B">
      <w:pPr>
        <w:pStyle w:val="3"/>
        <w:adjustRightInd w:val="0"/>
        <w:snapToGrid w:val="0"/>
        <w:spacing w:before="0" w:after="0" w:line="400" w:lineRule="exact"/>
        <w:ind w:left="420" w:leftChars="200" w:firstLine="241"/>
        <w:rPr>
          <w:rFonts w:ascii="Times New Roman" w:hAnsi="Times New Roman" w:eastAsia="仿宋"/>
          <w:sz w:val="24"/>
          <w:szCs w:val="24"/>
        </w:rPr>
      </w:pPr>
    </w:p>
    <w:p w14:paraId="2884C70B">
      <w:pPr>
        <w:pStyle w:val="3"/>
        <w:adjustRightInd w:val="0"/>
        <w:snapToGrid w:val="0"/>
        <w:spacing w:before="0" w:after="0" w:line="400" w:lineRule="exact"/>
        <w:ind w:left="420" w:leftChars="200" w:firstLine="241"/>
        <w:rPr>
          <w:rFonts w:ascii="Times New Roman" w:hAnsi="Times New Roman" w:eastAsia="仿宋"/>
          <w:sz w:val="24"/>
          <w:szCs w:val="24"/>
        </w:rPr>
      </w:pPr>
    </w:p>
    <w:p w14:paraId="775027A2">
      <w:pPr>
        <w:pStyle w:val="3"/>
        <w:adjustRightInd w:val="0"/>
        <w:snapToGrid w:val="0"/>
        <w:spacing w:before="0" w:after="0" w:line="400" w:lineRule="exact"/>
        <w:ind w:left="420" w:leftChars="200" w:firstLine="241"/>
        <w:rPr>
          <w:rFonts w:ascii="Times New Roman" w:hAnsi="Times New Roman" w:eastAsia="仿宋"/>
          <w:sz w:val="24"/>
          <w:szCs w:val="24"/>
        </w:rPr>
      </w:pPr>
    </w:p>
    <w:p w14:paraId="76429680">
      <w:pPr>
        <w:pStyle w:val="3"/>
        <w:adjustRightInd w:val="0"/>
        <w:snapToGrid w:val="0"/>
        <w:spacing w:before="0" w:after="0" w:line="400" w:lineRule="exact"/>
        <w:ind w:left="420" w:leftChars="200" w:firstLine="241"/>
        <w:rPr>
          <w:rFonts w:ascii="Times New Roman" w:hAnsi="Times New Roman" w:eastAsia="仿宋"/>
          <w:sz w:val="24"/>
          <w:szCs w:val="24"/>
        </w:rPr>
      </w:pPr>
    </w:p>
    <w:p w14:paraId="0E56E48D">
      <w:pPr>
        <w:pStyle w:val="3"/>
        <w:adjustRightInd w:val="0"/>
        <w:snapToGrid w:val="0"/>
        <w:spacing w:before="0" w:after="0" w:line="400" w:lineRule="exact"/>
        <w:ind w:left="420" w:leftChars="200" w:firstLine="241"/>
        <w:rPr>
          <w:rFonts w:ascii="Times New Roman" w:hAnsi="Times New Roman" w:eastAsia="仿宋"/>
          <w:sz w:val="24"/>
          <w:szCs w:val="24"/>
        </w:rPr>
      </w:pPr>
    </w:p>
    <w:p w14:paraId="431FA49A">
      <w:pPr>
        <w:pStyle w:val="3"/>
        <w:adjustRightInd w:val="0"/>
        <w:snapToGrid w:val="0"/>
        <w:spacing w:before="0" w:after="0" w:line="400" w:lineRule="exact"/>
        <w:ind w:left="420" w:leftChars="200" w:firstLine="241"/>
        <w:rPr>
          <w:rFonts w:ascii="Times New Roman" w:hAnsi="Times New Roman" w:eastAsia="仿宋"/>
          <w:sz w:val="24"/>
          <w:szCs w:val="24"/>
        </w:rPr>
      </w:pPr>
    </w:p>
    <w:p w14:paraId="24F42C75">
      <w:pPr>
        <w:pStyle w:val="3"/>
        <w:adjustRightInd w:val="0"/>
        <w:snapToGrid w:val="0"/>
        <w:spacing w:before="0" w:after="0" w:line="400" w:lineRule="exact"/>
        <w:ind w:left="420" w:leftChars="200" w:firstLine="241"/>
        <w:rPr>
          <w:rFonts w:ascii="Times New Roman" w:hAnsi="Times New Roman" w:eastAsia="仿宋"/>
          <w:sz w:val="24"/>
          <w:szCs w:val="24"/>
        </w:rPr>
      </w:pPr>
    </w:p>
    <w:p w14:paraId="456B5F2B">
      <w:pPr>
        <w:pStyle w:val="3"/>
        <w:adjustRightInd w:val="0"/>
        <w:snapToGrid w:val="0"/>
        <w:spacing w:before="0" w:after="0" w:line="400" w:lineRule="exact"/>
        <w:ind w:left="420" w:leftChars="200" w:firstLine="241"/>
        <w:rPr>
          <w:rFonts w:ascii="Times New Roman" w:hAnsi="Times New Roman" w:eastAsia="仿宋"/>
          <w:sz w:val="24"/>
          <w:szCs w:val="24"/>
        </w:rPr>
      </w:pPr>
    </w:p>
    <w:p w14:paraId="4FB04CA1">
      <w:pPr>
        <w:pStyle w:val="3"/>
        <w:adjustRightInd w:val="0"/>
        <w:snapToGrid w:val="0"/>
        <w:spacing w:before="0" w:after="0" w:line="400" w:lineRule="exact"/>
        <w:ind w:left="420" w:leftChars="200" w:firstLine="241"/>
        <w:rPr>
          <w:rFonts w:ascii="Times New Roman" w:hAnsi="Times New Roman" w:eastAsia="仿宋"/>
          <w:sz w:val="24"/>
          <w:szCs w:val="24"/>
        </w:rPr>
      </w:pPr>
    </w:p>
    <w:p w14:paraId="4568B521">
      <w:pPr>
        <w:pStyle w:val="3"/>
        <w:adjustRightInd w:val="0"/>
        <w:snapToGrid w:val="0"/>
        <w:spacing w:before="0" w:after="0" w:line="400" w:lineRule="exact"/>
        <w:ind w:left="420" w:leftChars="200" w:firstLine="241"/>
        <w:rPr>
          <w:rFonts w:ascii="Times New Roman" w:hAnsi="Times New Roman" w:eastAsia="仿宋"/>
          <w:sz w:val="24"/>
          <w:szCs w:val="24"/>
        </w:rPr>
      </w:pPr>
    </w:p>
    <w:p w14:paraId="190762BB">
      <w:pPr>
        <w:pStyle w:val="3"/>
        <w:adjustRightInd w:val="0"/>
        <w:snapToGrid w:val="0"/>
        <w:spacing w:before="0" w:after="0" w:line="400" w:lineRule="exact"/>
        <w:ind w:left="420" w:leftChars="200" w:firstLine="241"/>
        <w:rPr>
          <w:rFonts w:ascii="Times New Roman" w:hAnsi="Times New Roman" w:eastAsia="仿宋"/>
          <w:sz w:val="24"/>
          <w:szCs w:val="24"/>
        </w:rPr>
      </w:pPr>
    </w:p>
    <w:p w14:paraId="66AE35CE">
      <w:pPr>
        <w:pStyle w:val="3"/>
        <w:adjustRightInd w:val="0"/>
        <w:snapToGrid w:val="0"/>
        <w:spacing w:before="0" w:after="0" w:line="400" w:lineRule="exact"/>
        <w:ind w:left="420" w:leftChars="200" w:firstLine="241"/>
        <w:rPr>
          <w:rFonts w:ascii="Times New Roman" w:hAnsi="Times New Roman" w:eastAsia="仿宋"/>
          <w:sz w:val="24"/>
          <w:szCs w:val="24"/>
        </w:rPr>
      </w:pPr>
    </w:p>
    <w:p w14:paraId="1CE9A7A0">
      <w:pPr>
        <w:pStyle w:val="3"/>
        <w:adjustRightInd w:val="0"/>
        <w:snapToGrid w:val="0"/>
        <w:spacing w:before="0" w:after="0" w:line="400" w:lineRule="exact"/>
        <w:ind w:left="420" w:leftChars="200" w:firstLine="241"/>
        <w:rPr>
          <w:rFonts w:ascii="Times New Roman" w:hAnsi="Times New Roman" w:eastAsia="仿宋"/>
          <w:sz w:val="24"/>
          <w:szCs w:val="24"/>
        </w:rPr>
      </w:pPr>
    </w:p>
    <w:p w14:paraId="1E2D8F89">
      <w:pPr>
        <w:pStyle w:val="3"/>
        <w:adjustRightInd w:val="0"/>
        <w:snapToGrid w:val="0"/>
        <w:spacing w:before="0" w:after="0" w:line="400" w:lineRule="exact"/>
        <w:ind w:left="420" w:leftChars="200" w:firstLine="241"/>
        <w:rPr>
          <w:rFonts w:ascii="Times New Roman" w:hAnsi="Times New Roman" w:eastAsia="仿宋"/>
          <w:sz w:val="24"/>
          <w:szCs w:val="24"/>
        </w:rPr>
      </w:pPr>
    </w:p>
    <w:p w14:paraId="26295E73">
      <w:pPr>
        <w:pStyle w:val="3"/>
        <w:adjustRightInd w:val="0"/>
        <w:snapToGrid w:val="0"/>
        <w:spacing w:before="0" w:after="0" w:line="400" w:lineRule="exact"/>
        <w:ind w:left="420" w:leftChars="200" w:firstLine="241"/>
        <w:rPr>
          <w:rFonts w:ascii="Times New Roman" w:hAnsi="Times New Roman" w:eastAsia="仿宋"/>
          <w:sz w:val="24"/>
          <w:szCs w:val="24"/>
        </w:rPr>
      </w:pPr>
    </w:p>
    <w:p w14:paraId="3D7B6D87">
      <w:pPr>
        <w:pStyle w:val="3"/>
        <w:adjustRightInd w:val="0"/>
        <w:snapToGrid w:val="0"/>
        <w:spacing w:before="0" w:after="0" w:line="400" w:lineRule="exact"/>
        <w:ind w:left="420" w:leftChars="200" w:firstLine="241"/>
        <w:rPr>
          <w:rFonts w:ascii="Times New Roman" w:hAnsi="Times New Roman" w:eastAsia="仿宋"/>
          <w:sz w:val="24"/>
          <w:szCs w:val="24"/>
        </w:rPr>
      </w:pPr>
    </w:p>
    <w:p w14:paraId="09ACFCCA">
      <w:pPr>
        <w:pStyle w:val="3"/>
        <w:adjustRightInd w:val="0"/>
        <w:snapToGrid w:val="0"/>
        <w:spacing w:before="0" w:after="0" w:line="400" w:lineRule="exact"/>
        <w:ind w:left="420" w:leftChars="200" w:firstLine="241"/>
        <w:rPr>
          <w:rFonts w:ascii="Times New Roman" w:hAnsi="Times New Roman" w:eastAsia="仿宋"/>
          <w:sz w:val="24"/>
          <w:szCs w:val="24"/>
        </w:rPr>
      </w:pPr>
    </w:p>
    <w:p w14:paraId="4EA920A5">
      <w:pPr>
        <w:pStyle w:val="3"/>
        <w:adjustRightInd w:val="0"/>
        <w:snapToGrid w:val="0"/>
        <w:spacing w:before="0" w:after="0" w:line="400" w:lineRule="exact"/>
        <w:ind w:left="420" w:leftChars="200" w:firstLine="241"/>
        <w:rPr>
          <w:rFonts w:ascii="Times New Roman" w:hAnsi="Times New Roman" w:eastAsia="仿宋"/>
          <w:sz w:val="24"/>
          <w:szCs w:val="24"/>
        </w:rPr>
      </w:pPr>
    </w:p>
    <w:p w14:paraId="2291D014">
      <w:pPr>
        <w:pStyle w:val="3"/>
        <w:adjustRightInd w:val="0"/>
        <w:snapToGrid w:val="0"/>
        <w:spacing w:before="0" w:after="0" w:line="400" w:lineRule="exact"/>
        <w:ind w:left="420" w:leftChars="200" w:firstLine="241"/>
        <w:rPr>
          <w:rFonts w:ascii="Times New Roman" w:hAnsi="Times New Roman" w:eastAsia="仿宋"/>
          <w:sz w:val="24"/>
          <w:szCs w:val="24"/>
        </w:rPr>
      </w:pPr>
    </w:p>
    <w:p w14:paraId="6C327CE2">
      <w:pPr>
        <w:pStyle w:val="3"/>
        <w:adjustRightInd w:val="0"/>
        <w:snapToGrid w:val="0"/>
        <w:spacing w:before="0" w:after="0" w:line="400" w:lineRule="exact"/>
        <w:ind w:left="420" w:leftChars="200" w:firstLine="241"/>
        <w:rPr>
          <w:rFonts w:ascii="Times New Roman" w:hAnsi="Times New Roman" w:eastAsia="仿宋"/>
          <w:sz w:val="24"/>
          <w:szCs w:val="24"/>
        </w:rPr>
      </w:pPr>
    </w:p>
    <w:p w14:paraId="4821AD3E">
      <w:pPr>
        <w:pStyle w:val="3"/>
        <w:adjustRightInd w:val="0"/>
        <w:snapToGrid w:val="0"/>
        <w:spacing w:before="0" w:after="0" w:line="400" w:lineRule="exact"/>
        <w:ind w:left="420" w:leftChars="200" w:firstLine="241"/>
        <w:rPr>
          <w:rFonts w:ascii="Times New Roman" w:hAnsi="Times New Roman" w:eastAsia="仿宋"/>
          <w:sz w:val="24"/>
          <w:szCs w:val="24"/>
        </w:rPr>
      </w:pPr>
    </w:p>
    <w:p w14:paraId="63ADD96C">
      <w:pPr>
        <w:pStyle w:val="3"/>
        <w:adjustRightInd w:val="0"/>
        <w:snapToGrid w:val="0"/>
        <w:spacing w:before="0" w:after="0" w:line="400" w:lineRule="exact"/>
        <w:ind w:left="420" w:leftChars="200" w:firstLine="241"/>
        <w:rPr>
          <w:rFonts w:ascii="Times New Roman" w:hAnsi="Times New Roman" w:eastAsia="仿宋"/>
          <w:sz w:val="24"/>
          <w:szCs w:val="24"/>
        </w:rPr>
      </w:pPr>
    </w:p>
    <w:p w14:paraId="49897F13">
      <w:pPr>
        <w:pStyle w:val="3"/>
        <w:adjustRightInd w:val="0"/>
        <w:snapToGrid w:val="0"/>
        <w:spacing w:before="0" w:after="0" w:line="400" w:lineRule="exact"/>
        <w:ind w:left="420" w:leftChars="200" w:firstLine="241"/>
        <w:rPr>
          <w:rFonts w:ascii="Times New Roman" w:hAnsi="Times New Roman" w:eastAsia="仿宋"/>
          <w:sz w:val="24"/>
          <w:szCs w:val="24"/>
        </w:rPr>
      </w:pPr>
    </w:p>
    <w:p w14:paraId="43C54B89">
      <w:pPr>
        <w:pStyle w:val="3"/>
        <w:adjustRightInd w:val="0"/>
        <w:snapToGrid w:val="0"/>
        <w:spacing w:before="0" w:after="0" w:line="400" w:lineRule="exact"/>
        <w:ind w:left="420" w:leftChars="200" w:firstLine="241"/>
        <w:rPr>
          <w:rFonts w:ascii="Times New Roman" w:hAnsi="Times New Roman" w:eastAsia="仿宋"/>
          <w:sz w:val="24"/>
          <w:szCs w:val="24"/>
        </w:rPr>
      </w:pPr>
    </w:p>
    <w:p w14:paraId="0DA1B805">
      <w:pPr>
        <w:pStyle w:val="3"/>
        <w:adjustRightInd w:val="0"/>
        <w:snapToGrid w:val="0"/>
        <w:spacing w:before="0" w:after="0" w:line="400" w:lineRule="exact"/>
        <w:ind w:left="420" w:leftChars="200" w:firstLine="241"/>
        <w:rPr>
          <w:rFonts w:ascii="Times New Roman" w:hAnsi="Times New Roman" w:eastAsia="仿宋"/>
          <w:sz w:val="24"/>
          <w:szCs w:val="24"/>
        </w:rPr>
      </w:pPr>
    </w:p>
    <w:p w14:paraId="55DF99B5">
      <w:pPr>
        <w:pStyle w:val="3"/>
        <w:adjustRightInd w:val="0"/>
        <w:snapToGrid w:val="0"/>
        <w:spacing w:before="0" w:after="0" w:line="400" w:lineRule="exact"/>
        <w:ind w:left="420" w:leftChars="200" w:firstLine="241"/>
        <w:rPr>
          <w:rFonts w:ascii="Times New Roman" w:hAnsi="Times New Roman" w:eastAsia="仿宋"/>
          <w:sz w:val="24"/>
          <w:szCs w:val="24"/>
        </w:rPr>
      </w:pPr>
    </w:p>
    <w:p w14:paraId="5F38129D">
      <w:pPr>
        <w:pStyle w:val="3"/>
        <w:adjustRightInd w:val="0"/>
        <w:snapToGrid w:val="0"/>
        <w:spacing w:before="0" w:after="0" w:line="400" w:lineRule="exact"/>
        <w:ind w:left="420" w:leftChars="200" w:firstLine="241"/>
        <w:rPr>
          <w:rFonts w:ascii="Times New Roman" w:hAnsi="Times New Roman" w:eastAsia="仿宋"/>
          <w:sz w:val="24"/>
          <w:szCs w:val="24"/>
        </w:rPr>
      </w:pPr>
    </w:p>
    <w:p w14:paraId="6F32C65F">
      <w:pPr>
        <w:pStyle w:val="3"/>
        <w:spacing w:line="360" w:lineRule="auto"/>
        <w:ind w:firstLine="320"/>
        <w:jc w:val="center"/>
        <w:rPr>
          <w:rFonts w:ascii="宋体" w:hAnsi="宋体"/>
          <w:b w:val="0"/>
          <w:bCs w:val="0"/>
          <w:sz w:val="44"/>
          <w:szCs w:val="44"/>
        </w:rPr>
      </w:pPr>
      <w:bookmarkStart w:id="477" w:name="_Toc15093"/>
      <w:r>
        <w:rPr>
          <w:rFonts w:hint="eastAsia" w:ascii="宋体" w:hAnsi="宋体"/>
          <w:b w:val="0"/>
          <w:bCs w:val="0"/>
          <w:sz w:val="44"/>
          <w:szCs w:val="44"/>
        </w:rPr>
        <w:t>四、商务部分</w:t>
      </w:r>
      <w:bookmarkEnd w:id="477"/>
    </w:p>
    <w:p w14:paraId="5883F76D">
      <w:pPr>
        <w:pStyle w:val="3"/>
        <w:adjustRightInd w:val="0"/>
        <w:snapToGrid w:val="0"/>
        <w:spacing w:before="0" w:after="0" w:line="400" w:lineRule="exact"/>
        <w:ind w:firstLine="241"/>
        <w:jc w:val="center"/>
        <w:rPr>
          <w:rFonts w:asciiTheme="minorEastAsia" w:hAnsiTheme="minorEastAsia" w:eastAsiaTheme="minorEastAsia" w:cstheme="minorEastAsia"/>
          <w:sz w:val="24"/>
        </w:rPr>
      </w:pPr>
    </w:p>
    <w:p w14:paraId="73757D7C">
      <w:pPr>
        <w:snapToGrid w:val="0"/>
        <w:spacing w:line="4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13EFE1A2">
      <w:pPr>
        <w:snapToGrid w:val="0"/>
        <w:spacing w:line="400" w:lineRule="exact"/>
        <w:ind w:firstLine="241"/>
        <w:rPr>
          <w:rFonts w:asciiTheme="minorEastAsia" w:hAnsiTheme="minorEastAsia" w:eastAsiaTheme="minorEastAsia" w:cstheme="minorEastAsia"/>
        </w:rPr>
      </w:pPr>
      <w:r>
        <w:rPr>
          <w:rFonts w:hint="eastAsia" w:asciiTheme="minorEastAsia" w:hAnsiTheme="minorEastAsia" w:eastAsiaTheme="minorEastAsia" w:cstheme="minorEastAsia"/>
          <w:sz w:val="24"/>
        </w:rPr>
        <w:t>（一）商务要求响应情况：实施时间及地点、报价要求等（格式自定</w:t>
      </w:r>
      <w:r>
        <w:rPr>
          <w:rFonts w:hint="eastAsia" w:asciiTheme="minorEastAsia" w:hAnsiTheme="minorEastAsia" w:eastAsiaTheme="minorEastAsia" w:cstheme="minorEastAsia"/>
          <w:sz w:val="24"/>
          <w:lang w:eastAsia="zh-CN"/>
        </w:rPr>
        <w:t>）</w: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2445">
    <w:pPr>
      <w:pStyle w:val="29"/>
      <w:jc w:val="center"/>
    </w:pPr>
    <w:r>
      <w:fldChar w:fldCharType="begin"/>
    </w:r>
    <w:r>
      <w:instrText xml:space="preserve">PAGE   \* MERGEFORMAT</w:instrText>
    </w:r>
    <w:r>
      <w:fldChar w:fldCharType="separate"/>
    </w:r>
    <w:r>
      <w:rPr>
        <w:lang w:val="zh-CN"/>
      </w:rPr>
      <w:t>2</w:t>
    </w:r>
    <w:r>
      <w:rPr>
        <w:lang w:val="zh-CN"/>
      </w:rPr>
      <w:fldChar w:fldCharType="end"/>
    </w:r>
  </w:p>
  <w:p w14:paraId="3950B66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AD56">
    <w:pPr>
      <w:pStyle w:val="29"/>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10FB5A2">
                          <w:pPr>
                            <w:pStyle w:val="29"/>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510FB5A2">
                    <w:pPr>
                      <w:pStyle w:val="29"/>
                      <w:jc w:val="center"/>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794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5BEA">
    <w:pPr>
      <w:pStyle w:val="30"/>
      <w:ind w:firstLine="540" w:firstLineChars="300"/>
      <w:jc w:val="right"/>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322"/>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1">
    <w:nsid w:val="00000002"/>
    <w:multiLevelType w:val="multilevel"/>
    <w:tmpl w:val="00000002"/>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323"/>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2">
    <w:nsid w:val="00000003"/>
    <w:multiLevelType w:val="multilevel"/>
    <w:tmpl w:val="00000003"/>
    <w:lvl w:ilvl="0" w:tentative="0">
      <w:start w:val="1"/>
      <w:numFmt w:val="lowerRoman"/>
      <w:lvlText w:val="(%1)"/>
      <w:lvlJc w:val="left"/>
      <w:pPr>
        <w:ind w:left="960" w:hanging="420"/>
      </w:pPr>
      <w:rPr>
        <w:rFonts w:hint="default"/>
      </w:rPr>
    </w:lvl>
    <w:lvl w:ilvl="1" w:tentative="0">
      <w:start w:val="1"/>
      <w:numFmt w:val="lowerRoman"/>
      <w:lvlText w:val="(%2)"/>
      <w:lvlJc w:val="left"/>
      <w:pPr>
        <w:ind w:left="1380" w:hanging="420"/>
      </w:pPr>
      <w:rPr>
        <w:rFonts w:hint="default"/>
      </w:r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00000004"/>
    <w:multiLevelType w:val="multilevel"/>
    <w:tmpl w:val="00000004"/>
    <w:lvl w:ilvl="0" w:tentative="0">
      <w:start w:val="1"/>
      <w:numFmt w:val="lowerRoman"/>
      <w:lvlText w:val="(%1)"/>
      <w:lvlJc w:val="left"/>
      <w:pPr>
        <w:ind w:left="900" w:hanging="420"/>
      </w:pPr>
      <w:rPr>
        <w:rFonts w:hint="default"/>
      </w:rPr>
    </w:lvl>
    <w:lvl w:ilvl="1" w:tentative="0">
      <w:start w:val="1"/>
      <w:numFmt w:val="lowerRoman"/>
      <w:lvlText w:val="(%2)"/>
      <w:lvlJc w:val="left"/>
      <w:pPr>
        <w:ind w:left="1320" w:hanging="4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5"/>
    <w:multiLevelType w:val="multilevel"/>
    <w:tmpl w:val="00000005"/>
    <w:lvl w:ilvl="0" w:tentative="0">
      <w:start w:val="1"/>
      <w:numFmt w:val="lowerRoman"/>
      <w:lvlText w:val="(%1)"/>
      <w:lvlJc w:val="left"/>
      <w:pPr>
        <w:ind w:left="1020" w:hanging="420"/>
      </w:pPr>
      <w:rPr>
        <w:rFonts w:hint="default"/>
      </w:rPr>
    </w:lvl>
    <w:lvl w:ilvl="1" w:tentative="0">
      <w:start w:val="1"/>
      <w:numFmt w:val="lowerRoman"/>
      <w:lvlText w:val="(%2)"/>
      <w:lvlJc w:val="left"/>
      <w:pPr>
        <w:ind w:left="1440" w:hanging="420"/>
      </w:pPr>
      <w:rPr>
        <w:rFonts w:hint="default"/>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6E3F029D"/>
    <w:multiLevelType w:val="singleLevel"/>
    <w:tmpl w:val="6E3F029D"/>
    <w:lvl w:ilvl="0" w:tentative="0">
      <w:start w:val="2"/>
      <w:numFmt w:val="decimal"/>
      <w:suff w:val="nothing"/>
      <w:lvlText w:val="（%1）"/>
      <w:lvlJc w:val="left"/>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g1YTkyOWU5NzI0OTgyZDU1M2Q5NWZiOTE0M2QifQ=="/>
  </w:docVars>
  <w:rsids>
    <w:rsidRoot w:val="0007091D"/>
    <w:rsid w:val="0007091D"/>
    <w:rsid w:val="003F02DF"/>
    <w:rsid w:val="00733BFE"/>
    <w:rsid w:val="009239D5"/>
    <w:rsid w:val="009559BF"/>
    <w:rsid w:val="00A1505B"/>
    <w:rsid w:val="00CC1A13"/>
    <w:rsid w:val="00DF7CED"/>
    <w:rsid w:val="01750EDE"/>
    <w:rsid w:val="02497534"/>
    <w:rsid w:val="02553C5F"/>
    <w:rsid w:val="029A7643"/>
    <w:rsid w:val="02CB3070"/>
    <w:rsid w:val="02FF23FF"/>
    <w:rsid w:val="03712D21"/>
    <w:rsid w:val="043C1EA8"/>
    <w:rsid w:val="057364D8"/>
    <w:rsid w:val="07146850"/>
    <w:rsid w:val="0747316B"/>
    <w:rsid w:val="076B36F8"/>
    <w:rsid w:val="08D57F93"/>
    <w:rsid w:val="08D852DC"/>
    <w:rsid w:val="0AC34A23"/>
    <w:rsid w:val="0B374AB7"/>
    <w:rsid w:val="0B8A12CF"/>
    <w:rsid w:val="0BDE3BF1"/>
    <w:rsid w:val="0F3118B1"/>
    <w:rsid w:val="0FED2443"/>
    <w:rsid w:val="102C328E"/>
    <w:rsid w:val="10662E20"/>
    <w:rsid w:val="10923340"/>
    <w:rsid w:val="13CA799C"/>
    <w:rsid w:val="144F6C00"/>
    <w:rsid w:val="150D7DE3"/>
    <w:rsid w:val="155F0AA1"/>
    <w:rsid w:val="16BC5336"/>
    <w:rsid w:val="17072F54"/>
    <w:rsid w:val="180E1BEA"/>
    <w:rsid w:val="1D9E2B66"/>
    <w:rsid w:val="1E6F75D1"/>
    <w:rsid w:val="1EB93EB5"/>
    <w:rsid w:val="202820DF"/>
    <w:rsid w:val="210618F0"/>
    <w:rsid w:val="21270CC2"/>
    <w:rsid w:val="24266EC9"/>
    <w:rsid w:val="26D36140"/>
    <w:rsid w:val="28AF528E"/>
    <w:rsid w:val="2B24412B"/>
    <w:rsid w:val="2C210060"/>
    <w:rsid w:val="2D316018"/>
    <w:rsid w:val="2D397AFE"/>
    <w:rsid w:val="2E0A756F"/>
    <w:rsid w:val="2F1D56E9"/>
    <w:rsid w:val="2F3F0791"/>
    <w:rsid w:val="30BF31A0"/>
    <w:rsid w:val="316600C5"/>
    <w:rsid w:val="31D77DB2"/>
    <w:rsid w:val="3300448E"/>
    <w:rsid w:val="33CB0DB0"/>
    <w:rsid w:val="344A7EB3"/>
    <w:rsid w:val="34C8732B"/>
    <w:rsid w:val="379C3AC9"/>
    <w:rsid w:val="37EC438C"/>
    <w:rsid w:val="39CF3CE5"/>
    <w:rsid w:val="3E485474"/>
    <w:rsid w:val="41652146"/>
    <w:rsid w:val="424A2B87"/>
    <w:rsid w:val="43BE2B8A"/>
    <w:rsid w:val="44C57144"/>
    <w:rsid w:val="45480226"/>
    <w:rsid w:val="479D40A9"/>
    <w:rsid w:val="48093C71"/>
    <w:rsid w:val="4B3F6D5D"/>
    <w:rsid w:val="4D920C64"/>
    <w:rsid w:val="4DD03D18"/>
    <w:rsid w:val="4F305D57"/>
    <w:rsid w:val="4F79447E"/>
    <w:rsid w:val="503A0101"/>
    <w:rsid w:val="512A229C"/>
    <w:rsid w:val="522A6FE1"/>
    <w:rsid w:val="52FB063E"/>
    <w:rsid w:val="5334770E"/>
    <w:rsid w:val="53394028"/>
    <w:rsid w:val="53B03160"/>
    <w:rsid w:val="54AC09F2"/>
    <w:rsid w:val="566209E7"/>
    <w:rsid w:val="56CC3E96"/>
    <w:rsid w:val="58D930F1"/>
    <w:rsid w:val="591F4667"/>
    <w:rsid w:val="59952F94"/>
    <w:rsid w:val="5CBC4428"/>
    <w:rsid w:val="5DAA3BF5"/>
    <w:rsid w:val="5DE14F27"/>
    <w:rsid w:val="5ECE0513"/>
    <w:rsid w:val="5F370970"/>
    <w:rsid w:val="618D4BBE"/>
    <w:rsid w:val="63091321"/>
    <w:rsid w:val="6534707B"/>
    <w:rsid w:val="671764AB"/>
    <w:rsid w:val="67EB37D6"/>
    <w:rsid w:val="68233E92"/>
    <w:rsid w:val="6A9774F1"/>
    <w:rsid w:val="6B9D26D7"/>
    <w:rsid w:val="6BA64352"/>
    <w:rsid w:val="6D6C1709"/>
    <w:rsid w:val="6F00293A"/>
    <w:rsid w:val="6F0D49D1"/>
    <w:rsid w:val="760A6969"/>
    <w:rsid w:val="78BB630B"/>
    <w:rsid w:val="7A4160FC"/>
    <w:rsid w:val="7AFE0EDA"/>
    <w:rsid w:val="7F4A6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6"/>
    <w:autoRedefine/>
    <w:qFormat/>
    <w:uiPriority w:val="0"/>
    <w:pPr>
      <w:keepNext/>
      <w:keepLines/>
      <w:ind w:firstLine="200" w:firstLineChars="200"/>
      <w:outlineLvl w:val="5"/>
    </w:pPr>
    <w:rPr>
      <w:rFonts w:hAnsi="Arial"/>
    </w:rPr>
  </w:style>
  <w:style w:type="paragraph" w:styleId="9">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autoRedefine/>
    <w:qFormat/>
    <w:uiPriority w:val="39"/>
    <w:pPr>
      <w:ind w:left="1260"/>
      <w:jc w:val="left"/>
    </w:pPr>
    <w:rPr>
      <w:sz w:val="18"/>
      <w:szCs w:val="18"/>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205"/>
    <w:autoRedefine/>
    <w:qFormat/>
    <w:uiPriority w:val="0"/>
    <w:pPr>
      <w:shd w:val="clear" w:color="auto" w:fill="000080"/>
    </w:pPr>
  </w:style>
  <w:style w:type="paragraph" w:styleId="15">
    <w:name w:val="annotation text"/>
    <w:basedOn w:val="1"/>
    <w:link w:val="290"/>
    <w:autoRedefine/>
    <w:qFormat/>
    <w:uiPriority w:val="99"/>
    <w:pPr>
      <w:jc w:val="left"/>
    </w:pPr>
  </w:style>
  <w:style w:type="paragraph" w:styleId="16">
    <w:name w:val="Body Text 3"/>
    <w:basedOn w:val="1"/>
    <w:link w:val="309"/>
    <w:autoRedefine/>
    <w:qFormat/>
    <w:uiPriority w:val="0"/>
    <w:pPr>
      <w:spacing w:after="120"/>
    </w:pPr>
    <w:rPr>
      <w:sz w:val="16"/>
      <w:szCs w:val="16"/>
    </w:rPr>
  </w:style>
  <w:style w:type="paragraph" w:styleId="17">
    <w:name w:val="Body Text"/>
    <w:basedOn w:val="1"/>
    <w:next w:val="1"/>
    <w:link w:val="215"/>
    <w:autoRedefine/>
    <w:qFormat/>
    <w:uiPriority w:val="0"/>
    <w:pPr>
      <w:spacing w:after="120"/>
    </w:pPr>
  </w:style>
  <w:style w:type="paragraph" w:styleId="18">
    <w:name w:val="Body Text Indent"/>
    <w:basedOn w:val="1"/>
    <w:link w:val="270"/>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4"/>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8"/>
    <w:autoRedefine/>
    <w:qFormat/>
    <w:uiPriority w:val="0"/>
    <w:pPr>
      <w:ind w:left="100" w:leftChars="2500"/>
    </w:pPr>
  </w:style>
  <w:style w:type="paragraph" w:styleId="26">
    <w:name w:val="Body Text Indent 2"/>
    <w:basedOn w:val="1"/>
    <w:link w:val="272"/>
    <w:autoRedefine/>
    <w:qFormat/>
    <w:uiPriority w:val="0"/>
    <w:pPr>
      <w:widowControl/>
      <w:spacing w:line="480" w:lineRule="auto"/>
      <w:ind w:firstLine="560"/>
      <w:jc w:val="left"/>
    </w:pPr>
    <w:rPr>
      <w:kern w:val="0"/>
      <w:sz w:val="28"/>
    </w:rPr>
  </w:style>
  <w:style w:type="paragraph" w:styleId="27">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9"/>
    <w:autoRedefine/>
    <w:qFormat/>
    <w:uiPriority w:val="0"/>
    <w:rPr>
      <w:sz w:val="18"/>
      <w:szCs w:val="18"/>
    </w:rPr>
  </w:style>
  <w:style w:type="paragraph" w:styleId="29">
    <w:name w:val="footer"/>
    <w:basedOn w:val="1"/>
    <w:link w:val="197"/>
    <w:autoRedefine/>
    <w:qFormat/>
    <w:uiPriority w:val="0"/>
    <w:pPr>
      <w:tabs>
        <w:tab w:val="center" w:pos="4153"/>
        <w:tab w:val="right" w:pos="8306"/>
      </w:tabs>
      <w:snapToGrid w:val="0"/>
      <w:jc w:val="left"/>
    </w:pPr>
    <w:rPr>
      <w:sz w:val="18"/>
      <w:szCs w:val="18"/>
    </w:rPr>
  </w:style>
  <w:style w:type="paragraph" w:styleId="30">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autoRedefine/>
    <w:qFormat/>
    <w:uiPriority w:val="0"/>
    <w:pPr>
      <w:widowControl/>
      <w:jc w:val="center"/>
    </w:pPr>
    <w:rPr>
      <w:kern w:val="0"/>
      <w:sz w:val="20"/>
      <w:u w:val="single"/>
      <w:lang w:eastAsia="en-US"/>
    </w:rPr>
  </w:style>
  <w:style w:type="paragraph" w:styleId="34">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7">
    <w:name w:val="toc 2"/>
    <w:basedOn w:val="3"/>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5"/>
    <w:autoRedefine/>
    <w:qFormat/>
    <w:uiPriority w:val="0"/>
    <w:rPr>
      <w:i/>
      <w:iCs/>
      <w:sz w:val="26"/>
    </w:rPr>
  </w:style>
  <w:style w:type="paragraph" w:styleId="40">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next w:val="1"/>
    <w:link w:val="212"/>
    <w:autoRedefine/>
    <w:qFormat/>
    <w:uiPriority w:val="0"/>
    <w:pPr>
      <w:widowControl/>
      <w:jc w:val="center"/>
    </w:pPr>
    <w:rPr>
      <w:kern w:val="0"/>
      <w:sz w:val="20"/>
      <w:u w:val="single"/>
      <w:lang w:eastAsia="en-US"/>
    </w:rPr>
  </w:style>
  <w:style w:type="paragraph" w:styleId="44">
    <w:name w:val="annotation subject"/>
    <w:basedOn w:val="15"/>
    <w:next w:val="15"/>
    <w:link w:val="264"/>
    <w:autoRedefine/>
    <w:qFormat/>
    <w:uiPriority w:val="0"/>
    <w:rPr>
      <w:b/>
      <w:bCs/>
    </w:rPr>
  </w:style>
  <w:style w:type="paragraph" w:styleId="45">
    <w:name w:val="Body Text First Indent"/>
    <w:basedOn w:val="1"/>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8">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9">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60">
    <w:name w:val="_Style 101"/>
    <w:basedOn w:val="1"/>
    <w:autoRedefine/>
    <w:qFormat/>
    <w:uiPriority w:val="99"/>
    <w:pPr>
      <w:ind w:firstLine="420" w:firstLineChars="200"/>
    </w:pPr>
    <w:rPr>
      <w:sz w:val="28"/>
      <w:szCs w:val="28"/>
    </w:rPr>
  </w:style>
  <w:style w:type="paragraph" w:customStyle="1" w:styleId="61">
    <w:name w:val="表格标题"/>
    <w:basedOn w:val="62"/>
    <w:autoRedefine/>
    <w:qFormat/>
    <w:uiPriority w:val="0"/>
  </w:style>
  <w:style w:type="paragraph" w:customStyle="1" w:styleId="62">
    <w:name w:val="表格内容"/>
    <w:basedOn w:val="1"/>
    <w:autoRedefine/>
    <w:qFormat/>
    <w:uiPriority w:val="0"/>
    <w:pPr>
      <w:suppressLineNumbers/>
      <w:suppressAutoHyphens/>
    </w:pPr>
  </w:style>
  <w:style w:type="paragraph" w:customStyle="1" w:styleId="63">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5">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6">
    <w:name w:val="标准样式1"/>
    <w:basedOn w:val="1"/>
    <w:autoRedefine/>
    <w:qFormat/>
    <w:uiPriority w:val="0"/>
    <w:pPr>
      <w:spacing w:line="600" w:lineRule="exact"/>
      <w:ind w:firstLine="567"/>
    </w:pPr>
    <w:rPr>
      <w:rFonts w:ascii="Calibri" w:hAnsi="Calibri"/>
      <w:sz w:val="28"/>
    </w:rPr>
  </w:style>
  <w:style w:type="paragraph" w:customStyle="1" w:styleId="67">
    <w:name w:val="列出段落11"/>
    <w:basedOn w:val="1"/>
    <w:autoRedefine/>
    <w:qFormat/>
    <w:uiPriority w:val="0"/>
    <w:pPr>
      <w:ind w:firstLine="420" w:firstLineChars="200"/>
    </w:pPr>
    <w:rPr>
      <w:sz w:val="28"/>
      <w:szCs w:val="28"/>
    </w:rPr>
  </w:style>
  <w:style w:type="paragraph" w:customStyle="1" w:styleId="68">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9">
    <w:name w:val="WW-表格标题"/>
    <w:basedOn w:val="70"/>
    <w:autoRedefine/>
    <w:qFormat/>
    <w:uiPriority w:val="0"/>
  </w:style>
  <w:style w:type="paragraph" w:customStyle="1" w:styleId="70">
    <w:name w:val="WW-表格内容"/>
    <w:basedOn w:val="1"/>
    <w:autoRedefine/>
    <w:qFormat/>
    <w:uiPriority w:val="0"/>
    <w:pPr>
      <w:suppressLineNumbers/>
      <w:suppressAutoHyphens/>
    </w:pPr>
  </w:style>
  <w:style w:type="paragraph" w:customStyle="1" w:styleId="71">
    <w:name w:val="引用2"/>
    <w:basedOn w:val="1"/>
    <w:next w:val="1"/>
    <w:link w:val="301"/>
    <w:autoRedefine/>
    <w:qFormat/>
    <w:uiPriority w:val="0"/>
    <w:rPr>
      <w:i/>
      <w:iCs/>
      <w:color w:val="000000"/>
    </w:rPr>
  </w:style>
  <w:style w:type="paragraph" w:customStyle="1" w:styleId="72">
    <w:name w:val="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7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Char Char Char Char"/>
    <w:basedOn w:val="14"/>
    <w:autoRedefine/>
    <w:qFormat/>
    <w:uiPriority w:val="0"/>
    <w:pPr>
      <w:spacing w:line="360" w:lineRule="auto"/>
      <w:ind w:firstLine="200" w:firstLineChars="200"/>
    </w:pPr>
    <w:rPr>
      <w:rFonts w:ascii="Tahoma" w:hAnsi="Tahoma"/>
      <w:sz w:val="24"/>
    </w:rPr>
  </w:style>
  <w:style w:type="paragraph" w:customStyle="1" w:styleId="75">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7">
    <w:name w:val="p16"/>
    <w:basedOn w:val="1"/>
    <w:autoRedefine/>
    <w:qFormat/>
    <w:uiPriority w:val="0"/>
    <w:pPr>
      <w:widowControl/>
    </w:pPr>
    <w:rPr>
      <w:rFonts w:ascii="Calibri" w:hAnsi="Calibri" w:cs="宋体"/>
      <w:kern w:val="0"/>
      <w:szCs w:val="21"/>
    </w:rPr>
  </w:style>
  <w:style w:type="paragraph" w:customStyle="1" w:styleId="78">
    <w:name w:val="列出段落1"/>
    <w:basedOn w:val="1"/>
    <w:autoRedefine/>
    <w:qFormat/>
    <w:uiPriority w:val="0"/>
    <w:pPr>
      <w:ind w:firstLine="420" w:firstLineChars="200"/>
    </w:pPr>
    <w:rPr>
      <w:sz w:val="28"/>
      <w:szCs w:val="28"/>
    </w:rPr>
  </w:style>
  <w:style w:type="paragraph" w:customStyle="1" w:styleId="79">
    <w:name w:val="样式1"/>
    <w:basedOn w:val="1"/>
    <w:next w:val="5"/>
    <w:autoRedefine/>
    <w:qFormat/>
    <w:uiPriority w:val="0"/>
    <w:pPr>
      <w:spacing w:line="360" w:lineRule="auto"/>
      <w:ind w:firstLine="420" w:firstLineChars="200"/>
    </w:pPr>
    <w:rPr>
      <w:rFonts w:ascii="宋体" w:hAnsi="宋体"/>
      <w:szCs w:val="21"/>
    </w:rPr>
  </w:style>
  <w:style w:type="paragraph" w:customStyle="1" w:styleId="80">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1">
    <w:name w:val="Char9 Char Char Char Char Char Char"/>
    <w:basedOn w:val="14"/>
    <w:autoRedefine/>
    <w:qFormat/>
    <w:uiPriority w:val="0"/>
    <w:pPr>
      <w:spacing w:line="360" w:lineRule="auto"/>
      <w:ind w:firstLine="200" w:firstLineChars="200"/>
    </w:pPr>
    <w:rPr>
      <w:rFonts w:ascii="Tahoma" w:hAnsi="Tahoma"/>
      <w:sz w:val="24"/>
    </w:rPr>
  </w:style>
  <w:style w:type="paragraph" w:customStyle="1" w:styleId="82">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3">
    <w:name w:val="引用1"/>
    <w:basedOn w:val="1"/>
    <w:next w:val="1"/>
    <w:link w:val="151"/>
    <w:autoRedefine/>
    <w:qFormat/>
    <w:uiPriority w:val="29"/>
    <w:rPr>
      <w:i/>
      <w:iCs/>
      <w:color w:val="000000"/>
      <w:szCs w:val="20"/>
    </w:rPr>
  </w:style>
  <w:style w:type="paragraph" w:customStyle="1" w:styleId="84">
    <w:name w:val="表格文字"/>
    <w:basedOn w:val="1"/>
    <w:autoRedefine/>
    <w:qFormat/>
    <w:uiPriority w:val="0"/>
    <w:pPr>
      <w:adjustRightInd w:val="0"/>
      <w:spacing w:line="420" w:lineRule="atLeast"/>
      <w:jc w:val="left"/>
      <w:textAlignment w:val="baseline"/>
    </w:pPr>
    <w:rPr>
      <w:kern w:val="0"/>
      <w:szCs w:val="20"/>
    </w:rPr>
  </w:style>
  <w:style w:type="paragraph" w:customStyle="1" w:styleId="85">
    <w:name w:val="_Style 96"/>
    <w:autoRedefine/>
    <w:qFormat/>
    <w:uiPriority w:val="99"/>
    <w:rPr>
      <w:rFonts w:ascii="Calibri" w:hAnsi="Calibri" w:eastAsia="宋体" w:cs="Times New Roman"/>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7">
    <w:name w:val="_Style 105"/>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正  文"/>
    <w:basedOn w:val="1"/>
    <w:autoRedefine/>
    <w:qFormat/>
    <w:uiPriority w:val="0"/>
    <w:pPr>
      <w:spacing w:line="360" w:lineRule="auto"/>
      <w:ind w:firstLine="200" w:firstLineChars="200"/>
    </w:pPr>
    <w:rPr>
      <w:rFonts w:ascii="宋体" w:hAnsi="Calibri"/>
      <w:sz w:val="24"/>
    </w:rPr>
  </w:style>
  <w:style w:type="paragraph" w:customStyle="1" w:styleId="89">
    <w:name w:val="标题4"/>
    <w:basedOn w:val="3"/>
    <w:next w:val="20"/>
    <w:link w:val="244"/>
    <w:autoRedefine/>
    <w:qFormat/>
    <w:uiPriority w:val="0"/>
    <w:pPr>
      <w:spacing w:line="413" w:lineRule="auto"/>
    </w:pPr>
    <w:rPr>
      <w:rFonts w:ascii="Arial" w:hAnsi="Arial"/>
      <w:kern w:val="0"/>
      <w:sz w:val="24"/>
    </w:rPr>
  </w:style>
  <w:style w:type="paragraph" w:customStyle="1" w:styleId="90">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4">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5">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6">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7">
    <w:name w:val="1 Char"/>
    <w:basedOn w:val="1"/>
    <w:autoRedefine/>
    <w:qFormat/>
    <w:uiPriority w:val="0"/>
    <w:pPr>
      <w:widowControl/>
      <w:spacing w:after="160" w:line="240" w:lineRule="exact"/>
      <w:jc w:val="left"/>
    </w:pPr>
    <w:rPr>
      <w:rFonts w:ascii="Calibri" w:hAnsi="Calibri"/>
      <w:szCs w:val="20"/>
    </w:rPr>
  </w:style>
  <w:style w:type="paragraph" w:customStyle="1" w:styleId="98">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9">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p15"/>
    <w:basedOn w:val="1"/>
    <w:autoRedefine/>
    <w:qFormat/>
    <w:uiPriority w:val="0"/>
    <w:pPr>
      <w:widowControl/>
      <w:spacing w:after="120"/>
    </w:pPr>
    <w:rPr>
      <w:kern w:val="0"/>
      <w:szCs w:val="21"/>
    </w:rPr>
  </w:style>
  <w:style w:type="paragraph" w:customStyle="1" w:styleId="10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104">
    <w:name w:val="_Style 124"/>
    <w:basedOn w:val="1"/>
    <w:next w:val="1"/>
    <w:link w:val="198"/>
    <w:autoRedefine/>
    <w:qFormat/>
    <w:uiPriority w:val="0"/>
    <w:rPr>
      <w:i/>
      <w:iCs/>
      <w:color w:val="000000"/>
      <w:szCs w:val="22"/>
    </w:rPr>
  </w:style>
  <w:style w:type="paragraph" w:customStyle="1" w:styleId="105">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6">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7">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9">
    <w:name w:val="pa-27"/>
    <w:basedOn w:val="1"/>
    <w:autoRedefine/>
    <w:qFormat/>
    <w:uiPriority w:val="0"/>
    <w:pPr>
      <w:widowControl/>
      <w:spacing w:line="360" w:lineRule="atLeast"/>
      <w:ind w:firstLine="420"/>
    </w:pPr>
    <w:rPr>
      <w:rFonts w:ascii="宋体" w:hAnsi="宋体" w:cs="宋体"/>
      <w:kern w:val="0"/>
      <w:sz w:val="24"/>
    </w:rPr>
  </w:style>
  <w:style w:type="paragraph" w:customStyle="1" w:styleId="110">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1">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2">
    <w:name w:val="表格"/>
    <w:basedOn w:val="1"/>
    <w:autoRedefine/>
    <w:qFormat/>
    <w:uiPriority w:val="0"/>
    <w:pPr>
      <w:jc w:val="center"/>
      <w:textAlignment w:val="center"/>
    </w:pPr>
    <w:rPr>
      <w:rFonts w:ascii="华文细黑" w:hAnsi="华文细黑"/>
      <w:kern w:val="0"/>
      <w:szCs w:val="20"/>
    </w:rPr>
  </w:style>
  <w:style w:type="paragraph" w:customStyle="1" w:styleId="113">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4">
    <w:name w:val="样式15"/>
    <w:basedOn w:val="4"/>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5">
    <w:name w:val="TOC 标题2"/>
    <w:basedOn w:val="2"/>
    <w:next w:val="1"/>
    <w:autoRedefine/>
    <w:qFormat/>
    <w:uiPriority w:val="0"/>
    <w:pPr>
      <w:outlineLvl w:val="9"/>
    </w:pPr>
    <w:rPr>
      <w:rFonts w:ascii="Calibri" w:hAnsi="Calibri"/>
    </w:rPr>
  </w:style>
  <w:style w:type="paragraph" w:customStyle="1" w:styleId="116">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7">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8">
    <w:name w:val="标题5"/>
    <w:basedOn w:val="4"/>
    <w:link w:val="166"/>
    <w:autoRedefine/>
    <w:qFormat/>
    <w:uiPriority w:val="0"/>
    <w:pPr>
      <w:spacing w:line="413" w:lineRule="auto"/>
    </w:pPr>
    <w:rPr>
      <w:rFonts w:ascii="Arial" w:hAnsi="Arial"/>
      <w:kern w:val="0"/>
      <w:sz w:val="24"/>
    </w:rPr>
  </w:style>
  <w:style w:type="paragraph" w:customStyle="1" w:styleId="119">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20">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1">
    <w:name w:val="_Style 128"/>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2">
    <w:name w:val="Char2"/>
    <w:basedOn w:val="1"/>
    <w:autoRedefine/>
    <w:qFormat/>
    <w:uiPriority w:val="0"/>
    <w:rPr>
      <w:rFonts w:ascii="Calibri" w:hAnsi="Calibri"/>
    </w:rPr>
  </w:style>
  <w:style w:type="paragraph" w:customStyle="1" w:styleId="123">
    <w:name w:val="_Style 87"/>
    <w:basedOn w:val="1"/>
    <w:autoRedefine/>
    <w:qFormat/>
    <w:uiPriority w:val="99"/>
    <w:pPr>
      <w:ind w:firstLine="420" w:firstLineChars="200"/>
    </w:pPr>
    <w:rPr>
      <w:rFonts w:ascii="Calibri" w:hAnsi="Calibri"/>
      <w:sz w:val="28"/>
      <w:szCs w:val="28"/>
    </w:rPr>
  </w:style>
  <w:style w:type="paragraph" w:customStyle="1" w:styleId="124">
    <w:name w:val="自定样式1"/>
    <w:basedOn w:val="1"/>
    <w:autoRedefine/>
    <w:qFormat/>
    <w:uiPriority w:val="0"/>
    <w:pPr>
      <w:suppressAutoHyphens/>
      <w:jc w:val="center"/>
    </w:pPr>
    <w:rPr>
      <w:rFonts w:ascii="宋体" w:hAnsi="宋体"/>
      <w:color w:val="000000"/>
      <w:sz w:val="18"/>
    </w:rPr>
  </w:style>
  <w:style w:type="paragraph" w:customStyle="1" w:styleId="125">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Char"/>
    <w:basedOn w:val="1"/>
    <w:autoRedefine/>
    <w:qFormat/>
    <w:uiPriority w:val="0"/>
  </w:style>
  <w:style w:type="paragraph" w:customStyle="1" w:styleId="127">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列表段落1"/>
    <w:basedOn w:val="1"/>
    <w:autoRedefine/>
    <w:qFormat/>
    <w:uiPriority w:val="34"/>
    <w:pPr>
      <w:ind w:firstLine="420" w:firstLineChars="200"/>
    </w:pPr>
    <w:rPr>
      <w:rFonts w:ascii="Calibri" w:hAnsi="Calibri"/>
    </w:rPr>
  </w:style>
  <w:style w:type="paragraph" w:customStyle="1" w:styleId="129">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0">
    <w:name w:val="表体"/>
    <w:basedOn w:val="1"/>
    <w:next w:val="1"/>
    <w:autoRedefine/>
    <w:qFormat/>
    <w:uiPriority w:val="0"/>
    <w:pPr>
      <w:spacing w:line="0" w:lineRule="atLeast"/>
    </w:pPr>
    <w:rPr>
      <w:rFonts w:ascii="Calibri" w:hAnsi="Calibri"/>
      <w:b/>
      <w:snapToGrid w:val="0"/>
      <w:szCs w:val="20"/>
    </w:rPr>
  </w:style>
  <w:style w:type="paragraph" w:customStyle="1" w:styleId="131">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2">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3">
    <w:name w:val="Char Char1 Char Char"/>
    <w:basedOn w:val="14"/>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4">
    <w:name w:val="Char11"/>
    <w:basedOn w:val="1"/>
    <w:autoRedefine/>
    <w:qFormat/>
    <w:uiPriority w:val="0"/>
  </w:style>
  <w:style w:type="paragraph" w:customStyle="1" w:styleId="135">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6">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37">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8">
    <w:name w:val="Char1"/>
    <w:basedOn w:val="1"/>
    <w:autoRedefine/>
    <w:qFormat/>
    <w:uiPriority w:val="0"/>
  </w:style>
  <w:style w:type="paragraph" w:customStyle="1" w:styleId="139">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3"/>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Char4"/>
    <w:link w:val="25"/>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8"/>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Char3"/>
    <w:link w:val="40"/>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Char2"/>
    <w:link w:val="5"/>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Char3"/>
    <w:link w:val="27"/>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Char2"/>
    <w:link w:val="4"/>
    <w:autoRedefine/>
    <w:qFormat/>
    <w:uiPriority w:val="0"/>
    <w:rPr>
      <w:rFonts w:eastAsia="宋体"/>
      <w:b/>
      <w:bCs/>
      <w:kern w:val="2"/>
      <w:sz w:val="32"/>
      <w:szCs w:val="32"/>
      <w:lang w:val="en-US" w:eastAsia="zh-CN" w:bidi="ar-SA"/>
    </w:rPr>
  </w:style>
  <w:style w:type="character" w:customStyle="1" w:styleId="195">
    <w:name w:val="标题 2 Char2"/>
    <w:link w:val="3"/>
    <w:autoRedefine/>
    <w:qFormat/>
    <w:uiPriority w:val="0"/>
    <w:rPr>
      <w:rFonts w:ascii="Cambria" w:hAnsi="Cambria" w:eastAsia="宋体"/>
      <w:b/>
      <w:bCs/>
      <w:kern w:val="2"/>
      <w:sz w:val="32"/>
      <w:szCs w:val="32"/>
      <w:lang w:val="en-US" w:eastAsia="zh-CN" w:bidi="ar-SA"/>
    </w:rPr>
  </w:style>
  <w:style w:type="character" w:customStyle="1" w:styleId="196">
    <w:name w:val="标题 6 Char2"/>
    <w:link w:val="7"/>
    <w:autoRedefine/>
    <w:qFormat/>
    <w:uiPriority w:val="0"/>
    <w:rPr>
      <w:rFonts w:hAnsi="Arial" w:eastAsia="仿宋_GB2312"/>
      <w:sz w:val="30"/>
      <w:lang w:val="en-US" w:eastAsia="zh-CN" w:bidi="ar-SA"/>
    </w:rPr>
  </w:style>
  <w:style w:type="character" w:customStyle="1" w:styleId="197">
    <w:name w:val="页脚 Char2"/>
    <w:link w:val="29"/>
    <w:autoRedefine/>
    <w:qFormat/>
    <w:uiPriority w:val="0"/>
    <w:rPr>
      <w:rFonts w:eastAsia="宋体"/>
      <w:kern w:val="2"/>
      <w:sz w:val="18"/>
      <w:szCs w:val="18"/>
      <w:lang w:val="en-US" w:eastAsia="zh-CN" w:bidi="ar-SA"/>
    </w:rPr>
  </w:style>
  <w:style w:type="character" w:customStyle="1" w:styleId="198">
    <w:name w:val="引用 Char4"/>
    <w:link w:val="104"/>
    <w:autoRedefine/>
    <w:qFormat/>
    <w:uiPriority w:val="0"/>
    <w:rPr>
      <w:i/>
      <w:iCs/>
      <w:color w:val="000000"/>
      <w:kern w:val="2"/>
      <w:sz w:val="21"/>
      <w:szCs w:val="22"/>
      <w:lang w:bidi="ar-SA"/>
    </w:rPr>
  </w:style>
  <w:style w:type="character" w:customStyle="1" w:styleId="199">
    <w:name w:val="标题 9 Char2"/>
    <w:link w:val="11"/>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Char4"/>
    <w:link w:val="14"/>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Char4"/>
    <w:link w:val="28"/>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Char3"/>
    <w:link w:val="43"/>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Char4"/>
    <w:link w:val="17"/>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Char3"/>
    <w:link w:val="34"/>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Char2"/>
    <w:link w:val="30"/>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9"/>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Char4"/>
    <w:link w:val="44"/>
    <w:autoRedefine/>
    <w:qFormat/>
    <w:uiPriority w:val="0"/>
    <w:rPr>
      <w:rFonts w:eastAsia="宋体"/>
      <w:b/>
      <w:bCs/>
      <w:kern w:val="2"/>
      <w:sz w:val="21"/>
      <w:szCs w:val="24"/>
      <w:lang w:val="en-US" w:eastAsia="zh-CN" w:bidi="ar-SA"/>
    </w:rPr>
  </w:style>
  <w:style w:type="character" w:customStyle="1" w:styleId="265">
    <w:name w:val="正文文本 2 Char"/>
    <w:link w:val="39"/>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Char2"/>
    <w:link w:val="10"/>
    <w:autoRedefine/>
    <w:qFormat/>
    <w:uiPriority w:val="0"/>
    <w:rPr>
      <w:rFonts w:hAnsi="Arial" w:eastAsia="仿宋_GB2312"/>
      <w:sz w:val="30"/>
      <w:lang w:val="en-US" w:eastAsia="zh-CN" w:bidi="ar-SA"/>
    </w:rPr>
  </w:style>
  <w:style w:type="character" w:customStyle="1" w:styleId="269">
    <w:name w:val="正文文本缩进 3 Char3"/>
    <w:link w:val="36"/>
    <w:autoRedefine/>
    <w:qFormat/>
    <w:uiPriority w:val="0"/>
    <w:rPr>
      <w:rFonts w:ascii="宋体" w:hAnsi="宋体" w:eastAsia="宋体"/>
      <w:kern w:val="2"/>
      <w:sz w:val="28"/>
      <w:szCs w:val="28"/>
      <w:lang w:val="en-US" w:eastAsia="zh-CN" w:bidi="ar-SA"/>
    </w:rPr>
  </w:style>
  <w:style w:type="character" w:customStyle="1" w:styleId="270">
    <w:name w:val="正文文本缩进 Char3"/>
    <w:link w:val="18"/>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Char3"/>
    <w:link w:val="26"/>
    <w:autoRedefine/>
    <w:qFormat/>
    <w:uiPriority w:val="0"/>
    <w:rPr>
      <w:rFonts w:eastAsia="宋体"/>
      <w:sz w:val="28"/>
      <w:szCs w:val="24"/>
      <w:lang w:val="en-US" w:eastAsia="zh-CN" w:bidi="ar-SA"/>
    </w:rPr>
  </w:style>
  <w:style w:type="character" w:customStyle="1" w:styleId="273">
    <w:name w:val="标题 7 Char2"/>
    <w:link w:val="9"/>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Char3"/>
    <w:link w:val="15"/>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Char2"/>
    <w:link w:val="6"/>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Char2"/>
    <w:link w:val="2"/>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20"/>
    <w:autoRedefine/>
    <w:qFormat/>
    <w:uiPriority w:val="0"/>
    <w:rPr>
      <w:b/>
      <w:bCs/>
      <w:i/>
      <w:iCs/>
      <w:color w:val="4F81BD"/>
      <w:kern w:val="2"/>
      <w:sz w:val="21"/>
      <w:szCs w:val="22"/>
      <w:lang w:bidi="ar-SA"/>
    </w:rPr>
  </w:style>
  <w:style w:type="character" w:customStyle="1" w:styleId="299">
    <w:name w:val="明显引用 Char1"/>
    <w:link w:val="113"/>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1"/>
    <w:autoRedefine/>
    <w:qFormat/>
    <w:uiPriority w:val="0"/>
    <w:rPr>
      <w:rFonts w:ascii="Times New Roman" w:hAnsi="Times New Roman" w:eastAsia="宋体" w:cs="Times New Roman"/>
      <w:i/>
      <w:iCs/>
      <w:color w:val="000000"/>
      <w:kern w:val="2"/>
      <w:sz w:val="21"/>
      <w:szCs w:val="24"/>
    </w:rPr>
  </w:style>
  <w:style w:type="character" w:customStyle="1" w:styleId="302">
    <w:name w:val="副标题 Char3"/>
    <w:link w:val="33"/>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Char3"/>
    <w:link w:val="23"/>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Char3"/>
    <w:link w:val="16"/>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rPr>
      <w:rFonts w:ascii="Times New Roman" w:hAnsi="Times New Roman" w:eastAsia="宋体" w:cs="Times New Roman"/>
      <w:lang w:val="en-US" w:eastAsia="zh-CN" w:bidi="ar-SA"/>
    </w:rPr>
  </w:style>
  <w:style w:type="paragraph" w:customStyle="1" w:styleId="316">
    <w:name w:val="Table Text"/>
    <w:basedOn w:val="1"/>
    <w:autoRedefine/>
    <w:semiHidden/>
    <w:qFormat/>
    <w:uiPriority w:val="0"/>
    <w:rPr>
      <w:rFonts w:ascii="宋体" w:hAnsi="宋体" w:cs="宋体"/>
      <w:sz w:val="24"/>
    </w:rPr>
  </w:style>
  <w:style w:type="table" w:customStyle="1" w:styleId="317">
    <w:name w:val="Table Normal"/>
    <w:autoRedefine/>
    <w:unhideWhenUsed/>
    <w:qFormat/>
    <w:uiPriority w:val="0"/>
    <w:tblPr>
      <w:tblCellMar>
        <w:top w:w="0" w:type="dxa"/>
        <w:left w:w="0" w:type="dxa"/>
        <w:bottom w:w="0" w:type="dxa"/>
        <w:right w:w="0" w:type="dxa"/>
      </w:tblCellMar>
    </w:tblPr>
  </w:style>
  <w:style w:type="paragraph" w:customStyle="1" w:styleId="31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9">
    <w:name w:val="Char3"/>
    <w:basedOn w:val="1"/>
    <w:qFormat/>
    <w:uiPriority w:val="0"/>
    <w:pPr>
      <w:spacing w:line="240" w:lineRule="atLeast"/>
      <w:ind w:left="420" w:firstLine="420"/>
    </w:pPr>
    <w:rPr>
      <w:kern w:val="0"/>
    </w:rPr>
  </w:style>
  <w:style w:type="character" w:customStyle="1" w:styleId="320">
    <w:name w:val="font01"/>
    <w:qFormat/>
    <w:uiPriority w:val="0"/>
    <w:rPr>
      <w:rFonts w:hint="eastAsia" w:ascii="宋体" w:hAnsi="宋体" w:eastAsia="宋体" w:cs="宋体"/>
      <w:color w:val="000000"/>
      <w:sz w:val="20"/>
      <w:szCs w:val="20"/>
      <w:u w:val="none"/>
    </w:rPr>
  </w:style>
  <w:style w:type="paragraph" w:styleId="321">
    <w:name w:val="List Paragraph"/>
    <w:basedOn w:val="1"/>
    <w:unhideWhenUsed/>
    <w:qFormat/>
    <w:uiPriority w:val="99"/>
    <w:pPr>
      <w:ind w:firstLine="420" w:firstLineChars="200"/>
    </w:pPr>
  </w:style>
  <w:style w:type="paragraph" w:customStyle="1" w:styleId="322">
    <w:name w:val="Level 2"/>
    <w:basedOn w:val="1"/>
    <w:next w:val="1"/>
    <w:qFormat/>
    <w:uiPriority w:val="0"/>
    <w:pPr>
      <w:numPr>
        <w:ilvl w:val="1"/>
        <w:numId w:val="1"/>
      </w:numPr>
      <w:adjustRightInd/>
      <w:spacing w:line="360" w:lineRule="auto"/>
      <w:textAlignment w:val="auto"/>
      <w:outlineLvl w:val="1"/>
    </w:pPr>
    <w:rPr>
      <w:rFonts w:ascii="Arial" w:hAnsi="Arial" w:eastAsia="宋体" w:cs="Times New Roman"/>
      <w:w w:val="105"/>
      <w:kern w:val="20"/>
      <w:sz w:val="24"/>
      <w:lang w:val="en-GB" w:eastAsia="en-US"/>
    </w:rPr>
  </w:style>
  <w:style w:type="paragraph" w:customStyle="1" w:styleId="323">
    <w:name w:val="FWB_L4"/>
    <w:basedOn w:val="1"/>
    <w:qFormat/>
    <w:uiPriority w:val="0"/>
    <w:pPr>
      <w:widowControl/>
      <w:numPr>
        <w:ilvl w:val="3"/>
        <w:numId w:val="2"/>
      </w:numPr>
      <w:tabs>
        <w:tab w:val="left" w:pos="360"/>
        <w:tab w:val="clear" w:pos="1440"/>
      </w:tabs>
      <w:adjustRightInd/>
      <w:spacing w:after="240" w:afterLines="0" w:line="240" w:lineRule="auto"/>
      <w:textAlignment w:val="auto"/>
    </w:pPr>
    <w:rPr>
      <w:rFonts w:ascii="Times New Roman" w:hAnsi="Times New Roman" w:eastAsia="宋体" w:cs="Times New Roman"/>
      <w:smallCaps/>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65</Words>
  <Characters>68</Characters>
  <Lines>361</Lines>
  <Paragraphs>101</Paragraphs>
  <TotalTime>17</TotalTime>
  <ScaleCrop>false</ScaleCrop>
  <LinksUpToDate>false</LinksUpToDate>
  <CharactersWithSpaces>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F</cp:lastModifiedBy>
  <cp:lastPrinted>2024-03-13T01:11:00Z</cp:lastPrinted>
  <dcterms:modified xsi:type="dcterms:W3CDTF">2025-07-22T07:19:39Z</dcterms:modified>
  <dc:title>第一卷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501C4F8E772640E19CF298385319FFA9_13</vt:lpwstr>
  </property>
  <property fmtid="{D5CDD505-2E9C-101B-9397-08002B2CF9AE}" pid="4" name="KSOTemplateDocerSaveRecord">
    <vt:lpwstr>eyJoZGlkIjoiOGVlYjg1YTkyOWU5NzI0OTgyZDU1M2Q5NWZiOTE0M2QiLCJ1c2VySWQiOiIxMTMyNDk2OTU3In0=</vt:lpwstr>
  </property>
</Properties>
</file>